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C0256" w14:textId="1AA11166"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Name:</w:t>
      </w:r>
      <w:r w:rsidR="00363C9F">
        <w:rPr>
          <w:rFonts w:ascii="Arial" w:hAnsi="Arial" w:cs="Arial"/>
          <w:sz w:val="22"/>
          <w:szCs w:val="22"/>
        </w:rPr>
        <w:t xml:space="preserve"> Tsion Abiyo</w:t>
      </w:r>
    </w:p>
    <w:p w14:paraId="143D328D" w14:textId="2D149401"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Student Number: </w:t>
      </w:r>
      <w:r w:rsidR="00363C9F" w:rsidRPr="00363C9F">
        <w:rPr>
          <w:rFonts w:ascii="Arial" w:hAnsi="Arial" w:cs="Arial"/>
          <w:sz w:val="22"/>
          <w:szCs w:val="22"/>
        </w:rPr>
        <w:t>2328768</w:t>
      </w:r>
    </w:p>
    <w:p w14:paraId="517647BD" w14:textId="245E11A1"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Module: Digital Transformation in the Health and Care Professions</w:t>
      </w:r>
    </w:p>
    <w:p w14:paraId="41AAF208" w14:textId="3D9D324C"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Module code:</w:t>
      </w:r>
      <w:r w:rsidRPr="004E1107">
        <w:rPr>
          <w:rFonts w:ascii="Arial" w:hAnsi="Arial" w:cs="Arial"/>
          <w:sz w:val="22"/>
          <w:szCs w:val="22"/>
        </w:rPr>
        <w:tab/>
        <w:t xml:space="preserve"> BMHP6026</w:t>
      </w:r>
    </w:p>
    <w:p w14:paraId="5B3932A1" w14:textId="6C1CB6E6"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Assignment Title: Component 1 Written Report</w:t>
      </w:r>
    </w:p>
    <w:p w14:paraId="1F8FD87F"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br w:type="page"/>
      </w:r>
    </w:p>
    <w:sdt>
      <w:sdtPr>
        <w:rPr>
          <w:rFonts w:asciiTheme="minorHAnsi" w:eastAsiaTheme="minorHAnsi" w:hAnsiTheme="minorHAnsi" w:cstheme="minorBidi"/>
          <w:color w:val="auto"/>
          <w:kern w:val="2"/>
          <w:sz w:val="24"/>
          <w:szCs w:val="24"/>
          <w:lang w:val="en-GB"/>
          <w14:ligatures w14:val="standardContextual"/>
        </w:rPr>
        <w:id w:val="1258476250"/>
        <w:docPartObj>
          <w:docPartGallery w:val="Table of Contents"/>
          <w:docPartUnique/>
        </w:docPartObj>
      </w:sdtPr>
      <w:sdtEndPr>
        <w:rPr>
          <w:b/>
          <w:bCs/>
          <w:noProof/>
        </w:rPr>
      </w:sdtEndPr>
      <w:sdtContent>
        <w:p w14:paraId="10484ED6" w14:textId="4837F365" w:rsidR="005120D5" w:rsidRDefault="005120D5">
          <w:pPr>
            <w:pStyle w:val="TOCHeading"/>
          </w:pPr>
          <w:r>
            <w:t>Contents</w:t>
          </w:r>
        </w:p>
        <w:p w14:paraId="020C31F4" w14:textId="08AD0CF6" w:rsidR="005120D5" w:rsidRDefault="005120D5">
          <w:pPr>
            <w:pStyle w:val="TOC1"/>
            <w:tabs>
              <w:tab w:val="right" w:leader="dot" w:pos="9016"/>
            </w:tabs>
            <w:rPr>
              <w:noProof/>
            </w:rPr>
          </w:pPr>
          <w:r>
            <w:fldChar w:fldCharType="begin"/>
          </w:r>
          <w:r>
            <w:instrText xml:space="preserve"> TOC \o "1-3" \h \z \u </w:instrText>
          </w:r>
          <w:r>
            <w:fldChar w:fldCharType="separate"/>
          </w:r>
          <w:hyperlink w:anchor="_Toc242749681" w:history="1">
            <w:r w:rsidRPr="00732623">
              <w:rPr>
                <w:rStyle w:val="Hyperlink"/>
                <w:noProof/>
              </w:rPr>
              <w:t>Introduction</w:t>
            </w:r>
            <w:r>
              <w:rPr>
                <w:noProof/>
                <w:webHidden/>
              </w:rPr>
              <w:tab/>
            </w:r>
            <w:r>
              <w:rPr>
                <w:noProof/>
                <w:webHidden/>
              </w:rPr>
              <w:fldChar w:fldCharType="begin"/>
            </w:r>
            <w:r>
              <w:rPr>
                <w:noProof/>
                <w:webHidden/>
              </w:rPr>
              <w:instrText xml:space="preserve"> PAGEREF _Toc242749681 \h </w:instrText>
            </w:r>
            <w:r>
              <w:rPr>
                <w:noProof/>
                <w:webHidden/>
              </w:rPr>
            </w:r>
            <w:r>
              <w:rPr>
                <w:noProof/>
                <w:webHidden/>
              </w:rPr>
              <w:fldChar w:fldCharType="separate"/>
            </w:r>
            <w:r>
              <w:rPr>
                <w:noProof/>
                <w:webHidden/>
              </w:rPr>
              <w:t>3</w:t>
            </w:r>
            <w:r>
              <w:rPr>
                <w:noProof/>
                <w:webHidden/>
              </w:rPr>
              <w:fldChar w:fldCharType="end"/>
            </w:r>
          </w:hyperlink>
        </w:p>
        <w:p w14:paraId="28E50847" w14:textId="5B911FED" w:rsidR="005120D5" w:rsidRDefault="005120D5">
          <w:pPr>
            <w:pStyle w:val="TOC1"/>
            <w:tabs>
              <w:tab w:val="right" w:leader="dot" w:pos="9016"/>
            </w:tabs>
            <w:rPr>
              <w:noProof/>
            </w:rPr>
          </w:pPr>
          <w:hyperlink w:anchor="_Toc242749682" w:history="1">
            <w:r w:rsidRPr="00732623">
              <w:rPr>
                <w:rStyle w:val="Hyperlink"/>
                <w:noProof/>
              </w:rPr>
              <w:t>Workforce</w:t>
            </w:r>
            <w:r>
              <w:rPr>
                <w:noProof/>
                <w:webHidden/>
              </w:rPr>
              <w:tab/>
            </w:r>
            <w:r>
              <w:rPr>
                <w:noProof/>
                <w:webHidden/>
              </w:rPr>
              <w:fldChar w:fldCharType="begin"/>
            </w:r>
            <w:r>
              <w:rPr>
                <w:noProof/>
                <w:webHidden/>
              </w:rPr>
              <w:instrText xml:space="preserve"> PAGEREF _Toc242749682 \h </w:instrText>
            </w:r>
            <w:r>
              <w:rPr>
                <w:noProof/>
                <w:webHidden/>
              </w:rPr>
            </w:r>
            <w:r>
              <w:rPr>
                <w:noProof/>
                <w:webHidden/>
              </w:rPr>
              <w:fldChar w:fldCharType="separate"/>
            </w:r>
            <w:r>
              <w:rPr>
                <w:noProof/>
                <w:webHidden/>
              </w:rPr>
              <w:t>3</w:t>
            </w:r>
            <w:r>
              <w:rPr>
                <w:noProof/>
                <w:webHidden/>
              </w:rPr>
              <w:fldChar w:fldCharType="end"/>
            </w:r>
          </w:hyperlink>
        </w:p>
        <w:p w14:paraId="757B4CD5" w14:textId="55D78CAA" w:rsidR="005120D5" w:rsidRDefault="005120D5">
          <w:pPr>
            <w:pStyle w:val="TOC1"/>
            <w:tabs>
              <w:tab w:val="right" w:leader="dot" w:pos="9016"/>
            </w:tabs>
            <w:rPr>
              <w:noProof/>
            </w:rPr>
          </w:pPr>
          <w:hyperlink w:anchor="_Toc242749683" w:history="1">
            <w:r w:rsidRPr="00732623">
              <w:rPr>
                <w:rStyle w:val="Hyperlink"/>
                <w:noProof/>
              </w:rPr>
              <w:t>Service Delivery</w:t>
            </w:r>
            <w:r>
              <w:rPr>
                <w:noProof/>
                <w:webHidden/>
              </w:rPr>
              <w:tab/>
            </w:r>
            <w:r>
              <w:rPr>
                <w:noProof/>
                <w:webHidden/>
              </w:rPr>
              <w:fldChar w:fldCharType="begin"/>
            </w:r>
            <w:r>
              <w:rPr>
                <w:noProof/>
                <w:webHidden/>
              </w:rPr>
              <w:instrText xml:space="preserve"> PAGEREF _Toc242749683 \h </w:instrText>
            </w:r>
            <w:r>
              <w:rPr>
                <w:noProof/>
                <w:webHidden/>
              </w:rPr>
            </w:r>
            <w:r>
              <w:rPr>
                <w:noProof/>
                <w:webHidden/>
              </w:rPr>
              <w:fldChar w:fldCharType="separate"/>
            </w:r>
            <w:r>
              <w:rPr>
                <w:noProof/>
                <w:webHidden/>
              </w:rPr>
              <w:t>4</w:t>
            </w:r>
            <w:r>
              <w:rPr>
                <w:noProof/>
                <w:webHidden/>
              </w:rPr>
              <w:fldChar w:fldCharType="end"/>
            </w:r>
          </w:hyperlink>
        </w:p>
        <w:p w14:paraId="163F6B56" w14:textId="28422C7E" w:rsidR="005120D5" w:rsidRDefault="005120D5">
          <w:pPr>
            <w:pStyle w:val="TOC1"/>
            <w:tabs>
              <w:tab w:val="right" w:leader="dot" w:pos="9016"/>
            </w:tabs>
            <w:rPr>
              <w:noProof/>
            </w:rPr>
          </w:pPr>
          <w:hyperlink w:anchor="_Toc242749684" w:history="1">
            <w:r w:rsidRPr="00732623">
              <w:rPr>
                <w:rStyle w:val="Hyperlink"/>
                <w:noProof/>
              </w:rPr>
              <w:t>Community</w:t>
            </w:r>
            <w:r>
              <w:rPr>
                <w:noProof/>
                <w:webHidden/>
              </w:rPr>
              <w:tab/>
            </w:r>
            <w:r>
              <w:rPr>
                <w:noProof/>
                <w:webHidden/>
              </w:rPr>
              <w:fldChar w:fldCharType="begin"/>
            </w:r>
            <w:r>
              <w:rPr>
                <w:noProof/>
                <w:webHidden/>
              </w:rPr>
              <w:instrText xml:space="preserve"> PAGEREF _Toc242749684 \h </w:instrText>
            </w:r>
            <w:r>
              <w:rPr>
                <w:noProof/>
                <w:webHidden/>
              </w:rPr>
            </w:r>
            <w:r>
              <w:rPr>
                <w:noProof/>
                <w:webHidden/>
              </w:rPr>
              <w:fldChar w:fldCharType="separate"/>
            </w:r>
            <w:r>
              <w:rPr>
                <w:noProof/>
                <w:webHidden/>
              </w:rPr>
              <w:t>5</w:t>
            </w:r>
            <w:r>
              <w:rPr>
                <w:noProof/>
                <w:webHidden/>
              </w:rPr>
              <w:fldChar w:fldCharType="end"/>
            </w:r>
          </w:hyperlink>
        </w:p>
        <w:p w14:paraId="1A0581B6" w14:textId="73B02CCB" w:rsidR="005120D5" w:rsidRDefault="005120D5">
          <w:pPr>
            <w:pStyle w:val="TOC1"/>
            <w:tabs>
              <w:tab w:val="right" w:leader="dot" w:pos="9016"/>
            </w:tabs>
            <w:rPr>
              <w:noProof/>
            </w:rPr>
          </w:pPr>
          <w:hyperlink w:anchor="_Toc242749685" w:history="1">
            <w:r w:rsidRPr="00732623">
              <w:rPr>
                <w:rStyle w:val="Hyperlink"/>
                <w:noProof/>
              </w:rPr>
              <w:t>Conclusion</w:t>
            </w:r>
            <w:r>
              <w:rPr>
                <w:noProof/>
                <w:webHidden/>
              </w:rPr>
              <w:tab/>
            </w:r>
            <w:r>
              <w:rPr>
                <w:noProof/>
                <w:webHidden/>
              </w:rPr>
              <w:fldChar w:fldCharType="begin"/>
            </w:r>
            <w:r>
              <w:rPr>
                <w:noProof/>
                <w:webHidden/>
              </w:rPr>
              <w:instrText xml:space="preserve"> PAGEREF _Toc242749685 \h </w:instrText>
            </w:r>
            <w:r>
              <w:rPr>
                <w:noProof/>
                <w:webHidden/>
              </w:rPr>
            </w:r>
            <w:r>
              <w:rPr>
                <w:noProof/>
                <w:webHidden/>
              </w:rPr>
              <w:fldChar w:fldCharType="separate"/>
            </w:r>
            <w:r>
              <w:rPr>
                <w:noProof/>
                <w:webHidden/>
              </w:rPr>
              <w:t>6</w:t>
            </w:r>
            <w:r>
              <w:rPr>
                <w:noProof/>
                <w:webHidden/>
              </w:rPr>
              <w:fldChar w:fldCharType="end"/>
            </w:r>
          </w:hyperlink>
        </w:p>
        <w:p w14:paraId="604DD0D2" w14:textId="24AAB268" w:rsidR="005120D5" w:rsidRDefault="005120D5">
          <w:pPr>
            <w:pStyle w:val="TOC1"/>
            <w:tabs>
              <w:tab w:val="right" w:leader="dot" w:pos="9016"/>
            </w:tabs>
            <w:rPr>
              <w:noProof/>
            </w:rPr>
          </w:pPr>
          <w:hyperlink w:anchor="_Toc242749686" w:history="1">
            <w:r w:rsidRPr="00732623">
              <w:rPr>
                <w:rStyle w:val="Hyperlink"/>
                <w:noProof/>
              </w:rPr>
              <w:t>References</w:t>
            </w:r>
            <w:r>
              <w:rPr>
                <w:noProof/>
                <w:webHidden/>
              </w:rPr>
              <w:tab/>
            </w:r>
            <w:r>
              <w:rPr>
                <w:noProof/>
                <w:webHidden/>
              </w:rPr>
              <w:fldChar w:fldCharType="begin"/>
            </w:r>
            <w:r>
              <w:rPr>
                <w:noProof/>
                <w:webHidden/>
              </w:rPr>
              <w:instrText xml:space="preserve"> PAGEREF _Toc242749686 \h </w:instrText>
            </w:r>
            <w:r>
              <w:rPr>
                <w:noProof/>
                <w:webHidden/>
              </w:rPr>
            </w:r>
            <w:r>
              <w:rPr>
                <w:noProof/>
                <w:webHidden/>
              </w:rPr>
              <w:fldChar w:fldCharType="separate"/>
            </w:r>
            <w:r>
              <w:rPr>
                <w:noProof/>
                <w:webHidden/>
              </w:rPr>
              <w:t>7</w:t>
            </w:r>
            <w:r>
              <w:rPr>
                <w:noProof/>
                <w:webHidden/>
              </w:rPr>
              <w:fldChar w:fldCharType="end"/>
            </w:r>
          </w:hyperlink>
        </w:p>
        <w:p w14:paraId="4105313F" w14:textId="438B0B29" w:rsidR="005120D5" w:rsidRDefault="005120D5">
          <w:r>
            <w:rPr>
              <w:b/>
              <w:bCs/>
              <w:noProof/>
            </w:rPr>
            <w:fldChar w:fldCharType="end"/>
          </w:r>
        </w:p>
      </w:sdtContent>
    </w:sdt>
    <w:p w14:paraId="4D21A1DE" w14:textId="77777777" w:rsidR="005120D5" w:rsidRDefault="005120D5" w:rsidP="005120D5">
      <w:pPr>
        <w:pStyle w:val="Heading1"/>
      </w:pPr>
    </w:p>
    <w:p w14:paraId="585BFC44" w14:textId="77777777" w:rsidR="005120D5" w:rsidRDefault="005120D5">
      <w:pPr>
        <w:rPr>
          <w:rFonts w:asciiTheme="majorHAnsi" w:eastAsiaTheme="majorEastAsia" w:hAnsiTheme="majorHAnsi" w:cstheme="majorBidi"/>
          <w:color w:val="0F4761" w:themeColor="accent1" w:themeShade="BF"/>
          <w:sz w:val="40"/>
          <w:szCs w:val="40"/>
        </w:rPr>
      </w:pPr>
      <w:r>
        <w:br w:type="page"/>
      </w:r>
    </w:p>
    <w:p w14:paraId="4C94C7F0" w14:textId="1E4BADEC" w:rsidR="0009306A" w:rsidRDefault="0009306A" w:rsidP="005120D5">
      <w:pPr>
        <w:pStyle w:val="Heading1"/>
      </w:pPr>
      <w:bookmarkStart w:id="0" w:name="_Toc242749681"/>
      <w:r>
        <w:lastRenderedPageBreak/>
        <w:t>Introduction</w:t>
      </w:r>
      <w:bookmarkEnd w:id="0"/>
    </w:p>
    <w:p w14:paraId="5D73ED09" w14:textId="2D794F93"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 xml:space="preserve">The NHS App, launched in December 2018 and used by over 30 million people by 2023, represents the UK’s central “digital front door” for health and social care (Health and Social Care Committee, 2023). Framed by </w:t>
      </w:r>
      <w:r w:rsidRPr="0009306A">
        <w:rPr>
          <w:rFonts w:ascii="Arial" w:hAnsi="Arial" w:cs="Arial"/>
          <w:i/>
          <w:iCs/>
          <w:sz w:val="22"/>
          <w:szCs w:val="22"/>
        </w:rPr>
        <w:t>A Plan for Digital Health and Social Care</w:t>
      </w:r>
      <w:r w:rsidRPr="0009306A">
        <w:rPr>
          <w:rFonts w:ascii="Arial" w:hAnsi="Arial" w:cs="Arial"/>
          <w:sz w:val="22"/>
          <w:szCs w:val="22"/>
        </w:rPr>
        <w:t xml:space="preserve">, the </w:t>
      </w:r>
      <w:r w:rsidRPr="0009306A">
        <w:rPr>
          <w:rFonts w:ascii="Arial" w:hAnsi="Arial" w:cs="Arial"/>
          <w:i/>
          <w:iCs/>
          <w:sz w:val="22"/>
          <w:szCs w:val="22"/>
        </w:rPr>
        <w:t>What Good Looks Like</w:t>
      </w:r>
      <w:r w:rsidRPr="0009306A">
        <w:rPr>
          <w:rFonts w:ascii="Arial" w:hAnsi="Arial" w:cs="Arial"/>
          <w:sz w:val="22"/>
          <w:szCs w:val="22"/>
        </w:rPr>
        <w:t xml:space="preserve"> (WGLL) framework, UK GDPR and the Data (Use and Access) Act 2025, it constitutes regulated national infrastructure rather than merely a consumer application (Department of Health and Social Care, 2022; Radar Healthcare, n.d.; NHS, </w:t>
      </w:r>
      <w:r w:rsidR="00745B60">
        <w:rPr>
          <w:rFonts w:ascii="Arial" w:hAnsi="Arial" w:cs="Arial"/>
          <w:sz w:val="22"/>
          <w:szCs w:val="22"/>
        </w:rPr>
        <w:t>2026</w:t>
      </w:r>
      <w:r w:rsidRPr="0009306A">
        <w:rPr>
          <w:rFonts w:ascii="Arial" w:hAnsi="Arial" w:cs="Arial"/>
          <w:sz w:val="22"/>
          <w:szCs w:val="22"/>
        </w:rPr>
        <w:t>). This distinction matters because the app is reshaping how care is accessed, delivered and documented across the NHS and adult social care.</w:t>
      </w:r>
    </w:p>
    <w:p w14:paraId="43594D29" w14:textId="4BE326D0"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 xml:space="preserve">Its significance for health and social care is considerable. The app has saved an estimated 2.6 million GP hours, reduced physical letters by 11 million and generated over £40 million in annual savings through push notifications (NHS England, 2025). Each digital repeat prescription saves approximately three minutes of GP time, with usage rising over 25% year-on-year (NHS Digital, </w:t>
      </w:r>
      <w:r w:rsidR="00745B60">
        <w:rPr>
          <w:rFonts w:ascii="Arial" w:hAnsi="Arial" w:cs="Arial"/>
          <w:sz w:val="22"/>
          <w:szCs w:val="22"/>
        </w:rPr>
        <w:t>2026</w:t>
      </w:r>
      <w:r w:rsidRPr="0009306A">
        <w:rPr>
          <w:rFonts w:ascii="Arial" w:hAnsi="Arial" w:cs="Arial"/>
          <w:sz w:val="22"/>
          <w:szCs w:val="22"/>
        </w:rPr>
        <w:t>). Shared social care records reduced discharge delays by 28% in pilots (NHS England, 2025). However, these gains coexist with serious challenges: workforce roles have shifted, with GP receptionists becoming “digital care navigators” managing asynchronous triage queues (Department of Health and Social Care, 2022); 55% of GP practices reported negative patient care impacts from unmanageable online requests (BMA, 202</w:t>
      </w:r>
      <w:r w:rsidR="001706FD">
        <w:rPr>
          <w:rFonts w:ascii="Arial" w:hAnsi="Arial" w:cs="Arial"/>
          <w:sz w:val="22"/>
          <w:szCs w:val="22"/>
        </w:rPr>
        <w:t>5</w:t>
      </w:r>
      <w:r w:rsidRPr="0009306A">
        <w:rPr>
          <w:rFonts w:ascii="Arial" w:hAnsi="Arial" w:cs="Arial"/>
          <w:sz w:val="22"/>
          <w:szCs w:val="22"/>
        </w:rPr>
        <w:t>); and digital exclusion remains stark, with registrations 25% lower in the most deprived practices (</w:t>
      </w:r>
      <w:r w:rsidR="00BB3AD4">
        <w:rPr>
          <w:rFonts w:ascii="Arial" w:hAnsi="Arial" w:cs="Arial"/>
          <w:sz w:val="22"/>
          <w:szCs w:val="22"/>
        </w:rPr>
        <w:t>KC et al., 2023</w:t>
      </w:r>
      <w:r w:rsidRPr="0009306A">
        <w:rPr>
          <w:rFonts w:ascii="Arial" w:hAnsi="Arial" w:cs="Arial"/>
          <w:sz w:val="22"/>
          <w:szCs w:val="22"/>
        </w:rPr>
        <w:t>).</w:t>
      </w:r>
    </w:p>
    <w:p w14:paraId="53F1F509" w14:textId="77777777"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This report examines the NHS App as a case study in digital health transformation. It first analyses the changing workforce roles and training implications, then evaluates the benefits and challenges of implementation, before assessing inequalities in access and the limitations of current evidence. It concludes by considering how the app’s potential can be sustained equitably, ensuring that digital transformation narrows rather than widens health inequalities.</w:t>
      </w:r>
    </w:p>
    <w:p w14:paraId="6C2CAD53" w14:textId="767ABA87" w:rsidR="003941D5" w:rsidRPr="0009306A" w:rsidRDefault="0009306A" w:rsidP="005120D5">
      <w:pPr>
        <w:pStyle w:val="Heading1"/>
      </w:pPr>
      <w:bookmarkStart w:id="1" w:name="_Toc242749682"/>
      <w:r w:rsidRPr="0009306A">
        <w:t>Workforce</w:t>
      </w:r>
      <w:bookmarkEnd w:id="1"/>
    </w:p>
    <w:p w14:paraId="337AEB35" w14:textId="2168400D" w:rsidR="003941D5" w:rsidRPr="004E1107" w:rsidRDefault="003941D5" w:rsidP="004E1107">
      <w:pPr>
        <w:spacing w:line="360" w:lineRule="auto"/>
        <w:rPr>
          <w:rFonts w:ascii="Arial" w:hAnsi="Arial" w:cs="Arial"/>
          <w:sz w:val="22"/>
          <w:szCs w:val="22"/>
        </w:rPr>
      </w:pPr>
      <w:r w:rsidRPr="004E1107">
        <w:rPr>
          <w:rFonts w:ascii="Arial" w:hAnsi="Arial" w:cs="Arial"/>
          <w:sz w:val="22"/>
          <w:szCs w:val="22"/>
        </w:rPr>
        <w:t xml:space="preserve">Workforce roles have changed. GP receptionists increasingly act as “digital care navigators”, managing asynchronous triage queues, guiding patients through registration and troubleshooting (Department of Health and Social Care, 2022). WGLL expects baseline data literacy and cyber security knowledge across staff (Radar Healthcare, n.d.). Adult social care staff are also expected to input daily observations into digital records integrated with the NHS ecosystem (Department of Health and Social Care, 2022). Wider evidence confirms </w:t>
      </w:r>
      <w:r w:rsidRPr="004E1107">
        <w:rPr>
          <w:rFonts w:ascii="Arial" w:hAnsi="Arial" w:cs="Arial"/>
          <w:sz w:val="22"/>
          <w:szCs w:val="22"/>
        </w:rPr>
        <w:lastRenderedPageBreak/>
        <w:t>digitalisation creates new tasks such as digital tutoring, remote communication and assessing client suitability for digital services (Kaihlanen et al., 2023). Training therefore needs to cover informatics, information management, communication, ethics and privacy (Nazeha et al., 2020; Azzopardi Meli et al., 2026). Digital navigator roles can support app selection, troubleshooting and patient engagement (Wisniewski et al., 2020).</w:t>
      </w:r>
    </w:p>
    <w:p w14:paraId="66E0C03C" w14:textId="2F2ED556" w:rsidR="003941D5" w:rsidRPr="004E1107" w:rsidRDefault="003941D5" w:rsidP="004E1107">
      <w:pPr>
        <w:spacing w:line="360" w:lineRule="auto"/>
        <w:rPr>
          <w:rFonts w:ascii="Arial" w:hAnsi="Arial" w:cs="Arial"/>
          <w:sz w:val="22"/>
          <w:szCs w:val="22"/>
        </w:rPr>
      </w:pPr>
      <w:r w:rsidRPr="004E1107">
        <w:rPr>
          <w:rFonts w:ascii="Arial" w:hAnsi="Arial" w:cs="Arial"/>
          <w:sz w:val="22"/>
          <w:szCs w:val="22"/>
        </w:rPr>
        <w:t xml:space="preserve">Benefits include efficiency and </w:t>
      </w:r>
      <w:r w:rsidR="00A641B7" w:rsidRPr="004E1107">
        <w:rPr>
          <w:rFonts w:ascii="Arial" w:hAnsi="Arial" w:cs="Arial"/>
          <w:sz w:val="22"/>
          <w:szCs w:val="22"/>
        </w:rPr>
        <w:t>reduced</w:t>
      </w:r>
      <w:r w:rsidRPr="004E1107">
        <w:rPr>
          <w:rFonts w:ascii="Arial" w:hAnsi="Arial" w:cs="Arial"/>
          <w:sz w:val="22"/>
          <w:szCs w:val="22"/>
        </w:rPr>
        <w:t xml:space="preserve"> administrative burden. Digital platforms have saved an estimated 2.6 million GP hours, reduced physical letters by 11 million and saved over £40 million annually through push notifications (NHS England, 2025). Each digital repeat prescription saves around three minutes of GP time, with usage rising over 25% year-on-year (NHS Digital, </w:t>
      </w:r>
      <w:r w:rsidR="00745B60">
        <w:rPr>
          <w:rFonts w:ascii="Arial" w:hAnsi="Arial" w:cs="Arial"/>
          <w:sz w:val="22"/>
          <w:szCs w:val="22"/>
        </w:rPr>
        <w:t>2026</w:t>
      </w:r>
      <w:r w:rsidRPr="004E1107">
        <w:rPr>
          <w:rFonts w:ascii="Arial" w:hAnsi="Arial" w:cs="Arial"/>
          <w:sz w:val="22"/>
          <w:szCs w:val="22"/>
        </w:rPr>
        <w:t>). Shared social care records reduced discharge delays by 28% in pilots (NHS England, 2025). Similar care-home app implementation shortened referral times and improved information quality (Russell et al., 2025).</w:t>
      </w:r>
      <w:r w:rsidR="0009306A">
        <w:rPr>
          <w:rFonts w:ascii="Arial" w:hAnsi="Arial" w:cs="Arial"/>
          <w:sz w:val="22"/>
          <w:szCs w:val="22"/>
        </w:rPr>
        <w:t xml:space="preserve"> </w:t>
      </w:r>
      <w:r w:rsidRPr="004E1107">
        <w:rPr>
          <w:rFonts w:ascii="Arial" w:hAnsi="Arial" w:cs="Arial"/>
          <w:sz w:val="22"/>
          <w:szCs w:val="22"/>
        </w:rPr>
        <w:t>Challenges remain severe. Easier digital access has lowered the threshold for seeking advice; a BMA survey found 55% of GP practices reported a negative impact on patient care from unmanageable online requests (BMA, 202</w:t>
      </w:r>
      <w:r w:rsidR="001706FD">
        <w:rPr>
          <w:rFonts w:ascii="Arial" w:hAnsi="Arial" w:cs="Arial"/>
          <w:sz w:val="22"/>
          <w:szCs w:val="22"/>
        </w:rPr>
        <w:t>5</w:t>
      </w:r>
      <w:r w:rsidRPr="004E1107">
        <w:rPr>
          <w:rFonts w:ascii="Arial" w:hAnsi="Arial" w:cs="Arial"/>
          <w:sz w:val="22"/>
          <w:szCs w:val="22"/>
        </w:rPr>
        <w:t xml:space="preserve">). Interoperability is a major constraint: primary, secondary and social care systems remain siloed behind the app, and API failures push patients back to telephone queues, shifting burden onto staff (PHG Foundation, </w:t>
      </w:r>
      <w:r w:rsidR="005A2B4A" w:rsidRPr="004E1107">
        <w:rPr>
          <w:rFonts w:ascii="Arial" w:hAnsi="Arial" w:cs="Arial"/>
          <w:sz w:val="22"/>
          <w:szCs w:val="22"/>
        </w:rPr>
        <w:t>2018</w:t>
      </w:r>
      <w:r w:rsidRPr="004E1107">
        <w:rPr>
          <w:rFonts w:ascii="Arial" w:hAnsi="Arial" w:cs="Arial"/>
          <w:sz w:val="22"/>
          <w:szCs w:val="22"/>
        </w:rPr>
        <w:t xml:space="preserve">.; NHS Digital, </w:t>
      </w:r>
      <w:r w:rsidR="00745B60">
        <w:rPr>
          <w:rFonts w:ascii="Arial" w:hAnsi="Arial" w:cs="Arial"/>
          <w:sz w:val="22"/>
          <w:szCs w:val="22"/>
        </w:rPr>
        <w:t>2026</w:t>
      </w:r>
      <w:r w:rsidRPr="004E1107">
        <w:rPr>
          <w:rFonts w:ascii="Arial" w:hAnsi="Arial" w:cs="Arial"/>
          <w:sz w:val="22"/>
          <w:szCs w:val="22"/>
        </w:rPr>
        <w:t xml:space="preserve">; Health Foundation, </w:t>
      </w:r>
      <w:r w:rsidR="00745B60">
        <w:rPr>
          <w:rFonts w:ascii="Arial" w:hAnsi="Arial" w:cs="Arial"/>
          <w:sz w:val="22"/>
          <w:szCs w:val="22"/>
        </w:rPr>
        <w:t>2025</w:t>
      </w:r>
      <w:r w:rsidRPr="004E1107">
        <w:rPr>
          <w:rFonts w:ascii="Arial" w:hAnsi="Arial" w:cs="Arial"/>
          <w:sz w:val="22"/>
          <w:szCs w:val="22"/>
        </w:rPr>
        <w:t>). Digital exclusion is stark: registrations were 25% lower in the most deprived practices, 36% higher in practices with the highest proportion of White patients, and 23% higher in young-adult practices; women used digital consultations nearly twice as often as men (</w:t>
      </w:r>
      <w:r w:rsidR="00BB3AD4">
        <w:rPr>
          <w:rFonts w:ascii="Arial" w:hAnsi="Arial" w:cs="Arial"/>
          <w:sz w:val="22"/>
          <w:szCs w:val="22"/>
        </w:rPr>
        <w:t>KC et al., 2023</w:t>
      </w:r>
      <w:r w:rsidRPr="004E1107">
        <w:rPr>
          <w:rFonts w:ascii="Arial" w:hAnsi="Arial" w:cs="Arial"/>
          <w:sz w:val="22"/>
          <w:szCs w:val="22"/>
        </w:rPr>
        <w:t>). Without digital inclusion strategies and analogue alternatives, the app risks privileging younger, affluent and predominantly White users (</w:t>
      </w:r>
      <w:r w:rsidR="00BB3AD4">
        <w:rPr>
          <w:rFonts w:ascii="Arial" w:hAnsi="Arial" w:cs="Arial"/>
          <w:sz w:val="22"/>
          <w:szCs w:val="22"/>
        </w:rPr>
        <w:t>KC et al., 2023</w:t>
      </w:r>
      <w:r w:rsidRPr="004E1107">
        <w:rPr>
          <w:rFonts w:ascii="Arial" w:hAnsi="Arial" w:cs="Arial"/>
          <w:sz w:val="22"/>
          <w:szCs w:val="22"/>
        </w:rPr>
        <w:t>; Department of Health and Social Care, 2022). Managers may also under-recognise workload increases, duplicated documentation and insufficient learning time (Kaihlanen et al., 2023).</w:t>
      </w:r>
    </w:p>
    <w:p w14:paraId="4B6E7C36" w14:textId="69C13200" w:rsidR="00A641B7" w:rsidRPr="004E1107" w:rsidRDefault="0009306A" w:rsidP="005120D5">
      <w:pPr>
        <w:pStyle w:val="Heading1"/>
      </w:pPr>
      <w:bookmarkStart w:id="2" w:name="_Toc242749683"/>
      <w:r w:rsidRPr="0009306A">
        <w:t>Service Delivery</w:t>
      </w:r>
      <w:bookmarkEnd w:id="2"/>
    </w:p>
    <w:p w14:paraId="48A52720" w14:textId="2C00F5ED" w:rsidR="00A641B7" w:rsidRPr="004E1107" w:rsidRDefault="00A641B7" w:rsidP="004E1107">
      <w:pPr>
        <w:spacing w:line="360" w:lineRule="auto"/>
        <w:rPr>
          <w:rFonts w:ascii="Arial" w:hAnsi="Arial" w:cs="Arial"/>
          <w:sz w:val="22"/>
          <w:szCs w:val="22"/>
        </w:rPr>
      </w:pPr>
      <w:r w:rsidRPr="004E1107">
        <w:rPr>
          <w:rFonts w:ascii="Arial" w:hAnsi="Arial" w:cs="Arial"/>
          <w:sz w:val="22"/>
          <w:szCs w:val="22"/>
        </w:rPr>
        <w:t xml:space="preserve">GP receptionists have become “digital care navigators”, managing asynchronous triage queues and troubleshooting app registration (Department of Health and Social Care, 2022). Integration depends on the GP Connect API, but fragmented primary, secondary and social care systems continue to hinder true interoperability (Digital Care Hub, n.d.; NHS Digital, </w:t>
      </w:r>
      <w:r w:rsidR="00745B60">
        <w:rPr>
          <w:rFonts w:ascii="Arial" w:hAnsi="Arial" w:cs="Arial"/>
          <w:sz w:val="22"/>
          <w:szCs w:val="22"/>
        </w:rPr>
        <w:t>2026</w:t>
      </w:r>
      <w:r w:rsidRPr="004E1107">
        <w:rPr>
          <w:rFonts w:ascii="Arial" w:hAnsi="Arial" w:cs="Arial"/>
          <w:sz w:val="22"/>
          <w:szCs w:val="22"/>
        </w:rPr>
        <w:t xml:space="preserve">). </w:t>
      </w:r>
    </w:p>
    <w:p w14:paraId="02DAD111" w14:textId="3BE74D1B" w:rsidR="00A641B7" w:rsidRPr="004E1107" w:rsidRDefault="00A641B7" w:rsidP="004E1107">
      <w:pPr>
        <w:spacing w:line="360" w:lineRule="auto"/>
        <w:rPr>
          <w:rFonts w:ascii="Arial" w:hAnsi="Arial" w:cs="Arial"/>
          <w:sz w:val="22"/>
          <w:szCs w:val="22"/>
        </w:rPr>
      </w:pPr>
      <w:r w:rsidRPr="004E1107">
        <w:rPr>
          <w:rFonts w:ascii="Arial" w:hAnsi="Arial" w:cs="Arial"/>
          <w:sz w:val="22"/>
          <w:szCs w:val="22"/>
        </w:rPr>
        <w:t xml:space="preserve">Digital platforms have saved an estimated 2.6 million GP hours, 11 million letters and over £40 million annually (NHS England, 2025). Digitally mature trusts operate with 13% improved efficiency and 13% lower cost per admitted patient (NHS Digital, </w:t>
      </w:r>
      <w:r w:rsidR="00745B60">
        <w:rPr>
          <w:rFonts w:ascii="Arial" w:hAnsi="Arial" w:cs="Arial"/>
          <w:sz w:val="22"/>
          <w:szCs w:val="22"/>
        </w:rPr>
        <w:t>2026</w:t>
      </w:r>
      <w:r w:rsidRPr="004E1107">
        <w:rPr>
          <w:rFonts w:ascii="Arial" w:hAnsi="Arial" w:cs="Arial"/>
          <w:sz w:val="22"/>
          <w:szCs w:val="22"/>
        </w:rPr>
        <w:t xml:space="preserve">). Each </w:t>
      </w:r>
      <w:r w:rsidRPr="004E1107">
        <w:rPr>
          <w:rFonts w:ascii="Arial" w:hAnsi="Arial" w:cs="Arial"/>
          <w:sz w:val="22"/>
          <w:szCs w:val="22"/>
        </w:rPr>
        <w:lastRenderedPageBreak/>
        <w:t xml:space="preserve">repeat prescription requested digitally saves three minutes of GP time, with usage rising over 25% year-on-year (NHS Digital, </w:t>
      </w:r>
      <w:r w:rsidR="00745B60">
        <w:rPr>
          <w:rFonts w:ascii="Arial" w:hAnsi="Arial" w:cs="Arial"/>
          <w:sz w:val="22"/>
          <w:szCs w:val="22"/>
        </w:rPr>
        <w:t>2026</w:t>
      </w:r>
      <w:r w:rsidRPr="004E1107">
        <w:rPr>
          <w:rFonts w:ascii="Arial" w:hAnsi="Arial" w:cs="Arial"/>
          <w:sz w:val="22"/>
          <w:szCs w:val="22"/>
        </w:rPr>
        <w:t>). Record viewing increased by 548% post-lockdown (</w:t>
      </w:r>
      <w:r w:rsidR="001706FD">
        <w:rPr>
          <w:rFonts w:ascii="Arial" w:hAnsi="Arial" w:cs="Arial"/>
          <w:sz w:val="22"/>
          <w:szCs w:val="22"/>
        </w:rPr>
        <w:t>KC ET AL., 2023</w:t>
      </w:r>
      <w:r w:rsidRPr="004E1107">
        <w:rPr>
          <w:rFonts w:ascii="Arial" w:hAnsi="Arial" w:cs="Arial"/>
          <w:sz w:val="22"/>
          <w:szCs w:val="22"/>
        </w:rPr>
        <w:t>). Shared data platforms reduced discharge delays by 28% (NHS England, 2025). Kraus et al. (2021) note that such operational gains require participatory design and organisational change.</w:t>
      </w:r>
    </w:p>
    <w:p w14:paraId="1F9335DF" w14:textId="011BF169" w:rsidR="00A641B7" w:rsidRDefault="00A641B7" w:rsidP="004E1107">
      <w:pPr>
        <w:spacing w:line="360" w:lineRule="auto"/>
        <w:rPr>
          <w:rFonts w:ascii="Arial" w:hAnsi="Arial" w:cs="Arial"/>
          <w:sz w:val="22"/>
          <w:szCs w:val="22"/>
        </w:rPr>
      </w:pPr>
      <w:r w:rsidRPr="004E1107">
        <w:rPr>
          <w:rFonts w:ascii="Arial" w:hAnsi="Arial" w:cs="Arial"/>
          <w:sz w:val="22"/>
          <w:szCs w:val="22"/>
        </w:rPr>
        <w:t xml:space="preserve">High costs are evident: NPfIT £12.7 billion, GDE £302 million and the AI Lab £143.5 million (Cresswell and Williams, 2026). Technical problems persist: only 17% of trusts disclosed interoperability standards, mostly HL7 rather than FHIR; C# was used by 58.7% of trusts versus Python at 5.1%; only 15.5% always used open source (Bennion et al., 2025). Workload surges are significant: 55% of GP practices reported negative patient care impacts from online requests (BMA, </w:t>
      </w:r>
      <w:r w:rsidR="00745B60">
        <w:rPr>
          <w:rFonts w:ascii="Arial" w:hAnsi="Arial" w:cs="Arial"/>
          <w:sz w:val="22"/>
          <w:szCs w:val="22"/>
        </w:rPr>
        <w:t>2025</w:t>
      </w:r>
      <w:r w:rsidRPr="004E1107">
        <w:rPr>
          <w:rFonts w:ascii="Arial" w:hAnsi="Arial" w:cs="Arial"/>
          <w:sz w:val="22"/>
          <w:szCs w:val="22"/>
        </w:rPr>
        <w:t>). The digital divide is stark: registrations were 25% lower in the most deprived practices, 36% higher in practices with the highest proportion of White patients, and 23% higher in young-adult practices (</w:t>
      </w:r>
      <w:r w:rsidR="001706FD">
        <w:rPr>
          <w:rFonts w:ascii="Arial" w:hAnsi="Arial" w:cs="Arial"/>
          <w:sz w:val="22"/>
          <w:szCs w:val="22"/>
        </w:rPr>
        <w:t>KC ET AL., 2023</w:t>
      </w:r>
      <w:r w:rsidRPr="004E1107">
        <w:rPr>
          <w:rFonts w:ascii="Arial" w:hAnsi="Arial" w:cs="Arial"/>
          <w:sz w:val="22"/>
          <w:szCs w:val="22"/>
        </w:rPr>
        <w:t>). Governance instability, inflated expectations and shifting objectives further undermined large-scale programmes (Cresswell and Williams, 2026).</w:t>
      </w:r>
    </w:p>
    <w:p w14:paraId="61DB01DD" w14:textId="5838E453" w:rsidR="0009306A" w:rsidRPr="004E1107" w:rsidRDefault="0009306A" w:rsidP="005120D5">
      <w:pPr>
        <w:pStyle w:val="Heading1"/>
      </w:pPr>
      <w:bookmarkStart w:id="3" w:name="_Toc242749684"/>
      <w:r w:rsidRPr="0009306A">
        <w:t>Community</w:t>
      </w:r>
      <w:bookmarkEnd w:id="3"/>
    </w:p>
    <w:p w14:paraId="3CBF9F7D" w14:textId="77777777" w:rsidR="00AA7B4E" w:rsidRPr="004E1107" w:rsidRDefault="00AA7B4E" w:rsidP="004E1107">
      <w:pPr>
        <w:spacing w:line="360" w:lineRule="auto"/>
        <w:rPr>
          <w:rFonts w:ascii="Arial" w:hAnsi="Arial" w:cs="Arial"/>
          <w:sz w:val="22"/>
          <w:szCs w:val="22"/>
        </w:rPr>
      </w:pPr>
      <w:r w:rsidRPr="004E1107">
        <w:rPr>
          <w:rFonts w:ascii="Arial" w:hAnsi="Arial" w:cs="Arial"/>
          <w:sz w:val="22"/>
          <w:szCs w:val="22"/>
        </w:rPr>
        <w:t>For rural and underserved communities, the evidence is concerning. Increased population deprivation was significantly associated with reduced NHS App activation, corresponding to an estimated 4.27 million patients in the most deprived quintiles (Zhang et al., 2023). Registrations were 25% lower in the most deprived practices (KC et al., 2023; Greaves et al., 2026). Urbanity was associated with greater activation (Zhang et al., 2023), suggesting possible rural disadvantage. Registration rates were 36% higher in practices with the highest proportion of White patients (KC et al., 2023; Greaves et al., 2026), and the app is only available in English, creating language barriers (Reidy et al., 2025). Older adults and those with specific cultural needs may also struggle to use it (Reidy et al., 2025).</w:t>
      </w:r>
    </w:p>
    <w:p w14:paraId="1E564824" w14:textId="77777777" w:rsidR="00AA7B4E" w:rsidRPr="004E1107" w:rsidRDefault="00AA7B4E" w:rsidP="004E1107">
      <w:pPr>
        <w:spacing w:line="360" w:lineRule="auto"/>
        <w:rPr>
          <w:rFonts w:ascii="Arial" w:hAnsi="Arial" w:cs="Arial"/>
          <w:sz w:val="22"/>
          <w:szCs w:val="22"/>
        </w:rPr>
      </w:pPr>
      <w:r w:rsidRPr="004E1107">
        <w:rPr>
          <w:rFonts w:ascii="Arial" w:hAnsi="Arial" w:cs="Arial"/>
          <w:sz w:val="22"/>
          <w:szCs w:val="22"/>
        </w:rPr>
        <w:t>The effects on families, carers and wider public health are mixed. Proxy access allowed carers to view records and order prescriptions, supporting caring responsibilities (Reidy et al., 2025). However, acquiring proxy access was long and complex, sometimes taking over six months or failing, with identification documents a barrier (Reidy et al., 2025). The COVID Pass drove a fourfold increase in downloads (KC et al., 2023; Greaves et al., 2026) and increased organ donation registrations (Reidy et al., 2025), but data privacy concerns were raised about presenting the app outside healthcare (Reidy et al., 2025). Wider public health risks include a digital inverse care law, where digital transformation may worsen access inequalities (Zhang et al., 2023; Reidy et al., 2025).</w:t>
      </w:r>
    </w:p>
    <w:p w14:paraId="6F1A5CB9" w14:textId="77777777" w:rsidR="00AA7B4E" w:rsidRPr="004E1107" w:rsidRDefault="00AA7B4E" w:rsidP="004E1107">
      <w:pPr>
        <w:spacing w:line="360" w:lineRule="auto"/>
        <w:rPr>
          <w:rFonts w:ascii="Arial" w:hAnsi="Arial" w:cs="Arial"/>
          <w:sz w:val="22"/>
          <w:szCs w:val="22"/>
        </w:rPr>
      </w:pPr>
      <w:r w:rsidRPr="004E1107">
        <w:rPr>
          <w:rFonts w:ascii="Arial" w:hAnsi="Arial" w:cs="Arial"/>
          <w:sz w:val="22"/>
          <w:szCs w:val="22"/>
        </w:rPr>
        <w:lastRenderedPageBreak/>
        <w:t>Evidence of co-production is limited. Development teams conducted substantive user research, but this focused on patients rather than the complex work of healthcare staff, and the app’s purpose was not fully co-designed with practices (Reidy et al., 2025). Staff lacked training and support, and implementation was perceived as top-down (Reidy et al., 2025). The evaluation itself involved patient and public involvement through six workshops and weekly meetings (Greaves et al., 2026), but this is research involvement rather than implementation co-production.</w:t>
      </w:r>
    </w:p>
    <w:p w14:paraId="616428A1" w14:textId="77777777" w:rsidR="00AA7B4E" w:rsidRDefault="00AA7B4E" w:rsidP="004E1107">
      <w:pPr>
        <w:spacing w:line="360" w:lineRule="auto"/>
        <w:rPr>
          <w:rFonts w:ascii="Arial" w:hAnsi="Arial" w:cs="Arial"/>
          <w:sz w:val="22"/>
          <w:szCs w:val="22"/>
        </w:rPr>
      </w:pPr>
      <w:r w:rsidRPr="004E1107">
        <w:rPr>
          <w:rFonts w:ascii="Arial" w:hAnsi="Arial" w:cs="Arial"/>
          <w:sz w:val="22"/>
          <w:szCs w:val="22"/>
        </w:rPr>
        <w:t>Inequalities and limitations are substantial. Registration was lower in practices with more male patients and those with long-term care needs, but higher in larger and younger practices (KC et al., 2023; Greaves et al., 2026). Different functions were used unevenly, and appointment booking was often disabled (Reidy et al., 2025). The app remained a gateway to fragmented GP systems, with coded, system-facing information (Reidy et al., 2025). Quantitative analyses were ecological, lacked person-level linkage, and the technology changed during the study (KC et al., 2023; Greaves et al., 2026). Ongoing work is needed to sustain its potential and ensure equitable access (Reidy et al., 2025).</w:t>
      </w:r>
    </w:p>
    <w:p w14:paraId="380021D7" w14:textId="0A69CD1E" w:rsidR="0009306A" w:rsidRDefault="0009306A" w:rsidP="005120D5">
      <w:pPr>
        <w:pStyle w:val="Heading1"/>
      </w:pPr>
      <w:bookmarkStart w:id="4" w:name="_Toc242749685"/>
      <w:r>
        <w:t>Conclusion</w:t>
      </w:r>
      <w:bookmarkEnd w:id="4"/>
      <w:r>
        <w:t xml:space="preserve"> </w:t>
      </w:r>
    </w:p>
    <w:p w14:paraId="6DA1F90D" w14:textId="1058DB03"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The NHS App’s trajectory from a 2018 pilot to a 30-million-user national infrastructure illustrates both the transformative potential and profound risks of digital health innovation. Key findings reveal a paradox: the app has delivered measurable efficiencies, including 2.6 million GP hours saved and 28% reductions in discharge delays, yet these gains coexist with entrenched inequalities and systemic failures. Registration rates remain 25% lower in deprived practices and 36% higher in predominantly White patient populations, evidencing a digital inverse care law. Interoperability constraints persist, with fragmented primary, secondary and social care systems pushing patients back to telephone queues. Workforce implications are substantial</w:t>
      </w:r>
      <w:r>
        <w:rPr>
          <w:rFonts w:ascii="Arial" w:hAnsi="Arial" w:cs="Arial"/>
          <w:sz w:val="22"/>
          <w:szCs w:val="22"/>
        </w:rPr>
        <w:t xml:space="preserve"> </w:t>
      </w:r>
      <w:r w:rsidRPr="0009306A">
        <w:rPr>
          <w:rFonts w:ascii="Arial" w:hAnsi="Arial" w:cs="Arial"/>
          <w:sz w:val="22"/>
          <w:szCs w:val="22"/>
        </w:rPr>
        <w:t>GP receptionists have evolved into digital care navigators, while clinicians must navigate defensive documentation practices yet training and co-production remain inadequate. Staff perceive implementation as top-down, with limited involvement in design beyond patient-facing research.</w:t>
      </w:r>
    </w:p>
    <w:p w14:paraId="79DC545E" w14:textId="77777777"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t>Examining an innovation from the last decade is critical because the NHS App exemplifies how rapid digitalisation reshapes care delivery, workforce roles and equity in real time. Unlike historical technologies, contemporary digital platforms operate within evolving regulatory frameworks such as UK GDPR and the Data (Use and Access) Act 2025, making analysis of their governance, scalability and inclusivity urgent rather than retrospective. Lessons learned can inform emergent technologies before inequalities become entrenched.</w:t>
      </w:r>
    </w:p>
    <w:p w14:paraId="149D82AD" w14:textId="77777777" w:rsidR="0009306A" w:rsidRPr="0009306A" w:rsidRDefault="0009306A" w:rsidP="0009306A">
      <w:pPr>
        <w:spacing w:line="360" w:lineRule="auto"/>
        <w:rPr>
          <w:rFonts w:ascii="Arial" w:hAnsi="Arial" w:cs="Arial"/>
          <w:sz w:val="22"/>
          <w:szCs w:val="22"/>
        </w:rPr>
      </w:pPr>
      <w:r w:rsidRPr="0009306A">
        <w:rPr>
          <w:rFonts w:ascii="Arial" w:hAnsi="Arial" w:cs="Arial"/>
          <w:sz w:val="22"/>
          <w:szCs w:val="22"/>
        </w:rPr>
        <w:lastRenderedPageBreak/>
        <w:t>Recommendations are threefold. First, NHS England should mandate digital inclusion strategies, including multilingual interfaces, analogue alternatives and targeted outreach in deprived and rural areas. Second, implementation must shift from top-down deployment to genuine co-production with frontline staff, resourced through protected learning time and informatics training. Third, interoperability investment should prioritise FHIR standards and open-source solutions to dismantle siloed systems. Without these measures, the app risks privileging younger, affluent and predominantly White users, perpetuating the very inequalities it was designed to address.</w:t>
      </w:r>
    </w:p>
    <w:p w14:paraId="4448B42F" w14:textId="77777777" w:rsidR="0009306A" w:rsidRPr="004E1107" w:rsidRDefault="0009306A" w:rsidP="004E1107">
      <w:pPr>
        <w:spacing w:line="360" w:lineRule="auto"/>
        <w:rPr>
          <w:rFonts w:ascii="Arial" w:hAnsi="Arial" w:cs="Arial"/>
          <w:sz w:val="22"/>
          <w:szCs w:val="22"/>
        </w:rPr>
      </w:pPr>
    </w:p>
    <w:p w14:paraId="05CA506C" w14:textId="0232C97F" w:rsidR="004E1107" w:rsidRPr="004E1107" w:rsidRDefault="004E1107" w:rsidP="004E1107">
      <w:pPr>
        <w:spacing w:line="360" w:lineRule="auto"/>
        <w:rPr>
          <w:rFonts w:ascii="Arial" w:hAnsi="Arial" w:cs="Arial"/>
          <w:sz w:val="22"/>
          <w:szCs w:val="22"/>
        </w:rPr>
      </w:pPr>
      <w:bookmarkStart w:id="5" w:name="_Toc242749686"/>
      <w:r w:rsidRPr="005120D5">
        <w:rPr>
          <w:rStyle w:val="Heading1Char"/>
        </w:rPr>
        <w:t>References</w:t>
      </w:r>
      <w:bookmarkEnd w:id="5"/>
      <w:r w:rsidRPr="004E1107">
        <w:rPr>
          <w:rFonts w:ascii="Arial" w:hAnsi="Arial" w:cs="Arial"/>
          <w:sz w:val="22"/>
          <w:szCs w:val="22"/>
        </w:rPr>
        <w:br/>
        <w:t xml:space="preserve">Azzopardi Meli, B., Bowman, C., Camilleri Sacco, M., Fenech, A., Agius Muscat, H., Hamilton, C., Scotter, C.D.P., Montebello, M., Chen, T. and Cordina, M.A. (2026) ‘Digital competences for the health workforce: a systematic review’, </w:t>
      </w:r>
      <w:r w:rsidRPr="004E1107">
        <w:rPr>
          <w:rFonts w:ascii="Arial" w:hAnsi="Arial" w:cs="Arial"/>
          <w:i/>
          <w:iCs/>
          <w:sz w:val="22"/>
          <w:szCs w:val="22"/>
        </w:rPr>
        <w:t>International Journal of Medical Informatics</w:t>
      </w:r>
      <w:r w:rsidRPr="004E1107">
        <w:rPr>
          <w:rFonts w:ascii="Arial" w:hAnsi="Arial" w:cs="Arial"/>
          <w:sz w:val="22"/>
          <w:szCs w:val="22"/>
        </w:rPr>
        <w:t>, 106702. doi: 10.1016/j.ijmedinf.2026.106702.</w:t>
      </w:r>
    </w:p>
    <w:p w14:paraId="3D7BE6F2"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Bennion, M.R., Spencer, R., Moore, R.K. and Kenyon, R. (2025) ‘Digital capability, open-source use, and interoperability standards within the National Health Service in England: survey of health care trusts’, </w:t>
      </w:r>
      <w:r w:rsidRPr="004E1107">
        <w:rPr>
          <w:rFonts w:ascii="Arial" w:hAnsi="Arial" w:cs="Arial"/>
          <w:i/>
          <w:iCs/>
          <w:sz w:val="22"/>
          <w:szCs w:val="22"/>
        </w:rPr>
        <w:t>JMIR Human Factors</w:t>
      </w:r>
      <w:r w:rsidRPr="004E1107">
        <w:rPr>
          <w:rFonts w:ascii="Arial" w:hAnsi="Arial" w:cs="Arial"/>
          <w:sz w:val="22"/>
          <w:szCs w:val="22"/>
        </w:rPr>
        <w:t>, 12, e66398. doi: 10.2196/66398.</w:t>
      </w:r>
    </w:p>
    <w:p w14:paraId="5557B618" w14:textId="592FBAE4"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BMA (202</w:t>
      </w:r>
      <w:r w:rsidR="00745B60">
        <w:rPr>
          <w:rFonts w:ascii="Arial" w:hAnsi="Arial" w:cs="Arial"/>
          <w:sz w:val="22"/>
          <w:szCs w:val="22"/>
        </w:rPr>
        <w:t>5</w:t>
      </w:r>
      <w:r w:rsidRPr="004E1107">
        <w:rPr>
          <w:rFonts w:ascii="Arial" w:hAnsi="Arial" w:cs="Arial"/>
          <w:sz w:val="22"/>
          <w:szCs w:val="22"/>
        </w:rPr>
        <w:t xml:space="preserve">) </w:t>
      </w:r>
      <w:r w:rsidRPr="004E1107">
        <w:rPr>
          <w:rFonts w:ascii="Arial" w:hAnsi="Arial" w:cs="Arial"/>
          <w:i/>
          <w:iCs/>
          <w:sz w:val="22"/>
          <w:szCs w:val="22"/>
        </w:rPr>
        <w:t>Survey of GP practices in England reveals over half of practices reporting adverse impact on patient care from changes to online access</w:t>
      </w:r>
      <w:r w:rsidRPr="004E1107">
        <w:rPr>
          <w:rFonts w:ascii="Arial" w:hAnsi="Arial" w:cs="Arial"/>
          <w:sz w:val="22"/>
          <w:szCs w:val="22"/>
        </w:rPr>
        <w:t xml:space="preserve">. Available at: </w:t>
      </w:r>
      <w:hyperlink r:id="rId7" w:history="1">
        <w:r w:rsidRPr="004E1107">
          <w:rPr>
            <w:rStyle w:val="Hyperlink"/>
            <w:rFonts w:ascii="Arial" w:hAnsi="Arial" w:cs="Arial"/>
            <w:sz w:val="22"/>
            <w:szCs w:val="22"/>
          </w:rPr>
          <w:t>https://www</w:t>
        </w:r>
        <w:r w:rsidRPr="004E1107">
          <w:rPr>
            <w:rStyle w:val="Hyperlink"/>
            <w:rFonts w:ascii="Arial" w:hAnsi="Arial" w:cs="Arial"/>
            <w:sz w:val="22"/>
            <w:szCs w:val="22"/>
          </w:rPr>
          <w:t>.</w:t>
        </w:r>
        <w:r w:rsidRPr="004E1107">
          <w:rPr>
            <w:rStyle w:val="Hyperlink"/>
            <w:rFonts w:ascii="Arial" w:hAnsi="Arial" w:cs="Arial"/>
            <w:sz w:val="22"/>
            <w:szCs w:val="22"/>
          </w:rPr>
          <w:t>bma.o</w:t>
        </w:r>
        <w:r w:rsidRPr="004E1107">
          <w:rPr>
            <w:rStyle w:val="Hyperlink"/>
            <w:rFonts w:ascii="Arial" w:hAnsi="Arial" w:cs="Arial"/>
            <w:sz w:val="22"/>
            <w:szCs w:val="22"/>
          </w:rPr>
          <w:t>r</w:t>
        </w:r>
        <w:r w:rsidRPr="004E1107">
          <w:rPr>
            <w:rStyle w:val="Hyperlink"/>
            <w:rFonts w:ascii="Arial" w:hAnsi="Arial" w:cs="Arial"/>
            <w:sz w:val="22"/>
            <w:szCs w:val="22"/>
          </w:rPr>
          <w:t>g.uk/bma-media-centre/survey-</w:t>
        </w:r>
        <w:r w:rsidRPr="004E1107">
          <w:rPr>
            <w:rStyle w:val="Hyperlink"/>
            <w:rFonts w:ascii="Arial" w:hAnsi="Arial" w:cs="Arial"/>
            <w:sz w:val="22"/>
            <w:szCs w:val="22"/>
          </w:rPr>
          <w:t>o</w:t>
        </w:r>
        <w:r w:rsidRPr="004E1107">
          <w:rPr>
            <w:rStyle w:val="Hyperlink"/>
            <w:rFonts w:ascii="Arial" w:hAnsi="Arial" w:cs="Arial"/>
            <w:sz w:val="22"/>
            <w:szCs w:val="22"/>
          </w:rPr>
          <w:t>f-gp-practices-in-england-reveals-over-half-of-practices-reporting-adverse-impact-on-patient-care-from-changes-to-online-access</w:t>
        </w:r>
      </w:hyperlink>
      <w:r w:rsidRPr="004E1107">
        <w:rPr>
          <w:rFonts w:ascii="Arial" w:hAnsi="Arial" w:cs="Arial"/>
          <w:sz w:val="22"/>
          <w:szCs w:val="22"/>
        </w:rPr>
        <w:t xml:space="preserve"> (Accessed: 12 October 2026).</w:t>
      </w:r>
    </w:p>
    <w:p w14:paraId="20F18AF1"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Cresswell, K. and Williams, R. (2026) ‘Large-scale system-level digitalisation initiatives in the National Health Service in England: insights from three national evaluations’, </w:t>
      </w:r>
      <w:r w:rsidRPr="004E1107">
        <w:rPr>
          <w:rFonts w:ascii="Arial" w:hAnsi="Arial" w:cs="Arial"/>
          <w:i/>
          <w:iCs/>
          <w:sz w:val="22"/>
          <w:szCs w:val="22"/>
        </w:rPr>
        <w:t>npj Digital Medicine</w:t>
      </w:r>
      <w:r w:rsidRPr="004E1107">
        <w:rPr>
          <w:rFonts w:ascii="Arial" w:hAnsi="Arial" w:cs="Arial"/>
          <w:sz w:val="22"/>
          <w:szCs w:val="22"/>
        </w:rPr>
        <w:t>. doi: 10.1038/s41746-026-02495-8.</w:t>
      </w:r>
    </w:p>
    <w:p w14:paraId="6D6BF951" w14:textId="324E7F56"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Department of Health and Social Care (2022) </w:t>
      </w:r>
      <w:r w:rsidRPr="004E1107">
        <w:rPr>
          <w:rFonts w:ascii="Arial" w:hAnsi="Arial" w:cs="Arial"/>
          <w:i/>
          <w:iCs/>
          <w:sz w:val="22"/>
          <w:szCs w:val="22"/>
        </w:rPr>
        <w:t>A plan for digital health and social care</w:t>
      </w:r>
      <w:r w:rsidRPr="004E1107">
        <w:rPr>
          <w:rFonts w:ascii="Arial" w:hAnsi="Arial" w:cs="Arial"/>
          <w:sz w:val="22"/>
          <w:szCs w:val="22"/>
        </w:rPr>
        <w:t xml:space="preserve">. GOV.UK. Available at: </w:t>
      </w:r>
      <w:hyperlink r:id="rId8" w:history="1">
        <w:r w:rsidRPr="004E1107">
          <w:rPr>
            <w:rStyle w:val="Hyperlink"/>
            <w:rFonts w:ascii="Arial" w:hAnsi="Arial" w:cs="Arial"/>
            <w:sz w:val="22"/>
            <w:szCs w:val="22"/>
          </w:rPr>
          <w:t>https://www.gov.</w:t>
        </w:r>
        <w:r w:rsidRPr="004E1107">
          <w:rPr>
            <w:rStyle w:val="Hyperlink"/>
            <w:rFonts w:ascii="Arial" w:hAnsi="Arial" w:cs="Arial"/>
            <w:sz w:val="22"/>
            <w:szCs w:val="22"/>
          </w:rPr>
          <w:t>u</w:t>
        </w:r>
        <w:r w:rsidRPr="004E1107">
          <w:rPr>
            <w:rStyle w:val="Hyperlink"/>
            <w:rFonts w:ascii="Arial" w:hAnsi="Arial" w:cs="Arial"/>
            <w:sz w:val="22"/>
            <w:szCs w:val="22"/>
          </w:rPr>
          <w:t>k/government/publications/a-plan-for-digital-health-and-social-care/a-plan-for-digital-health-and-social-care</w:t>
        </w:r>
      </w:hyperlink>
      <w:r w:rsidRPr="004E1107">
        <w:rPr>
          <w:rFonts w:ascii="Arial" w:hAnsi="Arial" w:cs="Arial"/>
          <w:sz w:val="22"/>
          <w:szCs w:val="22"/>
        </w:rPr>
        <w:t xml:space="preserve"> (Accessed: </w:t>
      </w:r>
      <w:r w:rsidR="00EA0CFE">
        <w:rPr>
          <w:rFonts w:ascii="Arial" w:hAnsi="Arial" w:cs="Arial"/>
          <w:sz w:val="22"/>
          <w:szCs w:val="22"/>
        </w:rPr>
        <w:t>3</w:t>
      </w:r>
      <w:r w:rsidRPr="004E1107">
        <w:rPr>
          <w:rFonts w:ascii="Arial" w:hAnsi="Arial" w:cs="Arial"/>
          <w:sz w:val="22"/>
          <w:szCs w:val="22"/>
        </w:rPr>
        <w:t xml:space="preserve"> October 2026).</w:t>
      </w:r>
    </w:p>
    <w:p w14:paraId="62489A5A"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Digital Care Hub (n.d.) </w:t>
      </w:r>
      <w:r w:rsidRPr="004E1107">
        <w:rPr>
          <w:rFonts w:ascii="Arial" w:hAnsi="Arial" w:cs="Arial"/>
          <w:i/>
          <w:iCs/>
          <w:sz w:val="22"/>
          <w:szCs w:val="22"/>
        </w:rPr>
        <w:t>Policy briefing: Interoperability</w:t>
      </w:r>
      <w:r w:rsidRPr="004E1107">
        <w:rPr>
          <w:rFonts w:ascii="Arial" w:hAnsi="Arial" w:cs="Arial"/>
          <w:sz w:val="22"/>
          <w:szCs w:val="22"/>
        </w:rPr>
        <w:t xml:space="preserve">. Available at: </w:t>
      </w:r>
      <w:hyperlink r:id="rId9" w:history="1">
        <w:r w:rsidRPr="004E1107">
          <w:rPr>
            <w:rStyle w:val="Hyperlink"/>
            <w:rFonts w:ascii="Arial" w:hAnsi="Arial" w:cs="Arial"/>
            <w:sz w:val="22"/>
            <w:szCs w:val="22"/>
          </w:rPr>
          <w:t>https://www.d</w:t>
        </w:r>
        <w:r w:rsidRPr="004E1107">
          <w:rPr>
            <w:rStyle w:val="Hyperlink"/>
            <w:rFonts w:ascii="Arial" w:hAnsi="Arial" w:cs="Arial"/>
            <w:sz w:val="22"/>
            <w:szCs w:val="22"/>
          </w:rPr>
          <w:t>i</w:t>
        </w:r>
        <w:r w:rsidRPr="004E1107">
          <w:rPr>
            <w:rStyle w:val="Hyperlink"/>
            <w:rFonts w:ascii="Arial" w:hAnsi="Arial" w:cs="Arial"/>
            <w:sz w:val="22"/>
            <w:szCs w:val="22"/>
          </w:rPr>
          <w:t>gitalcarehub.c</w:t>
        </w:r>
        <w:r w:rsidRPr="004E1107">
          <w:rPr>
            <w:rStyle w:val="Hyperlink"/>
            <w:rFonts w:ascii="Arial" w:hAnsi="Arial" w:cs="Arial"/>
            <w:sz w:val="22"/>
            <w:szCs w:val="22"/>
          </w:rPr>
          <w:t>o</w:t>
        </w:r>
        <w:r w:rsidRPr="004E1107">
          <w:rPr>
            <w:rStyle w:val="Hyperlink"/>
            <w:rFonts w:ascii="Arial" w:hAnsi="Arial" w:cs="Arial"/>
            <w:sz w:val="22"/>
            <w:szCs w:val="22"/>
          </w:rPr>
          <w:t>.uk/digital-care-in-focus/interoperability/policy-briefing-interoperability/</w:t>
        </w:r>
      </w:hyperlink>
      <w:r w:rsidRPr="004E1107">
        <w:rPr>
          <w:rFonts w:ascii="Arial" w:hAnsi="Arial" w:cs="Arial"/>
          <w:sz w:val="22"/>
          <w:szCs w:val="22"/>
        </w:rPr>
        <w:t xml:space="preserve"> (Accessed: 12 October 2026).</w:t>
      </w:r>
    </w:p>
    <w:p w14:paraId="16564757" w14:textId="77777777" w:rsidR="004E1107" w:rsidRDefault="004E1107" w:rsidP="004E1107">
      <w:pPr>
        <w:spacing w:line="360" w:lineRule="auto"/>
        <w:rPr>
          <w:rFonts w:ascii="Arial" w:hAnsi="Arial" w:cs="Arial"/>
          <w:sz w:val="22"/>
          <w:szCs w:val="22"/>
        </w:rPr>
      </w:pPr>
      <w:r w:rsidRPr="004E1107">
        <w:rPr>
          <w:rFonts w:ascii="Arial" w:hAnsi="Arial" w:cs="Arial"/>
          <w:sz w:val="22"/>
          <w:szCs w:val="22"/>
        </w:rPr>
        <w:lastRenderedPageBreak/>
        <w:t xml:space="preserve">Greaves, F., Papoutsi, C., KC, S., Tewolde, S., Reidy, C., Gudgin, B., Laverty, A.A., Majeed, A., Costelloe, C. and Powell, J. (2026) ‘Evaluating the national rollout of the NHS App in England using qualitative and quantitative methods’, </w:t>
      </w:r>
      <w:r w:rsidRPr="004E1107">
        <w:rPr>
          <w:rFonts w:ascii="Arial" w:hAnsi="Arial" w:cs="Arial"/>
          <w:i/>
          <w:iCs/>
          <w:sz w:val="22"/>
          <w:szCs w:val="22"/>
        </w:rPr>
        <w:t>Health and Social Care Delivery Research</w:t>
      </w:r>
      <w:r w:rsidRPr="004E1107">
        <w:rPr>
          <w:rFonts w:ascii="Arial" w:hAnsi="Arial" w:cs="Arial"/>
          <w:sz w:val="22"/>
          <w:szCs w:val="22"/>
        </w:rPr>
        <w:t>, 14(15). doi: 10.3310/XYRV6485.</w:t>
      </w:r>
    </w:p>
    <w:p w14:paraId="06FB8384" w14:textId="7913205A"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Health and Social Care Committee (2023) </w:t>
      </w:r>
      <w:r w:rsidRPr="004E1107">
        <w:rPr>
          <w:rFonts w:ascii="Arial" w:hAnsi="Arial" w:cs="Arial"/>
          <w:i/>
          <w:iCs/>
          <w:sz w:val="22"/>
          <w:szCs w:val="22"/>
        </w:rPr>
        <w:t>Digital transformation in the NHS</w:t>
      </w:r>
      <w:r w:rsidRPr="004E1107">
        <w:rPr>
          <w:rFonts w:ascii="Arial" w:hAnsi="Arial" w:cs="Arial"/>
          <w:sz w:val="22"/>
          <w:szCs w:val="22"/>
        </w:rPr>
        <w:t xml:space="preserve">. UK Parliament. Available at: </w:t>
      </w:r>
      <w:hyperlink r:id="rId10" w:history="1">
        <w:r w:rsidRPr="004E1107">
          <w:rPr>
            <w:rStyle w:val="Hyperlink"/>
            <w:rFonts w:ascii="Arial" w:hAnsi="Arial" w:cs="Arial"/>
            <w:sz w:val="22"/>
            <w:szCs w:val="22"/>
          </w:rPr>
          <w:t>https://publications.parliame</w:t>
        </w:r>
        <w:r w:rsidRPr="004E1107">
          <w:rPr>
            <w:rStyle w:val="Hyperlink"/>
            <w:rFonts w:ascii="Arial" w:hAnsi="Arial" w:cs="Arial"/>
            <w:sz w:val="22"/>
            <w:szCs w:val="22"/>
          </w:rPr>
          <w:t>n</w:t>
        </w:r>
        <w:r w:rsidRPr="004E1107">
          <w:rPr>
            <w:rStyle w:val="Hyperlink"/>
            <w:rFonts w:ascii="Arial" w:hAnsi="Arial" w:cs="Arial"/>
            <w:sz w:val="22"/>
            <w:szCs w:val="22"/>
          </w:rPr>
          <w:t>t.uk/pa/cm5803/cmselect/cmhealth/223/report.html</w:t>
        </w:r>
      </w:hyperlink>
      <w:r w:rsidRPr="004E1107">
        <w:rPr>
          <w:rFonts w:ascii="Arial" w:hAnsi="Arial" w:cs="Arial"/>
          <w:sz w:val="22"/>
          <w:szCs w:val="22"/>
        </w:rPr>
        <w:t xml:space="preserve"> (Accessed: </w:t>
      </w:r>
      <w:r w:rsidR="00EA0CFE">
        <w:rPr>
          <w:rFonts w:ascii="Arial" w:hAnsi="Arial" w:cs="Arial"/>
          <w:sz w:val="22"/>
          <w:szCs w:val="22"/>
        </w:rPr>
        <w:t>3</w:t>
      </w:r>
      <w:r w:rsidRPr="004E1107">
        <w:rPr>
          <w:rFonts w:ascii="Arial" w:hAnsi="Arial" w:cs="Arial"/>
          <w:sz w:val="22"/>
          <w:szCs w:val="22"/>
        </w:rPr>
        <w:t xml:space="preserve"> October 2026).</w:t>
      </w:r>
    </w:p>
    <w:p w14:paraId="79F10730" w14:textId="4964579D"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Health Foundation (</w:t>
      </w:r>
      <w:r w:rsidR="00745B60">
        <w:rPr>
          <w:rFonts w:ascii="Arial" w:hAnsi="Arial" w:cs="Arial"/>
          <w:sz w:val="22"/>
          <w:szCs w:val="22"/>
        </w:rPr>
        <w:t>2025</w:t>
      </w:r>
      <w:r w:rsidRPr="004E1107">
        <w:rPr>
          <w:rFonts w:ascii="Arial" w:hAnsi="Arial" w:cs="Arial"/>
          <w:sz w:val="22"/>
          <w:szCs w:val="22"/>
        </w:rPr>
        <w:t xml:space="preserve">) </w:t>
      </w:r>
      <w:r w:rsidRPr="004E1107">
        <w:rPr>
          <w:rFonts w:ascii="Arial" w:hAnsi="Arial" w:cs="Arial"/>
          <w:i/>
          <w:iCs/>
          <w:sz w:val="22"/>
          <w:szCs w:val="22"/>
        </w:rPr>
        <w:t>Digitising the NHS and adult social care: what could it cost?</w:t>
      </w:r>
      <w:r w:rsidRPr="004E1107">
        <w:rPr>
          <w:rFonts w:ascii="Arial" w:hAnsi="Arial" w:cs="Arial"/>
          <w:sz w:val="22"/>
          <w:szCs w:val="22"/>
        </w:rPr>
        <w:t xml:space="preserve"> Available at: </w:t>
      </w:r>
      <w:hyperlink r:id="rId11" w:history="1">
        <w:r w:rsidRPr="004E1107">
          <w:rPr>
            <w:rStyle w:val="Hyperlink"/>
            <w:rFonts w:ascii="Arial" w:hAnsi="Arial" w:cs="Arial"/>
            <w:sz w:val="22"/>
            <w:szCs w:val="22"/>
          </w:rPr>
          <w:t>https://www.healt</w:t>
        </w:r>
        <w:r w:rsidRPr="004E1107">
          <w:rPr>
            <w:rStyle w:val="Hyperlink"/>
            <w:rFonts w:ascii="Arial" w:hAnsi="Arial" w:cs="Arial"/>
            <w:sz w:val="22"/>
            <w:szCs w:val="22"/>
          </w:rPr>
          <w:t>h</w:t>
        </w:r>
        <w:r w:rsidRPr="004E1107">
          <w:rPr>
            <w:rStyle w:val="Hyperlink"/>
            <w:rFonts w:ascii="Arial" w:hAnsi="Arial" w:cs="Arial"/>
            <w:sz w:val="22"/>
            <w:szCs w:val="22"/>
          </w:rPr>
          <w:t>.org.uk/reports-and-analysis/analysis/digitising-the-nhs-and-adult-social-care-what-could-it-cost</w:t>
        </w:r>
      </w:hyperlink>
      <w:r w:rsidRPr="004E1107">
        <w:rPr>
          <w:rFonts w:ascii="Arial" w:hAnsi="Arial" w:cs="Arial"/>
          <w:sz w:val="22"/>
          <w:szCs w:val="22"/>
        </w:rPr>
        <w:t xml:space="preserve"> (Accessed: </w:t>
      </w:r>
      <w:r w:rsidR="00EA0CFE">
        <w:rPr>
          <w:rFonts w:ascii="Arial" w:hAnsi="Arial" w:cs="Arial"/>
          <w:sz w:val="22"/>
          <w:szCs w:val="22"/>
        </w:rPr>
        <w:t>3</w:t>
      </w:r>
      <w:r w:rsidRPr="004E1107">
        <w:rPr>
          <w:rFonts w:ascii="Arial" w:hAnsi="Arial" w:cs="Arial"/>
          <w:sz w:val="22"/>
          <w:szCs w:val="22"/>
        </w:rPr>
        <w:t xml:space="preserve"> October 2026).</w:t>
      </w:r>
    </w:p>
    <w:p w14:paraId="2EADAB08"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Kaihlanen, A.-M., Laukka, E., Nadav, J., Närvänen, J., Saukkonen, P., Koivisto, J. and Heponiemi, T. (2023) ‘The effects of digitalisation on health and social care work: a qualitative descriptive study of the perceptions of professionals and managers’, </w:t>
      </w:r>
      <w:r w:rsidRPr="004E1107">
        <w:rPr>
          <w:rFonts w:ascii="Arial" w:hAnsi="Arial" w:cs="Arial"/>
          <w:i/>
          <w:iCs/>
          <w:sz w:val="22"/>
          <w:szCs w:val="22"/>
        </w:rPr>
        <w:t>BMC Health Services Research</w:t>
      </w:r>
      <w:r w:rsidRPr="004E1107">
        <w:rPr>
          <w:rFonts w:ascii="Arial" w:hAnsi="Arial" w:cs="Arial"/>
          <w:sz w:val="22"/>
          <w:szCs w:val="22"/>
        </w:rPr>
        <w:t>, 23, 714.</w:t>
      </w:r>
    </w:p>
    <w:p w14:paraId="57872FA4"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KC, S., Tewolde, S., Laverty, A.A., Costelloe, C., Papoutsi, C., Reidy, C., Gudgin, B., Shenton, C., Majeed, A., Powell, J. and Greaves, F. (2023) ‘An observational study of uptake and adoption of the NHS App in England’, </w:t>
      </w:r>
      <w:r w:rsidRPr="004E1107">
        <w:rPr>
          <w:rFonts w:ascii="Arial" w:hAnsi="Arial" w:cs="Arial"/>
          <w:i/>
          <w:iCs/>
          <w:sz w:val="22"/>
          <w:szCs w:val="22"/>
        </w:rPr>
        <w:t>British Journal of General Practice</w:t>
      </w:r>
      <w:r w:rsidRPr="004E1107">
        <w:rPr>
          <w:rFonts w:ascii="Arial" w:hAnsi="Arial" w:cs="Arial"/>
          <w:sz w:val="22"/>
          <w:szCs w:val="22"/>
        </w:rPr>
        <w:t>, 73(737), e932. doi: 10.3399/BJGP.2022.0150.</w:t>
      </w:r>
    </w:p>
    <w:p w14:paraId="783B8955"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Kraus, S., Schiavone, F., Pluzhnikova, A. and Invernizzi, A.C. (2021) ‘Digital transformation in healthcare: analyzing the current state-of-research’, </w:t>
      </w:r>
      <w:r w:rsidRPr="004E1107">
        <w:rPr>
          <w:rFonts w:ascii="Arial" w:hAnsi="Arial" w:cs="Arial"/>
          <w:i/>
          <w:iCs/>
          <w:sz w:val="22"/>
          <w:szCs w:val="22"/>
        </w:rPr>
        <w:t>Journal of Business Research</w:t>
      </w:r>
      <w:r w:rsidRPr="004E1107">
        <w:rPr>
          <w:rFonts w:ascii="Arial" w:hAnsi="Arial" w:cs="Arial"/>
          <w:sz w:val="22"/>
          <w:szCs w:val="22"/>
        </w:rPr>
        <w:t>, 123, pp. 557–567.</w:t>
      </w:r>
    </w:p>
    <w:p w14:paraId="1F106B28"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Nazeha, N., Pavagadhi, D., Kyaw, B.M., Car, J., Jimenez, G. and Tudor Car, L. (2020) ‘A digitally competent health workforce: scoping review of educational frameworks’, </w:t>
      </w:r>
      <w:r w:rsidRPr="004E1107">
        <w:rPr>
          <w:rFonts w:ascii="Arial" w:hAnsi="Arial" w:cs="Arial"/>
          <w:i/>
          <w:iCs/>
          <w:sz w:val="22"/>
          <w:szCs w:val="22"/>
        </w:rPr>
        <w:t>Journal of Medical Internet Research</w:t>
      </w:r>
      <w:r w:rsidRPr="004E1107">
        <w:rPr>
          <w:rFonts w:ascii="Arial" w:hAnsi="Arial" w:cs="Arial"/>
          <w:sz w:val="22"/>
          <w:szCs w:val="22"/>
        </w:rPr>
        <w:t>, 22(11), e22706. doi: 10.2196/22706.</w:t>
      </w:r>
    </w:p>
    <w:p w14:paraId="53EB98F3" w14:textId="0D37ADBC"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NHS (</w:t>
      </w:r>
      <w:r w:rsidR="00745B60">
        <w:rPr>
          <w:rFonts w:ascii="Arial" w:hAnsi="Arial" w:cs="Arial"/>
          <w:sz w:val="22"/>
          <w:szCs w:val="22"/>
        </w:rPr>
        <w:t>2026</w:t>
      </w:r>
      <w:r w:rsidRPr="004E1107">
        <w:rPr>
          <w:rFonts w:ascii="Arial" w:hAnsi="Arial" w:cs="Arial"/>
          <w:sz w:val="22"/>
          <w:szCs w:val="22"/>
        </w:rPr>
        <w:t xml:space="preserve">) </w:t>
      </w:r>
      <w:r w:rsidRPr="004E1107">
        <w:rPr>
          <w:rFonts w:ascii="Arial" w:hAnsi="Arial" w:cs="Arial"/>
          <w:i/>
          <w:iCs/>
          <w:sz w:val="22"/>
          <w:szCs w:val="22"/>
        </w:rPr>
        <w:t>NHS App full privacy notice</w:t>
      </w:r>
      <w:r w:rsidRPr="004E1107">
        <w:rPr>
          <w:rFonts w:ascii="Arial" w:hAnsi="Arial" w:cs="Arial"/>
          <w:sz w:val="22"/>
          <w:szCs w:val="22"/>
        </w:rPr>
        <w:t xml:space="preserve">. Available at: </w:t>
      </w:r>
      <w:hyperlink r:id="rId12" w:history="1">
        <w:r w:rsidRPr="004E1107">
          <w:rPr>
            <w:rStyle w:val="Hyperlink"/>
            <w:rFonts w:ascii="Arial" w:hAnsi="Arial" w:cs="Arial"/>
            <w:sz w:val="22"/>
            <w:szCs w:val="22"/>
          </w:rPr>
          <w:t>https://www.nhs.uk/nhs-app/about/privacy-legal-information/p</w:t>
        </w:r>
        <w:r w:rsidRPr="004E1107">
          <w:rPr>
            <w:rStyle w:val="Hyperlink"/>
            <w:rFonts w:ascii="Arial" w:hAnsi="Arial" w:cs="Arial"/>
            <w:sz w:val="22"/>
            <w:szCs w:val="22"/>
          </w:rPr>
          <w:t>r</w:t>
        </w:r>
        <w:r w:rsidRPr="004E1107">
          <w:rPr>
            <w:rStyle w:val="Hyperlink"/>
            <w:rFonts w:ascii="Arial" w:hAnsi="Arial" w:cs="Arial"/>
            <w:sz w:val="22"/>
            <w:szCs w:val="22"/>
          </w:rPr>
          <w:t>ivacy-notices/full-notice/</w:t>
        </w:r>
      </w:hyperlink>
      <w:r w:rsidRPr="004E1107">
        <w:rPr>
          <w:rFonts w:ascii="Arial" w:hAnsi="Arial" w:cs="Arial"/>
          <w:sz w:val="22"/>
          <w:szCs w:val="22"/>
        </w:rPr>
        <w:t xml:space="preserve"> (Accessed: </w:t>
      </w:r>
      <w:r w:rsidR="00EA0CFE">
        <w:rPr>
          <w:rFonts w:ascii="Arial" w:hAnsi="Arial" w:cs="Arial"/>
          <w:sz w:val="22"/>
          <w:szCs w:val="22"/>
        </w:rPr>
        <w:t>3</w:t>
      </w:r>
      <w:r w:rsidRPr="004E1107">
        <w:rPr>
          <w:rFonts w:ascii="Arial" w:hAnsi="Arial" w:cs="Arial"/>
          <w:sz w:val="22"/>
          <w:szCs w:val="22"/>
        </w:rPr>
        <w:t xml:space="preserve"> October 2026).</w:t>
      </w:r>
    </w:p>
    <w:p w14:paraId="10577DB1" w14:textId="04F83E3E"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NHS Digital (</w:t>
      </w:r>
      <w:r w:rsidR="00745B60">
        <w:rPr>
          <w:rFonts w:ascii="Arial" w:hAnsi="Arial" w:cs="Arial"/>
          <w:sz w:val="22"/>
          <w:szCs w:val="22"/>
        </w:rPr>
        <w:t>2026</w:t>
      </w:r>
      <w:r w:rsidRPr="004E1107">
        <w:rPr>
          <w:rFonts w:ascii="Arial" w:hAnsi="Arial" w:cs="Arial"/>
          <w:sz w:val="22"/>
          <w:szCs w:val="22"/>
        </w:rPr>
        <w:t xml:space="preserve">) </w:t>
      </w:r>
      <w:r w:rsidRPr="004E1107">
        <w:rPr>
          <w:rFonts w:ascii="Arial" w:hAnsi="Arial" w:cs="Arial"/>
          <w:i/>
          <w:iCs/>
          <w:sz w:val="22"/>
          <w:szCs w:val="22"/>
        </w:rPr>
        <w:t>Hospital and specialist appointments in the NHS App</w:t>
      </w:r>
      <w:r w:rsidRPr="004E1107">
        <w:rPr>
          <w:rFonts w:ascii="Arial" w:hAnsi="Arial" w:cs="Arial"/>
          <w:sz w:val="22"/>
          <w:szCs w:val="22"/>
        </w:rPr>
        <w:t xml:space="preserve">. Available at: </w:t>
      </w:r>
      <w:hyperlink r:id="rId13" w:history="1">
        <w:r w:rsidRPr="004E1107">
          <w:rPr>
            <w:rStyle w:val="Hyperlink"/>
            <w:rFonts w:ascii="Arial" w:hAnsi="Arial" w:cs="Arial"/>
            <w:sz w:val="22"/>
            <w:szCs w:val="22"/>
          </w:rPr>
          <w:t>https://digital.nhs.uk/services/nhs-ap</w:t>
        </w:r>
        <w:r w:rsidRPr="004E1107">
          <w:rPr>
            <w:rStyle w:val="Hyperlink"/>
            <w:rFonts w:ascii="Arial" w:hAnsi="Arial" w:cs="Arial"/>
            <w:sz w:val="22"/>
            <w:szCs w:val="22"/>
          </w:rPr>
          <w:t>p</w:t>
        </w:r>
        <w:r w:rsidRPr="004E1107">
          <w:rPr>
            <w:rStyle w:val="Hyperlink"/>
            <w:rFonts w:ascii="Arial" w:hAnsi="Arial" w:cs="Arial"/>
            <w:sz w:val="22"/>
            <w:szCs w:val="22"/>
          </w:rPr>
          <w:t>/nhs-app-features/hospital-referrals-and-appointments-in-the-nhs-app</w:t>
        </w:r>
      </w:hyperlink>
      <w:r w:rsidRPr="004E1107">
        <w:rPr>
          <w:rFonts w:ascii="Arial" w:hAnsi="Arial" w:cs="Arial"/>
          <w:sz w:val="22"/>
          <w:szCs w:val="22"/>
        </w:rPr>
        <w:t xml:space="preserve"> (Accessed: </w:t>
      </w:r>
      <w:r w:rsidR="00EA0CFE">
        <w:rPr>
          <w:rFonts w:ascii="Arial" w:hAnsi="Arial" w:cs="Arial"/>
          <w:sz w:val="22"/>
          <w:szCs w:val="22"/>
        </w:rPr>
        <w:t>7</w:t>
      </w:r>
      <w:r w:rsidRPr="004E1107">
        <w:rPr>
          <w:rFonts w:ascii="Arial" w:hAnsi="Arial" w:cs="Arial"/>
          <w:sz w:val="22"/>
          <w:szCs w:val="22"/>
        </w:rPr>
        <w:t xml:space="preserve"> October 2026).</w:t>
      </w:r>
    </w:p>
    <w:p w14:paraId="077DB9DC" w14:textId="0C02237E"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NHS Digital (</w:t>
      </w:r>
      <w:r w:rsidR="00745B60">
        <w:rPr>
          <w:rFonts w:ascii="Arial" w:hAnsi="Arial" w:cs="Arial"/>
          <w:sz w:val="22"/>
          <w:szCs w:val="22"/>
        </w:rPr>
        <w:t>2026</w:t>
      </w:r>
      <w:r w:rsidRPr="004E1107">
        <w:rPr>
          <w:rFonts w:ascii="Arial" w:hAnsi="Arial" w:cs="Arial"/>
          <w:sz w:val="22"/>
          <w:szCs w:val="22"/>
        </w:rPr>
        <w:t xml:space="preserve">) </w:t>
      </w:r>
      <w:r w:rsidRPr="004E1107">
        <w:rPr>
          <w:rFonts w:ascii="Arial" w:hAnsi="Arial" w:cs="Arial"/>
          <w:i/>
          <w:iCs/>
          <w:sz w:val="22"/>
          <w:szCs w:val="22"/>
        </w:rPr>
        <w:t>NHS App Roadmap</w:t>
      </w:r>
      <w:r w:rsidRPr="004E1107">
        <w:rPr>
          <w:rFonts w:ascii="Arial" w:hAnsi="Arial" w:cs="Arial"/>
          <w:sz w:val="22"/>
          <w:szCs w:val="22"/>
        </w:rPr>
        <w:t xml:space="preserve">. Available at: </w:t>
      </w:r>
      <w:hyperlink r:id="rId14" w:history="1">
        <w:r w:rsidRPr="004E1107">
          <w:rPr>
            <w:rStyle w:val="Hyperlink"/>
            <w:rFonts w:ascii="Arial" w:hAnsi="Arial" w:cs="Arial"/>
            <w:sz w:val="22"/>
            <w:szCs w:val="22"/>
          </w:rPr>
          <w:t>http</w:t>
        </w:r>
        <w:r w:rsidRPr="004E1107">
          <w:rPr>
            <w:rStyle w:val="Hyperlink"/>
            <w:rFonts w:ascii="Arial" w:hAnsi="Arial" w:cs="Arial"/>
            <w:sz w:val="22"/>
            <w:szCs w:val="22"/>
          </w:rPr>
          <w:t>s</w:t>
        </w:r>
        <w:r w:rsidRPr="004E1107">
          <w:rPr>
            <w:rStyle w:val="Hyperlink"/>
            <w:rFonts w:ascii="Arial" w:hAnsi="Arial" w:cs="Arial"/>
            <w:sz w:val="22"/>
            <w:szCs w:val="22"/>
          </w:rPr>
          <w:t>://digital.nhs.uk/services/nhs-app/roadmap</w:t>
        </w:r>
      </w:hyperlink>
      <w:r w:rsidRPr="004E1107">
        <w:rPr>
          <w:rFonts w:ascii="Arial" w:hAnsi="Arial" w:cs="Arial"/>
          <w:sz w:val="22"/>
          <w:szCs w:val="22"/>
        </w:rPr>
        <w:t xml:space="preserve"> (Accessed: 12 October 2026).</w:t>
      </w:r>
    </w:p>
    <w:p w14:paraId="7D4FD621" w14:textId="77BCA925"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lastRenderedPageBreak/>
        <w:t xml:space="preserve">NHS England (2025) </w:t>
      </w:r>
      <w:r w:rsidRPr="004E1107">
        <w:rPr>
          <w:rFonts w:ascii="Arial" w:hAnsi="Arial" w:cs="Arial"/>
          <w:i/>
          <w:iCs/>
          <w:sz w:val="22"/>
          <w:szCs w:val="22"/>
        </w:rPr>
        <w:t>Data, digital and technology transformation</w:t>
      </w:r>
      <w:r w:rsidRPr="004E1107">
        <w:rPr>
          <w:rFonts w:ascii="Arial" w:hAnsi="Arial" w:cs="Arial"/>
          <w:sz w:val="22"/>
          <w:szCs w:val="22"/>
        </w:rPr>
        <w:t xml:space="preserve">. Available at: </w:t>
      </w:r>
      <w:hyperlink r:id="rId15" w:history="1">
        <w:r w:rsidRPr="004E1107">
          <w:rPr>
            <w:rStyle w:val="Hyperlink"/>
            <w:rFonts w:ascii="Arial" w:hAnsi="Arial" w:cs="Arial"/>
            <w:sz w:val="22"/>
            <w:szCs w:val="22"/>
          </w:rPr>
          <w:t>https://www.england.nhs.uk/wp-cont</w:t>
        </w:r>
        <w:r w:rsidRPr="004E1107">
          <w:rPr>
            <w:rStyle w:val="Hyperlink"/>
            <w:rFonts w:ascii="Arial" w:hAnsi="Arial" w:cs="Arial"/>
            <w:sz w:val="22"/>
            <w:szCs w:val="22"/>
          </w:rPr>
          <w:t>e</w:t>
        </w:r>
        <w:r w:rsidRPr="004E1107">
          <w:rPr>
            <w:rStyle w:val="Hyperlink"/>
            <w:rFonts w:ascii="Arial" w:hAnsi="Arial" w:cs="Arial"/>
            <w:sz w:val="22"/>
            <w:szCs w:val="22"/>
          </w:rPr>
          <w:t>nt/uploads/2025/03/agenda-item-8-data-digital-and-technology-transformation.pdf</w:t>
        </w:r>
      </w:hyperlink>
      <w:r w:rsidRPr="004E1107">
        <w:rPr>
          <w:rFonts w:ascii="Arial" w:hAnsi="Arial" w:cs="Arial"/>
          <w:sz w:val="22"/>
          <w:szCs w:val="22"/>
        </w:rPr>
        <w:t xml:space="preserve"> (Accessed: </w:t>
      </w:r>
      <w:r w:rsidR="00EA0CFE">
        <w:rPr>
          <w:rFonts w:ascii="Arial" w:hAnsi="Arial" w:cs="Arial"/>
          <w:sz w:val="22"/>
          <w:szCs w:val="22"/>
        </w:rPr>
        <w:t>5</w:t>
      </w:r>
      <w:r w:rsidRPr="004E1107">
        <w:rPr>
          <w:rFonts w:ascii="Arial" w:hAnsi="Arial" w:cs="Arial"/>
          <w:sz w:val="22"/>
          <w:szCs w:val="22"/>
        </w:rPr>
        <w:t xml:space="preserve"> October 2026).</w:t>
      </w:r>
    </w:p>
    <w:p w14:paraId="7AD6AC71" w14:textId="139DA4CC"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PHG Foundation (2018) </w:t>
      </w:r>
      <w:r w:rsidRPr="004E1107">
        <w:rPr>
          <w:rFonts w:ascii="Arial" w:hAnsi="Arial" w:cs="Arial"/>
          <w:i/>
          <w:iCs/>
          <w:sz w:val="22"/>
          <w:szCs w:val="22"/>
        </w:rPr>
        <w:t>The NHS App, good for patients, good for the NHS?</w:t>
      </w:r>
      <w:r w:rsidRPr="004E1107">
        <w:rPr>
          <w:rFonts w:ascii="Arial" w:hAnsi="Arial" w:cs="Arial"/>
          <w:sz w:val="22"/>
          <w:szCs w:val="22"/>
        </w:rPr>
        <w:t xml:space="preserve"> Available at: </w:t>
      </w:r>
      <w:hyperlink r:id="rId16" w:history="1">
        <w:r w:rsidRPr="004E1107">
          <w:rPr>
            <w:rStyle w:val="Hyperlink"/>
            <w:rFonts w:ascii="Arial" w:hAnsi="Arial" w:cs="Arial"/>
            <w:sz w:val="22"/>
            <w:szCs w:val="22"/>
          </w:rPr>
          <w:t>https://www.phgfoundation.org/blog/</w:t>
        </w:r>
        <w:r w:rsidRPr="004E1107">
          <w:rPr>
            <w:rStyle w:val="Hyperlink"/>
            <w:rFonts w:ascii="Arial" w:hAnsi="Arial" w:cs="Arial"/>
            <w:sz w:val="22"/>
            <w:szCs w:val="22"/>
          </w:rPr>
          <w:t>n</w:t>
        </w:r>
        <w:r w:rsidRPr="004E1107">
          <w:rPr>
            <w:rStyle w:val="Hyperlink"/>
            <w:rFonts w:ascii="Arial" w:hAnsi="Arial" w:cs="Arial"/>
            <w:sz w:val="22"/>
            <w:szCs w:val="22"/>
          </w:rPr>
          <w:t>hs-app-for-patients-or-the-nhs/</w:t>
        </w:r>
      </w:hyperlink>
      <w:r w:rsidRPr="004E1107">
        <w:rPr>
          <w:rFonts w:ascii="Arial" w:hAnsi="Arial" w:cs="Arial"/>
          <w:sz w:val="22"/>
          <w:szCs w:val="22"/>
        </w:rPr>
        <w:t xml:space="preserve"> (Accessed: </w:t>
      </w:r>
      <w:r w:rsidR="00EA0CFE">
        <w:rPr>
          <w:rFonts w:ascii="Arial" w:hAnsi="Arial" w:cs="Arial"/>
          <w:sz w:val="22"/>
          <w:szCs w:val="22"/>
        </w:rPr>
        <w:t>5</w:t>
      </w:r>
      <w:r w:rsidRPr="004E1107">
        <w:rPr>
          <w:rFonts w:ascii="Arial" w:hAnsi="Arial" w:cs="Arial"/>
          <w:sz w:val="22"/>
          <w:szCs w:val="22"/>
        </w:rPr>
        <w:t xml:space="preserve"> October 2026).</w:t>
      </w:r>
    </w:p>
    <w:p w14:paraId="0621A243" w14:textId="77777777" w:rsidR="008E54DE" w:rsidRDefault="008E54DE" w:rsidP="004E1107">
      <w:pPr>
        <w:spacing w:line="360" w:lineRule="auto"/>
        <w:rPr>
          <w:rFonts w:ascii="Arial" w:hAnsi="Arial" w:cs="Arial"/>
          <w:sz w:val="22"/>
          <w:szCs w:val="22"/>
        </w:rPr>
      </w:pPr>
      <w:r w:rsidRPr="008E54DE">
        <w:rPr>
          <w:rFonts w:ascii="Arial" w:hAnsi="Arial" w:cs="Arial"/>
          <w:sz w:val="22"/>
          <w:szCs w:val="22"/>
        </w:rPr>
        <w:t xml:space="preserve">Pankhurst T, Atia J, Evison F, et al. Rapid adaptation of a local healthcare digital system to COVID-19: The experience in Birmingham (UK). </w:t>
      </w:r>
      <w:r w:rsidRPr="008E54DE">
        <w:rPr>
          <w:rFonts w:ascii="Arial" w:hAnsi="Arial" w:cs="Arial"/>
          <w:i/>
          <w:iCs/>
          <w:sz w:val="22"/>
          <w:szCs w:val="22"/>
        </w:rPr>
        <w:t>Health Policy Technol</w:t>
      </w:r>
      <w:r w:rsidRPr="008E54DE">
        <w:rPr>
          <w:rFonts w:ascii="Arial" w:hAnsi="Arial" w:cs="Arial"/>
          <w:sz w:val="22"/>
          <w:szCs w:val="22"/>
        </w:rPr>
        <w:t>. 2021;10(4):100568. doi:10.1016/j.hlpt.2021.100568</w:t>
      </w:r>
      <w:r w:rsidRPr="008E54DE">
        <w:rPr>
          <w:rFonts w:ascii="Arial" w:hAnsi="Arial" w:cs="Arial"/>
          <w:sz w:val="22"/>
          <w:szCs w:val="22"/>
        </w:rPr>
        <w:t xml:space="preserve"> </w:t>
      </w:r>
    </w:p>
    <w:p w14:paraId="284A41C3" w14:textId="1A45E2FC"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Radar Healthcare (n.d.) </w:t>
      </w:r>
      <w:r w:rsidRPr="004E1107">
        <w:rPr>
          <w:rFonts w:ascii="Arial" w:hAnsi="Arial" w:cs="Arial"/>
          <w:i/>
          <w:iCs/>
          <w:sz w:val="22"/>
          <w:szCs w:val="22"/>
        </w:rPr>
        <w:t>What Good Looks Like (WGLL)</w:t>
      </w:r>
      <w:r w:rsidRPr="004E1107">
        <w:rPr>
          <w:rFonts w:ascii="Arial" w:hAnsi="Arial" w:cs="Arial"/>
          <w:sz w:val="22"/>
          <w:szCs w:val="22"/>
        </w:rPr>
        <w:t xml:space="preserve">. Available at: </w:t>
      </w:r>
      <w:hyperlink r:id="rId17" w:history="1">
        <w:r w:rsidRPr="004E1107">
          <w:rPr>
            <w:rStyle w:val="Hyperlink"/>
            <w:rFonts w:ascii="Arial" w:hAnsi="Arial" w:cs="Arial"/>
            <w:sz w:val="22"/>
            <w:szCs w:val="22"/>
          </w:rPr>
          <w:t>https://radarhea</w:t>
        </w:r>
        <w:r w:rsidRPr="004E1107">
          <w:rPr>
            <w:rStyle w:val="Hyperlink"/>
            <w:rFonts w:ascii="Arial" w:hAnsi="Arial" w:cs="Arial"/>
            <w:sz w:val="22"/>
            <w:szCs w:val="22"/>
          </w:rPr>
          <w:t>l</w:t>
        </w:r>
        <w:r w:rsidRPr="004E1107">
          <w:rPr>
            <w:rStyle w:val="Hyperlink"/>
            <w:rFonts w:ascii="Arial" w:hAnsi="Arial" w:cs="Arial"/>
            <w:sz w:val="22"/>
            <w:szCs w:val="22"/>
          </w:rPr>
          <w:t>thcare.com/news-blogs/what-good-looks-like-wgll/</w:t>
        </w:r>
      </w:hyperlink>
      <w:r w:rsidRPr="004E1107">
        <w:rPr>
          <w:rFonts w:ascii="Arial" w:hAnsi="Arial" w:cs="Arial"/>
          <w:sz w:val="22"/>
          <w:szCs w:val="22"/>
        </w:rPr>
        <w:t xml:space="preserve"> (Accessed: </w:t>
      </w:r>
      <w:r w:rsidR="00EA0CFE">
        <w:rPr>
          <w:rFonts w:ascii="Arial" w:hAnsi="Arial" w:cs="Arial"/>
          <w:sz w:val="22"/>
          <w:szCs w:val="22"/>
        </w:rPr>
        <w:t>5</w:t>
      </w:r>
      <w:r w:rsidRPr="004E1107">
        <w:rPr>
          <w:rFonts w:ascii="Arial" w:hAnsi="Arial" w:cs="Arial"/>
          <w:sz w:val="22"/>
          <w:szCs w:val="22"/>
        </w:rPr>
        <w:t xml:space="preserve"> October 2026).</w:t>
      </w:r>
    </w:p>
    <w:p w14:paraId="43C9942E"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Reidy, C., Papoutsi, C., KC, S., Gudgin, B., Laverty, A.A., Greaves, F. and Powell, J. (2025) ‘Qualitative evaluation of the implementation and national roll-out of the NHS App in England’, </w:t>
      </w:r>
      <w:r w:rsidRPr="004E1107">
        <w:rPr>
          <w:rFonts w:ascii="Arial" w:hAnsi="Arial" w:cs="Arial"/>
          <w:i/>
          <w:iCs/>
          <w:sz w:val="22"/>
          <w:szCs w:val="22"/>
        </w:rPr>
        <w:t>BMC Medicine</w:t>
      </w:r>
      <w:r w:rsidRPr="004E1107">
        <w:rPr>
          <w:rFonts w:ascii="Arial" w:hAnsi="Arial" w:cs="Arial"/>
          <w:sz w:val="22"/>
          <w:szCs w:val="22"/>
        </w:rPr>
        <w:t>, 23, 20. doi: 10.1186/s12916-024-03842-w.</w:t>
      </w:r>
    </w:p>
    <w:p w14:paraId="27468759"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Russell, S., Stocker, R., Cockshott, Z., Mason, S., Knight, J., Hanratty, B. and Preston, N. (2025) ‘Use of a digital application to enhance communication and triage between care homes and national health service community services in the United Kingdom: a qualitative evaluation’, </w:t>
      </w:r>
      <w:r w:rsidRPr="004E1107">
        <w:rPr>
          <w:rFonts w:ascii="Arial" w:hAnsi="Arial" w:cs="Arial"/>
          <w:i/>
          <w:iCs/>
          <w:sz w:val="22"/>
          <w:szCs w:val="22"/>
        </w:rPr>
        <w:t>BMC Geriatrics</w:t>
      </w:r>
      <w:r w:rsidRPr="004E1107">
        <w:rPr>
          <w:rFonts w:ascii="Arial" w:hAnsi="Arial" w:cs="Arial"/>
          <w:sz w:val="22"/>
          <w:szCs w:val="22"/>
        </w:rPr>
        <w:t>, 25, 875. doi: 10.1186/s12877-025-06217-9.</w:t>
      </w:r>
    </w:p>
    <w:p w14:paraId="57C3249E"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Wisniewski, H., Gorrindo, T., Rauseo-Ricupero, N., Hilty, D. and Torous, J. (2020) ‘The role of digital navigators in promoting clinical care and technology integration into practice’, </w:t>
      </w:r>
      <w:r w:rsidRPr="004E1107">
        <w:rPr>
          <w:rFonts w:ascii="Arial" w:hAnsi="Arial" w:cs="Arial"/>
          <w:i/>
          <w:iCs/>
          <w:sz w:val="22"/>
          <w:szCs w:val="22"/>
        </w:rPr>
        <w:t>Digital Biomarkers</w:t>
      </w:r>
      <w:r w:rsidRPr="004E1107">
        <w:rPr>
          <w:rFonts w:ascii="Arial" w:hAnsi="Arial" w:cs="Arial"/>
          <w:sz w:val="22"/>
          <w:szCs w:val="22"/>
        </w:rPr>
        <w:t>, 4(suppl 1), pp. 119–135. doi: 10.1159/000510144.</w:t>
      </w:r>
    </w:p>
    <w:p w14:paraId="74609F95" w14:textId="77777777" w:rsidR="004E1107" w:rsidRPr="004E1107" w:rsidRDefault="004E1107" w:rsidP="004E1107">
      <w:pPr>
        <w:spacing w:line="360" w:lineRule="auto"/>
        <w:rPr>
          <w:rFonts w:ascii="Arial" w:hAnsi="Arial" w:cs="Arial"/>
          <w:sz w:val="22"/>
          <w:szCs w:val="22"/>
        </w:rPr>
      </w:pPr>
      <w:r w:rsidRPr="004E1107">
        <w:rPr>
          <w:rFonts w:ascii="Arial" w:hAnsi="Arial" w:cs="Arial"/>
          <w:sz w:val="22"/>
          <w:szCs w:val="22"/>
        </w:rPr>
        <w:t xml:space="preserve">Zhang, J., Gallifant, J., Pierce, R.L., Fordham, A., Teo, J., Celi, L. and Ashrafian, H. (2023) ‘Quantifying digital health inequality across a national healthcare system’, </w:t>
      </w:r>
      <w:r w:rsidRPr="004E1107">
        <w:rPr>
          <w:rFonts w:ascii="Arial" w:hAnsi="Arial" w:cs="Arial"/>
          <w:i/>
          <w:iCs/>
          <w:sz w:val="22"/>
          <w:szCs w:val="22"/>
        </w:rPr>
        <w:t>BMJ Health &amp; Care Informatics</w:t>
      </w:r>
      <w:r w:rsidRPr="004E1107">
        <w:rPr>
          <w:rFonts w:ascii="Arial" w:hAnsi="Arial" w:cs="Arial"/>
          <w:sz w:val="22"/>
          <w:szCs w:val="22"/>
        </w:rPr>
        <w:t>, 30, e100809. doi: 10.1136/bmjhci-2023-100809.</w:t>
      </w:r>
    </w:p>
    <w:p w14:paraId="2F3E93C5" w14:textId="77777777" w:rsidR="00BD524D" w:rsidRPr="004E1107" w:rsidRDefault="00BD524D" w:rsidP="004E1107">
      <w:pPr>
        <w:spacing w:line="360" w:lineRule="auto"/>
        <w:rPr>
          <w:rFonts w:ascii="Arial" w:hAnsi="Arial" w:cs="Arial"/>
          <w:sz w:val="22"/>
          <w:szCs w:val="22"/>
        </w:rPr>
      </w:pPr>
    </w:p>
    <w:p w14:paraId="5E6650AE" w14:textId="77777777" w:rsidR="00A641B7" w:rsidRPr="004E1107" w:rsidRDefault="00A641B7" w:rsidP="004E1107">
      <w:pPr>
        <w:spacing w:line="360" w:lineRule="auto"/>
        <w:rPr>
          <w:rFonts w:ascii="Arial" w:hAnsi="Arial" w:cs="Arial"/>
          <w:sz w:val="22"/>
          <w:szCs w:val="22"/>
        </w:rPr>
      </w:pPr>
    </w:p>
    <w:sectPr w:rsidR="00A641B7" w:rsidRPr="004E110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CEE34" w14:textId="77777777" w:rsidR="00C855D4" w:rsidRDefault="00C855D4" w:rsidP="005120D5">
      <w:pPr>
        <w:spacing w:after="0" w:line="240" w:lineRule="auto"/>
      </w:pPr>
      <w:r>
        <w:separator/>
      </w:r>
    </w:p>
  </w:endnote>
  <w:endnote w:type="continuationSeparator" w:id="0">
    <w:p w14:paraId="231B8FE8" w14:textId="77777777" w:rsidR="00C855D4" w:rsidRDefault="00C855D4" w:rsidP="00512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5880231"/>
      <w:docPartObj>
        <w:docPartGallery w:val="Page Numbers (Bottom of Page)"/>
        <w:docPartUnique/>
      </w:docPartObj>
    </w:sdtPr>
    <w:sdtEndPr>
      <w:rPr>
        <w:color w:val="7F7F7F" w:themeColor="background1" w:themeShade="7F"/>
        <w:spacing w:val="60"/>
      </w:rPr>
    </w:sdtEndPr>
    <w:sdtContent>
      <w:p w14:paraId="2191927C" w14:textId="610F1921" w:rsidR="005120D5" w:rsidRDefault="005120D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42354AB" w14:textId="77777777" w:rsidR="005120D5" w:rsidRDefault="00512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47AA8" w14:textId="77777777" w:rsidR="00C855D4" w:rsidRDefault="00C855D4" w:rsidP="005120D5">
      <w:pPr>
        <w:spacing w:after="0" w:line="240" w:lineRule="auto"/>
      </w:pPr>
      <w:r>
        <w:separator/>
      </w:r>
    </w:p>
  </w:footnote>
  <w:footnote w:type="continuationSeparator" w:id="0">
    <w:p w14:paraId="0DB3FEF6" w14:textId="77777777" w:rsidR="00C855D4" w:rsidRDefault="00C855D4" w:rsidP="005120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1D5"/>
    <w:rsid w:val="0009306A"/>
    <w:rsid w:val="000A450A"/>
    <w:rsid w:val="001706FD"/>
    <w:rsid w:val="00247B5B"/>
    <w:rsid w:val="003178D6"/>
    <w:rsid w:val="00363C9F"/>
    <w:rsid w:val="003941D5"/>
    <w:rsid w:val="004E1107"/>
    <w:rsid w:val="005120D5"/>
    <w:rsid w:val="005A2B4A"/>
    <w:rsid w:val="00745B60"/>
    <w:rsid w:val="008A1156"/>
    <w:rsid w:val="008A294C"/>
    <w:rsid w:val="008E54DE"/>
    <w:rsid w:val="00A641B7"/>
    <w:rsid w:val="00AA7B4E"/>
    <w:rsid w:val="00AC5F06"/>
    <w:rsid w:val="00BB3AD4"/>
    <w:rsid w:val="00BD524D"/>
    <w:rsid w:val="00C855D4"/>
    <w:rsid w:val="00EA0CFE"/>
    <w:rsid w:val="00F64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60309"/>
  <w15:chartTrackingRefBased/>
  <w15:docId w15:val="{6CBA9F50-FF96-4946-9320-8E917AA95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1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41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41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1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41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41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41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41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41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1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41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41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41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41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41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41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41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41D5"/>
    <w:rPr>
      <w:rFonts w:eastAsiaTheme="majorEastAsia" w:cstheme="majorBidi"/>
      <w:color w:val="272727" w:themeColor="text1" w:themeTint="D8"/>
    </w:rPr>
  </w:style>
  <w:style w:type="paragraph" w:styleId="Title">
    <w:name w:val="Title"/>
    <w:basedOn w:val="Normal"/>
    <w:next w:val="Normal"/>
    <w:link w:val="TitleChar"/>
    <w:uiPriority w:val="10"/>
    <w:qFormat/>
    <w:rsid w:val="003941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1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41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1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41D5"/>
    <w:pPr>
      <w:spacing w:before="160"/>
      <w:jc w:val="center"/>
    </w:pPr>
    <w:rPr>
      <w:i/>
      <w:iCs/>
      <w:color w:val="404040" w:themeColor="text1" w:themeTint="BF"/>
    </w:rPr>
  </w:style>
  <w:style w:type="character" w:customStyle="1" w:styleId="QuoteChar">
    <w:name w:val="Quote Char"/>
    <w:basedOn w:val="DefaultParagraphFont"/>
    <w:link w:val="Quote"/>
    <w:uiPriority w:val="29"/>
    <w:rsid w:val="003941D5"/>
    <w:rPr>
      <w:i/>
      <w:iCs/>
      <w:color w:val="404040" w:themeColor="text1" w:themeTint="BF"/>
    </w:rPr>
  </w:style>
  <w:style w:type="paragraph" w:styleId="ListParagraph">
    <w:name w:val="List Paragraph"/>
    <w:basedOn w:val="Normal"/>
    <w:uiPriority w:val="34"/>
    <w:qFormat/>
    <w:rsid w:val="003941D5"/>
    <w:pPr>
      <w:ind w:left="720"/>
      <w:contextualSpacing/>
    </w:pPr>
  </w:style>
  <w:style w:type="character" w:styleId="IntenseEmphasis">
    <w:name w:val="Intense Emphasis"/>
    <w:basedOn w:val="DefaultParagraphFont"/>
    <w:uiPriority w:val="21"/>
    <w:qFormat/>
    <w:rsid w:val="003941D5"/>
    <w:rPr>
      <w:i/>
      <w:iCs/>
      <w:color w:val="0F4761" w:themeColor="accent1" w:themeShade="BF"/>
    </w:rPr>
  </w:style>
  <w:style w:type="paragraph" w:styleId="IntenseQuote">
    <w:name w:val="Intense Quote"/>
    <w:basedOn w:val="Normal"/>
    <w:next w:val="Normal"/>
    <w:link w:val="IntenseQuoteChar"/>
    <w:uiPriority w:val="30"/>
    <w:qFormat/>
    <w:rsid w:val="003941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41D5"/>
    <w:rPr>
      <w:i/>
      <w:iCs/>
      <w:color w:val="0F4761" w:themeColor="accent1" w:themeShade="BF"/>
    </w:rPr>
  </w:style>
  <w:style w:type="character" w:styleId="IntenseReference">
    <w:name w:val="Intense Reference"/>
    <w:basedOn w:val="DefaultParagraphFont"/>
    <w:uiPriority w:val="32"/>
    <w:qFormat/>
    <w:rsid w:val="003941D5"/>
    <w:rPr>
      <w:b/>
      <w:bCs/>
      <w:smallCaps/>
      <w:color w:val="0F4761" w:themeColor="accent1" w:themeShade="BF"/>
      <w:spacing w:val="5"/>
    </w:rPr>
  </w:style>
  <w:style w:type="character" w:styleId="Hyperlink">
    <w:name w:val="Hyperlink"/>
    <w:basedOn w:val="DefaultParagraphFont"/>
    <w:uiPriority w:val="99"/>
    <w:unhideWhenUsed/>
    <w:rsid w:val="00A641B7"/>
    <w:rPr>
      <w:color w:val="467886" w:themeColor="hyperlink"/>
      <w:u w:val="single"/>
    </w:rPr>
  </w:style>
  <w:style w:type="character" w:styleId="UnresolvedMention">
    <w:name w:val="Unresolved Mention"/>
    <w:basedOn w:val="DefaultParagraphFont"/>
    <w:uiPriority w:val="99"/>
    <w:semiHidden/>
    <w:unhideWhenUsed/>
    <w:rsid w:val="00A641B7"/>
    <w:rPr>
      <w:color w:val="605E5C"/>
      <w:shd w:val="clear" w:color="auto" w:fill="E1DFDD"/>
    </w:rPr>
  </w:style>
  <w:style w:type="character" w:styleId="FollowedHyperlink">
    <w:name w:val="FollowedHyperlink"/>
    <w:basedOn w:val="DefaultParagraphFont"/>
    <w:uiPriority w:val="99"/>
    <w:semiHidden/>
    <w:unhideWhenUsed/>
    <w:rsid w:val="00BD524D"/>
    <w:rPr>
      <w:color w:val="96607D" w:themeColor="followedHyperlink"/>
      <w:u w:val="single"/>
    </w:rPr>
  </w:style>
  <w:style w:type="paragraph" w:styleId="Header">
    <w:name w:val="header"/>
    <w:basedOn w:val="Normal"/>
    <w:link w:val="HeaderChar"/>
    <w:uiPriority w:val="99"/>
    <w:unhideWhenUsed/>
    <w:rsid w:val="00512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0D5"/>
  </w:style>
  <w:style w:type="paragraph" w:styleId="Footer">
    <w:name w:val="footer"/>
    <w:basedOn w:val="Normal"/>
    <w:link w:val="FooterChar"/>
    <w:uiPriority w:val="99"/>
    <w:unhideWhenUsed/>
    <w:rsid w:val="00512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0D5"/>
  </w:style>
  <w:style w:type="paragraph" w:styleId="TOCHeading">
    <w:name w:val="TOC Heading"/>
    <w:basedOn w:val="Heading1"/>
    <w:next w:val="Normal"/>
    <w:uiPriority w:val="39"/>
    <w:unhideWhenUsed/>
    <w:qFormat/>
    <w:rsid w:val="005120D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120D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a-plan-for-digital-health-and-social-care/a-plan-for-digital-health-and-social-care" TargetMode="External"/><Relationship Id="rId13" Type="http://schemas.openxmlformats.org/officeDocument/2006/relationships/hyperlink" Target="https://digital.nhs.uk/services/nhs-app/nhs-app-features/hospital-referrals-and-appointments-in-the-nhs-app"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ma.org.uk/bma-media-centre/survey-of-gp-practices-in-england-reveals-over-half-of-practices-reporting-adverse-impact-on-patient-care-from-changes-to-online-access" TargetMode="External"/><Relationship Id="rId12" Type="http://schemas.openxmlformats.org/officeDocument/2006/relationships/hyperlink" Target="https://www.nhs.uk/nhs-app/about/privacy-legal-information/privacy-notices/full-notice/" TargetMode="External"/><Relationship Id="rId17" Type="http://schemas.openxmlformats.org/officeDocument/2006/relationships/hyperlink" Target="https://radarhealthcare.com/news-blogs/what-good-looks-like-wgll/" TargetMode="External"/><Relationship Id="rId2" Type="http://schemas.openxmlformats.org/officeDocument/2006/relationships/styles" Target="styles.xml"/><Relationship Id="rId16" Type="http://schemas.openxmlformats.org/officeDocument/2006/relationships/hyperlink" Target="https://www.phgfoundation.org/blog/nhs-app-for-patients-or-the-nh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ealth.org.uk/reports-and-analysis/analysis/digitising-the-nhs-and-adult-social-care-what-could-it-cost" TargetMode="External"/><Relationship Id="rId5" Type="http://schemas.openxmlformats.org/officeDocument/2006/relationships/footnotes" Target="footnotes.xml"/><Relationship Id="rId15" Type="http://schemas.openxmlformats.org/officeDocument/2006/relationships/hyperlink" Target="https://www.england.nhs.uk/wp-content/uploads/2025/03/agenda-item-8-data-digital-and-technology-transformation.pdf" TargetMode="External"/><Relationship Id="rId10" Type="http://schemas.openxmlformats.org/officeDocument/2006/relationships/hyperlink" Target="https://publications.parliament.uk/pa/cm5803/cmselect/cmhealth/223/report.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igitalcarehub.co.uk/digital-care-in-focus/interoperability/policy-briefing-interoperability/" TargetMode="External"/><Relationship Id="rId14" Type="http://schemas.openxmlformats.org/officeDocument/2006/relationships/hyperlink" Target="https://digital.nhs.uk/services/nhs-app/road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5C83B-D879-42E2-91AA-69C3C4ED2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2909</Words>
  <Characters>16585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Yonathan Wondimu</dc:creator>
  <cp:keywords/>
  <dc:description/>
  <cp:lastModifiedBy>Yonathan Wondimu</cp:lastModifiedBy>
  <cp:revision>9</cp:revision>
  <dcterms:created xsi:type="dcterms:W3CDTF">2026-10-12T12:28:00Z</dcterms:created>
  <dcterms:modified xsi:type="dcterms:W3CDTF">2026-10-14T10:19:00Z</dcterms:modified>
</cp:coreProperties>
</file>