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72B16" w14:textId="77777777" w:rsidR="0095323B" w:rsidRDefault="0095323B" w:rsidP="00831392"/>
    <w:p w14:paraId="38812088" w14:textId="663E8B37" w:rsidR="0061168B" w:rsidRDefault="00C42D0F" w:rsidP="0061168B">
      <w:r>
        <w:t>Egypt’s cultural identity was as much about their own sense of self as it was about contrasting that with their neighbours</w:t>
      </w:r>
      <w:r w:rsidR="00F90E4F">
        <w:t xml:space="preserve">. </w:t>
      </w:r>
      <w:r w:rsidR="000649B1">
        <w:t>The Egyptian understanding of themselves as superior came from the cultural and religious aspect of Ma’at and Isfet</w:t>
      </w:r>
      <w:r w:rsidR="000C4087">
        <w:t xml:space="preserve"> </w:t>
      </w:r>
      <w:r w:rsidR="000C4087" w:rsidRPr="000C4087">
        <w:t>(H. Smith</w:t>
      </w:r>
      <w:r w:rsidR="007536C3">
        <w:t>,1994</w:t>
      </w:r>
      <w:r w:rsidR="000C4087" w:rsidRPr="000C4087">
        <w:t>)</w:t>
      </w:r>
      <w:r w:rsidR="00D74600">
        <w:t xml:space="preserve"> which helped </w:t>
      </w:r>
      <w:r w:rsidR="007D16BC">
        <w:t>depict what was Egyptian</w:t>
      </w:r>
      <w:r w:rsidR="00D74600">
        <w:t xml:space="preserve"> and </w:t>
      </w:r>
      <w:r w:rsidR="007D16BC">
        <w:t xml:space="preserve">what was the ‘other’. </w:t>
      </w:r>
      <w:r w:rsidR="00E26BFE">
        <w:t xml:space="preserve">Anyone who did not follow Ma’at and allowed </w:t>
      </w:r>
      <w:r w:rsidR="00BC4E93">
        <w:t>Isfet, or</w:t>
      </w:r>
      <w:r w:rsidR="00E26BFE">
        <w:t xml:space="preserve"> chaos</w:t>
      </w:r>
      <w:r w:rsidR="00F75879">
        <w:t xml:space="preserve">, </w:t>
      </w:r>
      <w:r w:rsidR="00E26BFE">
        <w:t xml:space="preserve">to reign was not considered a ‘true Egyptian’. </w:t>
      </w:r>
      <w:r w:rsidR="006257E3">
        <w:t xml:space="preserve"> This understanding, </w:t>
      </w:r>
      <w:r w:rsidR="004B5B57">
        <w:t xml:space="preserve">expanded upon the Egyptian understanding of pairs. This can be seen with there triads of gods often including </w:t>
      </w:r>
      <w:r w:rsidR="00247DD5">
        <w:t xml:space="preserve">two </w:t>
      </w:r>
      <w:r w:rsidR="000A7BDD">
        <w:t xml:space="preserve">gods with a child. It can also be seen with their acknowledgement of there is only Nile, then Desert, also seen with the understanding of order and chaos. </w:t>
      </w:r>
      <w:r w:rsidR="00C3598C">
        <w:t xml:space="preserve">This all accumulated into what </w:t>
      </w:r>
      <w:r w:rsidR="00504820">
        <w:t xml:space="preserve">was </w:t>
      </w:r>
      <w:r w:rsidR="0045096B">
        <w:t xml:space="preserve">u </w:t>
      </w:r>
      <w:r w:rsidR="00C3598C">
        <w:t xml:space="preserve">considered Egyptian and not Egyptian. </w:t>
      </w:r>
      <w:r w:rsidR="009E4446">
        <w:t>Furthermore, t</w:t>
      </w:r>
      <w:r w:rsidR="00526BF5">
        <w:t>he</w:t>
      </w:r>
      <w:r w:rsidR="00DD218F">
        <w:t xml:space="preserve"> depiction of foreigners in art </w:t>
      </w:r>
      <w:r w:rsidR="00526BF5">
        <w:t>allowed</w:t>
      </w:r>
      <w:r w:rsidR="00DD218F">
        <w:t xml:space="preserve"> Egypt to expand upon </w:t>
      </w:r>
      <w:r w:rsidR="00526BF5">
        <w:t>its own</w:t>
      </w:r>
      <w:r w:rsidR="00DD218F">
        <w:t xml:space="preserve"> </w:t>
      </w:r>
      <w:r w:rsidR="00526BF5">
        <w:t>understanding</w:t>
      </w:r>
      <w:r w:rsidR="00DD218F">
        <w:t xml:space="preserve"> o</w:t>
      </w:r>
      <w:r w:rsidR="00526BF5">
        <w:t>f their</w:t>
      </w:r>
      <w:r w:rsidR="00DD218F">
        <w:t xml:space="preserve"> </w:t>
      </w:r>
      <w:r w:rsidR="00526BF5">
        <w:t xml:space="preserve">identity. </w:t>
      </w:r>
      <w:r w:rsidR="009E4446">
        <w:t xml:space="preserve"> This can be seen through several means but the most obvious is how </w:t>
      </w:r>
      <w:r w:rsidR="00726A04">
        <w:t>they were coloured in art. Egyptians were red, Li</w:t>
      </w:r>
      <w:r w:rsidR="00991BE4">
        <w:t xml:space="preserve">byans and </w:t>
      </w:r>
      <w:r w:rsidR="00B8252B">
        <w:t xml:space="preserve">Asiatics </w:t>
      </w:r>
      <w:r w:rsidR="00991BE4">
        <w:t xml:space="preserve">were yellow and </w:t>
      </w:r>
      <w:r w:rsidR="00B8252B">
        <w:t>Nubians black</w:t>
      </w:r>
      <w:r w:rsidR="00C93471">
        <w:t xml:space="preserve"> </w:t>
      </w:r>
      <w:r w:rsidR="00C93471" w:rsidRPr="00C93471">
        <w:t>(Patch and Allon</w:t>
      </w:r>
      <w:r w:rsidR="008747E1">
        <w:t>, 2016</w:t>
      </w:r>
      <w:r w:rsidR="00C93471" w:rsidRPr="00C93471">
        <w:t>)</w:t>
      </w:r>
      <w:r w:rsidR="008747E1">
        <w:t>.</w:t>
      </w:r>
      <w:r w:rsidR="00291CD5">
        <w:t xml:space="preserve"> In addition to this further art was added for physical differences such as hair </w:t>
      </w:r>
      <w:r w:rsidR="000F79CB">
        <w:t>and cultural i</w:t>
      </w:r>
      <w:r w:rsidR="009A38D7">
        <w:t>conography</w:t>
      </w:r>
      <w:r w:rsidR="000F79CB">
        <w:t xml:space="preserve"> </w:t>
      </w:r>
      <w:r w:rsidR="000168F5">
        <w:t xml:space="preserve">images. </w:t>
      </w:r>
      <w:r w:rsidR="00631B05">
        <w:t xml:space="preserve">This demonstrates and understanding of ethnic </w:t>
      </w:r>
      <w:r w:rsidR="003E541A">
        <w:t>identity.</w:t>
      </w:r>
      <w:r w:rsidR="0048087F">
        <w:t xml:space="preserve"> </w:t>
      </w:r>
      <w:r w:rsidR="00125803">
        <w:t>T</w:t>
      </w:r>
      <w:r w:rsidR="00233239">
        <w:t xml:space="preserve">hey used the natural geography of their environments to separate themselves from their neighbours the most notable of this being the cataracts of the Nile. </w:t>
      </w:r>
      <w:r w:rsidR="004D628D">
        <w:t xml:space="preserve">That is however not to say that there </w:t>
      </w:r>
      <w:r w:rsidR="002F31C3">
        <w:t xml:space="preserve">was no cultural </w:t>
      </w:r>
      <w:r w:rsidR="00904ECC">
        <w:t>crossover;</w:t>
      </w:r>
      <w:r w:rsidR="00ED3C2F">
        <w:t xml:space="preserve"> t</w:t>
      </w:r>
      <w:r w:rsidR="005761EE">
        <w:t>here are numerous instances of</w:t>
      </w:r>
      <w:r w:rsidR="00B33B48">
        <w:t xml:space="preserve"> cultural </w:t>
      </w:r>
      <w:r w:rsidR="00860372">
        <w:t>assimilation: from</w:t>
      </w:r>
      <w:r w:rsidR="005761EE">
        <w:t xml:space="preserve"> </w:t>
      </w:r>
      <w:r w:rsidR="00DD1767">
        <w:t>mixed iconography</w:t>
      </w:r>
      <w:r w:rsidR="00286AA0">
        <w:t xml:space="preserve"> in their art and </w:t>
      </w:r>
      <w:r w:rsidR="00311284">
        <w:t>architecture</w:t>
      </w:r>
      <w:r w:rsidR="00B33B48">
        <w:t xml:space="preserve">, </w:t>
      </w:r>
      <w:r w:rsidR="00DD1767">
        <w:t>foreign Pharaohs</w:t>
      </w:r>
      <w:r w:rsidR="00F92254">
        <w:t xml:space="preserve"> </w:t>
      </w:r>
      <w:r w:rsidR="00311284">
        <w:t xml:space="preserve">from Libya and Persia, including the Kushite kings, </w:t>
      </w:r>
      <w:r w:rsidR="00B33B48">
        <w:t>and even the introduc</w:t>
      </w:r>
      <w:r w:rsidR="00904ECC">
        <w:t>tion</w:t>
      </w:r>
      <w:r w:rsidR="00B33B48">
        <w:t xml:space="preserve"> of the horse and chariot</w:t>
      </w:r>
      <w:r w:rsidR="0061168B">
        <w:t xml:space="preserve"> </w:t>
      </w:r>
      <w:r w:rsidR="0061168B" w:rsidRPr="0061168B">
        <w:t>(Schneider</w:t>
      </w:r>
      <w:r w:rsidR="00153EEA">
        <w:t>, 2003</w:t>
      </w:r>
      <w:r w:rsidR="0061168B" w:rsidRPr="0061168B">
        <w:t>)</w:t>
      </w:r>
      <w:r w:rsidR="006D66FD">
        <w:t xml:space="preserve"> in the early 17</w:t>
      </w:r>
      <w:r w:rsidR="006D66FD" w:rsidRPr="006D66FD">
        <w:rPr>
          <w:vertAlign w:val="superscript"/>
        </w:rPr>
        <w:t>th</w:t>
      </w:r>
      <w:r w:rsidR="006D66FD">
        <w:t xml:space="preserve"> Century BC.</w:t>
      </w:r>
      <w:r w:rsidR="00513F23">
        <w:t xml:space="preserve"> Th</w:t>
      </w:r>
      <w:r w:rsidR="00F916C1">
        <w:t xml:space="preserve">is introduction demonstrates the complexity of the Egyptians </w:t>
      </w:r>
      <w:r w:rsidR="00EA231F">
        <w:t>relationship</w:t>
      </w:r>
      <w:r w:rsidR="00F916C1">
        <w:t xml:space="preserve"> with the world around </w:t>
      </w:r>
      <w:r w:rsidR="00EA231F">
        <w:t>them</w:t>
      </w:r>
      <w:r w:rsidR="00F916C1">
        <w:t xml:space="preserve"> and how</w:t>
      </w:r>
      <w:r w:rsidR="00EA231F">
        <w:t xml:space="preserve"> cultural assimilation was practiced and accepted despite the concept of Isfet and Ma’at acting as a cultural barrier. </w:t>
      </w:r>
    </w:p>
    <w:p w14:paraId="5DFF4598" w14:textId="74865FD5" w:rsidR="00DA42FE" w:rsidRDefault="003B7C4B" w:rsidP="0061168B">
      <w:r>
        <w:t xml:space="preserve"> </w:t>
      </w:r>
      <w:r w:rsidR="00C719BF">
        <w:t xml:space="preserve"> </w:t>
      </w:r>
    </w:p>
    <w:p w14:paraId="13FEAAEE" w14:textId="486AF2F5" w:rsidR="009D6996" w:rsidRDefault="009D6996" w:rsidP="009129E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6C59FC61" wp14:editId="041841FB">
                <wp:simplePos x="0" y="0"/>
                <wp:positionH relativeFrom="margin">
                  <wp:align>left</wp:align>
                </wp:positionH>
                <wp:positionV relativeFrom="paragraph">
                  <wp:posOffset>2359094</wp:posOffset>
                </wp:positionV>
                <wp:extent cx="2538095" cy="173355"/>
                <wp:effectExtent l="0" t="0" r="14605" b="17145"/>
                <wp:wrapTight wrapText="bothSides">
                  <wp:wrapPolygon edited="0">
                    <wp:start x="0" y="0"/>
                    <wp:lineTo x="0" y="21363"/>
                    <wp:lineTo x="21562" y="21363"/>
                    <wp:lineTo x="21562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095" cy="173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C09D5" w14:textId="6FE99D28" w:rsidR="008B2F49" w:rsidRPr="006B36E2" w:rsidRDefault="00762461" w:rsidP="008B2F4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6B36E2">
                              <w:rPr>
                                <w:sz w:val="10"/>
                                <w:szCs w:val="10"/>
                              </w:rPr>
                              <w:t xml:space="preserve">Figure </w:t>
                            </w:r>
                            <w:r w:rsidR="006B36E2" w:rsidRPr="006B36E2">
                              <w:rPr>
                                <w:sz w:val="10"/>
                                <w:szCs w:val="10"/>
                              </w:rPr>
                              <w:t>1: Image</w:t>
                            </w:r>
                            <w:r w:rsidRPr="006B36E2">
                              <w:rPr>
                                <w:sz w:val="10"/>
                                <w:szCs w:val="10"/>
                              </w:rPr>
                              <w:t xml:space="preserve"> of </w:t>
                            </w:r>
                            <w:r w:rsidR="0030374F" w:rsidRPr="006B36E2">
                              <w:rPr>
                                <w:sz w:val="10"/>
                                <w:szCs w:val="10"/>
                              </w:rPr>
                              <w:t xml:space="preserve">man with Assyrian and Egyptian </w:t>
                            </w:r>
                            <w:r w:rsidR="001C2206" w:rsidRPr="006B36E2">
                              <w:rPr>
                                <w:sz w:val="10"/>
                                <w:szCs w:val="10"/>
                              </w:rPr>
                              <w:t xml:space="preserve">iconography </w:t>
                            </w:r>
                            <w:r w:rsidR="008B2F49" w:rsidRPr="006B36E2">
                              <w:rPr>
                                <w:sz w:val="10"/>
                                <w:szCs w:val="10"/>
                              </w:rPr>
                              <w:t>(J. Liepe</w:t>
                            </w:r>
                            <w:r w:rsidR="006B36E2" w:rsidRPr="006B36E2">
                              <w:rPr>
                                <w:sz w:val="10"/>
                                <w:szCs w:val="10"/>
                              </w:rPr>
                              <w:t>, et al. 2012)</w:t>
                            </w:r>
                          </w:p>
                          <w:p w14:paraId="7A094467" w14:textId="16D2007B" w:rsidR="00762461" w:rsidRDefault="007624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9FC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5.75pt;width:199.85pt;height:13.65pt;z-index:-2516561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">
                <v:textbox>
                  <w:txbxContent>
                    <w:p w14:paraId="26BC09D5" w14:textId="6FE99D28" w:rsidR="008B2F49" w:rsidRPr="006B36E2" w:rsidRDefault="00762461" w:rsidP="008B2F49">
                      <w:pPr>
                        <w:rPr>
                          <w:sz w:val="10"/>
                          <w:szCs w:val="10"/>
                        </w:rPr>
                      </w:pPr>
                      <w:r w:rsidRPr="006B36E2">
                        <w:rPr>
                          <w:sz w:val="10"/>
                          <w:szCs w:val="10"/>
                        </w:rPr>
                        <w:t xml:space="preserve">Figure </w:t>
                      </w:r>
                      <w:r w:rsidR="006B36E2" w:rsidRPr="006B36E2">
                        <w:rPr>
                          <w:sz w:val="10"/>
                          <w:szCs w:val="10"/>
                        </w:rPr>
                        <w:t>1: Image</w:t>
                      </w:r>
                      <w:r w:rsidRPr="006B36E2">
                        <w:rPr>
                          <w:sz w:val="10"/>
                          <w:szCs w:val="10"/>
                        </w:rPr>
                        <w:t xml:space="preserve"> of </w:t>
                      </w:r>
                      <w:r w:rsidR="0030374F" w:rsidRPr="006B36E2">
                        <w:rPr>
                          <w:sz w:val="10"/>
                          <w:szCs w:val="10"/>
                        </w:rPr>
                        <w:t xml:space="preserve">man with Assyrian and Egyptian </w:t>
                      </w:r>
                      <w:r w:rsidR="001C2206" w:rsidRPr="006B36E2">
                        <w:rPr>
                          <w:sz w:val="10"/>
                          <w:szCs w:val="10"/>
                        </w:rPr>
                        <w:t xml:space="preserve">iconography </w:t>
                      </w:r>
                      <w:r w:rsidR="008B2F49" w:rsidRPr="006B36E2">
                        <w:rPr>
                          <w:sz w:val="10"/>
                          <w:szCs w:val="10"/>
                        </w:rPr>
                        <w:t>(J. Liepe</w:t>
                      </w:r>
                      <w:r w:rsidR="006B36E2" w:rsidRPr="006B36E2">
                        <w:rPr>
                          <w:sz w:val="10"/>
                          <w:szCs w:val="10"/>
                        </w:rPr>
                        <w:t>, et al. 2012)</w:t>
                      </w:r>
                    </w:p>
                    <w:p w14:paraId="7A094467" w14:textId="16D2007B" w:rsidR="00762461" w:rsidRDefault="00762461"/>
                  </w:txbxContent>
                </v:textbox>
                <w10:wrap type="tight" anchorx="margin"/>
              </v:shape>
            </w:pict>
          </mc:Fallback>
        </mc:AlternateContent>
      </w:r>
      <w:r w:rsidR="00F57F0A">
        <w:t>The concept of two most commonly depicted via the concept of Ma’at and</w:t>
      </w:r>
      <w:r w:rsidR="004A0A2A">
        <w:t xml:space="preserve"> Isfet is crucial for understanding Egyptian cultural identity</w:t>
      </w:r>
      <w:r w:rsidR="003F71C0">
        <w:t xml:space="preserve">. The characterisation of ‘Egyptian’ and ‘other’ </w:t>
      </w:r>
      <w:r w:rsidR="004273FD">
        <w:t xml:space="preserve">inevitably results in an understanding of differences </w:t>
      </w:r>
      <w:r w:rsidR="004714D1">
        <w:t xml:space="preserve">(Taylor, 2014) </w:t>
      </w:r>
      <w:r w:rsidR="004273FD">
        <w:t>which can be seen by the characterisation of other cultures within Egyptian art</w:t>
      </w:r>
      <w:r w:rsidR="004714D1">
        <w:t xml:space="preserve">. </w:t>
      </w:r>
      <w:r w:rsidR="00DF492F">
        <w:t xml:space="preserve">The people depicted in Egyptian art </w:t>
      </w:r>
      <w:r w:rsidR="00BF2286">
        <w:t>is most easily characterised by colour</w:t>
      </w:r>
      <w:r w:rsidR="00BF643B">
        <w:t xml:space="preserve">. </w:t>
      </w:r>
      <w:r w:rsidR="00CA585F">
        <w:t>The Egyptian understanding of colour was unique to how we understand it today</w:t>
      </w:r>
      <w:r w:rsidR="009129E5">
        <w:t xml:space="preserve"> </w:t>
      </w:r>
      <w:r w:rsidR="009129E5" w:rsidRPr="009129E5">
        <w:t>(Shiyanthi Thavapalan and Warburton</w:t>
      </w:r>
      <w:r w:rsidR="00686FBB">
        <w:t>, 2019</w:t>
      </w:r>
      <w:r w:rsidR="00235726">
        <w:t>)</w:t>
      </w:r>
      <w:r w:rsidR="00822F98">
        <w:t xml:space="preserve"> and is largely reliant upon </w:t>
      </w:r>
      <w:r w:rsidR="00377789">
        <w:t>geography-based</w:t>
      </w:r>
      <w:r w:rsidR="00822F98">
        <w:t xml:space="preserve"> understanding of language. In addition to colour there are others such a</w:t>
      </w:r>
      <w:r w:rsidR="00E53F5C">
        <w:t xml:space="preserve">s </w:t>
      </w:r>
      <w:r w:rsidR="00822F98">
        <w:t>facial features, hair differences, tattoos and clothing.</w:t>
      </w:r>
      <w:r w:rsidR="00862E57">
        <w:t xml:space="preserve"> </w:t>
      </w:r>
      <w:r w:rsidR="00206FCD">
        <w:t>Despite the Egyptians</w:t>
      </w:r>
      <w:r w:rsidR="00862E57">
        <w:t xml:space="preserve"> perpetuating negative ethnic </w:t>
      </w:r>
      <w:r w:rsidR="000D3609">
        <w:t>stereotypes,</w:t>
      </w:r>
      <w:r w:rsidR="00862E57">
        <w:t xml:space="preserve"> </w:t>
      </w:r>
      <w:r w:rsidR="00175C86">
        <w:t xml:space="preserve">the reality of interaction </w:t>
      </w:r>
      <w:r w:rsidR="000D3609">
        <w:t>had</w:t>
      </w:r>
      <w:r w:rsidR="00175C86">
        <w:t xml:space="preserve"> largely more </w:t>
      </w:r>
      <w:r w:rsidR="00491A03">
        <w:t>positive interethnic connection</w:t>
      </w:r>
      <w:r w:rsidR="00CB4BF2">
        <w:t xml:space="preserve"> (Smith, 2018)</w:t>
      </w:r>
      <w:r w:rsidR="00B73E31">
        <w:t xml:space="preserve"> </w:t>
      </w:r>
      <w:r w:rsidR="004D5BFF">
        <w:t>widely</w:t>
      </w:r>
      <w:r w:rsidR="00B73E31">
        <w:t xml:space="preserve"> irrespective of its imperialism nature especially in the later periods. </w:t>
      </w:r>
      <w:r w:rsidR="001F4843">
        <w:t xml:space="preserve">The actuality of Egyptian interaction with the </w:t>
      </w:r>
      <w:r w:rsidR="004012E8">
        <w:t xml:space="preserve">wider world was largely peaceful, however </w:t>
      </w:r>
      <w:r w:rsidR="001C6456">
        <w:t>it is</w:t>
      </w:r>
      <w:r w:rsidR="004012E8">
        <w:t xml:space="preserve"> still </w:t>
      </w:r>
      <w:r w:rsidR="00AC6D29">
        <w:t>important</w:t>
      </w:r>
      <w:r w:rsidR="004012E8">
        <w:t xml:space="preserve"> to not the imperialistic nature </w:t>
      </w:r>
      <w:r w:rsidR="00AC6D29">
        <w:t xml:space="preserve">and attempted conquest of their neighbours. With this point one questions how conquered neighbours would dissimilate into Egyptian culture. Or how more peaceful assimilation from immigration was handled. </w:t>
      </w:r>
      <w:r w:rsidR="004F6E90">
        <w:t>Ma’at,</w:t>
      </w:r>
      <w:r w:rsidR="00F94341">
        <w:t xml:space="preserve"> </w:t>
      </w:r>
      <w:r w:rsidR="00AC6D29">
        <w:t>i</w:t>
      </w:r>
      <w:r w:rsidR="00084523">
        <w:t>n</w:t>
      </w:r>
      <w:r w:rsidR="00AC6D29">
        <w:t xml:space="preserve"> case </w:t>
      </w:r>
      <w:r w:rsidR="00E828C1">
        <w:t xml:space="preserve">we must remember what makes an Egyptian is Ma’at, therefore if one where to accept and live within the </w:t>
      </w:r>
      <w:r w:rsidRPr="00ED6E4C">
        <w:rPr>
          <w:noProof/>
        </w:rPr>
        <w:drawing>
          <wp:anchor distT="0" distB="0" distL="114300" distR="114300" simplePos="0" relativeHeight="251658240" behindDoc="1" locked="0" layoutInCell="1" allowOverlap="1" wp14:anchorId="6A6A4585" wp14:editId="733B9456">
            <wp:simplePos x="0" y="0"/>
            <wp:positionH relativeFrom="column">
              <wp:posOffset>0</wp:posOffset>
            </wp:positionH>
            <wp:positionV relativeFrom="paragraph">
              <wp:posOffset>472</wp:posOffset>
            </wp:positionV>
            <wp:extent cx="2538433" cy="2396128"/>
            <wp:effectExtent l="0" t="0" r="0" b="4445"/>
            <wp:wrapTight wrapText="bothSides">
              <wp:wrapPolygon edited="0">
                <wp:start x="0" y="0"/>
                <wp:lineTo x="0" y="21468"/>
                <wp:lineTo x="21400" y="21468"/>
                <wp:lineTo x="21400" y="0"/>
                <wp:lineTo x="0" y="0"/>
              </wp:wrapPolygon>
            </wp:wrapTight>
            <wp:docPr id="174404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0402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433" cy="2396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8C1">
        <w:t xml:space="preserve">concept of </w:t>
      </w:r>
      <w:r w:rsidR="00E828C1">
        <w:lastRenderedPageBreak/>
        <w:t xml:space="preserve">Ma’at they became Egyptian. </w:t>
      </w:r>
      <w:r w:rsidR="00162940">
        <w:t>Often,</w:t>
      </w:r>
      <w:r w:rsidR="00EA54D6">
        <w:t xml:space="preserve"> they changed names, this can be seen from soldiers to princesses that came to Egypt through diplomatic ties. </w:t>
      </w:r>
      <w:r w:rsidR="00AA2E3D">
        <w:t xml:space="preserve">Often this resulted in loosing track of these peoples through texts once they changed names. </w:t>
      </w:r>
      <w:r w:rsidR="00E27415">
        <w:t xml:space="preserve"> </w:t>
      </w:r>
      <w:r w:rsidR="009E284E">
        <w:t xml:space="preserve">The process of assimilation can be seen via </w:t>
      </w:r>
      <w:r w:rsidR="001F23A6">
        <w:t xml:space="preserve">figure </w:t>
      </w:r>
      <w:r w:rsidR="0090364F">
        <w:t>1, which depicts a man drinking beer the Assyrian way and has both Egyptian and Assyrian iconography</w:t>
      </w:r>
      <w:r w:rsidR="00F27E5F">
        <w:t xml:space="preserve"> which further demonstrates the assimilation of </w:t>
      </w:r>
      <w:r>
        <w:t>cultures</w:t>
      </w:r>
      <w:r w:rsidR="00F27E5F">
        <w:t xml:space="preserve"> </w:t>
      </w:r>
      <w:r>
        <w:t xml:space="preserve">within Egypt. </w:t>
      </w:r>
    </w:p>
    <w:p w14:paraId="6C61102D" w14:textId="0885EDAC" w:rsidR="004D2A58" w:rsidRPr="000C4087" w:rsidRDefault="006803B9" w:rsidP="000C4087">
      <w:r>
        <w:t>The Ni</w:t>
      </w:r>
      <w:r w:rsidR="00F55952">
        <w:t>le served as a vital internal trade route from the North to the Mediterranean to the south to Nubia</w:t>
      </w:r>
      <w:r w:rsidR="0020526F">
        <w:t xml:space="preserve">. The red sea enabled trade to Assyria. </w:t>
      </w:r>
      <w:r w:rsidR="005D5828">
        <w:t xml:space="preserve">Egypt served as a crossing between </w:t>
      </w:r>
      <w:r w:rsidR="00BE5E28">
        <w:t>the Levant</w:t>
      </w:r>
      <w:r w:rsidR="005D5828">
        <w:t xml:space="preserve"> and </w:t>
      </w:r>
      <w:r w:rsidR="00DE4AE4">
        <w:t xml:space="preserve">Africa. </w:t>
      </w:r>
      <w:r w:rsidR="00A720EB">
        <w:t>Therefore,</w:t>
      </w:r>
      <w:r w:rsidR="00BE5E28">
        <w:t xml:space="preserve"> despite </w:t>
      </w:r>
      <w:r w:rsidR="00CD61A7">
        <w:t>the Egyptian dislike of foreigners, it stands to reason that they saw many travellers and traders.</w:t>
      </w:r>
      <w:r w:rsidR="00084523">
        <w:t xml:space="preserve"> As a </w:t>
      </w:r>
      <w:r w:rsidR="00FD3A38">
        <w:t>result,</w:t>
      </w:r>
      <w:r w:rsidR="00084523">
        <w:t xml:space="preserve"> the </w:t>
      </w:r>
      <w:r w:rsidR="00FD3A38">
        <w:t xml:space="preserve">aggression towards foreigners, as suggested with the nine bows, was likely more an ideal rather than actuality.  </w:t>
      </w:r>
      <w:r w:rsidR="00686883">
        <w:t>The nine bows we</w:t>
      </w:r>
      <w:r w:rsidR="007F0F52">
        <w:t>re a ter</w:t>
      </w:r>
      <w:r w:rsidR="00FD3A38">
        <w:t xml:space="preserve">m </w:t>
      </w:r>
      <w:r w:rsidR="007F0F52">
        <w:t>used by the Egyptians to describe the adversaries of Egypt</w:t>
      </w:r>
      <w:r w:rsidR="006B1B9C">
        <w:t xml:space="preserve"> which included the p</w:t>
      </w:r>
      <w:r w:rsidR="00FD3A38">
        <w:t>eople</w:t>
      </w:r>
      <w:r w:rsidR="006B1B9C">
        <w:t xml:space="preserve"> of Nubia and the </w:t>
      </w:r>
      <w:r w:rsidR="00DC2A01">
        <w:t>Levant</w:t>
      </w:r>
      <w:r w:rsidR="00FD3A38">
        <w:t xml:space="preserve"> and numerous other</w:t>
      </w:r>
      <w:r w:rsidR="00DC2A01">
        <w:t>,</w:t>
      </w:r>
      <w:r w:rsidR="006B1B9C">
        <w:t xml:space="preserve"> but also interestingly upper and lower Egypt were included. </w:t>
      </w:r>
      <w:r w:rsidR="004C654C">
        <w:t xml:space="preserve">Whilst the idea of the nine bows seems quite specific </w:t>
      </w:r>
      <w:r w:rsidR="007E7869">
        <w:t>however the Egyptians had different understandings then</w:t>
      </w:r>
      <w:r w:rsidR="00294D72">
        <w:t xml:space="preserve"> us. Zein describes this </w:t>
      </w:r>
      <w:r w:rsidR="004F4CA4">
        <w:t>as ‘</w:t>
      </w:r>
      <w:r w:rsidR="004F4CA4" w:rsidRPr="004F4CA4">
        <w:t>For the ancient Egyptians, three was used for ‘plural’, and nine was therefore the ‘plural of plurals’ which expresses the meaning of totality.</w:t>
      </w:r>
      <w:r w:rsidR="004F4CA4">
        <w:t>’</w:t>
      </w:r>
      <w:r w:rsidR="00B24694" w:rsidRPr="00B24694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B24694" w:rsidRPr="00B24694">
        <w:t>(Zein, 2021)</w:t>
      </w:r>
      <w:r w:rsidR="00B24694">
        <w:t xml:space="preserve">. </w:t>
      </w:r>
      <w:r w:rsidR="00D95364">
        <w:t xml:space="preserve">This explanation means that it was not necessarily nine enemies but the totality of enemies </w:t>
      </w:r>
      <w:r w:rsidR="009F09C5">
        <w:t>and the battle between Ma’at and Isfet.</w:t>
      </w:r>
      <w:r w:rsidR="00AC7A84">
        <w:t xml:space="preserve"> </w:t>
      </w:r>
      <w:r w:rsidR="0006617F">
        <w:t xml:space="preserve">This </w:t>
      </w:r>
      <w:r w:rsidR="00462B8A">
        <w:t>relates back to</w:t>
      </w:r>
      <w:r w:rsidR="00F66132">
        <w:t xml:space="preserve"> how</w:t>
      </w:r>
      <w:r w:rsidR="00462B8A">
        <w:t xml:space="preserve"> </w:t>
      </w:r>
      <w:r w:rsidR="00B11B6A">
        <w:t xml:space="preserve">Egyptians perceive the world around them and the relationship between them and their neighbours. </w:t>
      </w:r>
      <w:r w:rsidR="004F3A3A">
        <w:t>This concept of the enemies and Isfet can be seen in</w:t>
      </w:r>
      <w:r w:rsidR="00912428">
        <w:t xml:space="preserve"> certain artefacts such as Tutankhamun’s sandals where there is iconography of the ‘enemies’ presented on them. The visual impact of him stepping on them every time he walks is </w:t>
      </w:r>
      <w:r w:rsidR="009F4895">
        <w:t xml:space="preserve">instrumental to the continuation of the ideology </w:t>
      </w:r>
      <w:r w:rsidR="007517C2">
        <w:t xml:space="preserve">the Pharaoh smiting the foreigners and Egyptian superiority due to the idea of Ma’at and Isfet. </w:t>
      </w:r>
    </w:p>
    <w:p w14:paraId="6812A789" w14:textId="225539ED" w:rsidR="0095323B" w:rsidRDefault="009C0A12" w:rsidP="00831392">
      <w:r>
        <w:t>The Libyans inhabited the We</w:t>
      </w:r>
      <w:r w:rsidR="00972A64">
        <w:t>s</w:t>
      </w:r>
      <w:r>
        <w:t xml:space="preserve">tern </w:t>
      </w:r>
      <w:r w:rsidR="00972A64">
        <w:t xml:space="preserve">desert however they did not have a written language to conceptualise their own </w:t>
      </w:r>
      <w:r w:rsidR="007E76EF">
        <w:t>identity,</w:t>
      </w:r>
      <w:r w:rsidR="00193986">
        <w:t xml:space="preserve"> so archaeologists are left to conceptualise with Egyptian information</w:t>
      </w:r>
      <w:r w:rsidR="007E76EF">
        <w:t>.</w:t>
      </w:r>
      <w:r w:rsidR="00065E9B">
        <w:t xml:space="preserve"> The Egyptians interactions </w:t>
      </w:r>
      <w:r w:rsidR="00C901C6">
        <w:t xml:space="preserve">were often classified as </w:t>
      </w:r>
      <w:r w:rsidR="0005287E">
        <w:t>negative especially in context of war</w:t>
      </w:r>
      <w:r w:rsidR="00957B04">
        <w:t>. They destroyed and burnt pots and figurines with the Libyans names upon them,</w:t>
      </w:r>
      <w:r w:rsidR="00F977EF">
        <w:t xml:space="preserve"> believing this destroyed the threat the</w:t>
      </w:r>
      <w:r w:rsidR="003B73CE">
        <w:t xml:space="preserve"> Libyans </w:t>
      </w:r>
      <w:r w:rsidR="00F977EF">
        <w:t xml:space="preserve">posed </w:t>
      </w:r>
      <w:r w:rsidR="00F977EF" w:rsidRPr="007E76EF">
        <w:t>(Woodcock, 2014)</w:t>
      </w:r>
      <w:r w:rsidR="00F977EF">
        <w:t xml:space="preserve">. </w:t>
      </w:r>
      <w:r w:rsidR="00972796">
        <w:t xml:space="preserve"> </w:t>
      </w:r>
      <w:r w:rsidR="00BC6D4A">
        <w:t xml:space="preserve">This </w:t>
      </w:r>
      <w:r w:rsidR="002E13AF">
        <w:t>demonstrates</w:t>
      </w:r>
      <w:r w:rsidR="00BC6D4A">
        <w:t xml:space="preserve"> </w:t>
      </w:r>
      <w:r w:rsidR="002A1D40">
        <w:t>the cultural and religious aspect of differentiation between cultures and the rest of the world</w:t>
      </w:r>
      <w:r w:rsidR="006935D6">
        <w:t xml:space="preserve">. However not all interactions where </w:t>
      </w:r>
      <w:r w:rsidR="006B44ED">
        <w:t>negative;</w:t>
      </w:r>
      <w:r w:rsidR="00370066">
        <w:t xml:space="preserve"> along the western </w:t>
      </w:r>
      <w:r w:rsidR="004A175E">
        <w:t>desert</w:t>
      </w:r>
      <w:r w:rsidR="00370066">
        <w:t xml:space="preserve"> border there was often trade</w:t>
      </w:r>
      <w:r w:rsidR="00DC21F4">
        <w:t xml:space="preserve"> of cattle and manufactured goods</w:t>
      </w:r>
      <w:r w:rsidR="006B44ED">
        <w:t xml:space="preserve"> </w:t>
      </w:r>
      <w:r w:rsidR="006B44ED" w:rsidRPr="006B44ED">
        <w:t>(Expedition Magazine, 2026)</w:t>
      </w:r>
      <w:r w:rsidR="00DC21F4">
        <w:t xml:space="preserve"> despite the contest of various Libyan tribes and Egyptians</w:t>
      </w:r>
      <w:r w:rsidR="006B44ED">
        <w:t>.</w:t>
      </w:r>
    </w:p>
    <w:p w14:paraId="4DCD553A" w14:textId="6E1A95A5" w:rsidR="009567D5" w:rsidRDefault="00975CB6" w:rsidP="00831392">
      <w:r>
        <w:t>Egypt had a unique geopolitical relations</w:t>
      </w:r>
      <w:r w:rsidR="00D740B7">
        <w:t>hip</w:t>
      </w:r>
      <w:r w:rsidR="00B04ED9">
        <w:t xml:space="preserve"> with the Asiatics</w:t>
      </w:r>
      <w:r w:rsidR="000A5AB8">
        <w:t>, joined by a</w:t>
      </w:r>
      <w:r w:rsidR="00D46D79">
        <w:t xml:space="preserve"> land</w:t>
      </w:r>
      <w:r w:rsidR="000A5AB8">
        <w:t xml:space="preserve"> bridge from Asia to Africa</w:t>
      </w:r>
      <w:r w:rsidR="00141CAC">
        <w:t xml:space="preserve"> but </w:t>
      </w:r>
      <w:r w:rsidR="000934CE">
        <w:t xml:space="preserve">the Sinai desert made direct contact difficult. </w:t>
      </w:r>
      <w:r w:rsidR="000C211D">
        <w:t xml:space="preserve">This geographical difficulty </w:t>
      </w:r>
      <w:r w:rsidR="002B2E2D">
        <w:t>meant that the Asiatics became essential for trade</w:t>
      </w:r>
      <w:r w:rsidR="005E10A4">
        <w:t xml:space="preserve"> </w:t>
      </w:r>
      <w:r w:rsidR="005E10A4" w:rsidRPr="005E10A4">
        <w:t>(Elat, 1978)</w:t>
      </w:r>
      <w:r w:rsidR="009711A7">
        <w:t xml:space="preserve"> and eventually formed a ‘brotherhood’ between Egypt and Asiatic nations.</w:t>
      </w:r>
      <w:r w:rsidR="00B77937">
        <w:t xml:space="preserve"> </w:t>
      </w:r>
      <w:r w:rsidR="008A34AF">
        <w:t>However,</w:t>
      </w:r>
      <w:r w:rsidR="00B77937">
        <w:t xml:space="preserve"> there were not </w:t>
      </w:r>
      <w:r w:rsidR="004B2BDD">
        <w:t xml:space="preserve">always positive </w:t>
      </w:r>
      <w:r w:rsidR="001A3953">
        <w:t>trade relations</w:t>
      </w:r>
      <w:r w:rsidR="00E052B8">
        <w:t xml:space="preserve"> as there was often conflict between control of trade centres. </w:t>
      </w:r>
      <w:r w:rsidR="008B788A">
        <w:t xml:space="preserve"> During periods of peace the ‘brotherhood’ of interconnected </w:t>
      </w:r>
      <w:r w:rsidR="00FF3C48">
        <w:t xml:space="preserve">rulers was key for diplomacy with goods being traded and gifted around. </w:t>
      </w:r>
      <w:r w:rsidR="00F51C0F">
        <w:t xml:space="preserve">Daughters of rulers were often sent for international marriages however as previously mentioned they often lost their </w:t>
      </w:r>
      <w:r w:rsidR="00B214DE">
        <w:t xml:space="preserve">original names and adopted </w:t>
      </w:r>
      <w:r w:rsidR="00D46383">
        <w:t xml:space="preserve">Egyptian names. </w:t>
      </w:r>
    </w:p>
    <w:p w14:paraId="644A7F2A" w14:textId="445FB5F2" w:rsidR="0095323B" w:rsidRDefault="009A592F" w:rsidP="00831392">
      <w:r>
        <w:t xml:space="preserve"> </w:t>
      </w:r>
      <w:r w:rsidR="00D90CC9">
        <w:t>Located to the south of Egypt was Nubia</w:t>
      </w:r>
      <w:r w:rsidR="00983DCF">
        <w:t xml:space="preserve">, </w:t>
      </w:r>
      <w:r w:rsidR="00425EDB">
        <w:t>there were periods of heavy colonisation</w:t>
      </w:r>
      <w:r w:rsidR="00983DCF">
        <w:t xml:space="preserve"> which created a cultural assimilation. </w:t>
      </w:r>
      <w:r w:rsidR="00C6732B">
        <w:t xml:space="preserve"> </w:t>
      </w:r>
      <w:r w:rsidR="003620E4">
        <w:t xml:space="preserve">This can be seen with </w:t>
      </w:r>
      <w:r w:rsidR="005A25A5">
        <w:t>sudden</w:t>
      </w:r>
      <w:r w:rsidR="003620E4">
        <w:t xml:space="preserve"> decrease </w:t>
      </w:r>
      <w:r w:rsidR="005A25A5">
        <w:t>in indigenous material culture</w:t>
      </w:r>
      <w:r w:rsidR="00986193">
        <w:t xml:space="preserve"> in the New Kingdom era</w:t>
      </w:r>
      <w:r w:rsidR="00B53D7D">
        <w:t xml:space="preserve"> (Pelt, 2013). </w:t>
      </w:r>
      <w:r w:rsidR="008A7DFC">
        <w:t>Reider</w:t>
      </w:r>
      <w:r w:rsidR="00556F61">
        <w:t xml:space="preserve"> 1910, as cited by Pelt 2013 suggests t</w:t>
      </w:r>
      <w:r w:rsidR="0051390C">
        <w:t>hat the assimilation</w:t>
      </w:r>
      <w:r w:rsidR="004B71C0">
        <w:t xml:space="preserve"> was forced not only by military might but also by immigration from </w:t>
      </w:r>
      <w:r w:rsidR="007C324C">
        <w:t>Egyptian families</w:t>
      </w:r>
      <w:r w:rsidR="00196C8D">
        <w:t xml:space="preserve">. </w:t>
      </w:r>
      <w:r w:rsidR="00770CFE">
        <w:t xml:space="preserve">Whilst his other opinions </w:t>
      </w:r>
      <w:r w:rsidR="00EC2D61">
        <w:t xml:space="preserve">are questionable in </w:t>
      </w:r>
      <w:r w:rsidR="0051155E">
        <w:t>today’s</w:t>
      </w:r>
      <w:r w:rsidR="00EC2D61">
        <w:t xml:space="preserve"> society</w:t>
      </w:r>
      <w:r w:rsidR="00311D3B">
        <w:t xml:space="preserve"> </w:t>
      </w:r>
      <w:r w:rsidR="00371E39">
        <w:t xml:space="preserve">and moral </w:t>
      </w:r>
      <w:r w:rsidR="0051155E">
        <w:t xml:space="preserve">values </w:t>
      </w:r>
      <w:r w:rsidR="00371E39">
        <w:t>the idea</w:t>
      </w:r>
      <w:r w:rsidR="005551A3">
        <w:t xml:space="preserve"> of assimilation due to close contact with other cultural technologies</w:t>
      </w:r>
      <w:r w:rsidR="0051155E">
        <w:t>, art and culture</w:t>
      </w:r>
      <w:r w:rsidR="005551A3">
        <w:t xml:space="preserve"> is likely. </w:t>
      </w:r>
      <w:r w:rsidR="00E6406C">
        <w:t xml:space="preserve"> </w:t>
      </w:r>
      <w:r w:rsidR="00C8166D">
        <w:t>However,</w:t>
      </w:r>
      <w:r w:rsidR="006511E2">
        <w:t xml:space="preserve"> it</w:t>
      </w:r>
      <w:r w:rsidR="00C8166D">
        <w:t xml:space="preserve"> i</w:t>
      </w:r>
      <w:r w:rsidR="006511E2">
        <w:t xml:space="preserve">s important to </w:t>
      </w:r>
      <w:r w:rsidR="006664DB">
        <w:t xml:space="preserve">consider that the differentiation of Egyptian and the ‘other’ was more </w:t>
      </w:r>
      <w:r w:rsidR="006664DB">
        <w:lastRenderedPageBreak/>
        <w:t>based on the following of Ma’at then cultural or visual differences. That</w:t>
      </w:r>
      <w:r w:rsidR="00C8166D">
        <w:t xml:space="preserve"> is </w:t>
      </w:r>
      <w:r w:rsidR="006664DB">
        <w:t xml:space="preserve">not to say that </w:t>
      </w:r>
      <w:r w:rsidR="00C8166D">
        <w:t xml:space="preserve">these differences were fully ignored but that </w:t>
      </w:r>
      <w:r w:rsidR="006823C1">
        <w:t xml:space="preserve">the departing from Isfet or chaos was more culturally significant. </w:t>
      </w:r>
    </w:p>
    <w:p w14:paraId="73515FEE" w14:textId="1E855BFF" w:rsidR="00864B39" w:rsidRDefault="00A6590B" w:rsidP="00831392">
      <w:r>
        <w:t>Overall,</w:t>
      </w:r>
      <w:r w:rsidR="00A2103A">
        <w:t xml:space="preserve"> an important factor in </w:t>
      </w:r>
      <w:r w:rsidR="00830ABC">
        <w:t>how</w:t>
      </w:r>
      <w:r w:rsidR="00A2103A">
        <w:t xml:space="preserve"> the </w:t>
      </w:r>
      <w:r w:rsidR="00830ABC">
        <w:t xml:space="preserve">Egyptians understand the world around them and how they contrasted </w:t>
      </w:r>
      <w:r w:rsidR="00EE26BE">
        <w:t>themselves with other p</w:t>
      </w:r>
      <w:r w:rsidR="00CB1C32">
        <w:t>eoples</w:t>
      </w:r>
      <w:r w:rsidR="00EE26BE">
        <w:t xml:space="preserve"> was heavily reliant upon the idea of Ma’at</w:t>
      </w:r>
      <w:r w:rsidR="006946EC">
        <w:t xml:space="preserve"> and their cultural values</w:t>
      </w:r>
      <w:r w:rsidR="00DD084C">
        <w:t>. Egyptian connections</w:t>
      </w:r>
      <w:r w:rsidR="003057D9">
        <w:t xml:space="preserve"> were defined by diplomatic trade and conquest. </w:t>
      </w:r>
      <w:r w:rsidR="007F2716">
        <w:t xml:space="preserve">Ma’at and the continuation of order among chaos was vital to Egyptian culture and heavily influenced how they interacted with people who they believed to live in Isfet or chaos. </w:t>
      </w:r>
    </w:p>
    <w:p w14:paraId="4FCF7B89" w14:textId="77777777" w:rsidR="0095323B" w:rsidRDefault="0095323B" w:rsidP="00831392"/>
    <w:p w14:paraId="08413843" w14:textId="77777777" w:rsidR="0095323B" w:rsidRDefault="0095323B" w:rsidP="00831392"/>
    <w:p w14:paraId="2FC3601A" w14:textId="77777777" w:rsidR="000635F1" w:rsidRDefault="000635F1" w:rsidP="00831392"/>
    <w:p w14:paraId="2FE191F6" w14:textId="77777777" w:rsidR="00DF6AA1" w:rsidRDefault="00DF6AA1" w:rsidP="00342223"/>
    <w:p w14:paraId="28C1819B" w14:textId="77777777" w:rsidR="00DF6AA1" w:rsidRDefault="00DF6AA1" w:rsidP="00342223"/>
    <w:p w14:paraId="6A1535B8" w14:textId="77777777" w:rsidR="00DF6AA1" w:rsidRDefault="00DF6AA1" w:rsidP="00342223"/>
    <w:p w14:paraId="7BF866F1" w14:textId="77777777" w:rsidR="00DF6AA1" w:rsidRDefault="00DF6AA1" w:rsidP="00342223"/>
    <w:p w14:paraId="1A0CD835" w14:textId="77777777" w:rsidR="00DF6AA1" w:rsidRDefault="00DF6AA1" w:rsidP="00342223"/>
    <w:p w14:paraId="1B4B8F90" w14:textId="77777777" w:rsidR="00DF6AA1" w:rsidRDefault="00DF6AA1" w:rsidP="00342223"/>
    <w:p w14:paraId="7703528D" w14:textId="77777777" w:rsidR="00DF6AA1" w:rsidRDefault="00DF6AA1" w:rsidP="00342223"/>
    <w:p w14:paraId="1683B4E8" w14:textId="77777777" w:rsidR="00DF6AA1" w:rsidRDefault="00DF6AA1" w:rsidP="00342223"/>
    <w:p w14:paraId="3B759DA0" w14:textId="77777777" w:rsidR="00DF6AA1" w:rsidRDefault="00DF6AA1" w:rsidP="00342223"/>
    <w:p w14:paraId="145CB5F8" w14:textId="77777777" w:rsidR="00DF6AA1" w:rsidRDefault="00DF6AA1" w:rsidP="00342223"/>
    <w:p w14:paraId="5CDDB42F" w14:textId="77777777" w:rsidR="00DF6AA1" w:rsidRDefault="00DF6AA1" w:rsidP="00342223"/>
    <w:p w14:paraId="4A885B8C" w14:textId="77777777" w:rsidR="00DF6AA1" w:rsidRDefault="00DF6AA1" w:rsidP="00342223"/>
    <w:p w14:paraId="13921FE6" w14:textId="77777777" w:rsidR="00DF6AA1" w:rsidRDefault="00DF6AA1" w:rsidP="00342223"/>
    <w:p w14:paraId="5A94C18F" w14:textId="77777777" w:rsidR="00DF6AA1" w:rsidRDefault="00DF6AA1" w:rsidP="00342223"/>
    <w:p w14:paraId="01FAB6D0" w14:textId="77777777" w:rsidR="00DF6AA1" w:rsidRDefault="00DF6AA1" w:rsidP="00342223"/>
    <w:p w14:paraId="6AF39577" w14:textId="77777777" w:rsidR="00DF6AA1" w:rsidRDefault="00DF6AA1" w:rsidP="00342223"/>
    <w:p w14:paraId="7D474EA5" w14:textId="77777777" w:rsidR="00DF6AA1" w:rsidRDefault="00DF6AA1" w:rsidP="00342223"/>
    <w:p w14:paraId="4656BD5B" w14:textId="77777777" w:rsidR="00DF6AA1" w:rsidRDefault="00DF6AA1" w:rsidP="00342223"/>
    <w:p w14:paraId="29A5D10C" w14:textId="77777777" w:rsidR="00DF6AA1" w:rsidRDefault="00DF6AA1" w:rsidP="00342223"/>
    <w:p w14:paraId="25DCE77E" w14:textId="77777777" w:rsidR="00DF6AA1" w:rsidRDefault="00DF6AA1" w:rsidP="00342223"/>
    <w:p w14:paraId="5053814A" w14:textId="77777777" w:rsidR="00DF6AA1" w:rsidRDefault="00DF6AA1" w:rsidP="00342223"/>
    <w:p w14:paraId="7B0538CF" w14:textId="77777777" w:rsidR="00DF6AA1" w:rsidRDefault="00DF6AA1" w:rsidP="00342223"/>
    <w:p w14:paraId="2C2F7E98" w14:textId="37A974E7" w:rsidR="007378EA" w:rsidRDefault="007378EA" w:rsidP="007378EA">
      <w:r w:rsidRPr="00342223">
        <w:lastRenderedPageBreak/>
        <w:t xml:space="preserve">Cornelius, </w:t>
      </w:r>
      <w:proofErr w:type="spellStart"/>
      <w:r w:rsidRPr="00342223">
        <w:t>Sakkie</w:t>
      </w:r>
      <w:proofErr w:type="spellEnd"/>
      <w:r w:rsidRPr="00342223">
        <w:t xml:space="preserve">. “ANCIENT EGYPT and the OTHER.” </w:t>
      </w:r>
      <w:r w:rsidRPr="00342223">
        <w:rPr>
          <w:i/>
          <w:iCs/>
        </w:rPr>
        <w:t>Scriptura</w:t>
      </w:r>
      <w:r w:rsidRPr="00342223">
        <w:t xml:space="preserve">, vol. 104, no. 0, 12 June 2013, p. 322, </w:t>
      </w:r>
      <w:hyperlink r:id="rId7" w:history="1">
        <w:r w:rsidRPr="00342223">
          <w:rPr>
            <w:rStyle w:val="Hyperlink"/>
          </w:rPr>
          <w:t>https://doi.org/10.7833/104-0-174. Accessed 25 Aug. 2019</w:t>
        </w:r>
      </w:hyperlink>
      <w:r w:rsidRPr="00342223">
        <w:t>.</w:t>
      </w:r>
      <w:r>
        <w:t xml:space="preserve"> </w:t>
      </w:r>
      <w:r w:rsidRPr="00755173">
        <w:t>Accessed 11 Feb. 2026.</w:t>
      </w:r>
    </w:p>
    <w:p w14:paraId="7E2E32D0" w14:textId="01AB4E92" w:rsidR="007378EA" w:rsidRDefault="007378EA" w:rsidP="007378EA">
      <w:r w:rsidRPr="000603A8">
        <w:t>Elat, M. (1978). The Economic Relations of the Neo-Assyrian Empire with Egypt. </w:t>
      </w:r>
      <w:r w:rsidRPr="000603A8">
        <w:rPr>
          <w:i/>
          <w:iCs/>
        </w:rPr>
        <w:t>Journal of the American Oriental Society</w:t>
      </w:r>
      <w:r w:rsidRPr="000603A8">
        <w:t xml:space="preserve">, 98(1), p.20. </w:t>
      </w:r>
      <w:proofErr w:type="spellStart"/>
      <w:proofErr w:type="gramStart"/>
      <w:r w:rsidRPr="000603A8">
        <w:t>doi:https</w:t>
      </w:r>
      <w:proofErr w:type="spellEnd"/>
      <w:r w:rsidRPr="000603A8">
        <w:t>://doi.org/10.2307/600148</w:t>
      </w:r>
      <w:proofErr w:type="gramEnd"/>
      <w:r w:rsidRPr="000603A8">
        <w:t>.</w:t>
      </w:r>
      <w:r>
        <w:t xml:space="preserve"> </w:t>
      </w:r>
      <w:r w:rsidRPr="009B455D">
        <w:t>[Accessed 24 Feb. 2026].</w:t>
      </w:r>
    </w:p>
    <w:p w14:paraId="695FEFC1" w14:textId="1AC777FB" w:rsidR="007378EA" w:rsidRDefault="007378EA" w:rsidP="007378EA">
      <w:r w:rsidRPr="009B455D">
        <w:t>Expedition Magazine. (2026). </w:t>
      </w:r>
      <w:r w:rsidRPr="009B455D">
        <w:rPr>
          <w:i/>
          <w:iCs/>
        </w:rPr>
        <w:t>Expedition Magazine | On Ostrich Eggs and Libyans</w:t>
      </w:r>
      <w:r w:rsidRPr="009B455D">
        <w:t>. [online] Available at: https://www.penn.museum/sites/expedition/14375/ [Accessed 24 Feb. 2026].</w:t>
      </w:r>
    </w:p>
    <w:p w14:paraId="634315D7" w14:textId="2930A88B" w:rsidR="007378EA" w:rsidRDefault="007378EA" w:rsidP="007378EA">
      <w:r w:rsidRPr="001F23A6">
        <w:t xml:space="preserve">J. Liepe; Staatliche </w:t>
      </w:r>
      <w:proofErr w:type="spellStart"/>
      <w:r w:rsidRPr="001F23A6">
        <w:t>Museen</w:t>
      </w:r>
      <w:proofErr w:type="spellEnd"/>
      <w:r w:rsidRPr="001F23A6">
        <w:t xml:space="preserve"> </w:t>
      </w:r>
      <w:proofErr w:type="spellStart"/>
      <w:r w:rsidRPr="001F23A6">
        <w:t>zu</w:t>
      </w:r>
      <w:proofErr w:type="spellEnd"/>
      <w:r w:rsidRPr="001F23A6">
        <w:t xml:space="preserve"> Berlin, </w:t>
      </w:r>
      <w:proofErr w:type="spellStart"/>
      <w:r w:rsidRPr="001F23A6">
        <w:t>Preussischer</w:t>
      </w:r>
      <w:proofErr w:type="spellEnd"/>
      <w:r w:rsidRPr="001F23A6">
        <w:t xml:space="preserve"> </w:t>
      </w:r>
      <w:proofErr w:type="spellStart"/>
      <w:r w:rsidRPr="001F23A6">
        <w:t>Kulturbesitz</w:t>
      </w:r>
      <w:proofErr w:type="spellEnd"/>
      <w:r w:rsidRPr="001F23A6">
        <w:t xml:space="preserve">, </w:t>
      </w:r>
      <w:proofErr w:type="spellStart"/>
      <w:r w:rsidRPr="001F23A6">
        <w:t>Ägyptisches</w:t>
      </w:r>
      <w:proofErr w:type="spellEnd"/>
      <w:r w:rsidRPr="001F23A6">
        <w:t xml:space="preserve"> Museum #14,122. </w:t>
      </w:r>
      <w:r w:rsidRPr="001F23A6">
        <w:rPr>
          <w:i/>
          <w:iCs/>
        </w:rPr>
        <w:t>Drinking Beer with Straw</w:t>
      </w:r>
      <w:r w:rsidRPr="001F23A6">
        <w:t>, 2012, www.flickr.com/photos/ancientartpodcast/8045357681/. Accessed 12 Feb. 2026.</w:t>
      </w:r>
    </w:p>
    <w:p w14:paraId="55DBD022" w14:textId="467D671B" w:rsidR="007378EA" w:rsidRDefault="007378EA" w:rsidP="007378EA">
      <w:r w:rsidRPr="00755173">
        <w:t xml:space="preserve">Patch, Diana, and Niv Allon. “Walk like an Egyptian.” </w:t>
      </w:r>
      <w:r w:rsidRPr="00755173">
        <w:rPr>
          <w:i/>
          <w:iCs/>
        </w:rPr>
        <w:t>The Metropolitan Museum of Art</w:t>
      </w:r>
      <w:r w:rsidRPr="00755173">
        <w:t>, 2016, www.metmuseum.org/-/media/files/about-the-met/curatorial-departments/egyptian/facsimiles/2016-17_walklikeanegyptian_web.pdf?la=en. Accessed 11 Feb. 2026.</w:t>
      </w:r>
    </w:p>
    <w:p w14:paraId="7EA30F51" w14:textId="6C8217E6" w:rsidR="007378EA" w:rsidRDefault="007378EA" w:rsidP="007378EA">
      <w:r>
        <w:t>Paul Van</w:t>
      </w:r>
      <w:r w:rsidRPr="00A63EEA">
        <w:t xml:space="preserve"> Pelt, W.P., 2013. Revising Egypto-Nubian relations in new kingdom lower Nubia: From </w:t>
      </w:r>
      <w:proofErr w:type="spellStart"/>
      <w:r w:rsidRPr="00A63EEA">
        <w:t>Egyptianization</w:t>
      </w:r>
      <w:proofErr w:type="spellEnd"/>
      <w:r w:rsidRPr="00A63EEA">
        <w:t xml:space="preserve"> to cultural entanglement. </w:t>
      </w:r>
      <w:r w:rsidRPr="00A63EEA">
        <w:rPr>
          <w:i/>
          <w:iCs/>
        </w:rPr>
        <w:t>Cambridge Archaeological Journal</w:t>
      </w:r>
      <w:r w:rsidRPr="00A63EEA">
        <w:t>, </w:t>
      </w:r>
      <w:r w:rsidRPr="00A63EEA">
        <w:rPr>
          <w:i/>
          <w:iCs/>
        </w:rPr>
        <w:t>23</w:t>
      </w:r>
      <w:r w:rsidRPr="00A63EEA">
        <w:t>(3), pp.523-550.</w:t>
      </w:r>
      <w:r w:rsidRPr="00B53D7D">
        <w:t xml:space="preserve"> </w:t>
      </w:r>
      <w:r w:rsidRPr="009B455D">
        <w:t>[Accessed 24 Feb. 2026].</w:t>
      </w:r>
    </w:p>
    <w:p w14:paraId="296EE76E" w14:textId="35E09683" w:rsidR="007378EA" w:rsidRDefault="007378EA" w:rsidP="007378EA">
      <w:r w:rsidRPr="005A6C3B">
        <w:t>Smith, Har</w:t>
      </w:r>
      <w:r>
        <w:t>r</w:t>
      </w:r>
      <w:r w:rsidRPr="005A6C3B">
        <w:t>y. “</w:t>
      </w:r>
      <w:proofErr w:type="spellStart"/>
      <w:r w:rsidRPr="005A6C3B">
        <w:t>Ma’et</w:t>
      </w:r>
      <w:proofErr w:type="spellEnd"/>
      <w:r w:rsidRPr="005A6C3B">
        <w:t xml:space="preserve"> and Isfet.” </w:t>
      </w:r>
      <w:r w:rsidRPr="005A6C3B">
        <w:rPr>
          <w:i/>
          <w:iCs/>
        </w:rPr>
        <w:t>THE BULLETIN of the AUSTRALIAN CENTRE for EGYPTOLOGY</w:t>
      </w:r>
      <w:r w:rsidRPr="005A6C3B">
        <w:t xml:space="preserve">, vol. 5, 1 Dec. 1994, pp. 67–88. </w:t>
      </w:r>
      <w:r w:rsidRPr="005A6C3B">
        <w:rPr>
          <w:i/>
          <w:iCs/>
        </w:rPr>
        <w:t>he Australian Centre for Egyptology Macquarie University, North Ryde, N.S.W. 2109, Australia</w:t>
      </w:r>
      <w:r w:rsidRPr="005A6C3B">
        <w:t>, https://doi.org/1035-7254. Accessed 11 Feb. 2026.</w:t>
      </w:r>
    </w:p>
    <w:p w14:paraId="08F6A4AE" w14:textId="62B16D5E" w:rsidR="007378EA" w:rsidRDefault="007378EA" w:rsidP="007378EA">
      <w:r w:rsidRPr="00153EEA">
        <w:t xml:space="preserve">Schneider, Thomas. “FOREIGN EGYPT: EGYPTOLOGY and the CONCEPT of CULTURAL APPROPRIATION.” </w:t>
      </w:r>
      <w:proofErr w:type="spellStart"/>
      <w:r w:rsidRPr="00153EEA">
        <w:rPr>
          <w:i/>
          <w:iCs/>
        </w:rPr>
        <w:t>Ägypten</w:t>
      </w:r>
      <w:proofErr w:type="spellEnd"/>
      <w:r w:rsidRPr="00153EEA">
        <w:rPr>
          <w:i/>
          <w:iCs/>
        </w:rPr>
        <w:t xml:space="preserve"> Und Levante / Egypt and the Levant</w:t>
      </w:r>
      <w:r w:rsidRPr="00153EEA">
        <w:t>, vol. 13, 2003, pp. 155–161, www.jstor.org/stable/23788656. Accessed 11 Feb. 2026.</w:t>
      </w:r>
    </w:p>
    <w:p w14:paraId="0EFC0213" w14:textId="4ED3920E" w:rsidR="007378EA" w:rsidRDefault="007378EA" w:rsidP="007378EA">
      <w:r w:rsidRPr="00342223">
        <w:t xml:space="preserve">Smith, Stuart Tyson. “Ethnicity: Constructions of Self and Other in Ancient Egypt.” </w:t>
      </w:r>
      <w:r w:rsidRPr="00342223">
        <w:rPr>
          <w:i/>
          <w:iCs/>
        </w:rPr>
        <w:t>Journal of Egyptian History</w:t>
      </w:r>
      <w:r w:rsidRPr="00342223">
        <w:t xml:space="preserve">, vol. 11, no. 1-2, 8 Oct. 2018, pp. 113–146, </w:t>
      </w:r>
      <w:hyperlink r:id="rId8" w:history="1">
        <w:r w:rsidRPr="00452269">
          <w:rPr>
            <w:rStyle w:val="Hyperlink"/>
          </w:rPr>
          <w:t>https://doi.org/10.1163/18741665-12340045</w:t>
        </w:r>
      </w:hyperlink>
      <w:r w:rsidRPr="00342223">
        <w:t>.</w:t>
      </w:r>
      <w:r>
        <w:t xml:space="preserve"> </w:t>
      </w:r>
      <w:r w:rsidRPr="00755173">
        <w:t>Accessed 11 Feb. 2026.</w:t>
      </w:r>
    </w:p>
    <w:p w14:paraId="3D881BE3" w14:textId="6F8625A1" w:rsidR="00DF6AA1" w:rsidRDefault="007378EA" w:rsidP="00342223">
      <w:r w:rsidRPr="00620E77">
        <w:t xml:space="preserve">Shiyanthi Thavapalan, and David Warburton. </w:t>
      </w:r>
      <w:r w:rsidRPr="00620E77">
        <w:rPr>
          <w:i/>
          <w:iCs/>
        </w:rPr>
        <w:t xml:space="preserve">The Value of </w:t>
      </w:r>
      <w:proofErr w:type="gramStart"/>
      <w:r w:rsidRPr="00620E77">
        <w:rPr>
          <w:i/>
          <w:iCs/>
        </w:rPr>
        <w:t>Colour :</w:t>
      </w:r>
      <w:proofErr w:type="gramEnd"/>
      <w:r w:rsidRPr="00620E77">
        <w:rPr>
          <w:i/>
          <w:iCs/>
        </w:rPr>
        <w:t xml:space="preserve"> Material and Economic Aspects in the Ancient World</w:t>
      </w:r>
      <w:r w:rsidRPr="00620E77">
        <w:t xml:space="preserve">. Berlin, </w:t>
      </w:r>
      <w:proofErr w:type="spellStart"/>
      <w:r w:rsidRPr="00620E77">
        <w:t>Editiontopoi</w:t>
      </w:r>
      <w:proofErr w:type="spellEnd"/>
      <w:r w:rsidRPr="00620E77">
        <w:t xml:space="preserve">, </w:t>
      </w:r>
      <w:proofErr w:type="spellStart"/>
      <w:r w:rsidRPr="00620E77">
        <w:t>Topoi</w:t>
      </w:r>
      <w:proofErr w:type="spellEnd"/>
      <w:r w:rsidRPr="00620E77">
        <w:t xml:space="preserve"> Excellence Cluster, 2019.</w:t>
      </w:r>
    </w:p>
    <w:p w14:paraId="696048D0" w14:textId="126165B9" w:rsidR="00342223" w:rsidRPr="00342223" w:rsidRDefault="00342223" w:rsidP="00342223">
      <w:r w:rsidRPr="00342223">
        <w:t xml:space="preserve">Uroš Matić. </w:t>
      </w:r>
      <w:r w:rsidRPr="00342223">
        <w:rPr>
          <w:i/>
          <w:iCs/>
        </w:rPr>
        <w:t xml:space="preserve">Ethnic Identities in the Land of the </w:t>
      </w:r>
      <w:proofErr w:type="gramStart"/>
      <w:r w:rsidRPr="00342223">
        <w:rPr>
          <w:i/>
          <w:iCs/>
        </w:rPr>
        <w:t>Pharaohs :</w:t>
      </w:r>
      <w:proofErr w:type="gramEnd"/>
      <w:r w:rsidRPr="00342223">
        <w:rPr>
          <w:i/>
          <w:iCs/>
        </w:rPr>
        <w:t xml:space="preserve"> Past and Present Approaches in Egyptology</w:t>
      </w:r>
      <w:r w:rsidRPr="00342223">
        <w:t xml:space="preserve">. </w:t>
      </w:r>
      <w:proofErr w:type="gramStart"/>
      <w:r w:rsidRPr="00342223">
        <w:t>Cambridge ;</w:t>
      </w:r>
      <w:proofErr w:type="gramEnd"/>
      <w:r w:rsidRPr="00342223">
        <w:t xml:space="preserve"> New </w:t>
      </w:r>
      <w:proofErr w:type="gramStart"/>
      <w:r w:rsidRPr="00342223">
        <w:t>York ;</w:t>
      </w:r>
      <w:proofErr w:type="gramEnd"/>
      <w:r w:rsidRPr="00342223">
        <w:t xml:space="preserve"> Melbourne Etc., Cambridge University Press, 2020.</w:t>
      </w:r>
      <w:r w:rsidR="00A5335B">
        <w:t xml:space="preserve"> </w:t>
      </w:r>
      <w:r w:rsidR="00A5335B" w:rsidRPr="00755173">
        <w:t>Accessed 11 Feb. 2026.</w:t>
      </w:r>
    </w:p>
    <w:p w14:paraId="495AE992" w14:textId="1794E867" w:rsidR="007378EA" w:rsidRDefault="007378EA" w:rsidP="00620E77">
      <w:r w:rsidRPr="00A5335B">
        <w:t>Woodcock, T. (2014). </w:t>
      </w:r>
      <w:r w:rsidRPr="00A5335B">
        <w:rPr>
          <w:i/>
          <w:iCs/>
        </w:rPr>
        <w:t xml:space="preserve">Noticing </w:t>
      </w:r>
      <w:proofErr w:type="spellStart"/>
      <w:r w:rsidRPr="00A5335B">
        <w:rPr>
          <w:i/>
          <w:iCs/>
        </w:rPr>
        <w:t>neighbors</w:t>
      </w:r>
      <w:proofErr w:type="spellEnd"/>
      <w:r w:rsidRPr="00A5335B">
        <w:rPr>
          <w:i/>
          <w:iCs/>
        </w:rPr>
        <w:t>: reconsidering ancient Egyptian perceptions of ethnicity</w:t>
      </w:r>
      <w:r w:rsidRPr="00A5335B">
        <w:t>. [online] pp.1–136. Available at: https://fount.aucegypt.edu/cgi/viewcontent.cgi?article=1904&amp;context=etds [Accessed 24 Feb. 2026].</w:t>
      </w:r>
    </w:p>
    <w:p w14:paraId="51BEF938" w14:textId="3AE6F53D" w:rsidR="001F23A6" w:rsidRDefault="00177F46" w:rsidP="00620E77">
      <w:r w:rsidRPr="00177F46">
        <w:t>Zein, M. (2021). New Light on the Possible Reasons for Representing the Nine Bows in Some 18th Dynasty Private Theban Tombs. </w:t>
      </w:r>
      <w:r w:rsidRPr="00177F46">
        <w:rPr>
          <w:i/>
          <w:iCs/>
        </w:rPr>
        <w:t>Journal of Association of Arab Universities for Tourism and Hospitality</w:t>
      </w:r>
      <w:r w:rsidRPr="00177F46">
        <w:t>, [online] 21(5), pp.100–117. Available at: https://jaauth.journals.ekb.eg/article_219041_983b52cd8701ef83fcf601834ce17331.pdf?lang=ar [Accessed 24 Feb. 2026].</w:t>
      </w:r>
    </w:p>
    <w:p w14:paraId="7DFF6BD1" w14:textId="77777777" w:rsidR="00342223" w:rsidRDefault="00342223"/>
    <w:sectPr w:rsidR="0034222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691C7" w14:textId="77777777" w:rsidR="00772332" w:rsidRDefault="00772332" w:rsidP="00E850E0">
      <w:pPr>
        <w:spacing w:after="0" w:line="240" w:lineRule="auto"/>
      </w:pPr>
      <w:r>
        <w:separator/>
      </w:r>
    </w:p>
  </w:endnote>
  <w:endnote w:type="continuationSeparator" w:id="0">
    <w:p w14:paraId="02B33EEA" w14:textId="77777777" w:rsidR="00772332" w:rsidRDefault="00772332" w:rsidP="00E85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7AA53" w14:textId="77777777" w:rsidR="00772332" w:rsidRDefault="00772332" w:rsidP="00E850E0">
      <w:pPr>
        <w:spacing w:after="0" w:line="240" w:lineRule="auto"/>
      </w:pPr>
      <w:r>
        <w:separator/>
      </w:r>
    </w:p>
  </w:footnote>
  <w:footnote w:type="continuationSeparator" w:id="0">
    <w:p w14:paraId="2BBAF19D" w14:textId="77777777" w:rsidR="00772332" w:rsidRDefault="00772332" w:rsidP="00E85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2385A" w14:textId="50BAD1D4" w:rsidR="00E850E0" w:rsidRPr="00E850E0" w:rsidRDefault="00E850E0" w:rsidP="00E850E0">
    <w:pPr>
      <w:pStyle w:val="Header"/>
      <w:jc w:val="center"/>
      <w:rPr>
        <w:u w:val="single"/>
      </w:rPr>
    </w:pPr>
    <w:r w:rsidRPr="00E850E0">
      <w:rPr>
        <w:u w:val="single"/>
      </w:rPr>
      <w:t>How did the ancient Egyptians define themselves in contrast to their neighbours? What was their relationship to the world around them?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0E0"/>
    <w:rsid w:val="000168F5"/>
    <w:rsid w:val="0005287E"/>
    <w:rsid w:val="000603A8"/>
    <w:rsid w:val="000635F1"/>
    <w:rsid w:val="000649B1"/>
    <w:rsid w:val="00065E9B"/>
    <w:rsid w:val="0006617F"/>
    <w:rsid w:val="00084523"/>
    <w:rsid w:val="000934CE"/>
    <w:rsid w:val="000A5AB8"/>
    <w:rsid w:val="000A7BDD"/>
    <w:rsid w:val="000C211D"/>
    <w:rsid w:val="000C4087"/>
    <w:rsid w:val="000D3609"/>
    <w:rsid w:val="000D565D"/>
    <w:rsid w:val="000F79CB"/>
    <w:rsid w:val="00102FF5"/>
    <w:rsid w:val="00115BB8"/>
    <w:rsid w:val="00125803"/>
    <w:rsid w:val="00141CAC"/>
    <w:rsid w:val="00153EEA"/>
    <w:rsid w:val="00162940"/>
    <w:rsid w:val="00175C86"/>
    <w:rsid w:val="00177F46"/>
    <w:rsid w:val="00193986"/>
    <w:rsid w:val="00196C8D"/>
    <w:rsid w:val="001A3953"/>
    <w:rsid w:val="001C2206"/>
    <w:rsid w:val="001C6456"/>
    <w:rsid w:val="001F23A6"/>
    <w:rsid w:val="001F4843"/>
    <w:rsid w:val="0020526F"/>
    <w:rsid w:val="00206FCD"/>
    <w:rsid w:val="002114EE"/>
    <w:rsid w:val="00233239"/>
    <w:rsid w:val="00233930"/>
    <w:rsid w:val="00235726"/>
    <w:rsid w:val="00247DD5"/>
    <w:rsid w:val="00286AA0"/>
    <w:rsid w:val="00291CD5"/>
    <w:rsid w:val="00294D72"/>
    <w:rsid w:val="002A1413"/>
    <w:rsid w:val="002A1D40"/>
    <w:rsid w:val="002B2E2D"/>
    <w:rsid w:val="002E13AF"/>
    <w:rsid w:val="002F31C3"/>
    <w:rsid w:val="0030374F"/>
    <w:rsid w:val="003057D9"/>
    <w:rsid w:val="00311284"/>
    <w:rsid w:val="00311D3B"/>
    <w:rsid w:val="00337E5C"/>
    <w:rsid w:val="00342223"/>
    <w:rsid w:val="003620E4"/>
    <w:rsid w:val="00370066"/>
    <w:rsid w:val="00371E39"/>
    <w:rsid w:val="00377789"/>
    <w:rsid w:val="003B73CE"/>
    <w:rsid w:val="003B7C4B"/>
    <w:rsid w:val="003E541A"/>
    <w:rsid w:val="003F71C0"/>
    <w:rsid w:val="004012E8"/>
    <w:rsid w:val="00406535"/>
    <w:rsid w:val="004169A5"/>
    <w:rsid w:val="00425EDB"/>
    <w:rsid w:val="004273FD"/>
    <w:rsid w:val="0045096B"/>
    <w:rsid w:val="00462B8A"/>
    <w:rsid w:val="004714D1"/>
    <w:rsid w:val="0048087F"/>
    <w:rsid w:val="0048687B"/>
    <w:rsid w:val="00491A03"/>
    <w:rsid w:val="004A0A2A"/>
    <w:rsid w:val="004A175E"/>
    <w:rsid w:val="004B2BDD"/>
    <w:rsid w:val="004B5B57"/>
    <w:rsid w:val="004B71C0"/>
    <w:rsid w:val="004C654C"/>
    <w:rsid w:val="004D2A58"/>
    <w:rsid w:val="004D5BFF"/>
    <w:rsid w:val="004D628D"/>
    <w:rsid w:val="004E59C4"/>
    <w:rsid w:val="004F3A3A"/>
    <w:rsid w:val="004F4CA4"/>
    <w:rsid w:val="004F6E90"/>
    <w:rsid w:val="004F6F29"/>
    <w:rsid w:val="00504820"/>
    <w:rsid w:val="0051155E"/>
    <w:rsid w:val="0051390C"/>
    <w:rsid w:val="00513F23"/>
    <w:rsid w:val="00526BF5"/>
    <w:rsid w:val="00553F77"/>
    <w:rsid w:val="005551A3"/>
    <w:rsid w:val="00556F61"/>
    <w:rsid w:val="005761EE"/>
    <w:rsid w:val="00594CA2"/>
    <w:rsid w:val="005A25A5"/>
    <w:rsid w:val="005A6C3B"/>
    <w:rsid w:val="005B0136"/>
    <w:rsid w:val="005D5828"/>
    <w:rsid w:val="005E10A4"/>
    <w:rsid w:val="006109B4"/>
    <w:rsid w:val="0061168B"/>
    <w:rsid w:val="00620E77"/>
    <w:rsid w:val="006257E3"/>
    <w:rsid w:val="00631B05"/>
    <w:rsid w:val="0064019F"/>
    <w:rsid w:val="006511E2"/>
    <w:rsid w:val="006664DB"/>
    <w:rsid w:val="006803B9"/>
    <w:rsid w:val="006823C1"/>
    <w:rsid w:val="006827C1"/>
    <w:rsid w:val="00686883"/>
    <w:rsid w:val="00686FBB"/>
    <w:rsid w:val="006935D6"/>
    <w:rsid w:val="006946EC"/>
    <w:rsid w:val="006966AB"/>
    <w:rsid w:val="006A47D9"/>
    <w:rsid w:val="006B1B9C"/>
    <w:rsid w:val="006B36E2"/>
    <w:rsid w:val="006B44ED"/>
    <w:rsid w:val="006D66FD"/>
    <w:rsid w:val="006E6C20"/>
    <w:rsid w:val="00726A04"/>
    <w:rsid w:val="007378EA"/>
    <w:rsid w:val="007517C2"/>
    <w:rsid w:val="007536C3"/>
    <w:rsid w:val="00755173"/>
    <w:rsid w:val="00762461"/>
    <w:rsid w:val="00770CFE"/>
    <w:rsid w:val="00772332"/>
    <w:rsid w:val="00772655"/>
    <w:rsid w:val="007901F1"/>
    <w:rsid w:val="007C324C"/>
    <w:rsid w:val="007D16BC"/>
    <w:rsid w:val="007E76EF"/>
    <w:rsid w:val="007E7869"/>
    <w:rsid w:val="007F0F52"/>
    <w:rsid w:val="007F2716"/>
    <w:rsid w:val="00822F98"/>
    <w:rsid w:val="00830ABC"/>
    <w:rsid w:val="00831392"/>
    <w:rsid w:val="00860372"/>
    <w:rsid w:val="00862E57"/>
    <w:rsid w:val="00864B39"/>
    <w:rsid w:val="008747E1"/>
    <w:rsid w:val="008A34AF"/>
    <w:rsid w:val="008A7DFC"/>
    <w:rsid w:val="008B2F49"/>
    <w:rsid w:val="008B788A"/>
    <w:rsid w:val="008C6513"/>
    <w:rsid w:val="008F19CF"/>
    <w:rsid w:val="0090364F"/>
    <w:rsid w:val="00904ECC"/>
    <w:rsid w:val="00912428"/>
    <w:rsid w:val="009129E5"/>
    <w:rsid w:val="0095323B"/>
    <w:rsid w:val="009567D5"/>
    <w:rsid w:val="00957B04"/>
    <w:rsid w:val="009711A7"/>
    <w:rsid w:val="00972796"/>
    <w:rsid w:val="00972A64"/>
    <w:rsid w:val="00975CB6"/>
    <w:rsid w:val="00983DCF"/>
    <w:rsid w:val="00986193"/>
    <w:rsid w:val="00991BE4"/>
    <w:rsid w:val="009A38D7"/>
    <w:rsid w:val="009A592F"/>
    <w:rsid w:val="009B455D"/>
    <w:rsid w:val="009C0A12"/>
    <w:rsid w:val="009D6996"/>
    <w:rsid w:val="009E284E"/>
    <w:rsid w:val="009E4446"/>
    <w:rsid w:val="009F09C5"/>
    <w:rsid w:val="009F4895"/>
    <w:rsid w:val="00A15F11"/>
    <w:rsid w:val="00A2103A"/>
    <w:rsid w:val="00A5335B"/>
    <w:rsid w:val="00A63EEA"/>
    <w:rsid w:val="00A63FCC"/>
    <w:rsid w:val="00A6590B"/>
    <w:rsid w:val="00A720EB"/>
    <w:rsid w:val="00AA2E3D"/>
    <w:rsid w:val="00AC6D29"/>
    <w:rsid w:val="00AC7A84"/>
    <w:rsid w:val="00AF4B90"/>
    <w:rsid w:val="00B04ED9"/>
    <w:rsid w:val="00B11B6A"/>
    <w:rsid w:val="00B12452"/>
    <w:rsid w:val="00B214DE"/>
    <w:rsid w:val="00B24694"/>
    <w:rsid w:val="00B33B48"/>
    <w:rsid w:val="00B53D7D"/>
    <w:rsid w:val="00B61643"/>
    <w:rsid w:val="00B73E31"/>
    <w:rsid w:val="00B77937"/>
    <w:rsid w:val="00B8252B"/>
    <w:rsid w:val="00B94252"/>
    <w:rsid w:val="00BB517A"/>
    <w:rsid w:val="00BC4E93"/>
    <w:rsid w:val="00BC6D4A"/>
    <w:rsid w:val="00BE29EC"/>
    <w:rsid w:val="00BE5E28"/>
    <w:rsid w:val="00BF2286"/>
    <w:rsid w:val="00BF643B"/>
    <w:rsid w:val="00C3598C"/>
    <w:rsid w:val="00C42D0F"/>
    <w:rsid w:val="00C5134A"/>
    <w:rsid w:val="00C6732B"/>
    <w:rsid w:val="00C70390"/>
    <w:rsid w:val="00C719BF"/>
    <w:rsid w:val="00C7310E"/>
    <w:rsid w:val="00C8166D"/>
    <w:rsid w:val="00C901C6"/>
    <w:rsid w:val="00C92023"/>
    <w:rsid w:val="00C93471"/>
    <w:rsid w:val="00CA585F"/>
    <w:rsid w:val="00CB1C32"/>
    <w:rsid w:val="00CB4BF2"/>
    <w:rsid w:val="00CC525D"/>
    <w:rsid w:val="00CD61A7"/>
    <w:rsid w:val="00D46383"/>
    <w:rsid w:val="00D46D79"/>
    <w:rsid w:val="00D740B7"/>
    <w:rsid w:val="00D74600"/>
    <w:rsid w:val="00D90CC9"/>
    <w:rsid w:val="00D95364"/>
    <w:rsid w:val="00DA42FE"/>
    <w:rsid w:val="00DC21F4"/>
    <w:rsid w:val="00DC2A01"/>
    <w:rsid w:val="00DD084C"/>
    <w:rsid w:val="00DD1767"/>
    <w:rsid w:val="00DD218F"/>
    <w:rsid w:val="00DE21BB"/>
    <w:rsid w:val="00DE4AE4"/>
    <w:rsid w:val="00DF492F"/>
    <w:rsid w:val="00DF539B"/>
    <w:rsid w:val="00DF6AA1"/>
    <w:rsid w:val="00E052B8"/>
    <w:rsid w:val="00E07550"/>
    <w:rsid w:val="00E26BFE"/>
    <w:rsid w:val="00E27415"/>
    <w:rsid w:val="00E53F5C"/>
    <w:rsid w:val="00E6406C"/>
    <w:rsid w:val="00E828C1"/>
    <w:rsid w:val="00E850E0"/>
    <w:rsid w:val="00EA231F"/>
    <w:rsid w:val="00EA54D6"/>
    <w:rsid w:val="00EC2D61"/>
    <w:rsid w:val="00ED3C2F"/>
    <w:rsid w:val="00ED6E4C"/>
    <w:rsid w:val="00EE26BE"/>
    <w:rsid w:val="00EF701C"/>
    <w:rsid w:val="00F05BAC"/>
    <w:rsid w:val="00F1728F"/>
    <w:rsid w:val="00F27E5F"/>
    <w:rsid w:val="00F324B8"/>
    <w:rsid w:val="00F51C0F"/>
    <w:rsid w:val="00F55952"/>
    <w:rsid w:val="00F57F0A"/>
    <w:rsid w:val="00F66132"/>
    <w:rsid w:val="00F75879"/>
    <w:rsid w:val="00F90E4F"/>
    <w:rsid w:val="00F916C1"/>
    <w:rsid w:val="00F92254"/>
    <w:rsid w:val="00F94341"/>
    <w:rsid w:val="00F977EF"/>
    <w:rsid w:val="00FD3A38"/>
    <w:rsid w:val="00FF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10818"/>
  <w15:chartTrackingRefBased/>
  <w15:docId w15:val="{594D317C-05C6-46F5-A53C-DFF44CACE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0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0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0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0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0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0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0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0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0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0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0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0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0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0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0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0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0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0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0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0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0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0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0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0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0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0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0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0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0E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850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0E0"/>
  </w:style>
  <w:style w:type="paragraph" w:styleId="Footer">
    <w:name w:val="footer"/>
    <w:basedOn w:val="Normal"/>
    <w:link w:val="FooterChar"/>
    <w:uiPriority w:val="99"/>
    <w:unhideWhenUsed/>
    <w:rsid w:val="00E850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0E0"/>
  </w:style>
  <w:style w:type="character" w:styleId="Hyperlink">
    <w:name w:val="Hyperlink"/>
    <w:basedOn w:val="DefaultParagraphFont"/>
    <w:uiPriority w:val="99"/>
    <w:unhideWhenUsed/>
    <w:rsid w:val="0034222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2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63/18741665-1234004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7833/104-0-174.%20Accessed%2025%20Aug.%20201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12918</TotalTime>
  <Pages>4</Pages>
  <Words>2014</Words>
  <Characters>9330</Characters>
  <Application>Microsoft Office Word</Application>
  <DocSecurity>0</DocSecurity>
  <Lines>1332</Lines>
  <Paragraphs>276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Easton (2404257)</dc:creator>
  <cp:keywords/>
  <dc:description/>
  <cp:lastModifiedBy>Adrian Easton (2404257)</cp:lastModifiedBy>
  <cp:revision>260</cp:revision>
  <dcterms:created xsi:type="dcterms:W3CDTF">2026-02-10T13:19:00Z</dcterms:created>
  <dcterms:modified xsi:type="dcterms:W3CDTF">2026-02-26T17:42:00Z</dcterms:modified>
</cp:coreProperties>
</file>