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797241F" w:rsidR="00D8137B" w:rsidRDefault="32433627" w:rsidP="7336895D">
      <w:r>
        <w:rPr>
          <w:noProof/>
        </w:rPr>
        <w:drawing>
          <wp:inline distT="0" distB="0" distL="0" distR="0" wp14:anchorId="4D66A03C" wp14:editId="79283025">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7E10AE39" w:rsidR="32433627" w:rsidRDefault="32433627" w:rsidP="2F17ACDD">
      <w:pPr>
        <w:rPr>
          <w:rFonts w:ascii="Arial" w:eastAsia="Arial" w:hAnsi="Arial" w:cs="Arial"/>
          <w:b/>
          <w:bCs/>
          <w:sz w:val="28"/>
          <w:szCs w:val="28"/>
        </w:rPr>
      </w:pPr>
      <w:r w:rsidRPr="57DF25C0">
        <w:rPr>
          <w:rFonts w:ascii="Arial" w:eastAsia="Arial" w:hAnsi="Arial" w:cs="Arial"/>
          <w:b/>
          <w:bCs/>
          <w:sz w:val="28"/>
          <w:szCs w:val="28"/>
        </w:rPr>
        <w:t xml:space="preserve">BSc Professional Investigation </w:t>
      </w:r>
      <w:r w:rsidR="74C7EEBA" w:rsidRPr="57DF25C0">
        <w:rPr>
          <w:rFonts w:ascii="Arial" w:eastAsia="Arial" w:hAnsi="Arial" w:cs="Arial"/>
          <w:b/>
          <w:bCs/>
          <w:sz w:val="28"/>
          <w:szCs w:val="28"/>
        </w:rPr>
        <w:t>202</w:t>
      </w:r>
      <w:r w:rsidR="0DD3FD8E" w:rsidRPr="57DF25C0">
        <w:rPr>
          <w:rFonts w:ascii="Arial" w:eastAsia="Arial" w:hAnsi="Arial" w:cs="Arial"/>
          <w:b/>
          <w:bCs/>
          <w:sz w:val="28"/>
          <w:szCs w:val="28"/>
        </w:rPr>
        <w:t>3</w:t>
      </w:r>
      <w:r w:rsidR="74C7EEBA" w:rsidRPr="57DF25C0">
        <w:rPr>
          <w:rFonts w:ascii="Arial" w:eastAsia="Arial" w:hAnsi="Arial" w:cs="Arial"/>
          <w:b/>
          <w:bCs/>
          <w:sz w:val="28"/>
          <w:szCs w:val="28"/>
        </w:rPr>
        <w:t>/202</w:t>
      </w:r>
      <w:r w:rsidR="5F12441E" w:rsidRPr="57DF25C0">
        <w:rPr>
          <w:rFonts w:ascii="Arial" w:eastAsia="Arial" w:hAnsi="Arial" w:cs="Arial"/>
          <w:b/>
          <w:bCs/>
          <w:sz w:val="28"/>
          <w:szCs w:val="28"/>
        </w:rPr>
        <w:t>4</w:t>
      </w:r>
    </w:p>
    <w:p w14:paraId="43AF8E42" w14:textId="636DF1FF" w:rsidR="32433627" w:rsidRDefault="32433627" w:rsidP="2F17ACDD">
      <w:pPr>
        <w:rPr>
          <w:rFonts w:ascii="Arial" w:eastAsia="Arial" w:hAnsi="Arial" w:cs="Arial"/>
          <w:color w:val="000000" w:themeColor="text1"/>
          <w:sz w:val="28"/>
          <w:szCs w:val="28"/>
        </w:rPr>
      </w:pPr>
      <w:r w:rsidRPr="57DF25C0">
        <w:rPr>
          <w:rFonts w:ascii="Arial" w:eastAsia="Arial" w:hAnsi="Arial" w:cs="Arial"/>
          <w:b/>
          <w:bCs/>
          <w:color w:val="000000" w:themeColor="text1"/>
          <w:sz w:val="28"/>
          <w:szCs w:val="28"/>
        </w:rPr>
        <w:t>LEVEL 6 - 40 Credits</w:t>
      </w:r>
    </w:p>
    <w:p w14:paraId="69B2BA46" w14:textId="52F76722" w:rsidR="57DF25C0" w:rsidRDefault="57DF25C0" w:rsidP="57DF25C0">
      <w:pPr>
        <w:rPr>
          <w:rFonts w:ascii="Arial" w:eastAsia="Arial" w:hAnsi="Arial" w:cs="Arial"/>
          <w:b/>
          <w:bCs/>
          <w:color w:val="000000" w:themeColor="text1"/>
          <w:sz w:val="28"/>
          <w:szCs w:val="28"/>
        </w:rPr>
      </w:pPr>
    </w:p>
    <w:p w14:paraId="78D6F04D" w14:textId="1A0C219A" w:rsidR="57DF25C0" w:rsidRDefault="57DF25C0" w:rsidP="57DF25C0">
      <w:pPr>
        <w:rPr>
          <w:rFonts w:ascii="Arial" w:eastAsia="Arial" w:hAnsi="Arial" w:cs="Arial"/>
          <w:b/>
          <w:bCs/>
          <w:color w:val="000000" w:themeColor="text1"/>
          <w:sz w:val="28"/>
          <w:szCs w:val="28"/>
        </w:rPr>
      </w:pPr>
    </w:p>
    <w:p w14:paraId="7F34EF89" w14:textId="5D9F03E9" w:rsidR="57DF25C0" w:rsidRDefault="57DF25C0" w:rsidP="57DF25C0">
      <w:pPr>
        <w:rPr>
          <w:rFonts w:ascii="Arial" w:eastAsia="Arial" w:hAnsi="Arial" w:cs="Arial"/>
          <w:b/>
          <w:bCs/>
          <w:color w:val="000000" w:themeColor="text1"/>
          <w:sz w:val="28"/>
          <w:szCs w:val="28"/>
        </w:rPr>
      </w:pPr>
    </w:p>
    <w:p w14:paraId="772420AF" w14:textId="1B3C7ABD" w:rsidR="7336895D" w:rsidRDefault="1A7CC191" w:rsidP="57DF25C0">
      <w:pPr>
        <w:pBdr>
          <w:top w:val="single" w:sz="4" w:space="4" w:color="000000"/>
          <w:left w:val="single" w:sz="4" w:space="4" w:color="000000"/>
          <w:bottom w:val="single" w:sz="4" w:space="4" w:color="000000"/>
          <w:right w:val="single" w:sz="4" w:space="4" w:color="000000"/>
        </w:pBdr>
        <w:ind w:right="237"/>
        <w:jc w:val="center"/>
        <w:rPr>
          <w:rFonts w:ascii="Arial" w:eastAsia="Arial" w:hAnsi="Arial" w:cs="Arial"/>
          <w:b/>
          <w:bCs/>
          <w:color w:val="000000" w:themeColor="text1"/>
          <w:sz w:val="28"/>
          <w:szCs w:val="28"/>
        </w:rPr>
      </w:pPr>
      <w:r w:rsidRPr="57DF25C0">
        <w:rPr>
          <w:rFonts w:ascii="Arial" w:eastAsia="Arial" w:hAnsi="Arial" w:cs="Arial"/>
          <w:b/>
          <w:bCs/>
          <w:color w:val="000000" w:themeColor="text1"/>
          <w:sz w:val="28"/>
          <w:szCs w:val="28"/>
        </w:rPr>
        <w:t>Submission Deadline: 23:59hrs Friday 10</w:t>
      </w:r>
      <w:r w:rsidRPr="57DF25C0">
        <w:rPr>
          <w:rFonts w:ascii="Arial" w:eastAsia="Arial" w:hAnsi="Arial" w:cs="Arial"/>
          <w:b/>
          <w:bCs/>
          <w:color w:val="000000" w:themeColor="text1"/>
          <w:sz w:val="28"/>
          <w:szCs w:val="28"/>
          <w:vertAlign w:val="superscript"/>
        </w:rPr>
        <w:t>th</w:t>
      </w:r>
      <w:r w:rsidRPr="57DF25C0">
        <w:rPr>
          <w:rFonts w:ascii="Arial" w:eastAsia="Arial" w:hAnsi="Arial" w:cs="Arial"/>
          <w:b/>
          <w:bCs/>
          <w:color w:val="000000" w:themeColor="text1"/>
          <w:sz w:val="28"/>
          <w:szCs w:val="28"/>
        </w:rPr>
        <w:t xml:space="preserve"> May 2024</w:t>
      </w:r>
    </w:p>
    <w:p w14:paraId="1FDAE901" w14:textId="7B64CE28" w:rsidR="57DF25C0" w:rsidRDefault="57DF25C0" w:rsidP="57DF25C0">
      <w:pPr>
        <w:ind w:right="237"/>
        <w:jc w:val="center"/>
        <w:rPr>
          <w:rFonts w:ascii="Arial" w:eastAsia="Arial" w:hAnsi="Arial" w:cs="Arial"/>
          <w:b/>
          <w:bCs/>
          <w:color w:val="000000" w:themeColor="text1"/>
          <w:sz w:val="28"/>
          <w:szCs w:val="28"/>
        </w:rPr>
      </w:pPr>
    </w:p>
    <w:p w14:paraId="54B0CE7C" w14:textId="632DF0BE" w:rsidR="57DF25C0" w:rsidRDefault="57DF25C0" w:rsidP="57DF25C0">
      <w:pPr>
        <w:ind w:right="237"/>
        <w:jc w:val="center"/>
        <w:rPr>
          <w:rFonts w:ascii="Arial" w:eastAsia="Arial" w:hAnsi="Arial" w:cs="Arial"/>
          <w:b/>
          <w:bCs/>
          <w:color w:val="000000" w:themeColor="text1"/>
          <w:sz w:val="28"/>
          <w:szCs w:val="28"/>
        </w:rPr>
      </w:pPr>
    </w:p>
    <w:p w14:paraId="1741DE64" w14:textId="55BD30B3" w:rsidR="32433627" w:rsidRDefault="32433627" w:rsidP="2F17ACDD">
      <w:pPr>
        <w:ind w:right="237"/>
        <w:jc w:val="center"/>
        <w:rPr>
          <w:rFonts w:ascii="Arial" w:eastAsia="Arial" w:hAnsi="Arial" w:cs="Arial"/>
          <w:b/>
          <w:bCs/>
          <w:color w:val="000000" w:themeColor="text1"/>
          <w:sz w:val="28"/>
          <w:szCs w:val="28"/>
        </w:rPr>
      </w:pPr>
      <w:r w:rsidRPr="2F17ACDD">
        <w:rPr>
          <w:rFonts w:ascii="Arial" w:eastAsia="Arial" w:hAnsi="Arial" w:cs="Arial"/>
          <w:b/>
          <w:bCs/>
          <w:color w:val="000000" w:themeColor="text1"/>
          <w:sz w:val="28"/>
          <w:szCs w:val="28"/>
        </w:rPr>
        <w:t>Workbook title</w:t>
      </w:r>
      <w:r w:rsidR="021C0392" w:rsidRPr="2F17ACDD">
        <w:rPr>
          <w:rFonts w:ascii="Arial" w:eastAsia="Arial" w:hAnsi="Arial" w:cs="Arial"/>
          <w:b/>
          <w:bCs/>
          <w:color w:val="000000" w:themeColor="text1"/>
          <w:sz w:val="28"/>
          <w:szCs w:val="28"/>
        </w:rPr>
        <w:t xml:space="preserve">: Competency Based Workbook </w:t>
      </w:r>
      <w:r w:rsidR="6E27A6BC" w:rsidRPr="2F17ACDD">
        <w:rPr>
          <w:rFonts w:ascii="Arial" w:eastAsia="Arial" w:hAnsi="Arial" w:cs="Arial"/>
          <w:b/>
          <w:bCs/>
          <w:color w:val="000000" w:themeColor="text1"/>
          <w:sz w:val="28"/>
          <w:szCs w:val="28"/>
        </w:rPr>
        <w:t>2</w:t>
      </w:r>
    </w:p>
    <w:p w14:paraId="46D60806" w14:textId="3EB8E434" w:rsidR="49C54495" w:rsidRDefault="49C54495" w:rsidP="2F17ACDD">
      <w:pPr>
        <w:ind w:right="237"/>
        <w:jc w:val="center"/>
        <w:rPr>
          <w:rFonts w:ascii="Arial" w:eastAsia="Arial" w:hAnsi="Arial" w:cs="Arial"/>
          <w:b/>
          <w:bCs/>
          <w:i/>
          <w:iCs/>
          <w:color w:val="0070C0"/>
          <w:sz w:val="32"/>
          <w:szCs w:val="32"/>
        </w:rPr>
      </w:pPr>
      <w:r w:rsidRPr="2F17ACDD">
        <w:rPr>
          <w:rFonts w:ascii="Arial" w:eastAsia="Arial" w:hAnsi="Arial" w:cs="Arial"/>
          <w:b/>
          <w:bCs/>
          <w:i/>
          <w:iCs/>
          <w:color w:val="0070C0"/>
          <w:sz w:val="32"/>
          <w:szCs w:val="32"/>
        </w:rPr>
        <w:t>Module BMPI6002 – Professional Investigative Practice</w:t>
      </w:r>
    </w:p>
    <w:p w14:paraId="01172258" w14:textId="1D5843CB" w:rsidR="7336895D" w:rsidRDefault="7336895D" w:rsidP="2F17ACDD">
      <w:pPr>
        <w:ind w:right="237"/>
        <w:rPr>
          <w:rFonts w:ascii="Arial" w:eastAsia="Arial" w:hAnsi="Arial" w:cs="Arial"/>
          <w:b/>
          <w:bCs/>
          <w:color w:val="000000" w:themeColor="text1"/>
          <w:sz w:val="32"/>
          <w:szCs w:val="32"/>
        </w:rPr>
      </w:pPr>
    </w:p>
    <w:p w14:paraId="56F74FD0" w14:textId="3B1D8CFD" w:rsidR="7336895D" w:rsidRDefault="7336895D" w:rsidP="7336895D">
      <w:pPr>
        <w:rPr>
          <w:rFonts w:ascii="Arial" w:eastAsia="Arial" w:hAnsi="Arial" w:cs="Arial"/>
          <w:sz w:val="36"/>
          <w:szCs w:val="36"/>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57DF25C0">
        <w:trPr>
          <w:trHeight w:val="1980"/>
        </w:trPr>
        <w:tc>
          <w:tcPr>
            <w:tcW w:w="9015" w:type="dxa"/>
          </w:tcPr>
          <w:p w14:paraId="2BF5B3F1" w14:textId="08E6DEE6" w:rsidR="63BD137B" w:rsidRDefault="5921A6C2" w:rsidP="57DF25C0">
            <w:pPr>
              <w:ind w:right="237"/>
              <w:rPr>
                <w:rFonts w:ascii="Arial" w:eastAsia="Arial" w:hAnsi="Arial" w:cs="Arial"/>
                <w:color w:val="000000" w:themeColor="text1"/>
                <w:sz w:val="28"/>
                <w:szCs w:val="28"/>
              </w:rPr>
            </w:pPr>
            <w:r w:rsidRPr="57DF25C0">
              <w:rPr>
                <w:rFonts w:ascii="Arial" w:eastAsia="Arial" w:hAnsi="Arial" w:cs="Arial"/>
                <w:b/>
                <w:bCs/>
                <w:color w:val="000000" w:themeColor="text1"/>
                <w:sz w:val="28"/>
                <w:szCs w:val="28"/>
              </w:rPr>
              <w:t xml:space="preserve">Student </w:t>
            </w:r>
            <w:r w:rsidR="364F99E9" w:rsidRPr="57DF25C0">
              <w:rPr>
                <w:rFonts w:ascii="Arial" w:eastAsia="Arial" w:hAnsi="Arial" w:cs="Arial"/>
                <w:b/>
                <w:bCs/>
                <w:color w:val="000000" w:themeColor="text1"/>
                <w:sz w:val="28"/>
                <w:szCs w:val="28"/>
              </w:rPr>
              <w:t xml:space="preserve">name: </w:t>
            </w:r>
            <w:r w:rsidR="009425AE">
              <w:rPr>
                <w:rFonts w:ascii="Arial" w:eastAsia="Arial" w:hAnsi="Arial" w:cs="Arial"/>
                <w:b/>
                <w:bCs/>
                <w:color w:val="000000" w:themeColor="text1"/>
                <w:sz w:val="28"/>
                <w:szCs w:val="28"/>
              </w:rPr>
              <w:t>Thomas Connick</w:t>
            </w:r>
          </w:p>
          <w:p w14:paraId="5EBB5AA1" w14:textId="0C17428C" w:rsidR="7336895D" w:rsidRDefault="7336895D" w:rsidP="57DF25C0">
            <w:pPr>
              <w:ind w:right="237"/>
              <w:rPr>
                <w:rFonts w:ascii="Arial" w:eastAsia="Arial" w:hAnsi="Arial" w:cs="Arial"/>
                <w:color w:val="000000" w:themeColor="text1"/>
                <w:sz w:val="28"/>
                <w:szCs w:val="28"/>
              </w:rPr>
            </w:pPr>
          </w:p>
          <w:p w14:paraId="1820B7EB" w14:textId="376D1F19" w:rsidR="7336895D" w:rsidRDefault="07B3E417" w:rsidP="57DF25C0">
            <w:pPr>
              <w:ind w:right="237"/>
              <w:rPr>
                <w:rFonts w:ascii="Arial" w:eastAsia="Arial" w:hAnsi="Arial" w:cs="Arial"/>
                <w:color w:val="000000" w:themeColor="text1"/>
                <w:sz w:val="28"/>
                <w:szCs w:val="28"/>
              </w:rPr>
            </w:pPr>
            <w:r w:rsidRPr="57DF25C0">
              <w:rPr>
                <w:rFonts w:ascii="Arial" w:eastAsia="Arial" w:hAnsi="Arial" w:cs="Arial"/>
                <w:b/>
                <w:bCs/>
                <w:color w:val="000000" w:themeColor="text1"/>
                <w:sz w:val="28"/>
                <w:szCs w:val="28"/>
              </w:rPr>
              <w:t>Student</w:t>
            </w:r>
            <w:r w:rsidR="364F99E9" w:rsidRPr="57DF25C0">
              <w:rPr>
                <w:rFonts w:ascii="Arial" w:eastAsia="Arial" w:hAnsi="Arial" w:cs="Arial"/>
                <w:b/>
                <w:bCs/>
                <w:color w:val="000000" w:themeColor="text1"/>
                <w:sz w:val="28"/>
                <w:szCs w:val="28"/>
              </w:rPr>
              <w:t>’s University Registration Number:</w:t>
            </w:r>
            <w:r w:rsidR="009425AE">
              <w:rPr>
                <w:rFonts w:ascii="Arial" w:eastAsia="Arial" w:hAnsi="Arial" w:cs="Arial"/>
                <w:color w:val="000000" w:themeColor="text1"/>
                <w:sz w:val="28"/>
                <w:szCs w:val="28"/>
              </w:rPr>
              <w:t xml:space="preserve"> </w:t>
            </w:r>
            <w:r w:rsidR="009425AE">
              <w:rPr>
                <w:rFonts w:ascii="Arial" w:eastAsia="Arial" w:hAnsi="Arial" w:cs="Arial"/>
                <w:b/>
                <w:bCs/>
                <w:color w:val="000000" w:themeColor="text1"/>
                <w:sz w:val="28"/>
                <w:szCs w:val="28"/>
              </w:rPr>
              <w:t>2318699</w:t>
            </w:r>
          </w:p>
        </w:tc>
      </w:tr>
    </w:tbl>
    <w:p w14:paraId="024E0F58" w14:textId="398B655E" w:rsidR="7336895D" w:rsidRDefault="7336895D" w:rsidP="7336895D">
      <w:pPr>
        <w:ind w:right="237"/>
        <w:rPr>
          <w:rFonts w:ascii="Arial" w:eastAsia="Arial" w:hAnsi="Arial" w:cs="Arial"/>
          <w:color w:val="000000" w:themeColor="text1"/>
          <w:sz w:val="32"/>
          <w:szCs w:val="32"/>
        </w:rPr>
      </w:pPr>
    </w:p>
    <w:p w14:paraId="237FFB0E" w14:textId="23717A24" w:rsidR="57DF25C0" w:rsidRDefault="57DF25C0" w:rsidP="57DF25C0">
      <w:pPr>
        <w:ind w:right="237"/>
        <w:rPr>
          <w:rFonts w:ascii="Arial" w:eastAsia="Arial" w:hAnsi="Arial" w:cs="Arial"/>
          <w:color w:val="000000" w:themeColor="text1"/>
          <w:sz w:val="32"/>
          <w:szCs w:val="32"/>
        </w:rPr>
      </w:pPr>
    </w:p>
    <w:p w14:paraId="2659E012" w14:textId="7BE0E4E1" w:rsidR="57DF25C0" w:rsidRDefault="57DF25C0" w:rsidP="57DF25C0">
      <w:pPr>
        <w:ind w:right="237"/>
        <w:rPr>
          <w:rFonts w:ascii="Arial" w:eastAsia="Arial" w:hAnsi="Arial" w:cs="Arial"/>
          <w:color w:val="000000" w:themeColor="text1"/>
          <w:sz w:val="32"/>
          <w:szCs w:val="32"/>
        </w:rPr>
      </w:pPr>
    </w:p>
    <w:p w14:paraId="7A5E8AFF" w14:textId="10AB5BB2" w:rsidR="57DF25C0" w:rsidRDefault="57DF25C0" w:rsidP="57DF25C0">
      <w:pPr>
        <w:ind w:right="237"/>
        <w:rPr>
          <w:rFonts w:ascii="Arial" w:eastAsia="Arial" w:hAnsi="Arial" w:cs="Arial"/>
          <w:color w:val="000000" w:themeColor="text1"/>
          <w:sz w:val="32"/>
          <w:szCs w:val="32"/>
        </w:rPr>
      </w:pPr>
    </w:p>
    <w:p w14:paraId="0D998450" w14:textId="1D1A6575" w:rsidR="57DF25C0" w:rsidRDefault="57DF25C0" w:rsidP="57DF25C0">
      <w:pPr>
        <w:ind w:right="237"/>
        <w:rPr>
          <w:rFonts w:ascii="Arial" w:eastAsia="Arial" w:hAnsi="Arial" w:cs="Arial"/>
          <w:color w:val="000000" w:themeColor="text1"/>
          <w:sz w:val="32"/>
          <w:szCs w:val="32"/>
        </w:rPr>
      </w:pPr>
    </w:p>
    <w:p w14:paraId="1FCCF47F" w14:textId="00BEF892" w:rsidR="7336895D" w:rsidRDefault="1B3FFD0B" w:rsidP="57DF25C0">
      <w:pPr>
        <w:ind w:right="237"/>
        <w:rPr>
          <w:rFonts w:ascii="Arial" w:eastAsia="Arial" w:hAnsi="Arial" w:cs="Arial"/>
          <w:b/>
          <w:bCs/>
          <w:i/>
          <w:iCs/>
          <w:color w:val="000000" w:themeColor="text1"/>
          <w:sz w:val="24"/>
          <w:szCs w:val="24"/>
        </w:rPr>
      </w:pPr>
      <w:r w:rsidRPr="57DF25C0">
        <w:rPr>
          <w:rFonts w:ascii="Arial" w:eastAsia="Arial" w:hAnsi="Arial" w:cs="Arial"/>
          <w:b/>
          <w:bCs/>
          <w:i/>
          <w:iCs/>
          <w:color w:val="000000" w:themeColor="text1"/>
          <w:sz w:val="28"/>
          <w:szCs w:val="28"/>
        </w:rPr>
        <w:t>I</w:t>
      </w:r>
      <w:r w:rsidRPr="57DF25C0">
        <w:rPr>
          <w:rFonts w:ascii="Arial" w:eastAsia="Arial" w:hAnsi="Arial" w:cs="Arial"/>
          <w:b/>
          <w:bCs/>
          <w:i/>
          <w:iCs/>
          <w:color w:val="000000" w:themeColor="text1"/>
          <w:sz w:val="24"/>
          <w:szCs w:val="24"/>
        </w:rPr>
        <w:t>nstitute of Management &amp; Health (IMH)</w:t>
      </w:r>
    </w:p>
    <w:p w14:paraId="0BF94E73" w14:textId="39051229" w:rsidR="7336895D" w:rsidRDefault="1B3FFD0B" w:rsidP="57DF25C0">
      <w:pPr>
        <w:ind w:right="237"/>
        <w:rPr>
          <w:rFonts w:ascii="Arial" w:eastAsia="Arial" w:hAnsi="Arial" w:cs="Arial"/>
          <w:b/>
          <w:bCs/>
          <w:i/>
          <w:iCs/>
          <w:color w:val="000000" w:themeColor="text1"/>
          <w:sz w:val="24"/>
          <w:szCs w:val="24"/>
        </w:rPr>
      </w:pPr>
      <w:r w:rsidRPr="57DF25C0">
        <w:rPr>
          <w:rFonts w:ascii="Arial" w:eastAsia="Arial" w:hAnsi="Arial" w:cs="Arial"/>
          <w:b/>
          <w:bCs/>
          <w:i/>
          <w:iCs/>
          <w:color w:val="000000" w:themeColor="text1"/>
          <w:sz w:val="24"/>
          <w:szCs w:val="24"/>
        </w:rPr>
        <w:t>Blue Light Academy</w:t>
      </w:r>
    </w:p>
    <w:p w14:paraId="67BE0DA3" w14:textId="52E493E2" w:rsidR="2F17ACDD" w:rsidRDefault="2F17ACDD" w:rsidP="2F17ACDD">
      <w:pPr>
        <w:ind w:right="237"/>
        <w:jc w:val="center"/>
        <w:rPr>
          <w:rFonts w:ascii="Arial" w:eastAsia="Arial" w:hAnsi="Arial" w:cs="Arial"/>
          <w:b/>
          <w:bCs/>
          <w:color w:val="000000" w:themeColor="text1"/>
          <w:sz w:val="28"/>
          <w:szCs w:val="28"/>
        </w:rPr>
      </w:pPr>
    </w:p>
    <w:p w14:paraId="3164C44B" w14:textId="581E5A13" w:rsidR="7336895D" w:rsidRDefault="338C23AF" w:rsidP="2F17ACDD">
      <w:pPr>
        <w:ind w:right="237"/>
        <w:jc w:val="center"/>
        <w:rPr>
          <w:rFonts w:ascii="Arial" w:eastAsia="Arial" w:hAnsi="Arial" w:cs="Arial"/>
          <w:color w:val="000000" w:themeColor="text1"/>
          <w:sz w:val="28"/>
          <w:szCs w:val="28"/>
        </w:rPr>
      </w:pPr>
      <w:r w:rsidRPr="2F17ACDD">
        <w:rPr>
          <w:rFonts w:ascii="Arial" w:eastAsia="Arial" w:hAnsi="Arial" w:cs="Arial"/>
          <w:b/>
          <w:bCs/>
          <w:color w:val="000000" w:themeColor="text1"/>
          <w:sz w:val="28"/>
          <w:szCs w:val="28"/>
        </w:rPr>
        <w:t>Workbook Guidance</w:t>
      </w:r>
    </w:p>
    <w:p w14:paraId="3ED811BB" w14:textId="6ACD60D9" w:rsidR="2F17ACDD" w:rsidRDefault="2F17ACDD" w:rsidP="2F17ACDD">
      <w:pPr>
        <w:ind w:right="237"/>
        <w:jc w:val="center"/>
        <w:rPr>
          <w:rFonts w:ascii="Arial" w:eastAsia="Arial" w:hAnsi="Arial" w:cs="Arial"/>
          <w:b/>
          <w:bCs/>
          <w:color w:val="000000" w:themeColor="text1"/>
          <w:sz w:val="28"/>
          <w:szCs w:val="28"/>
        </w:rPr>
      </w:pPr>
    </w:p>
    <w:p w14:paraId="1B94AA1C" w14:textId="788A40F6" w:rsidR="7336895D" w:rsidRDefault="338C23AF" w:rsidP="2F17ACDD">
      <w:p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Please read these notes carefully. They provide essential information</w:t>
      </w:r>
      <w:r w:rsidR="55913D77" w:rsidRPr="2F17ACDD">
        <w:rPr>
          <w:rFonts w:ascii="Arial" w:eastAsia="Arial" w:hAnsi="Arial" w:cs="Arial"/>
          <w:color w:val="000000" w:themeColor="text1"/>
          <w:sz w:val="24"/>
          <w:szCs w:val="24"/>
        </w:rPr>
        <w:t xml:space="preserve"> in relation to your assessment</w:t>
      </w:r>
      <w:r w:rsidRPr="2F17ACDD">
        <w:rPr>
          <w:rFonts w:ascii="Arial" w:eastAsia="Arial" w:hAnsi="Arial" w:cs="Arial"/>
          <w:color w:val="000000" w:themeColor="text1"/>
          <w:sz w:val="24"/>
          <w:szCs w:val="24"/>
        </w:rPr>
        <w:t>. The documents you will use in developing your workbook are on the following pages.</w:t>
      </w:r>
    </w:p>
    <w:p w14:paraId="2D1D3C5B" w14:textId="4566A7F8" w:rsidR="7336895D" w:rsidRDefault="338C23AF"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What is the workbook for?</w:t>
      </w:r>
    </w:p>
    <w:p w14:paraId="2ECC5307" w14:textId="5B282A45" w:rsidR="7336895D" w:rsidRDefault="338C23AF" w:rsidP="7336895D">
      <w:p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The purpose of this workbook is to enable learners to demonstrate and provide evidence of how they meet the learning outcomes for the BS</w:t>
      </w:r>
      <w:r w:rsidR="17DF5312" w:rsidRPr="2F17ACDD">
        <w:rPr>
          <w:rFonts w:ascii="Arial" w:eastAsia="Arial" w:hAnsi="Arial" w:cs="Arial"/>
          <w:color w:val="000000" w:themeColor="text1"/>
          <w:sz w:val="24"/>
          <w:szCs w:val="24"/>
        </w:rPr>
        <w:t>c</w:t>
      </w:r>
      <w:r w:rsidRPr="2F17ACDD">
        <w:rPr>
          <w:rFonts w:ascii="Arial" w:eastAsia="Arial" w:hAnsi="Arial" w:cs="Arial"/>
          <w:color w:val="000000" w:themeColor="text1"/>
          <w:sz w:val="24"/>
          <w:szCs w:val="24"/>
        </w:rPr>
        <w:t xml:space="preserve"> Professional Investigation. You are being asked to outline your experiential learning based upon your theoretical understanding in a range of operational situations. </w:t>
      </w:r>
    </w:p>
    <w:p w14:paraId="7F11AEE6" w14:textId="27019A51" w:rsidR="338C23AF" w:rsidRDefault="338C23AF" w:rsidP="2F17ACD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How should the workbook be presented?</w:t>
      </w:r>
    </w:p>
    <w:p w14:paraId="1186794B" w14:textId="467827A1" w:rsidR="338C23AF" w:rsidRDefault="338C23AF" w:rsidP="7336895D">
      <w:pPr>
        <w:jc w:val="both"/>
        <w:rPr>
          <w:rFonts w:ascii="Arial" w:eastAsia="Arial" w:hAnsi="Arial" w:cs="Arial"/>
          <w:color w:val="000000" w:themeColor="text1"/>
          <w:sz w:val="24"/>
          <w:szCs w:val="24"/>
        </w:rPr>
      </w:pPr>
      <w:r w:rsidRPr="1359001D">
        <w:rPr>
          <w:rFonts w:ascii="Arial" w:eastAsia="Arial" w:hAnsi="Arial" w:cs="Arial"/>
          <w:color w:val="000000" w:themeColor="text1"/>
          <w:sz w:val="24"/>
          <w:szCs w:val="24"/>
        </w:rPr>
        <w:t xml:space="preserve">Blank electronic copies </w:t>
      </w:r>
      <w:r w:rsidR="790095D8" w:rsidRPr="1359001D">
        <w:rPr>
          <w:rFonts w:ascii="Arial" w:eastAsia="Arial" w:hAnsi="Arial" w:cs="Arial"/>
          <w:color w:val="000000" w:themeColor="text1"/>
          <w:sz w:val="24"/>
          <w:szCs w:val="24"/>
        </w:rPr>
        <w:t xml:space="preserve">of this workbook </w:t>
      </w:r>
      <w:r w:rsidRPr="1359001D">
        <w:rPr>
          <w:rFonts w:ascii="Arial" w:eastAsia="Arial" w:hAnsi="Arial" w:cs="Arial"/>
          <w:color w:val="000000" w:themeColor="text1"/>
          <w:sz w:val="24"/>
          <w:szCs w:val="24"/>
        </w:rPr>
        <w:t xml:space="preserve">can be found on Moodle. You must </w:t>
      </w:r>
      <w:r w:rsidR="01CB2635" w:rsidRPr="1359001D">
        <w:rPr>
          <w:rFonts w:ascii="Arial" w:eastAsia="Arial" w:hAnsi="Arial" w:cs="Arial"/>
          <w:color w:val="000000" w:themeColor="text1"/>
          <w:sz w:val="24"/>
          <w:szCs w:val="24"/>
        </w:rPr>
        <w:t>submit your</w:t>
      </w:r>
      <w:r w:rsidR="7B648FD0" w:rsidRPr="1359001D">
        <w:rPr>
          <w:rFonts w:ascii="Arial" w:eastAsia="Arial" w:hAnsi="Arial" w:cs="Arial"/>
          <w:color w:val="000000" w:themeColor="text1"/>
          <w:sz w:val="24"/>
          <w:szCs w:val="24"/>
        </w:rPr>
        <w:t xml:space="preserve"> assessment document</w:t>
      </w:r>
      <w:r w:rsidRPr="1359001D">
        <w:rPr>
          <w:rFonts w:ascii="Arial" w:eastAsia="Arial" w:hAnsi="Arial" w:cs="Arial"/>
          <w:color w:val="000000" w:themeColor="text1"/>
          <w:sz w:val="24"/>
          <w:szCs w:val="24"/>
        </w:rPr>
        <w:t xml:space="preserve"> electronically</w:t>
      </w:r>
      <w:r w:rsidR="54212D63" w:rsidRPr="1359001D">
        <w:rPr>
          <w:rFonts w:ascii="Arial" w:eastAsia="Arial" w:hAnsi="Arial" w:cs="Arial"/>
          <w:color w:val="000000" w:themeColor="text1"/>
          <w:sz w:val="24"/>
          <w:szCs w:val="24"/>
        </w:rPr>
        <w:t xml:space="preserve"> once completed,</w:t>
      </w:r>
      <w:r w:rsidRPr="1359001D">
        <w:rPr>
          <w:rFonts w:ascii="Arial" w:eastAsia="Arial" w:hAnsi="Arial" w:cs="Arial"/>
          <w:color w:val="000000" w:themeColor="text1"/>
          <w:sz w:val="24"/>
          <w:szCs w:val="24"/>
        </w:rPr>
        <w:t xml:space="preserve"> therefore it is important that you save your work regularly and upload the final typed version through Turnitin on Moodle. </w:t>
      </w:r>
      <w:r w:rsidR="23DBD5C3" w:rsidRPr="1359001D">
        <w:rPr>
          <w:rFonts w:ascii="Arial" w:eastAsia="Arial" w:hAnsi="Arial" w:cs="Arial"/>
          <w:color w:val="000000" w:themeColor="text1"/>
          <w:sz w:val="24"/>
          <w:szCs w:val="24"/>
        </w:rPr>
        <w:t>Further guidance will be provided by your tutor.</w:t>
      </w:r>
    </w:p>
    <w:p w14:paraId="3FB73BB8" w14:textId="27A1128A" w:rsidR="338C23AF" w:rsidRDefault="7F1D0A5F" w:rsidP="7336895D">
      <w:pPr>
        <w:jc w:val="both"/>
        <w:rPr>
          <w:rFonts w:ascii="Arial" w:eastAsia="Arial" w:hAnsi="Arial" w:cs="Arial"/>
          <w:color w:val="000000" w:themeColor="text1"/>
          <w:sz w:val="24"/>
          <w:szCs w:val="24"/>
        </w:rPr>
      </w:pPr>
      <w:r w:rsidRPr="1359001D">
        <w:rPr>
          <w:rFonts w:ascii="Arial" w:eastAsia="Arial" w:hAnsi="Arial" w:cs="Arial"/>
          <w:b/>
          <w:bCs/>
          <w:color w:val="000000" w:themeColor="text1"/>
          <w:sz w:val="24"/>
          <w:szCs w:val="24"/>
        </w:rPr>
        <w:t>The w</w:t>
      </w:r>
      <w:r w:rsidR="338C23AF" w:rsidRPr="1359001D">
        <w:rPr>
          <w:rFonts w:ascii="Arial" w:eastAsia="Arial" w:hAnsi="Arial" w:cs="Arial"/>
          <w:b/>
          <w:bCs/>
          <w:color w:val="000000" w:themeColor="text1"/>
          <w:sz w:val="24"/>
          <w:szCs w:val="24"/>
        </w:rPr>
        <w:t>ord count policy</w:t>
      </w:r>
      <w:r w:rsidR="338C23AF" w:rsidRPr="1359001D">
        <w:rPr>
          <w:rFonts w:ascii="Arial" w:eastAsia="Arial" w:hAnsi="Arial" w:cs="Arial"/>
          <w:color w:val="000000" w:themeColor="text1"/>
          <w:sz w:val="24"/>
          <w:szCs w:val="24"/>
        </w:rPr>
        <w:t xml:space="preserve"> can be found in chapter 7 of the Academic Quality</w:t>
      </w:r>
      <w:r w:rsidR="6211F24A" w:rsidRPr="1359001D">
        <w:rPr>
          <w:rFonts w:ascii="Arial" w:eastAsia="Arial" w:hAnsi="Arial" w:cs="Arial"/>
          <w:color w:val="000000" w:themeColor="text1"/>
          <w:sz w:val="24"/>
          <w:szCs w:val="24"/>
        </w:rPr>
        <w:t xml:space="preserve"> Handbook</w:t>
      </w:r>
      <w:r w:rsidR="338C23AF" w:rsidRPr="1359001D">
        <w:rPr>
          <w:rFonts w:ascii="Arial" w:eastAsia="Arial" w:hAnsi="Arial" w:cs="Arial"/>
          <w:color w:val="000000" w:themeColor="text1"/>
          <w:sz w:val="24"/>
          <w:szCs w:val="24"/>
        </w:rPr>
        <w:t xml:space="preserve"> under section 7.7 (this applies to presenting work above and under the specified word count).  </w:t>
      </w:r>
    </w:p>
    <w:p w14:paraId="270B5ABB" w14:textId="3474EEFA" w:rsidR="338C23AF" w:rsidRDefault="338C23AF" w:rsidP="2F17ACDD">
      <w:pPr>
        <w:jc w:val="both"/>
        <w:rPr>
          <w:rFonts w:ascii="Arial" w:eastAsia="Arial" w:hAnsi="Arial" w:cs="Arial"/>
          <w:color w:val="000000" w:themeColor="text1"/>
          <w:sz w:val="20"/>
          <w:szCs w:val="20"/>
        </w:rPr>
      </w:pPr>
      <w:r w:rsidRPr="2F17ACDD">
        <w:rPr>
          <w:rFonts w:ascii="Arial" w:eastAsia="Arial" w:hAnsi="Arial" w:cs="Arial"/>
          <w:color w:val="000000" w:themeColor="text1"/>
          <w:sz w:val="20"/>
          <w:szCs w:val="20"/>
        </w:rPr>
        <w:t>(</w:t>
      </w:r>
      <w:hyperlink r:id="rId6">
        <w:r w:rsidRPr="2F17ACDD">
          <w:rPr>
            <w:rStyle w:val="Hyperlink"/>
            <w:rFonts w:ascii="Arial" w:eastAsia="Arial" w:hAnsi="Arial" w:cs="Arial"/>
            <w:sz w:val="20"/>
            <w:szCs w:val="20"/>
          </w:rPr>
          <w:t>https://www.uwtsd.ac.uk/media/uwtsd-website/content-assets/documents/academic-office/aqh-chapters/chapters---en/Chapter_07_Assessment_Taught_Programmes_Pages_72-79-UPDATED-05-11-2019.pdf</w:t>
        </w:r>
      </w:hyperlink>
      <w:r w:rsidRPr="2F17ACDD">
        <w:rPr>
          <w:rFonts w:ascii="Arial" w:eastAsia="Arial" w:hAnsi="Arial" w:cs="Arial"/>
          <w:color w:val="0000FF"/>
          <w:sz w:val="20"/>
          <w:szCs w:val="20"/>
          <w:u w:val="single"/>
        </w:rPr>
        <w:t xml:space="preserve">) </w:t>
      </w:r>
    </w:p>
    <w:p w14:paraId="6F37D0AC" w14:textId="7F00DADF" w:rsidR="338C23AF" w:rsidRDefault="338C23AF" w:rsidP="69B3A30A">
      <w:pPr>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Reflective practice</w:t>
      </w:r>
      <w:r w:rsidRPr="2F17ACDD">
        <w:rPr>
          <w:rFonts w:ascii="Arial" w:eastAsia="Arial" w:hAnsi="Arial" w:cs="Arial"/>
          <w:color w:val="000000" w:themeColor="text1"/>
          <w:sz w:val="24"/>
          <w:szCs w:val="24"/>
        </w:rPr>
        <w:t xml:space="preserve"> is a core aspect for your workbooks and although there is a variety of useful resources on Moodle, there is one </w:t>
      </w:r>
      <w:r w:rsidR="7C3FC7FE" w:rsidRPr="2F17ACDD">
        <w:rPr>
          <w:rFonts w:ascii="Arial" w:eastAsia="Arial" w:hAnsi="Arial" w:cs="Arial"/>
          <w:color w:val="000000" w:themeColor="text1"/>
          <w:sz w:val="24"/>
          <w:szCs w:val="24"/>
        </w:rPr>
        <w:t>book</w:t>
      </w:r>
      <w:r w:rsidRPr="2F17ACDD">
        <w:rPr>
          <w:rFonts w:ascii="Arial" w:eastAsia="Arial" w:hAnsi="Arial" w:cs="Arial"/>
          <w:color w:val="000000" w:themeColor="text1"/>
          <w:sz w:val="24"/>
          <w:szCs w:val="24"/>
        </w:rPr>
        <w:t xml:space="preserve">, that is specifically based on reflective practice in policing, here is a link to one chapter from Selina Copley’s Reflective Practice for Policing Students: </w:t>
      </w:r>
    </w:p>
    <w:p w14:paraId="376D9A4A" w14:textId="01498262" w:rsidR="338C23AF" w:rsidRDefault="00DF48BA" w:rsidP="2F17ACDD">
      <w:pPr>
        <w:jc w:val="both"/>
        <w:rPr>
          <w:rFonts w:ascii="Arial" w:eastAsia="Arial" w:hAnsi="Arial" w:cs="Arial"/>
          <w:color w:val="000000" w:themeColor="text1"/>
          <w:sz w:val="20"/>
          <w:szCs w:val="20"/>
        </w:rPr>
      </w:pPr>
      <w:hyperlink r:id="rId7">
        <w:r w:rsidR="338C23AF" w:rsidRPr="2F17ACDD">
          <w:rPr>
            <w:rStyle w:val="Hyperlink"/>
            <w:rFonts w:ascii="Arial" w:eastAsia="Arial" w:hAnsi="Arial" w:cs="Arial"/>
            <w:sz w:val="20"/>
            <w:szCs w:val="20"/>
          </w:rPr>
          <w:t>https://moodle.uwtsd.ac.uk/pluginfile.php/298870/mod_resource/content/1/Reflective%20Practice%20for%20Policing%20Students%20-%20Selina%20Copley%20Chapter5.pdf</w:t>
        </w:r>
      </w:hyperlink>
    </w:p>
    <w:p w14:paraId="5011152D" w14:textId="7BB6FE6D" w:rsidR="338C23AF" w:rsidRDefault="338C23AF" w:rsidP="7336895D">
      <w:pPr>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How is the workbook assessed?</w:t>
      </w:r>
    </w:p>
    <w:p w14:paraId="069440E1" w14:textId="6828FC75" w:rsidR="338C23AF" w:rsidRDefault="338C23AF" w:rsidP="7336895D">
      <w:pPr>
        <w:jc w:val="both"/>
        <w:rPr>
          <w:rFonts w:ascii="Arial" w:eastAsia="Arial" w:hAnsi="Arial" w:cs="Arial"/>
          <w:color w:val="000000" w:themeColor="text1"/>
          <w:sz w:val="24"/>
          <w:szCs w:val="24"/>
        </w:rPr>
      </w:pPr>
      <w:r w:rsidRPr="1359001D">
        <w:rPr>
          <w:rFonts w:ascii="Arial" w:eastAsia="Arial" w:hAnsi="Arial" w:cs="Arial"/>
          <w:color w:val="000000" w:themeColor="text1"/>
          <w:sz w:val="24"/>
          <w:szCs w:val="24"/>
        </w:rPr>
        <w:t xml:space="preserve">Advice and support about the completion of this workbook is available to you. Please contact </w:t>
      </w:r>
      <w:r w:rsidR="12F55137" w:rsidRPr="1359001D">
        <w:rPr>
          <w:rFonts w:ascii="Arial" w:eastAsia="Arial" w:hAnsi="Arial" w:cs="Arial"/>
          <w:color w:val="000000" w:themeColor="text1"/>
          <w:sz w:val="24"/>
          <w:szCs w:val="24"/>
        </w:rPr>
        <w:t>your tutor</w:t>
      </w:r>
      <w:r w:rsidRPr="1359001D">
        <w:rPr>
          <w:rFonts w:ascii="Arial" w:eastAsia="Arial" w:hAnsi="Arial" w:cs="Arial"/>
          <w:color w:val="000000" w:themeColor="text1"/>
          <w:sz w:val="24"/>
          <w:szCs w:val="24"/>
        </w:rPr>
        <w:t xml:space="preserve"> with any questions or queries you may have</w:t>
      </w:r>
      <w:r w:rsidR="70ADF34D" w:rsidRPr="1359001D">
        <w:rPr>
          <w:rFonts w:ascii="Arial" w:eastAsia="Arial" w:hAnsi="Arial" w:cs="Arial"/>
          <w:color w:val="000000" w:themeColor="text1"/>
          <w:sz w:val="24"/>
          <w:szCs w:val="24"/>
        </w:rPr>
        <w:t xml:space="preserve"> if you are unsure</w:t>
      </w:r>
      <w:r w:rsidRPr="1359001D">
        <w:rPr>
          <w:rFonts w:ascii="Arial" w:eastAsia="Arial" w:hAnsi="Arial" w:cs="Arial"/>
          <w:color w:val="000000" w:themeColor="text1"/>
          <w:sz w:val="24"/>
          <w:szCs w:val="24"/>
        </w:rPr>
        <w:t xml:space="preserve">. </w:t>
      </w:r>
    </w:p>
    <w:p w14:paraId="53420D1A" w14:textId="096762AC" w:rsidR="2F17ACDD" w:rsidRDefault="338C23AF" w:rsidP="57DF25C0">
      <w:pPr>
        <w:jc w:val="both"/>
        <w:rPr>
          <w:rFonts w:ascii="Arial" w:eastAsia="Arial" w:hAnsi="Arial" w:cs="Arial"/>
          <w:color w:val="000000" w:themeColor="text1"/>
          <w:sz w:val="24"/>
          <w:szCs w:val="24"/>
        </w:rPr>
      </w:pPr>
      <w:r w:rsidRPr="57DF25C0">
        <w:rPr>
          <w:rFonts w:ascii="Arial" w:eastAsia="Arial" w:hAnsi="Arial" w:cs="Arial"/>
          <w:color w:val="000000" w:themeColor="text1"/>
          <w:sz w:val="24"/>
          <w:szCs w:val="24"/>
        </w:rPr>
        <w:t xml:space="preserve">Once submitted your workbook will be assessed and marked independently. You will be provided with individual feedback once the work has been marked. </w:t>
      </w:r>
    </w:p>
    <w:p w14:paraId="624C3610" w14:textId="317BABBD"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Confidentiality</w:t>
      </w:r>
    </w:p>
    <w:p w14:paraId="588B0FF0" w14:textId="149964DA" w:rsidR="7336895D" w:rsidRDefault="78979F44" w:rsidP="7336895D">
      <w:pPr>
        <w:ind w:right="237"/>
        <w:jc w:val="both"/>
        <w:rPr>
          <w:rFonts w:ascii="Arial" w:eastAsia="Arial" w:hAnsi="Arial" w:cs="Arial"/>
          <w:color w:val="000000" w:themeColor="text1"/>
          <w:sz w:val="24"/>
          <w:szCs w:val="24"/>
        </w:rPr>
      </w:pPr>
      <w:r w:rsidRPr="1359001D">
        <w:rPr>
          <w:rFonts w:ascii="Arial" w:eastAsia="Arial" w:hAnsi="Arial" w:cs="Arial"/>
          <w:color w:val="000000" w:themeColor="text1"/>
          <w:sz w:val="24"/>
          <w:szCs w:val="24"/>
        </w:rPr>
        <w:t xml:space="preserve">It is important that no individual can be identified either directly or indirectly from the information in the workbook. </w:t>
      </w:r>
      <w:r w:rsidR="3A8DA724" w:rsidRPr="1359001D">
        <w:rPr>
          <w:rFonts w:ascii="Arial" w:eastAsia="Arial" w:hAnsi="Arial" w:cs="Arial"/>
          <w:color w:val="000000" w:themeColor="text1"/>
          <w:sz w:val="24"/>
          <w:szCs w:val="24"/>
        </w:rPr>
        <w:t>Y</w:t>
      </w:r>
      <w:r w:rsidRPr="1359001D">
        <w:rPr>
          <w:rFonts w:ascii="Arial" w:eastAsia="Arial" w:hAnsi="Arial" w:cs="Arial"/>
          <w:color w:val="000000" w:themeColor="text1"/>
          <w:sz w:val="24"/>
          <w:szCs w:val="24"/>
        </w:rPr>
        <w:t>ou must</w:t>
      </w:r>
      <w:r w:rsidR="414D9CBA" w:rsidRPr="1359001D">
        <w:rPr>
          <w:rFonts w:ascii="Arial" w:eastAsia="Arial" w:hAnsi="Arial" w:cs="Arial"/>
          <w:color w:val="000000" w:themeColor="text1"/>
          <w:sz w:val="24"/>
          <w:szCs w:val="24"/>
        </w:rPr>
        <w:t xml:space="preserve"> therefore:</w:t>
      </w:r>
    </w:p>
    <w:p w14:paraId="1ADFC5DB" w14:textId="30D2AD3D" w:rsidR="78979F44" w:rsidRDefault="414D9CBA" w:rsidP="7336895D">
      <w:pPr>
        <w:pStyle w:val="ListParagraph"/>
        <w:numPr>
          <w:ilvl w:val="0"/>
          <w:numId w:val="5"/>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A</w:t>
      </w:r>
      <w:r w:rsidR="78979F44" w:rsidRPr="2F17ACDD">
        <w:rPr>
          <w:rFonts w:ascii="Arial" w:eastAsia="Arial" w:hAnsi="Arial" w:cs="Arial"/>
          <w:color w:val="000000" w:themeColor="text1"/>
          <w:sz w:val="24"/>
          <w:szCs w:val="24"/>
        </w:rPr>
        <w:t>dhere to guidance in the Candidate Handbook about confidentiality.</w:t>
      </w:r>
    </w:p>
    <w:p w14:paraId="213F07F0" w14:textId="4B4FA813" w:rsidR="78979F44" w:rsidRDefault="1D389B3A" w:rsidP="7336895D">
      <w:pPr>
        <w:pStyle w:val="ListParagraph"/>
        <w:numPr>
          <w:ilvl w:val="0"/>
          <w:numId w:val="5"/>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identify individuals including witnesses, victims, or offenders by name.</w:t>
      </w:r>
    </w:p>
    <w:p w14:paraId="29F81CCF" w14:textId="41A67FA6" w:rsidR="78979F44" w:rsidRDefault="246D6816" w:rsidP="7336895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lastRenderedPageBreak/>
        <w:t>N</w:t>
      </w:r>
      <w:r w:rsidR="78979F44" w:rsidRPr="2F17ACDD">
        <w:rPr>
          <w:rFonts w:ascii="Arial" w:eastAsia="Arial" w:hAnsi="Arial" w:cs="Arial"/>
          <w:color w:val="000000" w:themeColor="text1"/>
          <w:sz w:val="24"/>
          <w:szCs w:val="24"/>
        </w:rPr>
        <w:t>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D873AF" w14:textId="78C45BC1" w:rsidR="78979F44" w:rsidRDefault="07AC996B" w:rsidP="7336895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w:t>
      </w:r>
      <w:r w:rsidR="78979F44" w:rsidRPr="2F17ACDD">
        <w:rPr>
          <w:rFonts w:ascii="Arial" w:eastAsia="Arial" w:hAnsi="Arial" w:cs="Arial"/>
          <w:color w:val="000000" w:themeColor="text1"/>
          <w:sz w:val="24"/>
          <w:szCs w:val="24"/>
        </w:rPr>
        <w:t xml:space="preserve">ake personal responsibility for adhering to confidentiality rules. </w:t>
      </w:r>
    </w:p>
    <w:p w14:paraId="7E8B1CB2" w14:textId="2FBC8434" w:rsidR="7336895D" w:rsidRDefault="48F98F71" w:rsidP="2F17ACD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include any dates of any incidents or anything that specifically identifies an actual incident.</w:t>
      </w:r>
    </w:p>
    <w:p w14:paraId="090742B3" w14:textId="2DCB3A2A"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NOTE</w:t>
      </w:r>
      <w:r w:rsidR="7B11F144" w:rsidRPr="2F17ACDD">
        <w:rPr>
          <w:rFonts w:ascii="Arial" w:eastAsia="Arial" w:hAnsi="Arial" w:cs="Arial"/>
          <w:b/>
          <w:bCs/>
          <w:color w:val="000000" w:themeColor="text1"/>
          <w:sz w:val="24"/>
          <w:szCs w:val="24"/>
        </w:rPr>
        <w:t>:</w:t>
      </w:r>
    </w:p>
    <w:p w14:paraId="7EB9B71D" w14:textId="1FF75FD2" w:rsidR="7336895D" w:rsidRDefault="78979F44" w:rsidP="2F17ACDD">
      <w:pPr>
        <w:ind w:right="237"/>
        <w:jc w:val="both"/>
        <w:rPr>
          <w:rFonts w:ascii="Arial" w:eastAsia="Arial" w:hAnsi="Arial" w:cs="Arial"/>
          <w:color w:val="000000" w:themeColor="text1"/>
          <w:sz w:val="24"/>
          <w:szCs w:val="24"/>
        </w:rPr>
      </w:pPr>
      <w:r w:rsidRPr="1359001D">
        <w:rPr>
          <w:rFonts w:ascii="Arial" w:eastAsia="Arial" w:hAnsi="Arial" w:cs="Arial"/>
          <w:color w:val="000000" w:themeColor="text1"/>
          <w:sz w:val="24"/>
          <w:szCs w:val="24"/>
        </w:rPr>
        <w:t xml:space="preserve">Your workbook will be submitted electronically via Turnitin on Moodle. Guidance on this is in the </w:t>
      </w:r>
      <w:r w:rsidR="103F1B9A" w:rsidRPr="1359001D">
        <w:rPr>
          <w:rFonts w:ascii="Arial" w:eastAsia="Arial" w:hAnsi="Arial" w:cs="Arial"/>
          <w:color w:val="000000" w:themeColor="text1"/>
          <w:sz w:val="24"/>
          <w:szCs w:val="24"/>
        </w:rPr>
        <w:t>student</w:t>
      </w:r>
      <w:r w:rsidRPr="1359001D">
        <w:rPr>
          <w:rFonts w:ascii="Arial" w:eastAsia="Arial" w:hAnsi="Arial" w:cs="Arial"/>
          <w:color w:val="000000" w:themeColor="text1"/>
          <w:sz w:val="24"/>
          <w:szCs w:val="24"/>
        </w:rPr>
        <w:t xml:space="preserve"> </w:t>
      </w:r>
      <w:r w:rsidR="7AB9772B" w:rsidRPr="1359001D">
        <w:rPr>
          <w:rFonts w:ascii="Arial" w:eastAsia="Arial" w:hAnsi="Arial" w:cs="Arial"/>
          <w:color w:val="000000" w:themeColor="text1"/>
          <w:sz w:val="24"/>
          <w:szCs w:val="24"/>
        </w:rPr>
        <w:t>h</w:t>
      </w:r>
      <w:r w:rsidRPr="1359001D">
        <w:rPr>
          <w:rFonts w:ascii="Arial" w:eastAsia="Arial" w:hAnsi="Arial" w:cs="Arial"/>
          <w:color w:val="000000" w:themeColor="text1"/>
          <w:sz w:val="24"/>
          <w:szCs w:val="24"/>
        </w:rPr>
        <w:t>andbook</w:t>
      </w:r>
      <w:r w:rsidR="2C079DB7" w:rsidRPr="1359001D">
        <w:rPr>
          <w:rFonts w:ascii="Arial" w:eastAsia="Arial" w:hAnsi="Arial" w:cs="Arial"/>
          <w:color w:val="000000" w:themeColor="text1"/>
          <w:sz w:val="24"/>
          <w:szCs w:val="24"/>
        </w:rPr>
        <w:t xml:space="preserve"> and within Moodle</w:t>
      </w:r>
      <w:r w:rsidRPr="1359001D">
        <w:rPr>
          <w:rFonts w:ascii="Arial" w:eastAsia="Arial" w:hAnsi="Arial" w:cs="Arial"/>
          <w:color w:val="000000" w:themeColor="text1"/>
          <w:sz w:val="24"/>
          <w:szCs w:val="24"/>
        </w:rPr>
        <w:t xml:space="preserve">. </w:t>
      </w:r>
    </w:p>
    <w:p w14:paraId="1E1EAC82" w14:textId="10120BB0"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EE79DB2" w14:textId="2D95DA70" w:rsidR="2F17ACDD" w:rsidRDefault="2F17ACDD" w:rsidP="2F17ACDD">
      <w:pPr>
        <w:ind w:right="237"/>
        <w:jc w:val="both"/>
        <w:rPr>
          <w:rFonts w:ascii="Arial" w:eastAsia="Arial" w:hAnsi="Arial" w:cs="Arial"/>
          <w:b/>
          <w:bCs/>
          <w:i/>
          <w:iCs/>
          <w:color w:val="000000" w:themeColor="text1"/>
          <w:sz w:val="24"/>
          <w:szCs w:val="24"/>
        </w:rPr>
      </w:pPr>
    </w:p>
    <w:p w14:paraId="3351012F" w14:textId="4A93D8B0"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Dyslexia and other special circumstances</w:t>
      </w:r>
    </w:p>
    <w:p w14:paraId="4C7E4EAB" w14:textId="0B3725D8" w:rsidR="78979F44" w:rsidRDefault="78979F44" w:rsidP="7336895D">
      <w:pPr>
        <w:ind w:right="237"/>
        <w:jc w:val="both"/>
        <w:rPr>
          <w:rFonts w:ascii="Arial" w:eastAsia="Arial" w:hAnsi="Arial" w:cs="Arial"/>
          <w:color w:val="000000" w:themeColor="text1"/>
          <w:sz w:val="24"/>
          <w:szCs w:val="24"/>
        </w:rPr>
      </w:pPr>
      <w:r w:rsidRPr="1359001D">
        <w:rPr>
          <w:rFonts w:ascii="Arial" w:eastAsia="Arial" w:hAnsi="Arial" w:cs="Arial"/>
          <w:color w:val="000000" w:themeColor="text1"/>
          <w:sz w:val="24"/>
          <w:szCs w:val="24"/>
        </w:rPr>
        <w:t xml:space="preserve">If you have any condition that you feel may affect your ability to deal with any part of the programme, please see the </w:t>
      </w:r>
      <w:r w:rsidR="16A5B1FE" w:rsidRPr="1359001D">
        <w:rPr>
          <w:rFonts w:ascii="Arial" w:eastAsia="Arial" w:hAnsi="Arial" w:cs="Arial"/>
          <w:color w:val="000000" w:themeColor="text1"/>
          <w:sz w:val="24"/>
          <w:szCs w:val="24"/>
        </w:rPr>
        <w:t>Student</w:t>
      </w:r>
      <w:r w:rsidRPr="1359001D">
        <w:rPr>
          <w:rFonts w:ascii="Arial" w:eastAsia="Arial" w:hAnsi="Arial" w:cs="Arial"/>
          <w:color w:val="000000" w:themeColor="text1"/>
          <w:sz w:val="24"/>
          <w:szCs w:val="24"/>
        </w:rPr>
        <w:t xml:space="preserve"> Handbook for further guidance. The University has a Student Services Unit that may be able to help but </w:t>
      </w:r>
      <w:r w:rsidRPr="1359001D">
        <w:rPr>
          <w:rFonts w:ascii="Arial" w:eastAsia="Arial" w:hAnsi="Arial" w:cs="Arial"/>
          <w:b/>
          <w:bCs/>
          <w:i/>
          <w:iCs/>
          <w:color w:val="000000" w:themeColor="text1"/>
          <w:sz w:val="24"/>
          <w:szCs w:val="24"/>
        </w:rPr>
        <w:t>it is the learner’s individual responsibility to contact them</w:t>
      </w:r>
      <w:r w:rsidRPr="1359001D">
        <w:rPr>
          <w:rFonts w:ascii="Arial" w:eastAsia="Arial" w:hAnsi="Arial" w:cs="Arial"/>
          <w:color w:val="000000" w:themeColor="text1"/>
          <w:sz w:val="24"/>
          <w:szCs w:val="24"/>
        </w:rPr>
        <w:t>.</w:t>
      </w:r>
    </w:p>
    <w:p w14:paraId="560FADE2" w14:textId="4C58098B" w:rsidR="7336895D" w:rsidRDefault="7336895D" w:rsidP="7336895D">
      <w:pPr>
        <w:ind w:right="237"/>
        <w:jc w:val="both"/>
        <w:rPr>
          <w:rFonts w:ascii="Arial" w:eastAsia="Arial" w:hAnsi="Arial" w:cs="Arial"/>
          <w:color w:val="000000" w:themeColor="text1"/>
          <w:sz w:val="24"/>
          <w:szCs w:val="24"/>
        </w:rPr>
      </w:pPr>
    </w:p>
    <w:p w14:paraId="1F1DA594" w14:textId="1EA2F93A" w:rsidR="7336895D" w:rsidRDefault="7336895D" w:rsidP="7336895D">
      <w:pPr>
        <w:spacing w:after="200" w:line="240" w:lineRule="auto"/>
        <w:rPr>
          <w:rFonts w:ascii="Arial" w:eastAsia="Arial" w:hAnsi="Arial" w:cs="Arial"/>
          <w:color w:val="000000" w:themeColor="text1"/>
        </w:rPr>
      </w:pPr>
    </w:p>
    <w:p w14:paraId="0234F888" w14:textId="687D4F34" w:rsidR="2F17ACDD" w:rsidRDefault="2F17ACDD" w:rsidP="2F17ACDD">
      <w:pPr>
        <w:spacing w:after="200" w:line="240" w:lineRule="auto"/>
        <w:rPr>
          <w:rFonts w:ascii="Arial" w:eastAsia="Arial" w:hAnsi="Arial" w:cs="Arial"/>
          <w:color w:val="000000" w:themeColor="text1"/>
        </w:rPr>
      </w:pPr>
    </w:p>
    <w:p w14:paraId="4A12D33C" w14:textId="6F8E15AD" w:rsidR="2F17ACDD" w:rsidRDefault="2F17ACDD" w:rsidP="57DF25C0">
      <w:pPr>
        <w:spacing w:before="120" w:after="200" w:line="240" w:lineRule="auto"/>
        <w:rPr>
          <w:rFonts w:ascii="Arial" w:eastAsia="Arial" w:hAnsi="Arial" w:cs="Arial"/>
          <w:color w:val="000000" w:themeColor="text1"/>
        </w:rPr>
      </w:pPr>
    </w:p>
    <w:p w14:paraId="729D64CE" w14:textId="493A4BB5" w:rsidR="57DF25C0" w:rsidRDefault="57DF25C0" w:rsidP="57DF25C0">
      <w:pPr>
        <w:spacing w:after="200" w:line="240" w:lineRule="auto"/>
        <w:rPr>
          <w:rFonts w:ascii="Arial" w:eastAsia="Arial" w:hAnsi="Arial" w:cs="Arial"/>
          <w:color w:val="000000" w:themeColor="text1"/>
        </w:rPr>
      </w:pPr>
    </w:p>
    <w:p w14:paraId="32304D1F" w14:textId="055A201D" w:rsidR="57DF25C0" w:rsidRDefault="57DF25C0" w:rsidP="57DF25C0">
      <w:pPr>
        <w:spacing w:after="200" w:line="240" w:lineRule="auto"/>
        <w:rPr>
          <w:rFonts w:ascii="Arial" w:eastAsia="Arial" w:hAnsi="Arial" w:cs="Arial"/>
          <w:color w:val="000000" w:themeColor="text1"/>
        </w:rPr>
      </w:pPr>
    </w:p>
    <w:p w14:paraId="6072C252" w14:textId="48F9A2A1" w:rsidR="57DF25C0" w:rsidRDefault="57DF25C0" w:rsidP="57DF25C0">
      <w:pPr>
        <w:spacing w:after="200" w:line="240" w:lineRule="auto"/>
        <w:rPr>
          <w:rFonts w:ascii="Arial" w:eastAsia="Arial" w:hAnsi="Arial" w:cs="Arial"/>
          <w:color w:val="000000" w:themeColor="text1"/>
        </w:rPr>
      </w:pPr>
    </w:p>
    <w:p w14:paraId="7CF63CA7" w14:textId="69973A7F" w:rsidR="57DF25C0" w:rsidRDefault="57DF25C0" w:rsidP="57DF25C0">
      <w:pPr>
        <w:spacing w:after="200" w:line="240" w:lineRule="auto"/>
        <w:rPr>
          <w:rFonts w:ascii="Arial" w:eastAsia="Arial" w:hAnsi="Arial" w:cs="Arial"/>
          <w:color w:val="000000" w:themeColor="text1"/>
        </w:rPr>
      </w:pPr>
    </w:p>
    <w:p w14:paraId="7EEC404A" w14:textId="174DE086" w:rsidR="57DF25C0" w:rsidRDefault="57DF25C0" w:rsidP="57DF25C0">
      <w:pPr>
        <w:spacing w:after="200" w:line="240" w:lineRule="auto"/>
        <w:rPr>
          <w:rFonts w:ascii="Arial" w:eastAsia="Arial" w:hAnsi="Arial" w:cs="Arial"/>
          <w:color w:val="000000" w:themeColor="text1"/>
        </w:rPr>
      </w:pPr>
    </w:p>
    <w:p w14:paraId="41327D90" w14:textId="7D307AB3" w:rsidR="57DF25C0" w:rsidRDefault="57DF25C0" w:rsidP="57DF25C0">
      <w:pPr>
        <w:spacing w:after="200" w:line="240" w:lineRule="auto"/>
        <w:rPr>
          <w:rFonts w:ascii="Arial" w:eastAsia="Arial" w:hAnsi="Arial" w:cs="Arial"/>
          <w:color w:val="000000" w:themeColor="text1"/>
        </w:rPr>
      </w:pPr>
    </w:p>
    <w:p w14:paraId="18172ACD" w14:textId="1683B447" w:rsidR="57DF25C0" w:rsidRDefault="57DF25C0" w:rsidP="57DF25C0">
      <w:pPr>
        <w:spacing w:after="200" w:line="240" w:lineRule="auto"/>
        <w:rPr>
          <w:rFonts w:ascii="Arial" w:eastAsia="Arial" w:hAnsi="Arial" w:cs="Arial"/>
          <w:color w:val="000000" w:themeColor="text1"/>
        </w:rPr>
      </w:pPr>
    </w:p>
    <w:p w14:paraId="50A62882" w14:textId="7615A97A" w:rsidR="57DF25C0" w:rsidRDefault="57DF25C0" w:rsidP="57DF25C0">
      <w:pPr>
        <w:spacing w:after="200" w:line="240" w:lineRule="auto"/>
        <w:rPr>
          <w:rFonts w:ascii="Arial" w:eastAsia="Arial" w:hAnsi="Arial" w:cs="Arial"/>
          <w:color w:val="000000" w:themeColor="text1"/>
        </w:rPr>
      </w:pPr>
    </w:p>
    <w:p w14:paraId="072273F3" w14:textId="2A3857C3" w:rsidR="2F17ACDD" w:rsidRDefault="2F17ACDD" w:rsidP="2F17ACDD">
      <w:pPr>
        <w:spacing w:before="120" w:after="0" w:line="240" w:lineRule="auto"/>
        <w:rPr>
          <w:rFonts w:ascii="Arial" w:eastAsia="Arial" w:hAnsi="Arial" w:cs="Arial"/>
          <w:b/>
          <w:bCs/>
          <w:color w:val="000000" w:themeColor="text1"/>
        </w:rPr>
      </w:pPr>
    </w:p>
    <w:p w14:paraId="7B0FF6DA" w14:textId="009A53F6" w:rsidR="20387707" w:rsidRDefault="20387707" w:rsidP="1359001D">
      <w:pPr>
        <w:spacing w:before="120" w:after="0" w:line="240" w:lineRule="auto"/>
        <w:rPr>
          <w:rFonts w:ascii="Arial" w:eastAsia="Arial" w:hAnsi="Arial" w:cs="Arial"/>
          <w:b/>
          <w:bCs/>
          <w:color w:val="000000" w:themeColor="text1"/>
        </w:rPr>
      </w:pPr>
      <w:r w:rsidRPr="1359001D">
        <w:rPr>
          <w:rFonts w:ascii="Arial" w:eastAsia="Arial" w:hAnsi="Arial" w:cs="Arial"/>
          <w:b/>
          <w:bCs/>
          <w:color w:val="000000" w:themeColor="text1"/>
        </w:rPr>
        <w:t>Module Aim(s):</w:t>
      </w:r>
    </w:p>
    <w:p w14:paraId="1C0AE25C" w14:textId="2A58DA00" w:rsidR="2F17ACDD" w:rsidRDefault="2F17ACDD" w:rsidP="1359001D">
      <w:pPr>
        <w:spacing w:before="120" w:after="0" w:line="240" w:lineRule="auto"/>
        <w:rPr>
          <w:rFonts w:ascii="Arial" w:eastAsia="Arial" w:hAnsi="Arial" w:cs="Arial"/>
          <w:b/>
          <w:bCs/>
          <w:color w:val="000000" w:themeColor="text1"/>
        </w:rPr>
      </w:pPr>
    </w:p>
    <w:p w14:paraId="63B8AA26" w14:textId="51EA9014" w:rsidR="41B31C81" w:rsidRDefault="41B31C81" w:rsidP="2793C622">
      <w:pPr>
        <w:pStyle w:val="ListParagraph"/>
        <w:numPr>
          <w:ilvl w:val="0"/>
          <w:numId w:val="5"/>
        </w:numPr>
        <w:rPr>
          <w:rFonts w:eastAsiaTheme="minorEastAsia"/>
        </w:rPr>
      </w:pPr>
      <w:r w:rsidRPr="1359001D">
        <w:rPr>
          <w:rFonts w:ascii="Arial" w:eastAsia="Arial" w:hAnsi="Arial" w:cs="Arial"/>
        </w:rPr>
        <w:t>To provide learners with an opportunity to gain credit for their workplace practice by reflecting on National Occupational Standards (NOS) and other competencies related to their professional role as an investigator.</w:t>
      </w:r>
    </w:p>
    <w:p w14:paraId="2B7CA101" w14:textId="5BB9E0B1" w:rsidR="2F17ACDD" w:rsidRDefault="2F17ACDD" w:rsidP="2F17ACDD">
      <w:pPr>
        <w:spacing w:before="120" w:after="0" w:line="240" w:lineRule="auto"/>
        <w:rPr>
          <w:rFonts w:ascii="Arial" w:eastAsia="Arial" w:hAnsi="Arial" w:cs="Arial"/>
          <w:b/>
          <w:bCs/>
          <w:color w:val="000000" w:themeColor="text1"/>
        </w:rPr>
      </w:pPr>
    </w:p>
    <w:p w14:paraId="1EFA3B14" w14:textId="53FDF11B" w:rsidR="2F17ACDD" w:rsidRDefault="2F17ACDD" w:rsidP="2F17ACDD">
      <w:pPr>
        <w:spacing w:before="120" w:after="0" w:line="240" w:lineRule="auto"/>
        <w:ind w:left="720"/>
        <w:jc w:val="center"/>
        <w:rPr>
          <w:rFonts w:ascii="Arial" w:eastAsia="Arial" w:hAnsi="Arial" w:cs="Arial"/>
          <w:color w:val="000000" w:themeColor="text1"/>
        </w:rPr>
      </w:pPr>
    </w:p>
    <w:p w14:paraId="6D380843" w14:textId="5909099C" w:rsidR="78979F44" w:rsidRDefault="78979F44" w:rsidP="2F17ACDD">
      <w:pPr>
        <w:rPr>
          <w:rFonts w:ascii="Arial" w:eastAsia="Arial" w:hAnsi="Arial" w:cs="Arial"/>
          <w:b/>
          <w:bCs/>
          <w:sz w:val="24"/>
          <w:szCs w:val="24"/>
        </w:rPr>
      </w:pPr>
      <w:r w:rsidRPr="2F17ACDD">
        <w:rPr>
          <w:rFonts w:ascii="Arial" w:eastAsia="Arial" w:hAnsi="Arial" w:cs="Arial"/>
          <w:b/>
          <w:bCs/>
          <w:sz w:val="24"/>
          <w:szCs w:val="24"/>
        </w:rPr>
        <w:t>Content</w:t>
      </w:r>
      <w:r w:rsidR="75F82496" w:rsidRPr="2F17ACDD">
        <w:rPr>
          <w:rFonts w:ascii="Arial" w:eastAsia="Arial" w:hAnsi="Arial" w:cs="Arial"/>
          <w:b/>
          <w:bCs/>
          <w:sz w:val="24"/>
          <w:szCs w:val="24"/>
        </w:rPr>
        <w:t xml:space="preserve"> of Workbook:</w:t>
      </w:r>
    </w:p>
    <w:p w14:paraId="693CFE8D" w14:textId="195AF11C" w:rsidR="7336895D" w:rsidRDefault="7336895D" w:rsidP="7336895D">
      <w:pPr>
        <w:rPr>
          <w:rFonts w:ascii="Arial" w:eastAsia="Arial" w:hAnsi="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14:paraId="32B5EB03" w14:textId="77777777" w:rsidTr="1359001D">
        <w:tc>
          <w:tcPr>
            <w:tcW w:w="3005" w:type="dxa"/>
            <w:shd w:val="clear" w:color="auto" w:fill="5B9BD5" w:themeFill="accent5"/>
          </w:tcPr>
          <w:p w14:paraId="142F514F" w14:textId="32AC44F5" w:rsidR="7336895D" w:rsidRDefault="75F82496" w:rsidP="7336895D">
            <w:pPr>
              <w:rPr>
                <w:rFonts w:ascii="Arial" w:eastAsia="Arial" w:hAnsi="Arial" w:cs="Arial"/>
                <w:b/>
                <w:bCs/>
                <w:sz w:val="28"/>
                <w:szCs w:val="28"/>
              </w:rPr>
            </w:pPr>
            <w:r w:rsidRPr="2F17ACDD">
              <w:rPr>
                <w:rFonts w:ascii="Arial" w:eastAsia="Arial" w:hAnsi="Arial" w:cs="Arial"/>
                <w:b/>
                <w:bCs/>
                <w:sz w:val="28"/>
                <w:szCs w:val="28"/>
              </w:rPr>
              <w:t>Task</w:t>
            </w:r>
          </w:p>
        </w:tc>
        <w:tc>
          <w:tcPr>
            <w:tcW w:w="3005" w:type="dxa"/>
            <w:shd w:val="clear" w:color="auto" w:fill="5B9BD5" w:themeFill="accent5"/>
          </w:tcPr>
          <w:p w14:paraId="10754AEF" w14:textId="7055DF7E" w:rsidR="7336895D" w:rsidRDefault="75F82496" w:rsidP="7336895D">
            <w:pPr>
              <w:rPr>
                <w:rFonts w:ascii="Arial" w:eastAsia="Arial" w:hAnsi="Arial" w:cs="Arial"/>
                <w:b/>
                <w:bCs/>
                <w:sz w:val="24"/>
                <w:szCs w:val="24"/>
              </w:rPr>
            </w:pPr>
            <w:r w:rsidRPr="2F17ACDD">
              <w:rPr>
                <w:rFonts w:ascii="Arial" w:eastAsia="Arial" w:hAnsi="Arial" w:cs="Arial"/>
                <w:b/>
                <w:bCs/>
                <w:sz w:val="24"/>
                <w:szCs w:val="24"/>
              </w:rPr>
              <w:t>Relevant Investigative Area</w:t>
            </w:r>
          </w:p>
        </w:tc>
        <w:tc>
          <w:tcPr>
            <w:tcW w:w="3005" w:type="dxa"/>
            <w:shd w:val="clear" w:color="auto" w:fill="5B9BD5" w:themeFill="accent5"/>
          </w:tcPr>
          <w:p w14:paraId="64484E9C" w14:textId="305A6342" w:rsidR="1F9D89F6" w:rsidRDefault="1F9D89F6" w:rsidP="727E3A7D">
            <w:pPr>
              <w:jc w:val="center"/>
              <w:rPr>
                <w:rFonts w:ascii="Arial" w:eastAsia="Arial" w:hAnsi="Arial" w:cs="Arial"/>
                <w:b/>
                <w:bCs/>
                <w:sz w:val="24"/>
                <w:szCs w:val="24"/>
              </w:rPr>
            </w:pPr>
            <w:r w:rsidRPr="727E3A7D">
              <w:rPr>
                <w:rFonts w:ascii="Arial" w:eastAsia="Arial" w:hAnsi="Arial" w:cs="Arial"/>
                <w:b/>
                <w:bCs/>
                <w:sz w:val="24"/>
                <w:szCs w:val="24"/>
              </w:rPr>
              <w:t>Word Count</w:t>
            </w:r>
          </w:p>
        </w:tc>
      </w:tr>
      <w:tr w:rsidR="7336895D" w14:paraId="368A386A" w14:textId="77777777" w:rsidTr="1359001D">
        <w:tc>
          <w:tcPr>
            <w:tcW w:w="3005" w:type="dxa"/>
          </w:tcPr>
          <w:p w14:paraId="038D7866" w14:textId="523C0D78" w:rsidR="1F9D89F6" w:rsidRDefault="1F9D89F6" w:rsidP="2F17ACDD">
            <w:pPr>
              <w:rPr>
                <w:rFonts w:ascii="Arial" w:eastAsia="Arial" w:hAnsi="Arial" w:cs="Arial"/>
                <w:sz w:val="24"/>
                <w:szCs w:val="24"/>
              </w:rPr>
            </w:pPr>
            <w:r w:rsidRPr="2F17ACDD">
              <w:rPr>
                <w:rFonts w:ascii="Arial" w:eastAsia="Arial" w:hAnsi="Arial" w:cs="Arial"/>
                <w:sz w:val="24"/>
                <w:szCs w:val="24"/>
              </w:rPr>
              <w:t>Task 1</w:t>
            </w:r>
          </w:p>
        </w:tc>
        <w:tc>
          <w:tcPr>
            <w:tcW w:w="3005" w:type="dxa"/>
          </w:tcPr>
          <w:p w14:paraId="63372E0A" w14:textId="70AEE7CD" w:rsidR="7336895D" w:rsidRDefault="232D13EF" w:rsidP="515A1CF8">
            <w:pPr>
              <w:rPr>
                <w:rFonts w:ascii="Arial" w:eastAsia="Arial" w:hAnsi="Arial" w:cs="Arial"/>
                <w:b/>
                <w:bCs/>
              </w:rPr>
            </w:pPr>
            <w:r w:rsidRPr="1359001D">
              <w:rPr>
                <w:rFonts w:ascii="Arial" w:eastAsia="Arial" w:hAnsi="Arial" w:cs="Arial"/>
                <w:b/>
                <w:bCs/>
              </w:rPr>
              <w:t>Information</w:t>
            </w:r>
            <w:r w:rsidR="4EC2FFF9" w:rsidRPr="1359001D">
              <w:rPr>
                <w:rFonts w:ascii="Arial" w:eastAsia="Arial" w:hAnsi="Arial" w:cs="Arial"/>
                <w:b/>
                <w:bCs/>
              </w:rPr>
              <w:t>,</w:t>
            </w:r>
            <w:r w:rsidRPr="1359001D">
              <w:rPr>
                <w:rFonts w:ascii="Arial" w:eastAsia="Arial" w:hAnsi="Arial" w:cs="Arial"/>
                <w:b/>
                <w:bCs/>
              </w:rPr>
              <w:t xml:space="preserve"> intelligence</w:t>
            </w:r>
            <w:r w:rsidR="4872B6C5" w:rsidRPr="1359001D">
              <w:rPr>
                <w:rFonts w:ascii="Arial" w:eastAsia="Arial" w:hAnsi="Arial" w:cs="Arial"/>
                <w:b/>
                <w:bCs/>
              </w:rPr>
              <w:t xml:space="preserve"> &amp; evidence </w:t>
            </w:r>
            <w:r w:rsidRPr="1359001D">
              <w:rPr>
                <w:rFonts w:ascii="Arial" w:eastAsia="Arial" w:hAnsi="Arial" w:cs="Arial"/>
                <w:b/>
                <w:bCs/>
              </w:rPr>
              <w:t xml:space="preserve">gathering </w:t>
            </w:r>
          </w:p>
        </w:tc>
        <w:tc>
          <w:tcPr>
            <w:tcW w:w="3005" w:type="dxa"/>
          </w:tcPr>
          <w:p w14:paraId="34715AAA" w14:textId="46F89F6C" w:rsidR="7336895D" w:rsidRDefault="63CCC5AE" w:rsidP="2F17ACDD">
            <w:pPr>
              <w:jc w:val="center"/>
              <w:rPr>
                <w:rFonts w:ascii="Arial" w:eastAsia="Arial" w:hAnsi="Arial" w:cs="Arial"/>
              </w:rPr>
            </w:pPr>
            <w:r w:rsidRPr="2F17ACDD">
              <w:rPr>
                <w:rFonts w:ascii="Arial" w:eastAsia="Arial" w:hAnsi="Arial" w:cs="Arial"/>
              </w:rPr>
              <w:t>200</w:t>
            </w:r>
            <w:r w:rsidR="6808E2AE" w:rsidRPr="2F17ACDD">
              <w:rPr>
                <w:rFonts w:ascii="Arial" w:eastAsia="Arial" w:hAnsi="Arial" w:cs="Arial"/>
              </w:rPr>
              <w:t>0</w:t>
            </w:r>
          </w:p>
        </w:tc>
      </w:tr>
      <w:tr w:rsidR="7336895D" w14:paraId="23F16150" w14:textId="77777777" w:rsidTr="1359001D">
        <w:tc>
          <w:tcPr>
            <w:tcW w:w="3005" w:type="dxa"/>
          </w:tcPr>
          <w:p w14:paraId="7833C05E" w14:textId="21B42D20" w:rsidR="1F9D89F6" w:rsidRDefault="1F9D89F6" w:rsidP="2F17ACDD">
            <w:pPr>
              <w:rPr>
                <w:rFonts w:ascii="Arial" w:eastAsia="Arial" w:hAnsi="Arial" w:cs="Arial"/>
              </w:rPr>
            </w:pPr>
            <w:r w:rsidRPr="2F17ACDD">
              <w:rPr>
                <w:rFonts w:ascii="Arial" w:eastAsia="Arial" w:hAnsi="Arial" w:cs="Arial"/>
              </w:rPr>
              <w:t>Task 2</w:t>
            </w:r>
          </w:p>
        </w:tc>
        <w:tc>
          <w:tcPr>
            <w:tcW w:w="3005" w:type="dxa"/>
          </w:tcPr>
          <w:p w14:paraId="40041519" w14:textId="4E758F92" w:rsidR="7336895D" w:rsidRDefault="76EFEBAD" w:rsidP="515A1CF8">
            <w:pPr>
              <w:rPr>
                <w:rFonts w:ascii="Arial" w:eastAsia="Arial" w:hAnsi="Arial" w:cs="Arial"/>
                <w:b/>
                <w:bCs/>
              </w:rPr>
            </w:pPr>
            <w:r w:rsidRPr="515A1CF8">
              <w:rPr>
                <w:rFonts w:ascii="Arial" w:eastAsia="Arial" w:hAnsi="Arial" w:cs="Arial"/>
                <w:b/>
                <w:bCs/>
              </w:rPr>
              <w:t>Safeguarding and Risk assessment</w:t>
            </w:r>
          </w:p>
        </w:tc>
        <w:tc>
          <w:tcPr>
            <w:tcW w:w="3005" w:type="dxa"/>
          </w:tcPr>
          <w:p w14:paraId="3F030E0E" w14:textId="1407C65A" w:rsidR="7336895D" w:rsidRDefault="374C56F6" w:rsidP="2F17ACDD">
            <w:pPr>
              <w:jc w:val="center"/>
              <w:rPr>
                <w:rFonts w:ascii="Arial" w:eastAsia="Arial" w:hAnsi="Arial" w:cs="Arial"/>
              </w:rPr>
            </w:pPr>
            <w:r w:rsidRPr="2F17ACDD">
              <w:rPr>
                <w:rFonts w:ascii="Arial" w:eastAsia="Arial" w:hAnsi="Arial" w:cs="Arial"/>
              </w:rPr>
              <w:t>2000</w:t>
            </w:r>
          </w:p>
        </w:tc>
      </w:tr>
      <w:tr w:rsidR="7336895D" w14:paraId="1F88D916" w14:textId="77777777" w:rsidTr="1359001D">
        <w:tc>
          <w:tcPr>
            <w:tcW w:w="3005" w:type="dxa"/>
          </w:tcPr>
          <w:p w14:paraId="4DD48D66" w14:textId="72230023" w:rsidR="1F9D89F6" w:rsidRDefault="1F9D89F6" w:rsidP="2F17ACDD">
            <w:pPr>
              <w:rPr>
                <w:rFonts w:ascii="Arial" w:eastAsia="Arial" w:hAnsi="Arial" w:cs="Arial"/>
                <w:sz w:val="24"/>
                <w:szCs w:val="24"/>
              </w:rPr>
            </w:pPr>
            <w:r w:rsidRPr="2F17ACDD">
              <w:rPr>
                <w:rFonts w:ascii="Arial" w:eastAsia="Arial" w:hAnsi="Arial" w:cs="Arial"/>
                <w:sz w:val="24"/>
                <w:szCs w:val="24"/>
              </w:rPr>
              <w:t>Task 3</w:t>
            </w:r>
          </w:p>
        </w:tc>
        <w:tc>
          <w:tcPr>
            <w:tcW w:w="3005" w:type="dxa"/>
          </w:tcPr>
          <w:p w14:paraId="1F9DE1DB" w14:textId="044982C3" w:rsidR="7336895D" w:rsidRDefault="7FF28BF6" w:rsidP="515A1CF8">
            <w:pPr>
              <w:rPr>
                <w:rFonts w:ascii="Arial" w:eastAsia="Arial" w:hAnsi="Arial" w:cs="Arial"/>
                <w:b/>
                <w:bCs/>
              </w:rPr>
            </w:pPr>
            <w:r w:rsidRPr="515A1CF8">
              <w:rPr>
                <w:rFonts w:ascii="Arial" w:eastAsia="Arial" w:hAnsi="Arial" w:cs="Arial"/>
                <w:b/>
                <w:bCs/>
              </w:rPr>
              <w:t>Interview and custody processes</w:t>
            </w:r>
          </w:p>
        </w:tc>
        <w:tc>
          <w:tcPr>
            <w:tcW w:w="3005" w:type="dxa"/>
          </w:tcPr>
          <w:p w14:paraId="1460CC8D" w14:textId="6067515F" w:rsidR="7336895D" w:rsidRDefault="04898A5B" w:rsidP="2F17ACDD">
            <w:pPr>
              <w:jc w:val="center"/>
              <w:rPr>
                <w:rFonts w:ascii="Arial" w:eastAsia="Arial" w:hAnsi="Arial" w:cs="Arial"/>
              </w:rPr>
            </w:pPr>
            <w:r w:rsidRPr="2F17ACDD">
              <w:rPr>
                <w:rFonts w:ascii="Arial" w:eastAsia="Arial" w:hAnsi="Arial" w:cs="Arial"/>
              </w:rPr>
              <w:t>2000</w:t>
            </w:r>
          </w:p>
        </w:tc>
      </w:tr>
      <w:tr w:rsidR="7336895D" w14:paraId="6CA89FA1" w14:textId="77777777" w:rsidTr="1359001D">
        <w:tc>
          <w:tcPr>
            <w:tcW w:w="3005" w:type="dxa"/>
          </w:tcPr>
          <w:p w14:paraId="500E68B8" w14:textId="06C51E03" w:rsidR="1F9D89F6" w:rsidRDefault="1F9D89F6" w:rsidP="2F17ACDD">
            <w:pPr>
              <w:rPr>
                <w:rFonts w:ascii="Arial" w:eastAsia="Arial" w:hAnsi="Arial" w:cs="Arial"/>
                <w:sz w:val="24"/>
                <w:szCs w:val="24"/>
              </w:rPr>
            </w:pPr>
            <w:r w:rsidRPr="2F17ACDD">
              <w:rPr>
                <w:rFonts w:ascii="Arial" w:eastAsia="Arial" w:hAnsi="Arial" w:cs="Arial"/>
                <w:sz w:val="24"/>
                <w:szCs w:val="24"/>
              </w:rPr>
              <w:t>Task 4</w:t>
            </w:r>
          </w:p>
        </w:tc>
        <w:tc>
          <w:tcPr>
            <w:tcW w:w="3005" w:type="dxa"/>
          </w:tcPr>
          <w:p w14:paraId="588EE43A" w14:textId="54E9B29B" w:rsidR="7336895D" w:rsidRDefault="4CAD43B7" w:rsidP="515A1CF8">
            <w:pPr>
              <w:rPr>
                <w:rFonts w:ascii="Arial" w:eastAsia="Arial" w:hAnsi="Arial" w:cs="Arial"/>
                <w:b/>
                <w:bCs/>
              </w:rPr>
            </w:pPr>
            <w:r w:rsidRPr="515A1CF8">
              <w:rPr>
                <w:rFonts w:ascii="Arial" w:eastAsia="Arial" w:hAnsi="Arial" w:cs="Arial"/>
                <w:b/>
                <w:bCs/>
              </w:rPr>
              <w:t xml:space="preserve">Investigation documentation processes. </w:t>
            </w:r>
          </w:p>
        </w:tc>
        <w:tc>
          <w:tcPr>
            <w:tcW w:w="3005" w:type="dxa"/>
          </w:tcPr>
          <w:p w14:paraId="32C22075" w14:textId="40D67B8E" w:rsidR="7336895D" w:rsidRDefault="22989878" w:rsidP="2F17ACDD">
            <w:pPr>
              <w:spacing w:after="160" w:line="259" w:lineRule="auto"/>
              <w:jc w:val="center"/>
              <w:rPr>
                <w:rFonts w:ascii="Arial" w:eastAsia="Arial" w:hAnsi="Arial" w:cs="Arial"/>
              </w:rPr>
            </w:pPr>
            <w:r w:rsidRPr="2F17ACDD">
              <w:rPr>
                <w:rFonts w:ascii="Arial" w:eastAsia="Arial" w:hAnsi="Arial" w:cs="Arial"/>
              </w:rPr>
              <w:t>2000</w:t>
            </w:r>
          </w:p>
        </w:tc>
      </w:tr>
      <w:tr w:rsidR="7336895D" w14:paraId="5FAA5059" w14:textId="77777777" w:rsidTr="1359001D">
        <w:trPr>
          <w:trHeight w:val="1020"/>
        </w:trPr>
        <w:tc>
          <w:tcPr>
            <w:tcW w:w="3005" w:type="dxa"/>
          </w:tcPr>
          <w:p w14:paraId="609D83C7" w14:textId="21A54D27" w:rsidR="7336895D" w:rsidRDefault="1F9D89F6" w:rsidP="2F17ACDD">
            <w:pPr>
              <w:rPr>
                <w:rFonts w:ascii="Arial" w:eastAsia="Arial" w:hAnsi="Arial" w:cs="Arial"/>
                <w:sz w:val="24"/>
                <w:szCs w:val="24"/>
              </w:rPr>
            </w:pPr>
            <w:r w:rsidRPr="2F17ACDD">
              <w:rPr>
                <w:rFonts w:ascii="Arial" w:eastAsia="Arial" w:hAnsi="Arial" w:cs="Arial"/>
                <w:sz w:val="24"/>
                <w:szCs w:val="24"/>
              </w:rPr>
              <w:t>Task 5</w:t>
            </w:r>
          </w:p>
          <w:p w14:paraId="698F2607" w14:textId="4B3FF3C9" w:rsidR="7336895D" w:rsidRDefault="7336895D" w:rsidP="2F17ACDD">
            <w:pPr>
              <w:rPr>
                <w:rFonts w:ascii="Arial" w:eastAsia="Arial" w:hAnsi="Arial" w:cs="Arial"/>
                <w:sz w:val="24"/>
                <w:szCs w:val="24"/>
              </w:rPr>
            </w:pPr>
          </w:p>
        </w:tc>
        <w:tc>
          <w:tcPr>
            <w:tcW w:w="3005" w:type="dxa"/>
          </w:tcPr>
          <w:p w14:paraId="4432633F" w14:textId="388BB802" w:rsidR="7336895D" w:rsidRDefault="1F9D89F6" w:rsidP="2F17ACDD">
            <w:pPr>
              <w:jc w:val="both"/>
              <w:rPr>
                <w:rFonts w:ascii="Arial" w:eastAsia="Arial" w:hAnsi="Arial" w:cs="Arial"/>
                <w:lang w:val="en-US"/>
              </w:rPr>
            </w:pPr>
            <w:r w:rsidRPr="2F17ACDD">
              <w:rPr>
                <w:rFonts w:ascii="Arial" w:eastAsia="Arial" w:hAnsi="Arial" w:cs="Arial"/>
                <w:b/>
                <w:bCs/>
                <w:color w:val="000000" w:themeColor="text1"/>
              </w:rPr>
              <w:t>Personal study/learning plan</w:t>
            </w:r>
          </w:p>
        </w:tc>
        <w:tc>
          <w:tcPr>
            <w:tcW w:w="3005" w:type="dxa"/>
          </w:tcPr>
          <w:p w14:paraId="76373DB7" w14:textId="016E5C80" w:rsidR="1F9D89F6" w:rsidRDefault="1F9D89F6" w:rsidP="2F17ACDD">
            <w:pPr>
              <w:jc w:val="center"/>
              <w:rPr>
                <w:rFonts w:ascii="Arial" w:eastAsia="Arial" w:hAnsi="Arial" w:cs="Arial"/>
              </w:rPr>
            </w:pPr>
            <w:r w:rsidRPr="2F17ACDD">
              <w:rPr>
                <w:rFonts w:ascii="Arial" w:eastAsia="Arial" w:hAnsi="Arial" w:cs="Arial"/>
              </w:rPr>
              <w:t>2000</w:t>
            </w:r>
          </w:p>
        </w:tc>
      </w:tr>
      <w:tr w:rsidR="7336895D" w14:paraId="2B7AB660" w14:textId="77777777" w:rsidTr="1359001D">
        <w:tc>
          <w:tcPr>
            <w:tcW w:w="3005" w:type="dxa"/>
          </w:tcPr>
          <w:p w14:paraId="161B944D" w14:textId="56EA47D7" w:rsidR="7336895D" w:rsidRDefault="7336895D" w:rsidP="2F17ACDD">
            <w:pPr>
              <w:rPr>
                <w:rFonts w:ascii="Arial" w:eastAsia="Arial" w:hAnsi="Arial" w:cs="Arial"/>
                <w:b/>
                <w:bCs/>
                <w:sz w:val="28"/>
                <w:szCs w:val="28"/>
              </w:rPr>
            </w:pPr>
          </w:p>
        </w:tc>
        <w:tc>
          <w:tcPr>
            <w:tcW w:w="3005" w:type="dxa"/>
          </w:tcPr>
          <w:p w14:paraId="1F7793A8" w14:textId="1B686836" w:rsidR="1F9D89F6" w:rsidRDefault="1F9D89F6" w:rsidP="2F17ACDD">
            <w:pPr>
              <w:rPr>
                <w:rFonts w:ascii="Arial" w:eastAsia="Arial" w:hAnsi="Arial" w:cs="Arial"/>
                <w:b/>
                <w:bCs/>
                <w:color w:val="000000" w:themeColor="text1"/>
                <w:sz w:val="24"/>
                <w:szCs w:val="24"/>
              </w:rPr>
            </w:pPr>
            <w:r w:rsidRPr="2F17ACDD">
              <w:rPr>
                <w:rFonts w:ascii="Arial" w:eastAsia="Arial" w:hAnsi="Arial" w:cs="Arial"/>
                <w:b/>
                <w:bCs/>
                <w:color w:val="000000" w:themeColor="text1"/>
                <w:sz w:val="24"/>
                <w:szCs w:val="24"/>
              </w:rPr>
              <w:t>Bibliography</w:t>
            </w:r>
          </w:p>
          <w:p w14:paraId="2468FF94" w14:textId="1EE40AC0" w:rsidR="1F9D89F6" w:rsidRDefault="1F9D89F6" w:rsidP="2F17ACDD">
            <w:pPr>
              <w:jc w:val="center"/>
              <w:rPr>
                <w:rFonts w:ascii="Arial" w:eastAsia="Arial" w:hAnsi="Arial" w:cs="Arial"/>
                <w:b/>
                <w:bCs/>
                <w:color w:val="000000" w:themeColor="text1"/>
                <w:sz w:val="24"/>
                <w:szCs w:val="24"/>
              </w:rPr>
            </w:pPr>
          </w:p>
        </w:tc>
        <w:tc>
          <w:tcPr>
            <w:tcW w:w="3005" w:type="dxa"/>
          </w:tcPr>
          <w:p w14:paraId="336382B5" w14:textId="1A8D32A2" w:rsidR="7336895D" w:rsidRDefault="7336895D" w:rsidP="7336895D">
            <w:pPr>
              <w:rPr>
                <w:rFonts w:ascii="Arial" w:eastAsia="Arial" w:hAnsi="Arial" w:cs="Arial"/>
                <w:b/>
                <w:bCs/>
                <w:sz w:val="24"/>
                <w:szCs w:val="24"/>
              </w:rPr>
            </w:pPr>
          </w:p>
        </w:tc>
      </w:tr>
    </w:tbl>
    <w:p w14:paraId="78413DF1" w14:textId="0B55EF01" w:rsidR="3EBD2789" w:rsidRDefault="3EBD2789"/>
    <w:p w14:paraId="037229E0" w14:textId="30FF0009" w:rsidR="7336895D" w:rsidRDefault="7336895D" w:rsidP="7336895D">
      <w:pPr>
        <w:rPr>
          <w:rFonts w:ascii="Arial" w:eastAsia="Arial" w:hAnsi="Arial" w:cs="Arial"/>
          <w:b/>
          <w:bCs/>
          <w:sz w:val="28"/>
          <w:szCs w:val="28"/>
        </w:rPr>
      </w:pPr>
    </w:p>
    <w:p w14:paraId="2A8D22EC" w14:textId="28EA3210" w:rsidR="7336895D" w:rsidRDefault="7336895D" w:rsidP="7336895D">
      <w:pPr>
        <w:rPr>
          <w:rFonts w:ascii="Arial" w:eastAsia="Arial" w:hAnsi="Arial" w:cs="Arial"/>
          <w:b/>
          <w:bCs/>
          <w:sz w:val="28"/>
          <w:szCs w:val="28"/>
        </w:rPr>
      </w:pPr>
    </w:p>
    <w:p w14:paraId="4298C1BC" w14:textId="150B9582" w:rsidR="7336895D" w:rsidRDefault="7336895D" w:rsidP="7336895D">
      <w:pPr>
        <w:ind w:left="3600" w:right="107" w:firstLine="720"/>
        <w:jc w:val="both"/>
        <w:rPr>
          <w:rFonts w:ascii="Arial" w:eastAsia="Arial" w:hAnsi="Arial" w:cs="Arial"/>
          <w:b/>
          <w:bCs/>
          <w:color w:val="000000" w:themeColor="text1"/>
          <w:sz w:val="24"/>
          <w:szCs w:val="24"/>
        </w:rPr>
      </w:pPr>
    </w:p>
    <w:p w14:paraId="7D3F1522" w14:textId="78EE0B34" w:rsidR="7336895D" w:rsidRDefault="7336895D" w:rsidP="7336895D">
      <w:pPr>
        <w:ind w:left="3600" w:right="107" w:firstLine="720"/>
        <w:jc w:val="both"/>
        <w:rPr>
          <w:rFonts w:ascii="Arial" w:eastAsia="Arial" w:hAnsi="Arial" w:cs="Arial"/>
          <w:b/>
          <w:bCs/>
          <w:color w:val="000000" w:themeColor="text1"/>
          <w:sz w:val="24"/>
          <w:szCs w:val="24"/>
        </w:rPr>
      </w:pPr>
    </w:p>
    <w:p w14:paraId="188A723A" w14:textId="52D70E67" w:rsidR="727E3A7D" w:rsidRDefault="727E3A7D" w:rsidP="727E3A7D">
      <w:pPr>
        <w:rPr>
          <w:rFonts w:ascii="Arial" w:eastAsia="Arial" w:hAnsi="Arial" w:cs="Arial"/>
          <w:b/>
          <w:bCs/>
          <w:sz w:val="24"/>
          <w:szCs w:val="24"/>
        </w:rPr>
      </w:pPr>
    </w:p>
    <w:p w14:paraId="34843062" w14:textId="56FAD287" w:rsidR="727E3A7D" w:rsidRDefault="727E3A7D" w:rsidP="727E3A7D">
      <w:pPr>
        <w:rPr>
          <w:rFonts w:ascii="Arial" w:eastAsia="Arial" w:hAnsi="Arial" w:cs="Arial"/>
          <w:b/>
          <w:bCs/>
          <w:sz w:val="24"/>
          <w:szCs w:val="24"/>
        </w:rPr>
      </w:pPr>
    </w:p>
    <w:p w14:paraId="5B81185A" w14:textId="3B432C47" w:rsidR="727E3A7D" w:rsidRDefault="727E3A7D" w:rsidP="727E3A7D">
      <w:pPr>
        <w:rPr>
          <w:rFonts w:ascii="Arial" w:eastAsia="Arial" w:hAnsi="Arial" w:cs="Arial"/>
          <w:b/>
          <w:bCs/>
          <w:sz w:val="24"/>
          <w:szCs w:val="24"/>
        </w:rPr>
      </w:pPr>
    </w:p>
    <w:p w14:paraId="1B1971E5" w14:textId="4556C5D8" w:rsidR="727E3A7D" w:rsidRDefault="727E3A7D" w:rsidP="727E3A7D">
      <w:pPr>
        <w:rPr>
          <w:rFonts w:ascii="Arial" w:eastAsia="Arial" w:hAnsi="Arial" w:cs="Arial"/>
          <w:b/>
          <w:bCs/>
          <w:sz w:val="24"/>
          <w:szCs w:val="24"/>
        </w:rPr>
      </w:pPr>
    </w:p>
    <w:p w14:paraId="6FA77BB6" w14:textId="0C1599DA" w:rsidR="2F17ACDD" w:rsidRDefault="2F17ACDD" w:rsidP="2F17ACDD">
      <w:pPr>
        <w:rPr>
          <w:rFonts w:ascii="Arial" w:eastAsia="Arial" w:hAnsi="Arial" w:cs="Arial"/>
          <w:b/>
          <w:bCs/>
          <w:sz w:val="24"/>
          <w:szCs w:val="24"/>
        </w:rPr>
      </w:pPr>
    </w:p>
    <w:p w14:paraId="44C1DFE9" w14:textId="1A0A64E8" w:rsidR="2F17ACDD" w:rsidRDefault="2F17ACDD" w:rsidP="2F17ACDD">
      <w:pPr>
        <w:rPr>
          <w:rFonts w:ascii="Arial" w:eastAsia="Arial" w:hAnsi="Arial" w:cs="Arial"/>
          <w:b/>
          <w:bCs/>
          <w:sz w:val="24"/>
          <w:szCs w:val="24"/>
        </w:rPr>
      </w:pPr>
    </w:p>
    <w:p w14:paraId="62F5231B" w14:textId="29D201B7" w:rsidR="010A2EC9" w:rsidRDefault="010A2EC9" w:rsidP="1359001D">
      <w:pPr>
        <w:rPr>
          <w:rFonts w:ascii="Arial" w:eastAsia="Arial" w:hAnsi="Arial" w:cs="Arial"/>
          <w:b/>
          <w:bCs/>
          <w:i/>
          <w:iCs/>
          <w:color w:val="000000" w:themeColor="text1"/>
          <w:sz w:val="24"/>
          <w:szCs w:val="24"/>
        </w:rPr>
      </w:pPr>
      <w:r w:rsidRPr="1359001D">
        <w:rPr>
          <w:rFonts w:ascii="Arial" w:eastAsia="Arial" w:hAnsi="Arial" w:cs="Arial"/>
          <w:b/>
          <w:bCs/>
          <w:i/>
          <w:iCs/>
          <w:sz w:val="24"/>
          <w:szCs w:val="24"/>
        </w:rPr>
        <w:t xml:space="preserve">Task </w:t>
      </w:r>
      <w:r w:rsidRPr="1359001D">
        <w:rPr>
          <w:rFonts w:ascii="Arial" w:eastAsia="Arial" w:hAnsi="Arial" w:cs="Arial"/>
          <w:b/>
          <w:bCs/>
          <w:i/>
          <w:iCs/>
          <w:color w:val="000000" w:themeColor="text1"/>
          <w:sz w:val="24"/>
          <w:szCs w:val="24"/>
        </w:rPr>
        <w:t xml:space="preserve">1: </w:t>
      </w:r>
      <w:r w:rsidR="15A75648" w:rsidRPr="1359001D">
        <w:rPr>
          <w:rFonts w:ascii="Arial" w:eastAsia="Arial" w:hAnsi="Arial" w:cs="Arial"/>
          <w:b/>
          <w:bCs/>
          <w:i/>
          <w:iCs/>
          <w:color w:val="000000" w:themeColor="text1"/>
          <w:sz w:val="24"/>
          <w:szCs w:val="24"/>
        </w:rPr>
        <w:t>Information</w:t>
      </w:r>
      <w:r w:rsidR="4C7DB9DB" w:rsidRPr="1359001D">
        <w:rPr>
          <w:rFonts w:ascii="Arial" w:eastAsia="Arial" w:hAnsi="Arial" w:cs="Arial"/>
          <w:b/>
          <w:bCs/>
          <w:i/>
          <w:iCs/>
          <w:color w:val="000000" w:themeColor="text1"/>
          <w:sz w:val="24"/>
          <w:szCs w:val="24"/>
        </w:rPr>
        <w:t>,</w:t>
      </w:r>
      <w:r w:rsidR="15A75648" w:rsidRPr="1359001D">
        <w:rPr>
          <w:rFonts w:ascii="Arial" w:eastAsia="Arial" w:hAnsi="Arial" w:cs="Arial"/>
          <w:b/>
          <w:bCs/>
          <w:i/>
          <w:iCs/>
          <w:color w:val="000000" w:themeColor="text1"/>
          <w:sz w:val="24"/>
          <w:szCs w:val="24"/>
        </w:rPr>
        <w:t xml:space="preserve"> Intelligence </w:t>
      </w:r>
      <w:r w:rsidR="644F48EE" w:rsidRPr="1359001D">
        <w:rPr>
          <w:rFonts w:ascii="Arial" w:eastAsia="Arial" w:hAnsi="Arial" w:cs="Arial"/>
          <w:b/>
          <w:bCs/>
          <w:i/>
          <w:iCs/>
          <w:color w:val="000000" w:themeColor="text1"/>
          <w:sz w:val="24"/>
          <w:szCs w:val="24"/>
        </w:rPr>
        <w:t xml:space="preserve">&amp; Evidence </w:t>
      </w:r>
      <w:r w:rsidR="15A75648" w:rsidRPr="1359001D">
        <w:rPr>
          <w:rFonts w:ascii="Arial" w:eastAsia="Arial" w:hAnsi="Arial" w:cs="Arial"/>
          <w:b/>
          <w:bCs/>
          <w:i/>
          <w:iCs/>
          <w:color w:val="000000" w:themeColor="text1"/>
          <w:sz w:val="24"/>
          <w:szCs w:val="24"/>
        </w:rPr>
        <w:t>Gathering</w:t>
      </w:r>
    </w:p>
    <w:p w14:paraId="1F98BC2F" w14:textId="006BBA6A" w:rsidR="727E3A7D" w:rsidRDefault="36ED0FD5" w:rsidP="2F17ACDD">
      <w:pPr>
        <w:rPr>
          <w:rFonts w:ascii="Arial" w:eastAsia="Arial" w:hAnsi="Arial" w:cs="Arial"/>
          <w:color w:val="000000" w:themeColor="text1"/>
          <w:sz w:val="24"/>
          <w:szCs w:val="24"/>
        </w:rPr>
      </w:pPr>
      <w:r w:rsidRPr="1359001D">
        <w:rPr>
          <w:rFonts w:ascii="Arial" w:eastAsia="Arial" w:hAnsi="Arial" w:cs="Arial"/>
          <w:color w:val="000000" w:themeColor="text1"/>
          <w:sz w:val="24"/>
          <w:szCs w:val="24"/>
        </w:rPr>
        <w:t xml:space="preserve">You must choose a serious and complex investigation in which you played a significant role with the gathering of </w:t>
      </w:r>
      <w:r w:rsidR="408C7892" w:rsidRPr="1359001D">
        <w:rPr>
          <w:rFonts w:ascii="Arial" w:eastAsia="Arial" w:hAnsi="Arial" w:cs="Arial"/>
          <w:color w:val="000000" w:themeColor="text1"/>
          <w:sz w:val="24"/>
          <w:szCs w:val="24"/>
        </w:rPr>
        <w:t xml:space="preserve">intelligence or </w:t>
      </w:r>
      <w:r w:rsidRPr="1359001D">
        <w:rPr>
          <w:rFonts w:ascii="Arial" w:eastAsia="Arial" w:hAnsi="Arial" w:cs="Arial"/>
          <w:color w:val="000000" w:themeColor="text1"/>
          <w:sz w:val="24"/>
          <w:szCs w:val="24"/>
        </w:rPr>
        <w:t>evidential material.</w:t>
      </w:r>
      <w:r w:rsidRPr="1359001D">
        <w:rPr>
          <w:rFonts w:ascii="Arial" w:eastAsia="Arial" w:hAnsi="Arial" w:cs="Arial"/>
          <w:b/>
          <w:bCs/>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14:paraId="7598B4AD" w14:textId="77777777" w:rsidTr="1359001D">
        <w:tc>
          <w:tcPr>
            <w:tcW w:w="9015" w:type="dxa"/>
          </w:tcPr>
          <w:p w14:paraId="51D17758" w14:textId="13266AFB" w:rsidR="7336895D" w:rsidRPr="00E9152C" w:rsidRDefault="5B3306FD" w:rsidP="2F17ACDD">
            <w:pPr>
              <w:rPr>
                <w:rFonts w:ascii="Arial" w:eastAsia="Arial" w:hAnsi="Arial" w:cs="Arial"/>
                <w:b/>
                <w:bCs/>
                <w:color w:val="000000" w:themeColor="text1"/>
                <w:sz w:val="24"/>
                <w:szCs w:val="24"/>
              </w:rPr>
            </w:pPr>
            <w:r w:rsidRPr="00E9152C">
              <w:rPr>
                <w:rFonts w:ascii="Arial" w:eastAsia="Arial" w:hAnsi="Arial" w:cs="Arial"/>
                <w:b/>
                <w:bCs/>
                <w:color w:val="000000" w:themeColor="text1"/>
                <w:sz w:val="24"/>
                <w:szCs w:val="24"/>
              </w:rPr>
              <w:lastRenderedPageBreak/>
              <w:t xml:space="preserve">Give a brief description of the investigation including social and legislative contexts and any relevant cultural, ethnicity and language issues.  </w:t>
            </w:r>
          </w:p>
          <w:p w14:paraId="52D797F6" w14:textId="77777777" w:rsidR="00E9152C" w:rsidRDefault="00E9152C" w:rsidP="2F17ACDD">
            <w:pPr>
              <w:rPr>
                <w:rFonts w:ascii="Arial" w:eastAsia="Arial" w:hAnsi="Arial" w:cs="Arial"/>
                <w:color w:val="000000" w:themeColor="text1"/>
                <w:sz w:val="24"/>
                <w:szCs w:val="24"/>
              </w:rPr>
            </w:pPr>
          </w:p>
          <w:p w14:paraId="4FF93979" w14:textId="77777777" w:rsidR="00E9152C" w:rsidRPr="002C7A18" w:rsidRDefault="00E9152C" w:rsidP="00E9152C">
            <w:pPr>
              <w:rPr>
                <w:rFonts w:ascii="Arial" w:hAnsi="Arial" w:cs="Arial"/>
                <w:sz w:val="24"/>
                <w:szCs w:val="24"/>
              </w:rPr>
            </w:pPr>
            <w:r w:rsidRPr="002C7A18">
              <w:rPr>
                <w:rFonts w:ascii="Arial" w:hAnsi="Arial" w:cs="Arial"/>
                <w:sz w:val="24"/>
                <w:szCs w:val="24"/>
              </w:rPr>
              <w:t xml:space="preserve">This investigation involved </w:t>
            </w:r>
            <w:r>
              <w:rPr>
                <w:rFonts w:ascii="Arial" w:hAnsi="Arial" w:cs="Arial"/>
                <w:sz w:val="24"/>
                <w:szCs w:val="24"/>
              </w:rPr>
              <w:t>examining</w:t>
            </w:r>
            <w:r w:rsidRPr="002C7A18">
              <w:rPr>
                <w:rFonts w:ascii="Arial" w:hAnsi="Arial" w:cs="Arial"/>
                <w:sz w:val="24"/>
                <w:szCs w:val="24"/>
              </w:rPr>
              <w:t xml:space="preserve"> suspicions that an individual had committed offences of possession of indecent images of children contrary to section 160 of the Criminal Justice Act 1988</w:t>
            </w:r>
            <w:r>
              <w:rPr>
                <w:rFonts w:ascii="Arial" w:hAnsi="Arial" w:cs="Arial"/>
                <w:sz w:val="24"/>
                <w:szCs w:val="24"/>
              </w:rPr>
              <w:t>,</w:t>
            </w:r>
            <w:r w:rsidRPr="002C7A18">
              <w:rPr>
                <w:rFonts w:ascii="Arial" w:hAnsi="Arial" w:cs="Arial"/>
                <w:sz w:val="24"/>
                <w:szCs w:val="24"/>
              </w:rPr>
              <w:t xml:space="preserve"> possession of extreme pornographic images contrary to section 63 of the Criminal Justice and Immigration Act 2008</w:t>
            </w:r>
            <w:r>
              <w:rPr>
                <w:rFonts w:ascii="Arial" w:hAnsi="Arial" w:cs="Arial"/>
                <w:sz w:val="24"/>
                <w:szCs w:val="24"/>
              </w:rPr>
              <w:t xml:space="preserve">, </w:t>
            </w:r>
            <w:r w:rsidRPr="002C7A18">
              <w:rPr>
                <w:rFonts w:ascii="Arial" w:hAnsi="Arial" w:cs="Arial"/>
                <w:sz w:val="24"/>
                <w:szCs w:val="24"/>
              </w:rPr>
              <w:t>and also distribution of indecent images of children contrary to section 1 of the Protection of Children Act 1978</w:t>
            </w:r>
            <w:r>
              <w:rPr>
                <w:rFonts w:ascii="Arial" w:hAnsi="Arial" w:cs="Arial"/>
                <w:sz w:val="24"/>
                <w:szCs w:val="24"/>
              </w:rPr>
              <w:t>.</w:t>
            </w:r>
          </w:p>
          <w:p w14:paraId="271EB9CA" w14:textId="77777777" w:rsidR="00E9152C" w:rsidRPr="002C7A18" w:rsidRDefault="00E9152C" w:rsidP="00E9152C">
            <w:pPr>
              <w:rPr>
                <w:rFonts w:ascii="Arial" w:hAnsi="Arial" w:cs="Arial"/>
                <w:sz w:val="24"/>
                <w:szCs w:val="24"/>
              </w:rPr>
            </w:pPr>
            <w:r w:rsidRPr="002C7A18">
              <w:rPr>
                <w:rFonts w:ascii="Arial" w:hAnsi="Arial" w:cs="Arial"/>
                <w:sz w:val="24"/>
                <w:szCs w:val="24"/>
              </w:rPr>
              <w:t xml:space="preserve">The individual was brought to the attention of police in two ways – firstly, another individual was arrested for similar offences, and the suspect in this matter was identified as a result of the digital forensic work conducted on that individual’s mobile phone, and secondly South Wales Police received a referral from a social media company advising that the suspect had uploaded indecent images of children. Intelligence work was completed in the form of communications data applications being submitted, which identified the suspect as the user of the social media accounts. Intelligence checks were also conducted to ascertain an accurate address for the suspect, as well as details of his employment, during which it transpired that he was </w:t>
            </w:r>
            <w:r>
              <w:rPr>
                <w:rFonts w:ascii="Arial" w:hAnsi="Arial" w:cs="Arial"/>
                <w:sz w:val="24"/>
                <w:szCs w:val="24"/>
              </w:rPr>
              <w:t>at that time</w:t>
            </w:r>
            <w:r w:rsidRPr="002C7A18">
              <w:rPr>
                <w:rFonts w:ascii="Arial" w:hAnsi="Arial" w:cs="Arial"/>
                <w:sz w:val="24"/>
                <w:szCs w:val="24"/>
              </w:rPr>
              <w:t xml:space="preserve"> working as a registered nurse within a hospital.</w:t>
            </w:r>
          </w:p>
          <w:p w14:paraId="60CA4443" w14:textId="77777777" w:rsidR="00E9152C" w:rsidRPr="002C7A18" w:rsidRDefault="00E9152C" w:rsidP="00E9152C">
            <w:pPr>
              <w:rPr>
                <w:rFonts w:ascii="Arial" w:hAnsi="Arial" w:cs="Arial"/>
                <w:sz w:val="24"/>
                <w:szCs w:val="24"/>
              </w:rPr>
            </w:pPr>
            <w:r>
              <w:rPr>
                <w:rFonts w:ascii="Arial" w:hAnsi="Arial" w:cs="Arial"/>
                <w:sz w:val="24"/>
                <w:szCs w:val="24"/>
              </w:rPr>
              <w:t xml:space="preserve">The intelligence was assessed and evaluated </w:t>
            </w:r>
            <w:r w:rsidRPr="002C7A18">
              <w:rPr>
                <w:rFonts w:ascii="Arial" w:hAnsi="Arial" w:cs="Arial"/>
                <w:sz w:val="24"/>
                <w:szCs w:val="24"/>
              </w:rPr>
              <w:t>to create an investigative strategy, which involved attending at the suspect’s address, arresting him, conducting searches and seizure of digital devices, interviewing him, and subsequent digital forensic work. Whilst the suspect was on bail, digital forensic work identified that there was conclusive evidence of the offences on his devices, and he was subsequently charged, pleaded guilty, and was convicted.</w:t>
            </w:r>
          </w:p>
          <w:p w14:paraId="3CACE5D0" w14:textId="77777777" w:rsidR="00E9152C" w:rsidRDefault="00E9152C" w:rsidP="2F17ACDD">
            <w:pPr>
              <w:rPr>
                <w:rFonts w:ascii="Arial" w:eastAsia="Arial" w:hAnsi="Arial" w:cs="Arial"/>
                <w:sz w:val="24"/>
                <w:szCs w:val="24"/>
              </w:rPr>
            </w:pPr>
          </w:p>
          <w:p w14:paraId="4A71DDF4" w14:textId="77777777" w:rsidR="00B476D2" w:rsidRDefault="00B476D2" w:rsidP="2F17ACDD">
            <w:pPr>
              <w:rPr>
                <w:rFonts w:ascii="Arial" w:eastAsia="Arial" w:hAnsi="Arial" w:cs="Arial"/>
                <w:sz w:val="24"/>
                <w:szCs w:val="24"/>
              </w:rPr>
            </w:pPr>
          </w:p>
          <w:p w14:paraId="7CAE03A0" w14:textId="08B83F3F" w:rsidR="515A1CF8" w:rsidRDefault="515A1CF8" w:rsidP="515A1CF8">
            <w:pPr>
              <w:rPr>
                <w:rFonts w:ascii="Arial" w:eastAsia="Arial" w:hAnsi="Arial" w:cs="Arial"/>
                <w:color w:val="000000" w:themeColor="text1"/>
                <w:sz w:val="24"/>
                <w:szCs w:val="24"/>
              </w:rPr>
            </w:pPr>
          </w:p>
          <w:p w14:paraId="763D83D5" w14:textId="6202FBB2" w:rsidR="0164F6A5" w:rsidRDefault="525CCFD5" w:rsidP="1359001D">
            <w:pPr>
              <w:rPr>
                <w:rFonts w:ascii="Arial" w:eastAsia="Arial" w:hAnsi="Arial" w:cs="Arial"/>
                <w:b/>
                <w:bCs/>
                <w:color w:val="000000" w:themeColor="text1"/>
                <w:sz w:val="24"/>
                <w:szCs w:val="24"/>
              </w:rPr>
            </w:pPr>
            <w:r w:rsidRPr="00E9152C">
              <w:rPr>
                <w:rFonts w:ascii="Arial" w:eastAsia="Arial" w:hAnsi="Arial" w:cs="Arial"/>
                <w:b/>
                <w:bCs/>
                <w:color w:val="000000" w:themeColor="text1"/>
                <w:sz w:val="24"/>
                <w:szCs w:val="24"/>
              </w:rPr>
              <w:t>Evaluate how you have worked with others (</w:t>
            </w:r>
            <w:r w:rsidR="498DEB93" w:rsidRPr="00E9152C">
              <w:rPr>
                <w:rFonts w:ascii="Arial" w:eastAsia="Arial" w:hAnsi="Arial" w:cs="Arial"/>
                <w:b/>
                <w:bCs/>
                <w:color w:val="000000" w:themeColor="text1"/>
                <w:sz w:val="24"/>
                <w:szCs w:val="24"/>
              </w:rPr>
              <w:t>e.g.</w:t>
            </w:r>
            <w:r w:rsidRPr="00E9152C">
              <w:rPr>
                <w:rFonts w:ascii="Arial" w:eastAsia="Arial" w:hAnsi="Arial" w:cs="Arial"/>
                <w:b/>
                <w:bCs/>
                <w:color w:val="000000" w:themeColor="text1"/>
                <w:sz w:val="24"/>
                <w:szCs w:val="24"/>
              </w:rPr>
              <w:t>, investigators, specialists and managers) to establish and use approp</w:t>
            </w:r>
            <w:r w:rsidR="19A118D1" w:rsidRPr="00E9152C">
              <w:rPr>
                <w:rFonts w:ascii="Arial" w:eastAsia="Arial" w:hAnsi="Arial" w:cs="Arial"/>
                <w:b/>
                <w:bCs/>
                <w:color w:val="000000" w:themeColor="text1"/>
                <w:sz w:val="24"/>
                <w:szCs w:val="24"/>
              </w:rPr>
              <w:t xml:space="preserve">riate methods for gathering </w:t>
            </w:r>
            <w:r w:rsidR="0B281E6C" w:rsidRPr="00E9152C">
              <w:rPr>
                <w:rFonts w:ascii="Arial" w:eastAsia="Arial" w:hAnsi="Arial" w:cs="Arial"/>
                <w:b/>
                <w:bCs/>
                <w:color w:val="000000" w:themeColor="text1"/>
                <w:sz w:val="24"/>
                <w:szCs w:val="24"/>
              </w:rPr>
              <w:t>intelligence</w:t>
            </w:r>
            <w:r w:rsidR="5A18F88D" w:rsidRPr="00E9152C">
              <w:rPr>
                <w:rFonts w:ascii="Arial" w:eastAsia="Arial" w:hAnsi="Arial" w:cs="Arial"/>
                <w:b/>
                <w:bCs/>
                <w:color w:val="000000" w:themeColor="text1"/>
                <w:sz w:val="24"/>
                <w:szCs w:val="24"/>
              </w:rPr>
              <w:t xml:space="preserve"> or evidence</w:t>
            </w:r>
            <w:r w:rsidR="19A118D1" w:rsidRPr="00E9152C">
              <w:rPr>
                <w:rFonts w:ascii="Arial" w:eastAsia="Arial" w:hAnsi="Arial" w:cs="Arial"/>
                <w:b/>
                <w:bCs/>
                <w:color w:val="000000" w:themeColor="text1"/>
                <w:sz w:val="24"/>
                <w:szCs w:val="24"/>
              </w:rPr>
              <w:t xml:space="preserve">. </w:t>
            </w:r>
          </w:p>
          <w:p w14:paraId="1430A4D5" w14:textId="77777777" w:rsidR="00E9152C" w:rsidRDefault="00E9152C" w:rsidP="1359001D">
            <w:pPr>
              <w:rPr>
                <w:rFonts w:ascii="Arial" w:eastAsia="Arial" w:hAnsi="Arial" w:cs="Arial"/>
                <w:b/>
                <w:bCs/>
                <w:color w:val="000000" w:themeColor="text1"/>
                <w:sz w:val="24"/>
                <w:szCs w:val="24"/>
              </w:rPr>
            </w:pPr>
          </w:p>
          <w:p w14:paraId="204BECC3" w14:textId="77777777" w:rsidR="002C1C65" w:rsidRDefault="00B476D2" w:rsidP="00B476D2">
            <w:pPr>
              <w:rPr>
                <w:rFonts w:ascii="Arial" w:eastAsia="Arial" w:hAnsi="Arial" w:cs="Arial"/>
                <w:color w:val="000000" w:themeColor="text1"/>
                <w:sz w:val="24"/>
                <w:szCs w:val="24"/>
              </w:rPr>
            </w:pPr>
            <w:r w:rsidRPr="002C7A18">
              <w:rPr>
                <w:rFonts w:ascii="Arial" w:eastAsia="Arial" w:hAnsi="Arial" w:cs="Arial"/>
                <w:color w:val="000000" w:themeColor="text1"/>
                <w:sz w:val="24"/>
                <w:szCs w:val="24"/>
              </w:rPr>
              <w:t>In cases involving offences of possession and distribution of indecent images of children, in the overwhelming majority of cases,</w:t>
            </w:r>
            <w:r>
              <w:rPr>
                <w:rFonts w:ascii="Arial" w:eastAsia="Arial" w:hAnsi="Arial" w:cs="Arial"/>
                <w:color w:val="000000" w:themeColor="text1"/>
                <w:sz w:val="24"/>
                <w:szCs w:val="24"/>
              </w:rPr>
              <w:t xml:space="preserve"> </w:t>
            </w:r>
            <w:r w:rsidRPr="002C7A18">
              <w:rPr>
                <w:rFonts w:ascii="Arial" w:eastAsia="Arial" w:hAnsi="Arial" w:cs="Arial"/>
                <w:color w:val="000000" w:themeColor="text1"/>
                <w:sz w:val="24"/>
                <w:szCs w:val="24"/>
              </w:rPr>
              <w:t>evidence of these offences is in electronic form on digital devices, a trend which has developed as internet usage has increased. Clough (2008</w:t>
            </w:r>
            <w:r>
              <w:rPr>
                <w:rFonts w:ascii="Arial" w:eastAsia="Arial" w:hAnsi="Arial" w:cs="Arial"/>
                <w:color w:val="000000" w:themeColor="text1"/>
                <w:sz w:val="24"/>
                <w:szCs w:val="24"/>
              </w:rPr>
              <w:t>, p. 2</w:t>
            </w:r>
            <w:r w:rsidRPr="002C7A18">
              <w:rPr>
                <w:rFonts w:ascii="Arial" w:eastAsia="Arial" w:hAnsi="Arial" w:cs="Arial"/>
                <w:color w:val="000000" w:themeColor="text1"/>
                <w:sz w:val="24"/>
                <w:szCs w:val="24"/>
              </w:rPr>
              <w:t xml:space="preserve">) acknowledges the increase in the number of prosecutions involving indecent images of children </w:t>
            </w:r>
            <w:r>
              <w:rPr>
                <w:rFonts w:ascii="Arial" w:eastAsia="Arial" w:hAnsi="Arial" w:cs="Arial"/>
                <w:color w:val="000000" w:themeColor="text1"/>
                <w:sz w:val="24"/>
                <w:szCs w:val="24"/>
              </w:rPr>
              <w:t xml:space="preserve">in the United Kingdom </w:t>
            </w:r>
            <w:r w:rsidRPr="002C7A18">
              <w:rPr>
                <w:rFonts w:ascii="Arial" w:eastAsia="Arial" w:hAnsi="Arial" w:cs="Arial"/>
                <w:color w:val="000000" w:themeColor="text1"/>
                <w:sz w:val="24"/>
                <w:szCs w:val="24"/>
              </w:rPr>
              <w:t>from 93 in 1994 to 1,890 in 2003, putting this down in part to an “exponential proliferation of child pornography on the internet”</w:t>
            </w:r>
            <w:r>
              <w:rPr>
                <w:rFonts w:ascii="Arial" w:eastAsia="Arial" w:hAnsi="Arial" w:cs="Arial"/>
                <w:color w:val="000000" w:themeColor="text1"/>
                <w:sz w:val="24"/>
                <w:szCs w:val="24"/>
              </w:rPr>
              <w:t xml:space="preserve">. </w:t>
            </w:r>
            <w:r w:rsidRPr="002C7A18">
              <w:rPr>
                <w:rFonts w:ascii="Arial" w:eastAsia="Arial" w:hAnsi="Arial" w:cs="Arial"/>
                <w:color w:val="000000" w:themeColor="text1"/>
                <w:sz w:val="24"/>
                <w:szCs w:val="24"/>
              </w:rPr>
              <w:t xml:space="preserve">This creates a potential issue with regards to the gathering of evidence as digital data, and even devices themselves, can be destroyed, </w:t>
            </w:r>
            <w:r>
              <w:rPr>
                <w:rFonts w:ascii="Arial" w:eastAsia="Arial" w:hAnsi="Arial" w:cs="Arial"/>
                <w:color w:val="000000" w:themeColor="text1"/>
                <w:sz w:val="24"/>
                <w:szCs w:val="24"/>
              </w:rPr>
              <w:t>which can greatly frustrate</w:t>
            </w:r>
            <w:r w:rsidRPr="002C7A18">
              <w:rPr>
                <w:rFonts w:ascii="Arial" w:eastAsia="Arial" w:hAnsi="Arial" w:cs="Arial"/>
                <w:color w:val="000000" w:themeColor="text1"/>
                <w:sz w:val="24"/>
                <w:szCs w:val="24"/>
              </w:rPr>
              <w:t xml:space="preserve"> investigative efforts </w:t>
            </w:r>
            <w:r>
              <w:rPr>
                <w:rFonts w:ascii="Arial" w:eastAsia="Arial" w:hAnsi="Arial" w:cs="Arial"/>
                <w:color w:val="000000" w:themeColor="text1"/>
                <w:sz w:val="24"/>
                <w:szCs w:val="24"/>
              </w:rPr>
              <w:t xml:space="preserve">regarding </w:t>
            </w:r>
            <w:r w:rsidRPr="002C7A18">
              <w:rPr>
                <w:rFonts w:ascii="Arial" w:eastAsia="Arial" w:hAnsi="Arial" w:cs="Arial"/>
                <w:color w:val="000000" w:themeColor="text1"/>
                <w:sz w:val="24"/>
                <w:szCs w:val="24"/>
              </w:rPr>
              <w:t xml:space="preserve">possession offences. If a relevant piece of evidence is destroyed, or otherwise rendered outside of the suspect’s custody or control, then that suspect can no longer be </w:t>
            </w:r>
            <w:r>
              <w:rPr>
                <w:rFonts w:ascii="Arial" w:eastAsia="Arial" w:hAnsi="Arial" w:cs="Arial"/>
                <w:color w:val="000000" w:themeColor="text1"/>
                <w:sz w:val="24"/>
                <w:szCs w:val="24"/>
              </w:rPr>
              <w:t>i</w:t>
            </w:r>
            <w:r w:rsidRPr="002C7A18">
              <w:rPr>
                <w:rFonts w:ascii="Arial" w:eastAsia="Arial" w:hAnsi="Arial" w:cs="Arial"/>
                <w:color w:val="000000" w:themeColor="text1"/>
                <w:sz w:val="24"/>
                <w:szCs w:val="24"/>
              </w:rPr>
              <w:t xml:space="preserve">n possession of it (Clough, 2008, p.11). If a suspect is made aware of the police’s interest in them before </w:t>
            </w:r>
            <w:r>
              <w:rPr>
                <w:rFonts w:ascii="Arial" w:eastAsia="Arial" w:hAnsi="Arial" w:cs="Arial"/>
                <w:color w:val="000000" w:themeColor="text1"/>
                <w:sz w:val="24"/>
                <w:szCs w:val="24"/>
              </w:rPr>
              <w:t>they</w:t>
            </w:r>
            <w:r w:rsidRPr="002C7A18">
              <w:rPr>
                <w:rFonts w:ascii="Arial" w:eastAsia="Arial" w:hAnsi="Arial" w:cs="Arial"/>
                <w:color w:val="000000" w:themeColor="text1"/>
                <w:sz w:val="24"/>
                <w:szCs w:val="24"/>
              </w:rPr>
              <w:t xml:space="preserve"> have had a chance to engage with them, there is a risk of evidence being destroyed and possession offences being impossible to prove evidentially.</w:t>
            </w:r>
          </w:p>
          <w:p w14:paraId="33CED1E2" w14:textId="77777777" w:rsidR="00372DB8" w:rsidRDefault="00372DB8" w:rsidP="00B476D2">
            <w:pPr>
              <w:rPr>
                <w:rFonts w:ascii="Arial" w:eastAsia="Arial" w:hAnsi="Arial" w:cs="Arial"/>
                <w:color w:val="000000" w:themeColor="text1"/>
                <w:sz w:val="24"/>
                <w:szCs w:val="24"/>
              </w:rPr>
            </w:pPr>
          </w:p>
          <w:p w14:paraId="04E39195" w14:textId="1F7A59AC" w:rsidR="00B476D2" w:rsidRDefault="00B476D2" w:rsidP="00B476D2">
            <w:pPr>
              <w:rPr>
                <w:rFonts w:ascii="Arial" w:eastAsia="Arial" w:hAnsi="Arial" w:cs="Arial"/>
                <w:color w:val="000000" w:themeColor="text1"/>
                <w:sz w:val="24"/>
                <w:szCs w:val="24"/>
              </w:rPr>
            </w:pPr>
            <w:r w:rsidRPr="002C7A18">
              <w:rPr>
                <w:rFonts w:ascii="Arial" w:eastAsia="Arial" w:hAnsi="Arial" w:cs="Arial"/>
                <w:color w:val="000000" w:themeColor="text1"/>
                <w:sz w:val="24"/>
                <w:szCs w:val="24"/>
              </w:rPr>
              <w:t xml:space="preserve">In this particular case, for the reasons outlined above, </w:t>
            </w:r>
            <w:r>
              <w:rPr>
                <w:rFonts w:ascii="Arial" w:eastAsia="Arial" w:hAnsi="Arial" w:cs="Arial"/>
                <w:color w:val="000000" w:themeColor="text1"/>
                <w:sz w:val="24"/>
                <w:szCs w:val="24"/>
              </w:rPr>
              <w:t>the concern was that</w:t>
            </w:r>
            <w:r w:rsidRPr="002C7A18">
              <w:rPr>
                <w:rFonts w:ascii="Arial" w:eastAsia="Arial" w:hAnsi="Arial" w:cs="Arial"/>
                <w:color w:val="000000" w:themeColor="text1"/>
                <w:sz w:val="24"/>
                <w:szCs w:val="24"/>
              </w:rPr>
              <w:t xml:space="preserve"> attempting an arrest without collaboratively working with intelligence colleagues and careful planning of an arrest exposed a risk of alerting the suspect to</w:t>
            </w:r>
            <w:r>
              <w:rPr>
                <w:rFonts w:ascii="Arial" w:eastAsia="Arial" w:hAnsi="Arial" w:cs="Arial"/>
                <w:color w:val="000000" w:themeColor="text1"/>
                <w:sz w:val="24"/>
                <w:szCs w:val="24"/>
              </w:rPr>
              <w:t xml:space="preserve"> the</w:t>
            </w:r>
            <w:r w:rsidRPr="002C7A18">
              <w:rPr>
                <w:rFonts w:ascii="Arial" w:eastAsia="Arial" w:hAnsi="Arial" w:cs="Arial"/>
                <w:color w:val="000000" w:themeColor="text1"/>
                <w:sz w:val="24"/>
                <w:szCs w:val="24"/>
              </w:rPr>
              <w:t xml:space="preserve"> interest in him</w:t>
            </w:r>
            <w:r>
              <w:rPr>
                <w:rFonts w:ascii="Arial" w:eastAsia="Arial" w:hAnsi="Arial" w:cs="Arial"/>
                <w:color w:val="000000" w:themeColor="text1"/>
                <w:sz w:val="24"/>
                <w:szCs w:val="24"/>
              </w:rPr>
              <w:t>,</w:t>
            </w:r>
            <w:r w:rsidRPr="002C7A18">
              <w:rPr>
                <w:rFonts w:ascii="Arial" w:eastAsia="Arial" w:hAnsi="Arial" w:cs="Arial"/>
                <w:color w:val="000000" w:themeColor="text1"/>
                <w:sz w:val="24"/>
                <w:szCs w:val="24"/>
              </w:rPr>
              <w:t xml:space="preserve"> which could lead to the destruction of evidence and difficulties in proving offences. The College of Policing (2022</w:t>
            </w:r>
            <w:r>
              <w:rPr>
                <w:rFonts w:ascii="Arial" w:eastAsia="Arial" w:hAnsi="Arial" w:cs="Arial"/>
                <w:color w:val="000000" w:themeColor="text1"/>
                <w:sz w:val="24"/>
                <w:szCs w:val="24"/>
              </w:rPr>
              <w:t>b</w:t>
            </w:r>
            <w:r w:rsidRPr="002C7A18">
              <w:rPr>
                <w:rFonts w:ascii="Arial" w:eastAsia="Arial" w:hAnsi="Arial" w:cs="Arial"/>
                <w:color w:val="000000" w:themeColor="text1"/>
                <w:sz w:val="24"/>
                <w:szCs w:val="24"/>
              </w:rPr>
              <w:t>) agrees that the risk of the suspect destroying, concealing or falsifying evidence</w:t>
            </w:r>
            <w:r>
              <w:rPr>
                <w:rFonts w:ascii="Arial" w:eastAsia="Arial" w:hAnsi="Arial" w:cs="Arial"/>
                <w:color w:val="000000" w:themeColor="text1"/>
                <w:sz w:val="24"/>
                <w:szCs w:val="24"/>
              </w:rPr>
              <w:t>,</w:t>
            </w:r>
            <w:r w:rsidRPr="002C7A18">
              <w:rPr>
                <w:rFonts w:ascii="Arial" w:eastAsia="Arial" w:hAnsi="Arial" w:cs="Arial"/>
                <w:color w:val="000000" w:themeColor="text1"/>
                <w:sz w:val="24"/>
                <w:szCs w:val="24"/>
              </w:rPr>
              <w:t xml:space="preserve"> creating an obstruction </w:t>
            </w:r>
            <w:r>
              <w:rPr>
                <w:rFonts w:ascii="Arial" w:eastAsia="Arial" w:hAnsi="Arial" w:cs="Arial"/>
                <w:color w:val="000000" w:themeColor="text1"/>
                <w:sz w:val="24"/>
                <w:szCs w:val="24"/>
              </w:rPr>
              <w:t>to</w:t>
            </w:r>
            <w:r w:rsidRPr="002C7A18">
              <w:rPr>
                <w:rFonts w:ascii="Arial" w:eastAsia="Arial" w:hAnsi="Arial" w:cs="Arial"/>
                <w:color w:val="000000" w:themeColor="text1"/>
                <w:sz w:val="24"/>
                <w:szCs w:val="24"/>
              </w:rPr>
              <w:t xml:space="preserve"> the investigation</w:t>
            </w:r>
            <w:r>
              <w:rPr>
                <w:rFonts w:ascii="Arial" w:eastAsia="Arial" w:hAnsi="Arial" w:cs="Arial"/>
                <w:color w:val="000000" w:themeColor="text1"/>
                <w:sz w:val="24"/>
                <w:szCs w:val="24"/>
              </w:rPr>
              <w:t>,</w:t>
            </w:r>
            <w:r w:rsidRPr="002C7A18">
              <w:rPr>
                <w:rFonts w:ascii="Arial" w:eastAsia="Arial" w:hAnsi="Arial" w:cs="Arial"/>
                <w:color w:val="000000" w:themeColor="text1"/>
                <w:sz w:val="24"/>
                <w:szCs w:val="24"/>
              </w:rPr>
              <w:t xml:space="preserve"> should be a factor when considering the timing of an arrest</w:t>
            </w:r>
            <w:r>
              <w:rPr>
                <w:rFonts w:ascii="Arial" w:eastAsia="Arial" w:hAnsi="Arial" w:cs="Arial"/>
                <w:color w:val="000000" w:themeColor="text1"/>
                <w:sz w:val="24"/>
                <w:szCs w:val="24"/>
              </w:rPr>
              <w:t>, the concerns in this case being that should an arrest be attempted without diligent intelligence checks resulting in the suspect not being arrested but being alerted to police interest, evidence would be lost.</w:t>
            </w:r>
            <w:r w:rsidRPr="002C7A18">
              <w:rPr>
                <w:rFonts w:ascii="Arial" w:eastAsia="Arial" w:hAnsi="Arial" w:cs="Arial"/>
                <w:color w:val="000000" w:themeColor="text1"/>
                <w:sz w:val="24"/>
                <w:szCs w:val="24"/>
              </w:rPr>
              <w:t xml:space="preserve"> However</w:t>
            </w:r>
            <w:r>
              <w:rPr>
                <w:rFonts w:ascii="Arial" w:eastAsia="Arial" w:hAnsi="Arial" w:cs="Arial"/>
                <w:color w:val="000000" w:themeColor="text1"/>
                <w:sz w:val="24"/>
                <w:szCs w:val="24"/>
              </w:rPr>
              <w:t>,</w:t>
            </w:r>
            <w:r w:rsidRPr="002C7A1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the same guidance from the College of Policing (2022b)</w:t>
            </w:r>
            <w:r w:rsidRPr="002C7A18">
              <w:rPr>
                <w:rFonts w:ascii="Arial" w:eastAsia="Arial" w:hAnsi="Arial" w:cs="Arial"/>
                <w:color w:val="000000" w:themeColor="text1"/>
                <w:sz w:val="24"/>
                <w:szCs w:val="24"/>
              </w:rPr>
              <w:t xml:space="preserve"> also advise</w:t>
            </w:r>
            <w:r>
              <w:rPr>
                <w:rFonts w:ascii="Arial" w:eastAsia="Arial" w:hAnsi="Arial" w:cs="Arial"/>
                <w:color w:val="000000" w:themeColor="text1"/>
                <w:sz w:val="24"/>
                <w:szCs w:val="24"/>
              </w:rPr>
              <w:t>s</w:t>
            </w:r>
            <w:r w:rsidRPr="002C7A18">
              <w:rPr>
                <w:rFonts w:ascii="Arial" w:eastAsia="Arial" w:hAnsi="Arial" w:cs="Arial"/>
                <w:color w:val="000000" w:themeColor="text1"/>
                <w:sz w:val="24"/>
                <w:szCs w:val="24"/>
              </w:rPr>
              <w:t xml:space="preserve"> considering the likelihood of the suspect committing further or more serious offences, which may warrant a more immediate arrest. In order to assist with th</w:t>
            </w:r>
            <w:r>
              <w:rPr>
                <w:rFonts w:ascii="Arial" w:eastAsia="Arial" w:hAnsi="Arial" w:cs="Arial"/>
                <w:color w:val="000000" w:themeColor="text1"/>
                <w:sz w:val="24"/>
                <w:szCs w:val="24"/>
              </w:rPr>
              <w:t>e</w:t>
            </w:r>
            <w:r w:rsidRPr="002C7A18">
              <w:rPr>
                <w:rFonts w:ascii="Arial" w:eastAsia="Arial" w:hAnsi="Arial" w:cs="Arial"/>
                <w:color w:val="000000" w:themeColor="text1"/>
                <w:sz w:val="24"/>
                <w:szCs w:val="24"/>
              </w:rPr>
              <w:t xml:space="preserve"> decision</w:t>
            </w:r>
            <w:r>
              <w:rPr>
                <w:rFonts w:ascii="Arial" w:eastAsia="Arial" w:hAnsi="Arial" w:cs="Arial"/>
                <w:color w:val="000000" w:themeColor="text1"/>
                <w:sz w:val="24"/>
                <w:szCs w:val="24"/>
              </w:rPr>
              <w:t xml:space="preserve"> of the timing of an arrest attempt</w:t>
            </w:r>
            <w:r w:rsidRPr="002C7A1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intelligence officers</w:t>
            </w:r>
            <w:r w:rsidRPr="002C7A1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were consulted to construct an intelligence picture of the suspect</w:t>
            </w:r>
            <w:r w:rsidRPr="002C7A18">
              <w:rPr>
                <w:rFonts w:ascii="Arial" w:eastAsia="Arial" w:hAnsi="Arial" w:cs="Arial"/>
                <w:color w:val="000000" w:themeColor="text1"/>
                <w:sz w:val="24"/>
                <w:szCs w:val="24"/>
              </w:rPr>
              <w:t xml:space="preserve">, including </w:t>
            </w:r>
            <w:r>
              <w:rPr>
                <w:rFonts w:ascii="Arial" w:eastAsia="Arial" w:hAnsi="Arial" w:cs="Arial"/>
                <w:color w:val="000000" w:themeColor="text1"/>
                <w:sz w:val="24"/>
                <w:szCs w:val="24"/>
              </w:rPr>
              <w:t>completing active</w:t>
            </w:r>
            <w:r w:rsidRPr="002C7A18">
              <w:rPr>
                <w:rFonts w:ascii="Arial" w:eastAsia="Arial" w:hAnsi="Arial" w:cs="Arial"/>
                <w:color w:val="000000" w:themeColor="text1"/>
                <w:sz w:val="24"/>
                <w:szCs w:val="24"/>
              </w:rPr>
              <w:t xml:space="preserve"> check</w:t>
            </w:r>
            <w:r>
              <w:rPr>
                <w:rFonts w:ascii="Arial" w:eastAsia="Arial" w:hAnsi="Arial" w:cs="Arial"/>
                <w:color w:val="000000" w:themeColor="text1"/>
                <w:sz w:val="24"/>
                <w:szCs w:val="24"/>
              </w:rPr>
              <w:t>s</w:t>
            </w:r>
            <w:r w:rsidRPr="002C7A18">
              <w:rPr>
                <w:rFonts w:ascii="Arial" w:eastAsia="Arial" w:hAnsi="Arial" w:cs="Arial"/>
                <w:color w:val="000000" w:themeColor="text1"/>
                <w:sz w:val="24"/>
                <w:szCs w:val="24"/>
              </w:rPr>
              <w:t xml:space="preserve"> for any recent referrals to police from internet companies of any further offending, and ensuring detailed Automated Number Plate Recognition (ANPR) analysis of the suspect’s vehicle</w:t>
            </w:r>
            <w:r>
              <w:rPr>
                <w:rFonts w:ascii="Arial" w:eastAsia="Arial" w:hAnsi="Arial" w:cs="Arial"/>
                <w:color w:val="000000" w:themeColor="text1"/>
                <w:sz w:val="24"/>
                <w:szCs w:val="24"/>
              </w:rPr>
              <w:t xml:space="preserve"> was conducted. F</w:t>
            </w:r>
            <w:r w:rsidRPr="002C7A18">
              <w:rPr>
                <w:rFonts w:ascii="Arial" w:eastAsia="Arial" w:hAnsi="Arial" w:cs="Arial"/>
                <w:color w:val="000000" w:themeColor="text1"/>
                <w:sz w:val="24"/>
                <w:szCs w:val="24"/>
              </w:rPr>
              <w:t xml:space="preserve">rom </w:t>
            </w:r>
            <w:r>
              <w:rPr>
                <w:rFonts w:ascii="Arial" w:eastAsia="Arial" w:hAnsi="Arial" w:cs="Arial"/>
                <w:color w:val="000000" w:themeColor="text1"/>
                <w:sz w:val="24"/>
                <w:szCs w:val="24"/>
              </w:rPr>
              <w:t xml:space="preserve">this, the suspect’s work shift patterns, and therefore times he was likely to be at home, were able to be predicted, which </w:t>
            </w:r>
            <w:r w:rsidRPr="002C7A18">
              <w:rPr>
                <w:rFonts w:ascii="Arial" w:eastAsia="Arial" w:hAnsi="Arial" w:cs="Arial"/>
                <w:color w:val="000000" w:themeColor="text1"/>
                <w:sz w:val="24"/>
                <w:szCs w:val="24"/>
              </w:rPr>
              <w:t>heavily influenced the decision of when to attend his address to arrest him</w:t>
            </w:r>
            <w:r>
              <w:rPr>
                <w:rFonts w:ascii="Arial" w:eastAsia="Arial" w:hAnsi="Arial" w:cs="Arial"/>
                <w:color w:val="000000" w:themeColor="text1"/>
                <w:sz w:val="24"/>
                <w:szCs w:val="24"/>
              </w:rPr>
              <w:t>, to allow for the best chance of apprehending him and securing evidence.</w:t>
            </w:r>
          </w:p>
          <w:p w14:paraId="140DB268" w14:textId="77777777" w:rsidR="00C66CD0" w:rsidRPr="002C7A18" w:rsidRDefault="00C66CD0" w:rsidP="00B476D2">
            <w:pPr>
              <w:rPr>
                <w:rFonts w:ascii="Arial" w:eastAsia="Arial" w:hAnsi="Arial" w:cs="Arial"/>
                <w:color w:val="000000" w:themeColor="text1"/>
                <w:sz w:val="24"/>
                <w:szCs w:val="24"/>
              </w:rPr>
            </w:pPr>
          </w:p>
          <w:p w14:paraId="2954A64C" w14:textId="77777777" w:rsidR="00B476D2" w:rsidRDefault="00B476D2" w:rsidP="00B476D2">
            <w:pPr>
              <w:rPr>
                <w:rFonts w:ascii="Arial" w:eastAsia="Arial" w:hAnsi="Arial" w:cs="Arial"/>
                <w:color w:val="000000" w:themeColor="text1"/>
                <w:sz w:val="24"/>
                <w:szCs w:val="24"/>
              </w:rPr>
            </w:pPr>
            <w:r w:rsidRPr="002C7A18">
              <w:rPr>
                <w:rFonts w:ascii="Arial" w:eastAsia="Arial" w:hAnsi="Arial" w:cs="Arial"/>
                <w:color w:val="000000" w:themeColor="text1"/>
                <w:sz w:val="24"/>
                <w:szCs w:val="24"/>
              </w:rPr>
              <w:t xml:space="preserve">The success of this case, as it involved offences of possession and distribution of indecent images of children which were committed wholly by use of digital devices, relied heavily on digital forensics. There are clear advantages to this method of information and evidence gathering. Some of these advantages which apply to indecent images cases is that this tactic can be used to create evidence admissible in court, it can be used to restore erased data, and is effective in generating a report on all information found on a digital device (Hamad and Eleyan, 2022). Due to these distinct benefits in building the case against the suspect, </w:t>
            </w:r>
            <w:r>
              <w:rPr>
                <w:rFonts w:ascii="Arial" w:eastAsia="Arial" w:hAnsi="Arial" w:cs="Arial"/>
                <w:color w:val="000000" w:themeColor="text1"/>
                <w:sz w:val="24"/>
                <w:szCs w:val="24"/>
              </w:rPr>
              <w:t>digital forensics unit colleagues were liaised with</w:t>
            </w:r>
            <w:r w:rsidRPr="002C7A18">
              <w:rPr>
                <w:rFonts w:ascii="Arial" w:eastAsia="Arial" w:hAnsi="Arial" w:cs="Arial"/>
                <w:color w:val="000000" w:themeColor="text1"/>
                <w:sz w:val="24"/>
                <w:szCs w:val="24"/>
              </w:rPr>
              <w:t xml:space="preserve"> before attendance at the suspect’s address</w:t>
            </w:r>
            <w:r>
              <w:rPr>
                <w:rFonts w:ascii="Arial" w:eastAsia="Arial" w:hAnsi="Arial" w:cs="Arial"/>
                <w:color w:val="000000" w:themeColor="text1"/>
                <w:sz w:val="24"/>
                <w:szCs w:val="24"/>
              </w:rPr>
              <w:t xml:space="preserve"> to establish a plan. W</w:t>
            </w:r>
            <w:r w:rsidRPr="002C7A18">
              <w:rPr>
                <w:rFonts w:ascii="Arial" w:eastAsia="Arial" w:hAnsi="Arial" w:cs="Arial"/>
                <w:color w:val="000000" w:themeColor="text1"/>
                <w:sz w:val="24"/>
                <w:szCs w:val="24"/>
              </w:rPr>
              <w:t xml:space="preserve">hilst at the address, </w:t>
            </w:r>
            <w:r>
              <w:rPr>
                <w:rFonts w:ascii="Arial" w:eastAsia="Arial" w:hAnsi="Arial" w:cs="Arial"/>
                <w:color w:val="000000" w:themeColor="text1"/>
                <w:sz w:val="24"/>
                <w:szCs w:val="24"/>
              </w:rPr>
              <w:t>the intelligence was reviewed again with the attending digital forensics investigators so that they could search for the correct material whilst examining devices, and this collaboration continued after the suspect’s release from custody so that good quality digital forensic requests could be submitted.</w:t>
            </w:r>
          </w:p>
          <w:p w14:paraId="4FC5A381" w14:textId="77777777" w:rsidR="00C66CD0" w:rsidRDefault="00C66CD0" w:rsidP="00B476D2">
            <w:pPr>
              <w:rPr>
                <w:rFonts w:ascii="Arial" w:eastAsia="Arial" w:hAnsi="Arial" w:cs="Arial"/>
                <w:color w:val="000000" w:themeColor="text1"/>
                <w:sz w:val="24"/>
                <w:szCs w:val="24"/>
              </w:rPr>
            </w:pPr>
          </w:p>
          <w:p w14:paraId="2A5CCC9C" w14:textId="4A112D77" w:rsidR="7336895D" w:rsidRDefault="00B476D2" w:rsidP="515A1CF8">
            <w:pPr>
              <w:rPr>
                <w:rFonts w:ascii="Arial" w:eastAsia="Arial" w:hAnsi="Arial" w:cs="Arial"/>
                <w:color w:val="000000" w:themeColor="text1"/>
                <w:sz w:val="24"/>
                <w:szCs w:val="24"/>
              </w:rPr>
            </w:pPr>
            <w:r w:rsidRPr="002C7A18">
              <w:rPr>
                <w:rFonts w:ascii="Arial" w:eastAsia="Arial" w:hAnsi="Arial" w:cs="Arial"/>
                <w:color w:val="000000" w:themeColor="text1"/>
                <w:sz w:val="24"/>
                <w:szCs w:val="24"/>
              </w:rPr>
              <w:t xml:space="preserve">Whilst digital forensics is an essential tool in gathering and presenting evidence in cases such as this, there are potential drawbacks to the tactic that can influence the success of cases, and effective collaboration </w:t>
            </w:r>
            <w:r>
              <w:rPr>
                <w:rFonts w:ascii="Arial" w:eastAsia="Arial" w:hAnsi="Arial" w:cs="Arial"/>
                <w:color w:val="000000" w:themeColor="text1"/>
                <w:sz w:val="24"/>
                <w:szCs w:val="24"/>
              </w:rPr>
              <w:t>with</w:t>
            </w:r>
            <w:r w:rsidRPr="002C7A18">
              <w:rPr>
                <w:rFonts w:ascii="Arial" w:eastAsia="Arial" w:hAnsi="Arial" w:cs="Arial"/>
                <w:color w:val="000000" w:themeColor="text1"/>
                <w:sz w:val="24"/>
                <w:szCs w:val="24"/>
              </w:rPr>
              <w:t xml:space="preserve"> digital forensics investigators was required to minimise these drawbacks. As this case was a possession offence, attribution of the devices to the suspect was crucial, </w:t>
            </w:r>
            <w:r>
              <w:rPr>
                <w:rFonts w:ascii="Arial" w:eastAsia="Arial" w:hAnsi="Arial" w:cs="Arial"/>
                <w:color w:val="000000" w:themeColor="text1"/>
                <w:sz w:val="24"/>
                <w:szCs w:val="24"/>
              </w:rPr>
              <w:t xml:space="preserve">with </w:t>
            </w:r>
            <w:r w:rsidRPr="002C7A18">
              <w:rPr>
                <w:rFonts w:ascii="Arial" w:eastAsia="Arial" w:hAnsi="Arial" w:cs="Arial"/>
                <w:color w:val="000000" w:themeColor="text1"/>
                <w:sz w:val="24"/>
                <w:szCs w:val="24"/>
              </w:rPr>
              <w:t>insufficient attribution</w:t>
            </w:r>
            <w:r>
              <w:rPr>
                <w:rFonts w:ascii="Arial" w:eastAsia="Arial" w:hAnsi="Arial" w:cs="Arial"/>
                <w:color w:val="000000" w:themeColor="text1"/>
                <w:sz w:val="24"/>
                <w:szCs w:val="24"/>
              </w:rPr>
              <w:t xml:space="preserve"> having the potential to</w:t>
            </w:r>
            <w:r w:rsidRPr="002C7A18">
              <w:rPr>
                <w:rFonts w:ascii="Arial" w:eastAsia="Arial" w:hAnsi="Arial" w:cs="Arial"/>
                <w:color w:val="000000" w:themeColor="text1"/>
                <w:sz w:val="24"/>
                <w:szCs w:val="24"/>
              </w:rPr>
              <w:t xml:space="preserve"> lead to the collapse of a case. In the case of Peach v. Bird, the defendant was </w:t>
            </w:r>
            <w:r>
              <w:rPr>
                <w:rFonts w:ascii="Arial" w:eastAsia="Arial" w:hAnsi="Arial" w:cs="Arial"/>
                <w:color w:val="000000" w:themeColor="text1"/>
                <w:sz w:val="24"/>
                <w:szCs w:val="24"/>
              </w:rPr>
              <w:t xml:space="preserve">initially </w:t>
            </w:r>
            <w:r w:rsidRPr="002C7A18">
              <w:rPr>
                <w:rFonts w:ascii="Arial" w:eastAsia="Arial" w:hAnsi="Arial" w:cs="Arial"/>
                <w:color w:val="000000" w:themeColor="text1"/>
                <w:sz w:val="24"/>
                <w:szCs w:val="24"/>
              </w:rPr>
              <w:t>acquitted of possession of indecent images of children as the digital forensic work conducted did not sufficiently link them to the presence of such material on the</w:t>
            </w:r>
            <w:r>
              <w:rPr>
                <w:rFonts w:ascii="Arial" w:eastAsia="Arial" w:hAnsi="Arial" w:cs="Arial"/>
                <w:color w:val="000000" w:themeColor="text1"/>
                <w:sz w:val="24"/>
                <w:szCs w:val="24"/>
              </w:rPr>
              <w:t xml:space="preserve"> seized</w:t>
            </w:r>
            <w:r w:rsidRPr="002C7A18">
              <w:rPr>
                <w:rFonts w:ascii="Arial" w:eastAsia="Arial" w:hAnsi="Arial" w:cs="Arial"/>
                <w:color w:val="000000" w:themeColor="text1"/>
                <w:sz w:val="24"/>
                <w:szCs w:val="24"/>
              </w:rPr>
              <w:t xml:space="preserve"> device (Ami-Narh and Williams, 2008). Being </w:t>
            </w:r>
            <w:r>
              <w:rPr>
                <w:rFonts w:ascii="Arial" w:eastAsia="Arial" w:hAnsi="Arial" w:cs="Arial"/>
                <w:color w:val="000000" w:themeColor="text1"/>
                <w:sz w:val="24"/>
                <w:szCs w:val="24"/>
              </w:rPr>
              <w:t xml:space="preserve">made </w:t>
            </w:r>
            <w:r w:rsidRPr="002C7A18">
              <w:rPr>
                <w:rFonts w:ascii="Arial" w:eastAsia="Arial" w:hAnsi="Arial" w:cs="Arial"/>
                <w:color w:val="000000" w:themeColor="text1"/>
                <w:sz w:val="24"/>
                <w:szCs w:val="24"/>
              </w:rPr>
              <w:t>aware of this disadvantage</w:t>
            </w:r>
            <w:r>
              <w:rPr>
                <w:rFonts w:ascii="Arial" w:eastAsia="Arial" w:hAnsi="Arial" w:cs="Arial"/>
                <w:color w:val="000000" w:themeColor="text1"/>
                <w:sz w:val="24"/>
                <w:szCs w:val="24"/>
              </w:rPr>
              <w:t xml:space="preserve"> by communicating and collaborating with digital forensics colleagues ensured attribution of the seized devices to the suspect was a priority.</w:t>
            </w:r>
          </w:p>
          <w:p w14:paraId="6B5A726B" w14:textId="77777777" w:rsidR="00B476D2" w:rsidRDefault="00B476D2" w:rsidP="515A1CF8">
            <w:pPr>
              <w:rPr>
                <w:rFonts w:ascii="Arial" w:eastAsia="Arial" w:hAnsi="Arial" w:cs="Arial"/>
                <w:color w:val="000000" w:themeColor="text1"/>
                <w:sz w:val="24"/>
                <w:szCs w:val="24"/>
              </w:rPr>
            </w:pPr>
          </w:p>
          <w:p w14:paraId="5D346A4B" w14:textId="77777777" w:rsidR="00B476D2" w:rsidRDefault="00B476D2" w:rsidP="515A1CF8">
            <w:pPr>
              <w:rPr>
                <w:rFonts w:ascii="Arial" w:eastAsia="Arial" w:hAnsi="Arial" w:cs="Arial"/>
                <w:color w:val="000000" w:themeColor="text1"/>
                <w:sz w:val="24"/>
                <w:szCs w:val="24"/>
              </w:rPr>
            </w:pPr>
          </w:p>
          <w:p w14:paraId="7DE8840C" w14:textId="77777777" w:rsidR="00B476D2" w:rsidRPr="00E9152C" w:rsidRDefault="00B476D2" w:rsidP="515A1CF8">
            <w:pPr>
              <w:rPr>
                <w:rFonts w:ascii="Arial" w:eastAsia="Arial" w:hAnsi="Arial" w:cs="Arial"/>
                <w:b/>
                <w:bCs/>
              </w:rPr>
            </w:pPr>
          </w:p>
          <w:p w14:paraId="00A3DFC1" w14:textId="0721E470" w:rsidR="7336895D" w:rsidRDefault="683F5C35" w:rsidP="2F17ACDD">
            <w:pPr>
              <w:rPr>
                <w:rFonts w:ascii="Arial" w:eastAsia="Arial" w:hAnsi="Arial" w:cs="Arial"/>
                <w:b/>
                <w:bCs/>
                <w:sz w:val="24"/>
                <w:szCs w:val="24"/>
              </w:rPr>
            </w:pPr>
            <w:r w:rsidRPr="00E9152C">
              <w:rPr>
                <w:rFonts w:ascii="Arial" w:eastAsia="Arial" w:hAnsi="Arial" w:cs="Arial"/>
                <w:b/>
                <w:bCs/>
                <w:sz w:val="24"/>
                <w:szCs w:val="24"/>
              </w:rPr>
              <w:t xml:space="preserve">Assess how you have </w:t>
            </w:r>
            <w:r w:rsidR="613E6880" w:rsidRPr="00E9152C">
              <w:rPr>
                <w:rFonts w:ascii="Arial" w:eastAsia="Arial" w:hAnsi="Arial" w:cs="Arial"/>
                <w:b/>
                <w:bCs/>
                <w:sz w:val="24"/>
                <w:szCs w:val="24"/>
              </w:rPr>
              <w:t>gathered</w:t>
            </w:r>
            <w:r w:rsidRPr="00E9152C">
              <w:rPr>
                <w:rFonts w:ascii="Arial" w:eastAsia="Arial" w:hAnsi="Arial" w:cs="Arial"/>
                <w:b/>
                <w:bCs/>
                <w:sz w:val="24"/>
                <w:szCs w:val="24"/>
              </w:rPr>
              <w:t xml:space="preserve"> </w:t>
            </w:r>
            <w:r w:rsidR="7D1ED19F" w:rsidRPr="00E9152C">
              <w:rPr>
                <w:rFonts w:ascii="Arial" w:eastAsia="Arial" w:hAnsi="Arial" w:cs="Arial"/>
                <w:b/>
                <w:bCs/>
                <w:sz w:val="24"/>
                <w:szCs w:val="24"/>
              </w:rPr>
              <w:t>intelligence or evidence</w:t>
            </w:r>
            <w:r w:rsidRPr="00E9152C">
              <w:rPr>
                <w:rFonts w:ascii="Arial" w:eastAsia="Arial" w:hAnsi="Arial" w:cs="Arial"/>
                <w:b/>
                <w:bCs/>
                <w:sz w:val="24"/>
                <w:szCs w:val="24"/>
              </w:rPr>
              <w:t xml:space="preserve"> from a range of appropriate sources. C</w:t>
            </w:r>
            <w:r w:rsidR="46F6B78B" w:rsidRPr="00E9152C">
              <w:rPr>
                <w:rFonts w:ascii="Arial" w:eastAsia="Arial" w:hAnsi="Arial" w:cs="Arial"/>
                <w:b/>
                <w:bCs/>
                <w:sz w:val="24"/>
                <w:szCs w:val="24"/>
              </w:rPr>
              <w:t xml:space="preserve">onsider how you have recorded and retained </w:t>
            </w:r>
            <w:r w:rsidR="13BA565E" w:rsidRPr="00E9152C">
              <w:rPr>
                <w:rFonts w:ascii="Arial" w:eastAsia="Arial" w:hAnsi="Arial" w:cs="Arial"/>
                <w:b/>
                <w:bCs/>
                <w:sz w:val="24"/>
                <w:szCs w:val="24"/>
              </w:rPr>
              <w:t xml:space="preserve">intelligence or </w:t>
            </w:r>
            <w:r w:rsidR="46F6B78B" w:rsidRPr="00E9152C">
              <w:rPr>
                <w:rFonts w:ascii="Arial" w:eastAsia="Arial" w:hAnsi="Arial" w:cs="Arial"/>
                <w:b/>
                <w:bCs/>
                <w:sz w:val="24"/>
                <w:szCs w:val="24"/>
              </w:rPr>
              <w:t xml:space="preserve">evidence in a format </w:t>
            </w:r>
            <w:r w:rsidR="6E2CCFAB" w:rsidRPr="00E9152C">
              <w:rPr>
                <w:rFonts w:ascii="Arial" w:eastAsia="Arial" w:hAnsi="Arial" w:cs="Arial"/>
                <w:b/>
                <w:bCs/>
                <w:sz w:val="24"/>
                <w:szCs w:val="24"/>
              </w:rPr>
              <w:t xml:space="preserve">in line with policy and procedure. </w:t>
            </w:r>
          </w:p>
          <w:p w14:paraId="3D140C80" w14:textId="77777777" w:rsidR="009371F0" w:rsidRDefault="009371F0" w:rsidP="2F17ACDD">
            <w:pPr>
              <w:rPr>
                <w:rFonts w:ascii="Arial" w:eastAsia="Arial" w:hAnsi="Arial" w:cs="Arial"/>
                <w:b/>
                <w:bCs/>
                <w:sz w:val="24"/>
                <w:szCs w:val="24"/>
              </w:rPr>
            </w:pPr>
          </w:p>
          <w:p w14:paraId="2BEA37BF" w14:textId="77777777" w:rsidR="009371F0" w:rsidRDefault="009371F0" w:rsidP="009371F0">
            <w:pPr>
              <w:rPr>
                <w:rFonts w:ascii="Arial" w:hAnsi="Arial" w:cs="Arial"/>
                <w:sz w:val="24"/>
                <w:szCs w:val="24"/>
              </w:rPr>
            </w:pPr>
            <w:r>
              <w:rPr>
                <w:rFonts w:ascii="Arial" w:hAnsi="Arial" w:cs="Arial"/>
                <w:sz w:val="24"/>
                <w:szCs w:val="24"/>
              </w:rPr>
              <w:t xml:space="preserve">In order to effectively gather intelligence so that a detailed arrest strategy could be constructed that gave the greatest chance for the securing of evidence in this case, and subsequently a good quality investigation could be undertaken, a range of methods were used. As the College of Policing (2013) sets out in its guidance on Intelligence Strategy, “Investigators should take advantage of all available intelligence sources throughout an investigation”. To obtain the most accurate intelligence picture, a wide range of intelligence methods were utilised, such as ANPR to track the suspect’s movements, local council checks to confirm his address, and Disclosure and Barring Service (DBS) checks to ascertain any applications from the suspect to work with children. </w:t>
            </w:r>
          </w:p>
          <w:p w14:paraId="635ED103" w14:textId="77777777" w:rsidR="00C66CD0" w:rsidRDefault="00C66CD0" w:rsidP="009371F0">
            <w:pPr>
              <w:rPr>
                <w:rFonts w:ascii="Arial" w:hAnsi="Arial" w:cs="Arial"/>
                <w:sz w:val="24"/>
                <w:szCs w:val="24"/>
              </w:rPr>
            </w:pPr>
          </w:p>
          <w:p w14:paraId="53696A2F" w14:textId="77777777" w:rsidR="009371F0" w:rsidRDefault="009371F0" w:rsidP="009371F0">
            <w:pPr>
              <w:rPr>
                <w:rFonts w:ascii="Arial" w:hAnsi="Arial" w:cs="Arial"/>
                <w:sz w:val="24"/>
                <w:szCs w:val="24"/>
              </w:rPr>
            </w:pPr>
            <w:r>
              <w:rPr>
                <w:rFonts w:ascii="Arial" w:hAnsi="Arial" w:cs="Arial"/>
                <w:sz w:val="24"/>
                <w:szCs w:val="24"/>
              </w:rPr>
              <w:t xml:space="preserve">With regards to the recording of intelligence, again to refer to the College of Policing’s (2013) Intelligence Strategy, intelligence should be evaluated based on professional judgement before being recorded. In this particular case, the gathered digital forensic information included evidence of conversations between the suspect and others, that whilst they were not illegal in themselves, contained indications that the other individuals had a sexual interest in children. Under such circumstances, data communications applications regarding the usernames or phone numbers of these individuals are likely to be rejected without the presence of a crime, so recording and retention of the available details of the individuals was the objective, with justification for doing so being that should these individuals come into police contact in future, there would be a record of this proximity with a previous police investigation, and future investigators will be made aware of the previous suspicious activity of these individuals, which could alert police to the individuals quicker and thus prevent future offences. </w:t>
            </w:r>
          </w:p>
          <w:p w14:paraId="5F4B1744" w14:textId="77777777" w:rsidR="00C66CD0" w:rsidRDefault="00C66CD0" w:rsidP="009371F0">
            <w:pPr>
              <w:rPr>
                <w:rFonts w:ascii="Arial" w:hAnsi="Arial" w:cs="Arial"/>
                <w:sz w:val="24"/>
                <w:szCs w:val="24"/>
              </w:rPr>
            </w:pPr>
          </w:p>
          <w:p w14:paraId="0E1B7813" w14:textId="77777777" w:rsidR="009371F0" w:rsidRDefault="009371F0" w:rsidP="009371F0">
            <w:pPr>
              <w:rPr>
                <w:rFonts w:ascii="Arial" w:hAnsi="Arial" w:cs="Arial"/>
                <w:sz w:val="24"/>
                <w:szCs w:val="24"/>
              </w:rPr>
            </w:pPr>
            <w:r>
              <w:rPr>
                <w:rFonts w:ascii="Arial" w:hAnsi="Arial" w:cs="Arial"/>
                <w:sz w:val="24"/>
                <w:szCs w:val="24"/>
              </w:rPr>
              <w:t>This concept of the importance of meticulous intelligence retention, and the far-reaching and sometimes catastrophic ramifications of failures in this area, are explored by Stalcup (2015, p. 69) who discusses the case of Mohamed Atta, an individual reported for driving without a licence in April 2001, in Florida, USA. Atta failed to appear in court and a warrant for his arrest was issued, however when Atta was later pulled over by police for speeding, insufficient intelligence recording regarding the arrest warrant meant that Atta was not arrested, instead being reported again for the minor driving offence. Atta was one of the individuals that went on, later that same year in September 2001, to become one of the 9/11 terrorist hijackers, and his earlier arrest was deemed a missed opportunity. Whilst this may be an exceptional and rare example, it highlights the absolute importance of accurate and appropriate intelligence recording and retention. In relation to the intelligence gathered in this investigation, it was logged via appropriate methods, including submitting an intelligence report using the 3x5x2 process of intelligence grading (College of Policing, 2022a).</w:t>
            </w:r>
          </w:p>
          <w:p w14:paraId="6C91AEC2" w14:textId="77777777" w:rsidR="009371F0" w:rsidRDefault="009371F0" w:rsidP="2F17ACDD">
            <w:pPr>
              <w:rPr>
                <w:rFonts w:ascii="Arial" w:eastAsia="Arial" w:hAnsi="Arial" w:cs="Arial"/>
                <w:b/>
                <w:bCs/>
                <w:sz w:val="24"/>
                <w:szCs w:val="24"/>
              </w:rPr>
            </w:pPr>
          </w:p>
          <w:p w14:paraId="35E6F8D9" w14:textId="77777777" w:rsidR="009371F0" w:rsidRDefault="009371F0" w:rsidP="2F17ACDD">
            <w:pPr>
              <w:rPr>
                <w:rFonts w:ascii="Arial" w:eastAsia="Arial" w:hAnsi="Arial" w:cs="Arial"/>
                <w:b/>
                <w:bCs/>
                <w:sz w:val="24"/>
                <w:szCs w:val="24"/>
              </w:rPr>
            </w:pPr>
          </w:p>
          <w:p w14:paraId="1542FEF4" w14:textId="77777777" w:rsidR="009371F0" w:rsidRPr="00E9152C" w:rsidRDefault="009371F0" w:rsidP="2F17ACDD">
            <w:pPr>
              <w:rPr>
                <w:rFonts w:ascii="Arial" w:eastAsia="Arial" w:hAnsi="Arial" w:cs="Arial"/>
                <w:b/>
                <w:bCs/>
                <w:sz w:val="24"/>
                <w:szCs w:val="24"/>
              </w:rPr>
            </w:pPr>
          </w:p>
          <w:p w14:paraId="675F1B33" w14:textId="21D8656A" w:rsidR="7336895D" w:rsidRPr="00E9152C" w:rsidRDefault="7336895D" w:rsidP="2F17ACDD">
            <w:pPr>
              <w:rPr>
                <w:b/>
                <w:bCs/>
                <w:sz w:val="24"/>
                <w:szCs w:val="24"/>
              </w:rPr>
            </w:pPr>
          </w:p>
          <w:p w14:paraId="3E6715F6" w14:textId="30782BFD" w:rsidR="7336895D" w:rsidRDefault="5CACBAB9" w:rsidP="515A1CF8">
            <w:pPr>
              <w:rPr>
                <w:rFonts w:ascii="Arial" w:eastAsia="Arial" w:hAnsi="Arial" w:cs="Arial"/>
                <w:b/>
                <w:bCs/>
              </w:rPr>
            </w:pPr>
            <w:r w:rsidRPr="00E9152C">
              <w:rPr>
                <w:rFonts w:ascii="Arial" w:eastAsia="Arial" w:hAnsi="Arial" w:cs="Arial"/>
                <w:b/>
                <w:bCs/>
                <w:sz w:val="24"/>
                <w:szCs w:val="24"/>
              </w:rPr>
              <w:t xml:space="preserve">Describe how you have identified and planned your own investigative actions, taking </w:t>
            </w:r>
            <w:r w:rsidR="072EA6D4" w:rsidRPr="00E9152C">
              <w:rPr>
                <w:rFonts w:ascii="Arial" w:eastAsia="Arial" w:hAnsi="Arial" w:cs="Arial"/>
                <w:b/>
                <w:bCs/>
                <w:sz w:val="24"/>
                <w:szCs w:val="24"/>
              </w:rPr>
              <w:t>in account</w:t>
            </w:r>
            <w:r w:rsidRPr="00E9152C">
              <w:rPr>
                <w:rFonts w:ascii="Arial" w:eastAsia="Arial" w:hAnsi="Arial" w:cs="Arial"/>
                <w:b/>
                <w:bCs/>
                <w:sz w:val="24"/>
                <w:szCs w:val="24"/>
              </w:rPr>
              <w:t xml:space="preserve"> resources, </w:t>
            </w:r>
            <w:r w:rsidR="4E184253" w:rsidRPr="00E9152C">
              <w:rPr>
                <w:rFonts w:ascii="Arial" w:eastAsia="Arial" w:hAnsi="Arial" w:cs="Arial"/>
                <w:b/>
                <w:bCs/>
                <w:sz w:val="24"/>
                <w:szCs w:val="24"/>
              </w:rPr>
              <w:t>priorities</w:t>
            </w:r>
            <w:r w:rsidRPr="00E9152C">
              <w:rPr>
                <w:rFonts w:ascii="Arial" w:eastAsia="Arial" w:hAnsi="Arial" w:cs="Arial"/>
                <w:b/>
                <w:bCs/>
                <w:sz w:val="24"/>
                <w:szCs w:val="24"/>
              </w:rPr>
              <w:t xml:space="preserve"> and </w:t>
            </w:r>
            <w:r w:rsidR="14A065ED" w:rsidRPr="00E9152C">
              <w:rPr>
                <w:rFonts w:ascii="Arial" w:eastAsia="Arial" w:hAnsi="Arial" w:cs="Arial"/>
                <w:b/>
                <w:bCs/>
                <w:sz w:val="24"/>
                <w:szCs w:val="24"/>
              </w:rPr>
              <w:t>proportionality</w:t>
            </w:r>
            <w:r w:rsidRPr="00E9152C">
              <w:rPr>
                <w:rFonts w:ascii="Arial" w:eastAsia="Arial" w:hAnsi="Arial" w:cs="Arial"/>
                <w:b/>
                <w:bCs/>
                <w:sz w:val="24"/>
                <w:szCs w:val="24"/>
              </w:rPr>
              <w:t xml:space="preserve"> to achieve </w:t>
            </w:r>
            <w:r w:rsidR="7C23475F" w:rsidRPr="00E9152C">
              <w:rPr>
                <w:rFonts w:ascii="Arial" w:eastAsia="Arial" w:hAnsi="Arial" w:cs="Arial"/>
                <w:b/>
                <w:bCs/>
                <w:sz w:val="24"/>
                <w:szCs w:val="24"/>
              </w:rPr>
              <w:t>investigatory</w:t>
            </w:r>
            <w:r w:rsidR="546C361F" w:rsidRPr="00E9152C">
              <w:rPr>
                <w:rFonts w:ascii="Arial" w:eastAsia="Arial" w:hAnsi="Arial" w:cs="Arial"/>
                <w:b/>
                <w:bCs/>
                <w:sz w:val="24"/>
                <w:szCs w:val="24"/>
              </w:rPr>
              <w:t xml:space="preserve"> objectives.</w:t>
            </w:r>
            <w:r w:rsidR="546C361F" w:rsidRPr="00E9152C">
              <w:rPr>
                <w:rFonts w:ascii="Arial" w:eastAsia="Arial" w:hAnsi="Arial" w:cs="Arial"/>
                <w:b/>
                <w:bCs/>
              </w:rPr>
              <w:t xml:space="preserve"> </w:t>
            </w:r>
          </w:p>
          <w:p w14:paraId="7603882B" w14:textId="77777777" w:rsidR="00FC6D5C" w:rsidRDefault="00FC6D5C" w:rsidP="515A1CF8">
            <w:pPr>
              <w:rPr>
                <w:rFonts w:ascii="Arial" w:eastAsia="Arial" w:hAnsi="Arial" w:cs="Arial"/>
                <w:b/>
                <w:bCs/>
              </w:rPr>
            </w:pPr>
          </w:p>
          <w:p w14:paraId="7BB48873" w14:textId="77777777" w:rsidR="00FC6D5C" w:rsidRDefault="00FC6D5C" w:rsidP="00FC6D5C">
            <w:pPr>
              <w:rPr>
                <w:rFonts w:ascii="Arial" w:eastAsia="Arial" w:hAnsi="Arial" w:cs="Arial"/>
                <w:sz w:val="24"/>
                <w:szCs w:val="24"/>
              </w:rPr>
            </w:pPr>
            <w:r w:rsidRPr="002C7A18">
              <w:rPr>
                <w:rFonts w:ascii="Arial" w:eastAsia="Arial" w:hAnsi="Arial" w:cs="Arial"/>
                <w:sz w:val="24"/>
                <w:szCs w:val="24"/>
              </w:rPr>
              <w:t>Due to the nature of possession of illegal images offences, careful planning is required before enforcement action takes place, to allow the best chance of catching the offender when they are at home and they are not alerted to police interest in them, which opens up the potential for them to dispose of evidence</w:t>
            </w:r>
            <w:r>
              <w:rPr>
                <w:rFonts w:ascii="Arial" w:eastAsia="Arial" w:hAnsi="Arial" w:cs="Arial"/>
                <w:sz w:val="24"/>
                <w:szCs w:val="24"/>
              </w:rPr>
              <w:t>. A similar response to police attendance has been described in drugs cases, where suspects have been frequently known to flush illegal substances away in the toilet when they realise police are going to enter their premises (Garcia, 1993). As digital devices such as mobile phones are easily and quickly concealable or destroyed, this is a real issue for cases of possession of indecent images of children.</w:t>
            </w:r>
          </w:p>
          <w:p w14:paraId="4BD1F5CD" w14:textId="77777777" w:rsidR="00C66CD0" w:rsidRPr="002C7A18" w:rsidRDefault="00C66CD0" w:rsidP="00FC6D5C">
            <w:pPr>
              <w:rPr>
                <w:rFonts w:ascii="Arial" w:eastAsia="Arial" w:hAnsi="Arial" w:cs="Arial"/>
                <w:sz w:val="24"/>
                <w:szCs w:val="24"/>
              </w:rPr>
            </w:pPr>
          </w:p>
          <w:p w14:paraId="57E396E7" w14:textId="77777777" w:rsidR="00FC6D5C" w:rsidRDefault="00FC6D5C" w:rsidP="00FC6D5C">
            <w:pPr>
              <w:rPr>
                <w:rFonts w:ascii="Arial" w:eastAsia="Arial" w:hAnsi="Arial" w:cs="Arial"/>
                <w:sz w:val="24"/>
                <w:szCs w:val="24"/>
              </w:rPr>
            </w:pPr>
            <w:r>
              <w:rPr>
                <w:rFonts w:ascii="Arial" w:eastAsia="Arial" w:hAnsi="Arial" w:cs="Arial"/>
                <w:sz w:val="24"/>
                <w:szCs w:val="24"/>
              </w:rPr>
              <w:t xml:space="preserve">Initial </w:t>
            </w:r>
            <w:r w:rsidRPr="002C7A18">
              <w:rPr>
                <w:rFonts w:ascii="Arial" w:eastAsia="Arial" w:hAnsi="Arial" w:cs="Arial"/>
                <w:sz w:val="24"/>
                <w:szCs w:val="24"/>
              </w:rPr>
              <w:t xml:space="preserve">investigative objectives in this case were to successfully and safely apprehend the suspect, and to ensure evidential material </w:t>
            </w:r>
            <w:r>
              <w:rPr>
                <w:rFonts w:ascii="Arial" w:eastAsia="Arial" w:hAnsi="Arial" w:cs="Arial"/>
                <w:sz w:val="24"/>
                <w:szCs w:val="24"/>
              </w:rPr>
              <w:t>was</w:t>
            </w:r>
            <w:r w:rsidRPr="002C7A18">
              <w:rPr>
                <w:rFonts w:ascii="Arial" w:eastAsia="Arial" w:hAnsi="Arial" w:cs="Arial"/>
                <w:sz w:val="24"/>
                <w:szCs w:val="24"/>
              </w:rPr>
              <w:t xml:space="preserve"> secured and preserved. The securing of evidential material is highly important in investigations into these such offences, as the evidential burden relies on proving that the suspect is actually in possession of the illegal material</w:t>
            </w:r>
            <w:r>
              <w:rPr>
                <w:rFonts w:ascii="Arial" w:eastAsia="Arial" w:hAnsi="Arial" w:cs="Arial"/>
                <w:sz w:val="24"/>
                <w:szCs w:val="24"/>
              </w:rPr>
              <w:t xml:space="preserve"> (Antoniou, 2013).</w:t>
            </w:r>
          </w:p>
          <w:p w14:paraId="55BF0079" w14:textId="77777777" w:rsidR="002C1C65" w:rsidRPr="002C7A18" w:rsidRDefault="002C1C65" w:rsidP="00FC6D5C">
            <w:pPr>
              <w:rPr>
                <w:rFonts w:ascii="Arial" w:eastAsia="Arial" w:hAnsi="Arial" w:cs="Arial"/>
                <w:sz w:val="24"/>
                <w:szCs w:val="24"/>
              </w:rPr>
            </w:pPr>
          </w:p>
          <w:p w14:paraId="51210C89" w14:textId="77777777" w:rsidR="00FC6D5C" w:rsidRDefault="00FC6D5C" w:rsidP="00FC6D5C">
            <w:pPr>
              <w:rPr>
                <w:rFonts w:ascii="Arial" w:eastAsia="Arial" w:hAnsi="Arial" w:cs="Arial"/>
                <w:sz w:val="24"/>
                <w:szCs w:val="24"/>
              </w:rPr>
            </w:pPr>
            <w:r w:rsidRPr="002C7A18">
              <w:rPr>
                <w:rFonts w:ascii="Arial" w:eastAsia="Arial" w:hAnsi="Arial" w:cs="Arial"/>
                <w:sz w:val="24"/>
                <w:szCs w:val="24"/>
              </w:rPr>
              <w:t xml:space="preserve">A priority therefore was to ensure that appropriate and accurate intelligence checks had been carried out in relation to the suspect. </w:t>
            </w:r>
            <w:r>
              <w:rPr>
                <w:rFonts w:ascii="Arial" w:eastAsia="Arial" w:hAnsi="Arial" w:cs="Arial"/>
                <w:sz w:val="24"/>
                <w:szCs w:val="24"/>
              </w:rPr>
              <w:t>C</w:t>
            </w:r>
            <w:r w:rsidRPr="002C7A18">
              <w:rPr>
                <w:rFonts w:ascii="Arial" w:eastAsia="Arial" w:hAnsi="Arial" w:cs="Arial"/>
                <w:sz w:val="24"/>
                <w:szCs w:val="24"/>
              </w:rPr>
              <w:t>olleagues from the intelligence team attached to the online investigation team</w:t>
            </w:r>
            <w:r>
              <w:rPr>
                <w:rFonts w:ascii="Arial" w:eastAsia="Arial" w:hAnsi="Arial" w:cs="Arial"/>
                <w:sz w:val="24"/>
                <w:szCs w:val="24"/>
              </w:rPr>
              <w:t xml:space="preserve"> were therefore liaised with</w:t>
            </w:r>
            <w:r w:rsidRPr="002C7A18">
              <w:rPr>
                <w:rFonts w:ascii="Arial" w:eastAsia="Arial" w:hAnsi="Arial" w:cs="Arial"/>
                <w:sz w:val="24"/>
                <w:szCs w:val="24"/>
              </w:rPr>
              <w:t>, and ensured that up to date information had been obtained, for example accurate address information which ensured the correct address was attended and the investigation was not compromised by the potential for the suspect being informed of our attendance before we were able to make contact with him.</w:t>
            </w:r>
          </w:p>
          <w:p w14:paraId="28F8F5A7" w14:textId="77777777" w:rsidR="002C1C65" w:rsidRPr="002C7A18" w:rsidRDefault="002C1C65" w:rsidP="00FC6D5C">
            <w:pPr>
              <w:rPr>
                <w:rFonts w:ascii="Arial" w:eastAsia="Arial" w:hAnsi="Arial" w:cs="Arial"/>
                <w:sz w:val="24"/>
                <w:szCs w:val="24"/>
              </w:rPr>
            </w:pPr>
          </w:p>
          <w:p w14:paraId="7BEABDD4" w14:textId="715C2A1B" w:rsidR="00FC6D5C" w:rsidRDefault="00FC6D5C" w:rsidP="00FC6D5C">
            <w:pPr>
              <w:rPr>
                <w:rFonts w:ascii="Arial" w:eastAsia="Arial" w:hAnsi="Arial" w:cs="Arial"/>
                <w:sz w:val="24"/>
                <w:szCs w:val="24"/>
              </w:rPr>
            </w:pPr>
            <w:r>
              <w:rPr>
                <w:rFonts w:ascii="Arial" w:eastAsia="Arial" w:hAnsi="Arial" w:cs="Arial"/>
                <w:sz w:val="24"/>
                <w:szCs w:val="24"/>
              </w:rPr>
              <w:t>I</w:t>
            </w:r>
            <w:r w:rsidRPr="002C7A18">
              <w:rPr>
                <w:rFonts w:ascii="Arial" w:eastAsia="Arial" w:hAnsi="Arial" w:cs="Arial"/>
                <w:sz w:val="24"/>
                <w:szCs w:val="24"/>
              </w:rPr>
              <w:t>ntelligence checks conducted with His Majesty’s Revenue and Customs</w:t>
            </w:r>
            <w:r>
              <w:rPr>
                <w:rFonts w:ascii="Arial" w:eastAsia="Arial" w:hAnsi="Arial" w:cs="Arial"/>
                <w:sz w:val="24"/>
                <w:szCs w:val="24"/>
              </w:rPr>
              <w:t>, and the Nursing and Midwifery Council confirmed</w:t>
            </w:r>
            <w:r w:rsidRPr="002C7A18">
              <w:rPr>
                <w:rFonts w:ascii="Arial" w:eastAsia="Arial" w:hAnsi="Arial" w:cs="Arial"/>
                <w:sz w:val="24"/>
                <w:szCs w:val="24"/>
              </w:rPr>
              <w:t xml:space="preserve"> that the suspect worked as a registered nurse in a local hospital, and therefore was likely to work shifts. ANPR checks</w:t>
            </w:r>
            <w:r>
              <w:rPr>
                <w:rFonts w:ascii="Arial" w:eastAsia="Arial" w:hAnsi="Arial" w:cs="Arial"/>
                <w:sz w:val="24"/>
                <w:szCs w:val="24"/>
              </w:rPr>
              <w:t xml:space="preserve"> were conducted</w:t>
            </w:r>
            <w:r w:rsidRPr="002C7A18">
              <w:rPr>
                <w:rFonts w:ascii="Arial" w:eastAsia="Arial" w:hAnsi="Arial" w:cs="Arial"/>
                <w:sz w:val="24"/>
                <w:szCs w:val="24"/>
              </w:rPr>
              <w:t xml:space="preserve"> on the suspect’s car, </w:t>
            </w:r>
            <w:r>
              <w:rPr>
                <w:rFonts w:ascii="Arial" w:eastAsia="Arial" w:hAnsi="Arial" w:cs="Arial"/>
                <w:sz w:val="24"/>
                <w:szCs w:val="24"/>
              </w:rPr>
              <w:t>and the results of this were analysed</w:t>
            </w:r>
            <w:r w:rsidRPr="002C7A18">
              <w:rPr>
                <w:rFonts w:ascii="Arial" w:eastAsia="Arial" w:hAnsi="Arial" w:cs="Arial"/>
                <w:sz w:val="24"/>
                <w:szCs w:val="24"/>
              </w:rPr>
              <w:t xml:space="preserve"> to build a picture of the patterns in the suspect’s travel habits, and from this a likely shift pattern</w:t>
            </w:r>
            <w:r>
              <w:rPr>
                <w:rFonts w:ascii="Arial" w:eastAsia="Arial" w:hAnsi="Arial" w:cs="Arial"/>
                <w:sz w:val="24"/>
                <w:szCs w:val="24"/>
              </w:rPr>
              <w:t xml:space="preserve"> was ascertained. This</w:t>
            </w:r>
            <w:r w:rsidRPr="002C7A18">
              <w:rPr>
                <w:rFonts w:ascii="Arial" w:eastAsia="Arial" w:hAnsi="Arial" w:cs="Arial"/>
                <w:sz w:val="24"/>
                <w:szCs w:val="24"/>
              </w:rPr>
              <w:t xml:space="preserve"> </w:t>
            </w:r>
            <w:r>
              <w:rPr>
                <w:rFonts w:ascii="Arial" w:eastAsia="Arial" w:hAnsi="Arial" w:cs="Arial"/>
                <w:sz w:val="24"/>
                <w:szCs w:val="24"/>
              </w:rPr>
              <w:t xml:space="preserve">was </w:t>
            </w:r>
            <w:r w:rsidRPr="002C7A18">
              <w:rPr>
                <w:rFonts w:ascii="Arial" w:eastAsia="Arial" w:hAnsi="Arial" w:cs="Arial"/>
                <w:sz w:val="24"/>
                <w:szCs w:val="24"/>
              </w:rPr>
              <w:t xml:space="preserve">used to predict when </w:t>
            </w:r>
            <w:r>
              <w:rPr>
                <w:rFonts w:ascii="Arial" w:eastAsia="Arial" w:hAnsi="Arial" w:cs="Arial"/>
                <w:sz w:val="24"/>
                <w:szCs w:val="24"/>
              </w:rPr>
              <w:t>t</w:t>
            </w:r>
            <w:r w:rsidRPr="002C7A18">
              <w:rPr>
                <w:rFonts w:ascii="Arial" w:eastAsia="Arial" w:hAnsi="Arial" w:cs="Arial"/>
                <w:sz w:val="24"/>
                <w:szCs w:val="24"/>
              </w:rPr>
              <w:t>he</w:t>
            </w:r>
            <w:r>
              <w:rPr>
                <w:rFonts w:ascii="Arial" w:eastAsia="Arial" w:hAnsi="Arial" w:cs="Arial"/>
                <w:sz w:val="24"/>
                <w:szCs w:val="24"/>
              </w:rPr>
              <w:t xml:space="preserve"> suspect</w:t>
            </w:r>
            <w:r w:rsidRPr="002C7A18">
              <w:rPr>
                <w:rFonts w:ascii="Arial" w:eastAsia="Arial" w:hAnsi="Arial" w:cs="Arial"/>
                <w:sz w:val="24"/>
                <w:szCs w:val="24"/>
              </w:rPr>
              <w:t xml:space="preserve"> was likely to be at home, cho</w:t>
            </w:r>
            <w:r>
              <w:rPr>
                <w:rFonts w:ascii="Arial" w:eastAsia="Arial" w:hAnsi="Arial" w:cs="Arial"/>
                <w:sz w:val="24"/>
                <w:szCs w:val="24"/>
              </w:rPr>
              <w:t>o</w:t>
            </w:r>
            <w:r w:rsidRPr="002C7A18">
              <w:rPr>
                <w:rFonts w:ascii="Arial" w:eastAsia="Arial" w:hAnsi="Arial" w:cs="Arial"/>
                <w:sz w:val="24"/>
                <w:szCs w:val="24"/>
              </w:rPr>
              <w:t>se a planned day to attend at the address after communicat</w:t>
            </w:r>
            <w:r>
              <w:rPr>
                <w:rFonts w:ascii="Arial" w:eastAsia="Arial" w:hAnsi="Arial" w:cs="Arial"/>
                <w:sz w:val="24"/>
                <w:szCs w:val="24"/>
              </w:rPr>
              <w:t xml:space="preserve">ion of these plans and </w:t>
            </w:r>
            <w:r w:rsidRPr="002C7A18">
              <w:rPr>
                <w:rFonts w:ascii="Arial" w:eastAsia="Arial" w:hAnsi="Arial" w:cs="Arial"/>
                <w:sz w:val="24"/>
                <w:szCs w:val="24"/>
              </w:rPr>
              <w:t xml:space="preserve">intentions </w:t>
            </w:r>
            <w:r>
              <w:rPr>
                <w:rFonts w:ascii="Arial" w:eastAsia="Arial" w:hAnsi="Arial" w:cs="Arial"/>
                <w:sz w:val="24"/>
                <w:szCs w:val="24"/>
              </w:rPr>
              <w:t xml:space="preserve">with a </w:t>
            </w:r>
            <w:r w:rsidRPr="002C7A18">
              <w:rPr>
                <w:rFonts w:ascii="Arial" w:eastAsia="Arial" w:hAnsi="Arial" w:cs="Arial"/>
                <w:sz w:val="24"/>
                <w:szCs w:val="24"/>
              </w:rPr>
              <w:t>supervisor</w:t>
            </w:r>
            <w:r>
              <w:rPr>
                <w:rFonts w:ascii="Arial" w:eastAsia="Arial" w:hAnsi="Arial" w:cs="Arial"/>
                <w:sz w:val="24"/>
                <w:szCs w:val="24"/>
              </w:rPr>
              <w:t>,</w:t>
            </w:r>
            <w:r w:rsidRPr="002C7A18">
              <w:rPr>
                <w:rFonts w:ascii="Arial" w:eastAsia="Arial" w:hAnsi="Arial" w:cs="Arial"/>
                <w:sz w:val="24"/>
                <w:szCs w:val="24"/>
              </w:rPr>
              <w:t xml:space="preserve"> and ensuring appropriate resources were available </w:t>
            </w:r>
            <w:r>
              <w:rPr>
                <w:rFonts w:ascii="Arial" w:eastAsia="Arial" w:hAnsi="Arial" w:cs="Arial"/>
                <w:sz w:val="24"/>
                <w:szCs w:val="24"/>
              </w:rPr>
              <w:t>from both the online investigation team</w:t>
            </w:r>
            <w:r w:rsidRPr="002C7A18">
              <w:rPr>
                <w:rFonts w:ascii="Arial" w:eastAsia="Arial" w:hAnsi="Arial" w:cs="Arial"/>
                <w:sz w:val="24"/>
                <w:szCs w:val="24"/>
              </w:rPr>
              <w:t>, and the digital forensics unit</w:t>
            </w:r>
            <w:r>
              <w:rPr>
                <w:rFonts w:ascii="Arial" w:eastAsia="Arial" w:hAnsi="Arial" w:cs="Arial"/>
                <w:sz w:val="24"/>
                <w:szCs w:val="24"/>
              </w:rPr>
              <w:t xml:space="preserve"> (</w:t>
            </w:r>
            <w:r w:rsidRPr="002C7A18">
              <w:rPr>
                <w:rFonts w:ascii="Arial" w:eastAsia="Arial" w:hAnsi="Arial" w:cs="Arial"/>
                <w:sz w:val="24"/>
                <w:szCs w:val="24"/>
              </w:rPr>
              <w:t>to attend and conduct triage digital device examinations at the address if required</w:t>
            </w:r>
            <w:r>
              <w:rPr>
                <w:rFonts w:ascii="Arial" w:eastAsia="Arial" w:hAnsi="Arial" w:cs="Arial"/>
                <w:sz w:val="24"/>
                <w:szCs w:val="24"/>
              </w:rPr>
              <w:t>).</w:t>
            </w:r>
          </w:p>
          <w:p w14:paraId="47E5A3A1" w14:textId="77777777" w:rsidR="00C66CD0" w:rsidRPr="002C7A18" w:rsidRDefault="00C66CD0" w:rsidP="00FC6D5C">
            <w:pPr>
              <w:rPr>
                <w:rFonts w:ascii="Arial" w:eastAsia="Arial" w:hAnsi="Arial" w:cs="Arial"/>
                <w:sz w:val="24"/>
                <w:szCs w:val="24"/>
              </w:rPr>
            </w:pPr>
          </w:p>
          <w:p w14:paraId="77817AF4" w14:textId="70E7E33A" w:rsidR="00FC6D5C" w:rsidRDefault="00FC6D5C" w:rsidP="00FC6D5C">
            <w:pPr>
              <w:rPr>
                <w:rFonts w:ascii="Arial" w:eastAsia="Arial" w:hAnsi="Arial" w:cs="Arial"/>
                <w:color w:val="000000" w:themeColor="text1"/>
                <w:sz w:val="24"/>
                <w:szCs w:val="24"/>
              </w:rPr>
            </w:pPr>
            <w:r w:rsidRPr="002C7A18">
              <w:rPr>
                <w:rFonts w:ascii="Arial" w:eastAsia="Arial" w:hAnsi="Arial" w:cs="Arial"/>
                <w:sz w:val="24"/>
                <w:szCs w:val="24"/>
              </w:rPr>
              <w:t xml:space="preserve">In preparation for the attendance at the suspect’s address, </w:t>
            </w:r>
            <w:r>
              <w:rPr>
                <w:rFonts w:ascii="Arial" w:eastAsia="Arial" w:hAnsi="Arial" w:cs="Arial"/>
                <w:sz w:val="24"/>
                <w:szCs w:val="24"/>
              </w:rPr>
              <w:t xml:space="preserve">the </w:t>
            </w:r>
            <w:r w:rsidRPr="002C7A18">
              <w:rPr>
                <w:rFonts w:ascii="Arial" w:eastAsia="Arial" w:hAnsi="Arial" w:cs="Arial"/>
                <w:sz w:val="24"/>
                <w:szCs w:val="24"/>
              </w:rPr>
              <w:t>gathered intelligence</w:t>
            </w:r>
            <w:r>
              <w:rPr>
                <w:rFonts w:ascii="Arial" w:eastAsia="Arial" w:hAnsi="Arial" w:cs="Arial"/>
                <w:sz w:val="24"/>
                <w:szCs w:val="24"/>
              </w:rPr>
              <w:t xml:space="preserve"> was collated, and a</w:t>
            </w:r>
            <w:r w:rsidRPr="002C7A18">
              <w:rPr>
                <w:rFonts w:ascii="Arial" w:eastAsia="Arial" w:hAnsi="Arial" w:cs="Arial"/>
                <w:sz w:val="24"/>
                <w:szCs w:val="24"/>
              </w:rPr>
              <w:t xml:space="preserve"> written briefing document</w:t>
            </w:r>
            <w:r>
              <w:rPr>
                <w:rFonts w:ascii="Arial" w:eastAsia="Arial" w:hAnsi="Arial" w:cs="Arial"/>
                <w:sz w:val="24"/>
                <w:szCs w:val="24"/>
              </w:rPr>
              <w:t xml:space="preserve"> compiled</w:t>
            </w:r>
            <w:r w:rsidRPr="002C7A18">
              <w:rPr>
                <w:rFonts w:ascii="Arial" w:eastAsia="Arial" w:hAnsi="Arial" w:cs="Arial"/>
                <w:sz w:val="24"/>
                <w:szCs w:val="24"/>
              </w:rPr>
              <w:t xml:space="preserve">, which </w:t>
            </w:r>
            <w:r>
              <w:rPr>
                <w:rFonts w:ascii="Arial" w:eastAsia="Arial" w:hAnsi="Arial" w:cs="Arial"/>
                <w:sz w:val="24"/>
                <w:szCs w:val="24"/>
              </w:rPr>
              <w:t>was</w:t>
            </w:r>
            <w:r w:rsidRPr="002C7A18">
              <w:rPr>
                <w:rFonts w:ascii="Arial" w:eastAsia="Arial" w:hAnsi="Arial" w:cs="Arial"/>
                <w:sz w:val="24"/>
                <w:szCs w:val="24"/>
              </w:rPr>
              <w:t xml:space="preserve"> disseminated to the colleagues that would be attending on the day. This briefing included planned timings and locations of rendezvous points near the suspect’s address, and the plan with regards to action to be taken in the address if the suspect was present. This careful planning allowed </w:t>
            </w:r>
            <w:r>
              <w:rPr>
                <w:rFonts w:ascii="Arial" w:eastAsia="Arial" w:hAnsi="Arial" w:cs="Arial"/>
                <w:sz w:val="24"/>
                <w:szCs w:val="24"/>
              </w:rPr>
              <w:t>the successful execution of</w:t>
            </w:r>
            <w:r w:rsidRPr="002C7A18">
              <w:rPr>
                <w:rFonts w:ascii="Arial" w:eastAsia="Arial" w:hAnsi="Arial" w:cs="Arial"/>
                <w:sz w:val="24"/>
                <w:szCs w:val="24"/>
              </w:rPr>
              <w:t xml:space="preserve"> the investigative objectives</w:t>
            </w:r>
            <w:r>
              <w:rPr>
                <w:rFonts w:ascii="Arial" w:eastAsia="Arial" w:hAnsi="Arial" w:cs="Arial"/>
                <w:sz w:val="24"/>
                <w:szCs w:val="24"/>
              </w:rPr>
              <w:t>, namely</w:t>
            </w:r>
            <w:r w:rsidRPr="002C7A18">
              <w:rPr>
                <w:rFonts w:ascii="Arial" w:eastAsia="Arial" w:hAnsi="Arial" w:cs="Arial"/>
                <w:sz w:val="24"/>
                <w:szCs w:val="24"/>
              </w:rPr>
              <w:t xml:space="preserve"> arresting the suspect</w:t>
            </w:r>
            <w:r>
              <w:rPr>
                <w:rFonts w:ascii="Arial" w:eastAsia="Arial" w:hAnsi="Arial" w:cs="Arial"/>
                <w:sz w:val="24"/>
                <w:szCs w:val="24"/>
              </w:rPr>
              <w:t xml:space="preserve"> </w:t>
            </w:r>
            <w:r w:rsidRPr="002C7A18">
              <w:rPr>
                <w:rFonts w:ascii="Arial" w:eastAsia="Arial" w:hAnsi="Arial" w:cs="Arial"/>
                <w:sz w:val="24"/>
                <w:szCs w:val="24"/>
              </w:rPr>
              <w:t xml:space="preserve">and securing his digital devices, which were triage examined by the digital forensics investigators present </w:t>
            </w:r>
            <w:r w:rsidRPr="002C7A18">
              <w:rPr>
                <w:rFonts w:ascii="Arial" w:eastAsia="Arial" w:hAnsi="Arial" w:cs="Arial"/>
                <w:sz w:val="24"/>
                <w:szCs w:val="24"/>
              </w:rPr>
              <w:lastRenderedPageBreak/>
              <w:t xml:space="preserve">and were found to contain evidence of indecent images of children. </w:t>
            </w:r>
            <w:r>
              <w:rPr>
                <w:rFonts w:ascii="Arial" w:eastAsia="Arial" w:hAnsi="Arial" w:cs="Arial"/>
                <w:color w:val="000000" w:themeColor="text1"/>
                <w:sz w:val="24"/>
                <w:szCs w:val="24"/>
              </w:rPr>
              <w:t>The written and verbal briefing with all officers attending the suspect’s address, ensured each officer was aware of their roles in apprehending the suspect and securing evidence. Ensuring firstly that team members have understood and absorbed relevant information and secondly</w:t>
            </w:r>
            <w:r w:rsidR="00774B72">
              <w:rPr>
                <w:rFonts w:ascii="Arial" w:eastAsia="Arial" w:hAnsi="Arial" w:cs="Arial"/>
                <w:color w:val="000000" w:themeColor="text1"/>
                <w:sz w:val="24"/>
                <w:szCs w:val="24"/>
              </w:rPr>
              <w:t xml:space="preserve"> that</w:t>
            </w:r>
            <w:r>
              <w:rPr>
                <w:rFonts w:ascii="Arial" w:eastAsia="Arial" w:hAnsi="Arial" w:cs="Arial"/>
                <w:color w:val="000000" w:themeColor="text1"/>
                <w:sz w:val="24"/>
                <w:szCs w:val="24"/>
              </w:rPr>
              <w:t xml:space="preserve"> they are aware of their responsibilities for the task, are key objectives outlined by the College of Policing (2020) in relation to conducting briefings.</w:t>
            </w:r>
          </w:p>
          <w:p w14:paraId="0C5388D2" w14:textId="77777777" w:rsidR="00FC6D5C" w:rsidRDefault="00FC6D5C" w:rsidP="515A1CF8">
            <w:pPr>
              <w:rPr>
                <w:rFonts w:ascii="Arial" w:eastAsia="Arial" w:hAnsi="Arial" w:cs="Arial"/>
                <w:b/>
                <w:bCs/>
              </w:rPr>
            </w:pPr>
          </w:p>
          <w:p w14:paraId="746511F6" w14:textId="77777777" w:rsidR="00FC6D5C" w:rsidRDefault="00FC6D5C" w:rsidP="515A1CF8">
            <w:pPr>
              <w:rPr>
                <w:rFonts w:ascii="Arial" w:eastAsia="Arial" w:hAnsi="Arial" w:cs="Arial"/>
                <w:b/>
                <w:bCs/>
              </w:rPr>
            </w:pPr>
          </w:p>
          <w:p w14:paraId="13291276" w14:textId="5B9708D6" w:rsidR="00FC6D5C" w:rsidRPr="00D04DED" w:rsidRDefault="00FC6D5C" w:rsidP="515A1CF8">
            <w:pPr>
              <w:rPr>
                <w:rFonts w:ascii="Arial" w:eastAsia="Arial" w:hAnsi="Arial" w:cs="Arial"/>
              </w:rPr>
            </w:pPr>
            <w:r w:rsidRPr="00D04DED">
              <w:rPr>
                <w:rFonts w:ascii="Arial" w:eastAsia="Arial" w:hAnsi="Arial" w:cs="Arial"/>
              </w:rPr>
              <w:t xml:space="preserve">Word Count: </w:t>
            </w:r>
            <w:r w:rsidR="002C1C65" w:rsidRPr="00D04DED">
              <w:rPr>
                <w:rFonts w:ascii="Arial" w:eastAsia="Arial" w:hAnsi="Arial" w:cs="Arial"/>
              </w:rPr>
              <w:t>2,04</w:t>
            </w:r>
            <w:r w:rsidR="00774B72" w:rsidRPr="00D04DED">
              <w:rPr>
                <w:rFonts w:ascii="Arial" w:eastAsia="Arial" w:hAnsi="Arial" w:cs="Arial"/>
              </w:rPr>
              <w:t>2</w:t>
            </w:r>
          </w:p>
          <w:p w14:paraId="3644CBC2" w14:textId="77777777" w:rsidR="00372DB8" w:rsidRDefault="00372DB8" w:rsidP="515A1CF8">
            <w:pPr>
              <w:rPr>
                <w:rFonts w:ascii="Arial" w:eastAsia="Arial" w:hAnsi="Arial" w:cs="Arial"/>
                <w:b/>
                <w:bCs/>
              </w:rPr>
            </w:pPr>
          </w:p>
          <w:p w14:paraId="0DB10EEE" w14:textId="77777777" w:rsidR="00372DB8" w:rsidRDefault="00372DB8" w:rsidP="515A1CF8">
            <w:pPr>
              <w:rPr>
                <w:rFonts w:ascii="Arial" w:eastAsia="Arial" w:hAnsi="Arial" w:cs="Arial"/>
                <w:b/>
                <w:bCs/>
              </w:rPr>
            </w:pPr>
          </w:p>
          <w:p w14:paraId="3C310D9A" w14:textId="77777777" w:rsidR="0084440B" w:rsidRPr="00D04DED" w:rsidRDefault="0084440B" w:rsidP="0084440B">
            <w:pPr>
              <w:rPr>
                <w:rFonts w:ascii="Arial" w:hAnsi="Arial" w:cs="Arial"/>
                <w:sz w:val="24"/>
                <w:szCs w:val="24"/>
              </w:rPr>
            </w:pPr>
            <w:r w:rsidRPr="00D04DED">
              <w:rPr>
                <w:rFonts w:ascii="Arial" w:hAnsi="Arial" w:cs="Arial"/>
                <w:sz w:val="24"/>
                <w:szCs w:val="24"/>
              </w:rPr>
              <w:t>References</w:t>
            </w:r>
          </w:p>
          <w:p w14:paraId="40E39EEB" w14:textId="77777777" w:rsidR="0084440B" w:rsidRDefault="0084440B" w:rsidP="0084440B">
            <w:pPr>
              <w:rPr>
                <w:rFonts w:ascii="Arial" w:hAnsi="Arial" w:cs="Arial"/>
                <w:b/>
                <w:bCs/>
                <w:sz w:val="24"/>
                <w:szCs w:val="24"/>
              </w:rPr>
            </w:pPr>
          </w:p>
          <w:p w14:paraId="77546C44" w14:textId="77777777" w:rsidR="0084440B" w:rsidRPr="000A574C" w:rsidRDefault="0084440B" w:rsidP="0084440B">
            <w:pPr>
              <w:rPr>
                <w:rFonts w:ascii="Arial" w:hAnsi="Arial" w:cs="Arial"/>
                <w:b/>
                <w:bCs/>
                <w:color w:val="000000" w:themeColor="text1"/>
                <w:sz w:val="24"/>
                <w:szCs w:val="24"/>
              </w:rPr>
            </w:pPr>
            <w:r w:rsidRPr="000A574C">
              <w:rPr>
                <w:rFonts w:ascii="Arial" w:hAnsi="Arial" w:cs="Arial"/>
                <w:color w:val="000000" w:themeColor="text1"/>
                <w:sz w:val="24"/>
                <w:szCs w:val="24"/>
                <w:shd w:val="clear" w:color="auto" w:fill="FFFFFF"/>
              </w:rPr>
              <w:t>Antoniou, A. (2013) ‘Possession of Prohibited Images of Children: Three Years on’ </w:t>
            </w:r>
            <w:r w:rsidRPr="000A574C">
              <w:rPr>
                <w:rFonts w:ascii="Arial" w:hAnsi="Arial" w:cs="Arial"/>
                <w:i/>
                <w:iCs/>
                <w:color w:val="000000" w:themeColor="text1"/>
                <w:sz w:val="24"/>
                <w:szCs w:val="24"/>
                <w:shd w:val="clear" w:color="auto" w:fill="FFFFFF"/>
              </w:rPr>
              <w:t>Journal of Criminal Law (Hertford)</w:t>
            </w:r>
            <w:r w:rsidRPr="000A574C">
              <w:rPr>
                <w:rFonts w:ascii="Arial" w:hAnsi="Arial" w:cs="Arial"/>
                <w:color w:val="000000" w:themeColor="text1"/>
                <w:sz w:val="24"/>
                <w:szCs w:val="24"/>
                <w:shd w:val="clear" w:color="auto" w:fill="FFFFFF"/>
              </w:rPr>
              <w:t xml:space="preserve">, 77(4), pp. 337–353. Available at </w:t>
            </w:r>
            <w:hyperlink r:id="rId8" w:history="1">
              <w:r w:rsidRPr="000A574C">
                <w:rPr>
                  <w:rStyle w:val="Hyperlink"/>
                  <w:rFonts w:ascii="Arial" w:hAnsi="Arial" w:cs="Arial"/>
                  <w:color w:val="000000" w:themeColor="text1"/>
                  <w:sz w:val="24"/>
                  <w:szCs w:val="24"/>
                </w:rPr>
                <w:t>Possession of Prohibited Images of Children: Three Years On.: EBSCOhost (uwtsd.ac.uk)</w:t>
              </w:r>
            </w:hyperlink>
          </w:p>
          <w:p w14:paraId="7CCA772B" w14:textId="77777777" w:rsidR="0084440B" w:rsidRPr="000A574C" w:rsidRDefault="0084440B" w:rsidP="0084440B">
            <w:pPr>
              <w:rPr>
                <w:rFonts w:ascii="Arial" w:hAnsi="Arial" w:cs="Arial"/>
                <w:b/>
                <w:bCs/>
                <w:color w:val="000000" w:themeColor="text1"/>
                <w:sz w:val="24"/>
                <w:szCs w:val="24"/>
              </w:rPr>
            </w:pPr>
          </w:p>
          <w:p w14:paraId="7E4AA03B" w14:textId="77777777" w:rsidR="0084440B" w:rsidRPr="000A574C" w:rsidRDefault="0084440B" w:rsidP="0084440B">
            <w:pPr>
              <w:rPr>
                <w:rStyle w:val="Hyperlink"/>
                <w:rFonts w:ascii="Arial" w:hAnsi="Arial" w:cs="Arial"/>
                <w:color w:val="000000" w:themeColor="text1"/>
                <w:sz w:val="24"/>
                <w:szCs w:val="24"/>
              </w:rPr>
            </w:pPr>
            <w:r w:rsidRPr="000A574C">
              <w:rPr>
                <w:rFonts w:ascii="Arial" w:hAnsi="Arial" w:cs="Arial"/>
                <w:color w:val="000000" w:themeColor="text1"/>
                <w:sz w:val="24"/>
                <w:szCs w:val="24"/>
              </w:rPr>
              <w:t xml:space="preserve">Ami-Narh, J.T. and Williams, P. (2008) ‘Digital forensics and the legal system: A dilemma of our times’ </w:t>
            </w:r>
            <w:r w:rsidRPr="000A574C">
              <w:rPr>
                <w:rFonts w:ascii="Arial" w:hAnsi="Arial" w:cs="Arial"/>
                <w:i/>
                <w:iCs/>
                <w:color w:val="000000" w:themeColor="text1"/>
                <w:sz w:val="24"/>
                <w:szCs w:val="24"/>
              </w:rPr>
              <w:t xml:space="preserve">Australian Digital Forensics Conference. </w:t>
            </w:r>
            <w:r w:rsidRPr="000A574C">
              <w:rPr>
                <w:rFonts w:ascii="Arial" w:hAnsi="Arial" w:cs="Arial"/>
                <w:color w:val="000000" w:themeColor="text1"/>
                <w:sz w:val="24"/>
                <w:szCs w:val="24"/>
              </w:rPr>
              <w:t xml:space="preserve">Available at: </w:t>
            </w:r>
            <w:hyperlink r:id="rId9" w:history="1">
              <w:r w:rsidRPr="000A574C">
                <w:rPr>
                  <w:rStyle w:val="Hyperlink"/>
                  <w:rFonts w:ascii="Arial" w:hAnsi="Arial" w:cs="Arial"/>
                  <w:color w:val="000000" w:themeColor="text1"/>
                  <w:sz w:val="24"/>
                  <w:szCs w:val="24"/>
                </w:rPr>
                <w:t>Digital forensics and the legal system: A dilemma of our times (ecu.edu.au)</w:t>
              </w:r>
            </w:hyperlink>
          </w:p>
          <w:p w14:paraId="0FF20221" w14:textId="77777777" w:rsidR="0084440B" w:rsidRPr="000A574C" w:rsidRDefault="0084440B" w:rsidP="0084440B">
            <w:pPr>
              <w:rPr>
                <w:rFonts w:ascii="Arial" w:hAnsi="Arial" w:cs="Arial"/>
                <w:b/>
                <w:bCs/>
                <w:color w:val="000000" w:themeColor="text1"/>
                <w:sz w:val="24"/>
                <w:szCs w:val="24"/>
              </w:rPr>
            </w:pPr>
          </w:p>
          <w:p w14:paraId="524867DB" w14:textId="77777777" w:rsidR="0084440B" w:rsidRPr="000A574C" w:rsidRDefault="0084440B" w:rsidP="0084440B">
            <w:pPr>
              <w:rPr>
                <w:rStyle w:val="Hyperlink"/>
                <w:rFonts w:ascii="Arial" w:hAnsi="Arial" w:cs="Arial"/>
                <w:color w:val="000000" w:themeColor="text1"/>
                <w:sz w:val="24"/>
                <w:szCs w:val="24"/>
              </w:rPr>
            </w:pPr>
            <w:r w:rsidRPr="000A574C">
              <w:rPr>
                <w:rFonts w:ascii="Arial" w:hAnsi="Arial" w:cs="Arial"/>
                <w:color w:val="000000" w:themeColor="text1"/>
                <w:sz w:val="24"/>
                <w:szCs w:val="24"/>
              </w:rPr>
              <w:t xml:space="preserve">Clough, J. (2008) ‘Now you see it, now you don’t: digital images and the meaning of &lt;possession’, </w:t>
            </w:r>
            <w:r w:rsidRPr="000A574C">
              <w:rPr>
                <w:rFonts w:ascii="Arial" w:hAnsi="Arial" w:cs="Arial"/>
                <w:i/>
                <w:iCs/>
                <w:color w:val="000000" w:themeColor="text1"/>
                <w:sz w:val="24"/>
                <w:szCs w:val="24"/>
              </w:rPr>
              <w:t>Criminal Law Forum</w:t>
            </w:r>
            <w:r w:rsidRPr="000A574C">
              <w:rPr>
                <w:rFonts w:ascii="Arial" w:hAnsi="Arial" w:cs="Arial"/>
                <w:color w:val="000000" w:themeColor="text1"/>
                <w:sz w:val="24"/>
                <w:szCs w:val="24"/>
              </w:rPr>
              <w:t xml:space="preserve">, 19 (May), pp. 205-239. Available at </w:t>
            </w:r>
            <w:hyperlink r:id="rId10" w:anchor="citeas" w:history="1">
              <w:r w:rsidRPr="000A574C">
                <w:rPr>
                  <w:rStyle w:val="Hyperlink"/>
                  <w:rFonts w:ascii="Arial" w:hAnsi="Arial" w:cs="Arial"/>
                  <w:color w:val="000000" w:themeColor="text1"/>
                  <w:sz w:val="24"/>
                  <w:szCs w:val="24"/>
                </w:rPr>
                <w:t>Now you see it, now you don’t: digital images and the meaning of ‹possession’ | Criminal Law Forum (springer.com)</w:t>
              </w:r>
            </w:hyperlink>
          </w:p>
          <w:p w14:paraId="3EC51B6B" w14:textId="77777777" w:rsidR="0084440B" w:rsidRPr="000A574C" w:rsidRDefault="0084440B" w:rsidP="0084440B">
            <w:pPr>
              <w:rPr>
                <w:rStyle w:val="Hyperlink"/>
                <w:rFonts w:ascii="Arial" w:hAnsi="Arial" w:cs="Arial"/>
                <w:color w:val="000000" w:themeColor="text1"/>
                <w:sz w:val="24"/>
                <w:szCs w:val="24"/>
              </w:rPr>
            </w:pPr>
          </w:p>
          <w:p w14:paraId="2AB9B010" w14:textId="77777777"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rPr>
              <w:t xml:space="preserve">College of Policing (2013) </w:t>
            </w:r>
            <w:r w:rsidRPr="000A574C">
              <w:rPr>
                <w:rFonts w:ascii="Arial" w:hAnsi="Arial" w:cs="Arial"/>
                <w:i/>
                <w:iCs/>
                <w:color w:val="000000" w:themeColor="text1"/>
                <w:sz w:val="24"/>
                <w:szCs w:val="24"/>
              </w:rPr>
              <w:t xml:space="preserve">Intelligence Strategy. </w:t>
            </w:r>
            <w:r w:rsidRPr="000A574C">
              <w:rPr>
                <w:rFonts w:ascii="Arial" w:hAnsi="Arial" w:cs="Arial"/>
                <w:color w:val="000000" w:themeColor="text1"/>
                <w:sz w:val="24"/>
                <w:szCs w:val="24"/>
              </w:rPr>
              <w:t xml:space="preserve">Available at </w:t>
            </w:r>
            <w:hyperlink r:id="rId11" w:history="1">
              <w:r w:rsidRPr="000A574C">
                <w:rPr>
                  <w:rStyle w:val="Hyperlink"/>
                  <w:rFonts w:ascii="Arial" w:hAnsi="Arial" w:cs="Arial"/>
                  <w:color w:val="000000" w:themeColor="text1"/>
                  <w:sz w:val="24"/>
                  <w:szCs w:val="24"/>
                </w:rPr>
                <w:t>Intelligence strategy | College of Policing</w:t>
              </w:r>
            </w:hyperlink>
            <w:r w:rsidRPr="000A574C">
              <w:rPr>
                <w:rFonts w:ascii="Arial" w:hAnsi="Arial" w:cs="Arial"/>
                <w:color w:val="000000" w:themeColor="text1"/>
                <w:sz w:val="24"/>
                <w:szCs w:val="24"/>
              </w:rPr>
              <w:t xml:space="preserve"> (Accessed: 4 May 2024).</w:t>
            </w:r>
          </w:p>
          <w:p w14:paraId="30A427A3" w14:textId="77777777" w:rsidR="0084440B" w:rsidRPr="000A574C" w:rsidRDefault="0084440B" w:rsidP="0084440B">
            <w:pPr>
              <w:rPr>
                <w:rFonts w:ascii="Arial" w:hAnsi="Arial" w:cs="Arial"/>
                <w:color w:val="000000" w:themeColor="text1"/>
                <w:sz w:val="24"/>
                <w:szCs w:val="24"/>
              </w:rPr>
            </w:pPr>
          </w:p>
          <w:p w14:paraId="2491592E" w14:textId="77777777"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rPr>
              <w:t xml:space="preserve">College of Policing (2020) </w:t>
            </w:r>
            <w:r w:rsidRPr="000A574C">
              <w:rPr>
                <w:rFonts w:ascii="Arial" w:hAnsi="Arial" w:cs="Arial"/>
                <w:i/>
                <w:iCs/>
                <w:color w:val="000000" w:themeColor="text1"/>
                <w:sz w:val="24"/>
                <w:szCs w:val="24"/>
              </w:rPr>
              <w:t xml:space="preserve">Briefing and debriefing. </w:t>
            </w:r>
            <w:r w:rsidRPr="000A574C">
              <w:rPr>
                <w:rFonts w:ascii="Arial" w:hAnsi="Arial" w:cs="Arial"/>
                <w:color w:val="000000" w:themeColor="text1"/>
                <w:sz w:val="24"/>
                <w:szCs w:val="24"/>
              </w:rPr>
              <w:t xml:space="preserve">Available at </w:t>
            </w:r>
            <w:hyperlink r:id="rId12" w:history="1">
              <w:r w:rsidRPr="000A574C">
                <w:rPr>
                  <w:rStyle w:val="Hyperlink"/>
                  <w:rFonts w:ascii="Arial" w:hAnsi="Arial" w:cs="Arial"/>
                  <w:color w:val="000000" w:themeColor="text1"/>
                  <w:sz w:val="24"/>
                  <w:szCs w:val="24"/>
                </w:rPr>
                <w:t>Briefing and debriefing | College of Policing</w:t>
              </w:r>
            </w:hyperlink>
            <w:r w:rsidRPr="000A574C">
              <w:rPr>
                <w:rFonts w:ascii="Arial" w:hAnsi="Arial" w:cs="Arial"/>
                <w:color w:val="000000" w:themeColor="text1"/>
                <w:sz w:val="24"/>
                <w:szCs w:val="24"/>
              </w:rPr>
              <w:t xml:space="preserve"> (Accessed: 5 May 2024).</w:t>
            </w:r>
          </w:p>
          <w:p w14:paraId="7716FFB1" w14:textId="77777777" w:rsidR="0084440B" w:rsidRPr="000A574C" w:rsidRDefault="0084440B" w:rsidP="0084440B">
            <w:pPr>
              <w:rPr>
                <w:rFonts w:ascii="Arial" w:hAnsi="Arial" w:cs="Arial"/>
                <w:color w:val="000000" w:themeColor="text1"/>
                <w:sz w:val="24"/>
                <w:szCs w:val="24"/>
              </w:rPr>
            </w:pPr>
          </w:p>
          <w:p w14:paraId="485C1C2A" w14:textId="77777777"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rPr>
              <w:t xml:space="preserve">College of Policing (2022a) </w:t>
            </w:r>
            <w:r w:rsidRPr="000A574C">
              <w:rPr>
                <w:rFonts w:ascii="Arial" w:hAnsi="Arial" w:cs="Arial"/>
                <w:i/>
                <w:iCs/>
                <w:color w:val="000000" w:themeColor="text1"/>
                <w:sz w:val="24"/>
                <w:szCs w:val="24"/>
              </w:rPr>
              <w:t>Intelligence Report</w:t>
            </w:r>
            <w:r w:rsidRPr="000A574C">
              <w:rPr>
                <w:rFonts w:ascii="Arial" w:hAnsi="Arial" w:cs="Arial"/>
                <w:color w:val="000000" w:themeColor="text1"/>
                <w:sz w:val="24"/>
                <w:szCs w:val="24"/>
              </w:rPr>
              <w:t xml:space="preserve">. Available at </w:t>
            </w:r>
            <w:hyperlink r:id="rId13" w:history="1">
              <w:r w:rsidRPr="000A574C">
                <w:rPr>
                  <w:rStyle w:val="Hyperlink"/>
                  <w:rFonts w:ascii="Arial" w:hAnsi="Arial" w:cs="Arial"/>
                  <w:color w:val="000000" w:themeColor="text1"/>
                  <w:sz w:val="24"/>
                  <w:szCs w:val="24"/>
                </w:rPr>
                <w:t>Intelligence report | College of Policing</w:t>
              </w:r>
            </w:hyperlink>
            <w:r w:rsidRPr="000A574C">
              <w:rPr>
                <w:rFonts w:ascii="Arial" w:hAnsi="Arial" w:cs="Arial"/>
                <w:color w:val="000000" w:themeColor="text1"/>
                <w:sz w:val="24"/>
                <w:szCs w:val="24"/>
              </w:rPr>
              <w:t xml:space="preserve"> (Accessed: 4 May 2024).</w:t>
            </w:r>
          </w:p>
          <w:p w14:paraId="10B162A2" w14:textId="77777777" w:rsidR="0084440B" w:rsidRPr="000A574C" w:rsidRDefault="0084440B" w:rsidP="0084440B">
            <w:pPr>
              <w:rPr>
                <w:rFonts w:ascii="Arial" w:hAnsi="Arial" w:cs="Arial"/>
                <w:color w:val="000000" w:themeColor="text1"/>
                <w:sz w:val="24"/>
                <w:szCs w:val="24"/>
              </w:rPr>
            </w:pPr>
          </w:p>
          <w:p w14:paraId="00219F7F" w14:textId="77777777"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rPr>
              <w:t xml:space="preserve">College of Policing (2022b) </w:t>
            </w:r>
            <w:r w:rsidRPr="000A574C">
              <w:rPr>
                <w:rFonts w:ascii="Arial" w:hAnsi="Arial" w:cs="Arial"/>
                <w:i/>
                <w:iCs/>
                <w:color w:val="000000" w:themeColor="text1"/>
                <w:sz w:val="24"/>
                <w:szCs w:val="24"/>
              </w:rPr>
              <w:t>Working with suspects</w:t>
            </w:r>
            <w:r w:rsidRPr="000A574C">
              <w:rPr>
                <w:rFonts w:ascii="Arial" w:hAnsi="Arial" w:cs="Arial"/>
                <w:color w:val="000000" w:themeColor="text1"/>
                <w:sz w:val="24"/>
                <w:szCs w:val="24"/>
              </w:rPr>
              <w:t xml:space="preserve">. Available at </w:t>
            </w:r>
            <w:hyperlink r:id="rId14" w:history="1">
              <w:r w:rsidRPr="000A574C">
                <w:rPr>
                  <w:rStyle w:val="Hyperlink"/>
                  <w:rFonts w:ascii="Arial" w:hAnsi="Arial" w:cs="Arial"/>
                  <w:color w:val="000000" w:themeColor="text1"/>
                  <w:sz w:val="24"/>
                  <w:szCs w:val="24"/>
                </w:rPr>
                <w:t>Working with suspects | College of Policing</w:t>
              </w:r>
            </w:hyperlink>
            <w:r w:rsidRPr="000A574C">
              <w:rPr>
                <w:rFonts w:ascii="Arial" w:hAnsi="Arial" w:cs="Arial"/>
                <w:color w:val="000000" w:themeColor="text1"/>
                <w:sz w:val="24"/>
                <w:szCs w:val="24"/>
              </w:rPr>
              <w:t xml:space="preserve"> (Accessed: 1 May 2024).</w:t>
            </w:r>
          </w:p>
          <w:p w14:paraId="24F078EB" w14:textId="77777777" w:rsidR="0084440B" w:rsidRPr="000A574C" w:rsidRDefault="0084440B" w:rsidP="0084440B">
            <w:pPr>
              <w:rPr>
                <w:rFonts w:ascii="Arial" w:hAnsi="Arial" w:cs="Arial"/>
                <w:color w:val="000000" w:themeColor="text1"/>
                <w:sz w:val="24"/>
                <w:szCs w:val="24"/>
              </w:rPr>
            </w:pPr>
          </w:p>
          <w:p w14:paraId="385BA88A" w14:textId="77777777"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rPr>
              <w:t xml:space="preserve">Criminal Justice Act 1988, </w:t>
            </w:r>
            <w:r w:rsidRPr="000A574C">
              <w:rPr>
                <w:rFonts w:ascii="Arial" w:hAnsi="Arial" w:cs="Arial"/>
                <w:i/>
                <w:iCs/>
                <w:color w:val="000000" w:themeColor="text1"/>
                <w:sz w:val="24"/>
                <w:szCs w:val="24"/>
              </w:rPr>
              <w:t>section 160</w:t>
            </w:r>
            <w:r w:rsidRPr="000A574C">
              <w:rPr>
                <w:rFonts w:ascii="Arial" w:hAnsi="Arial" w:cs="Arial"/>
                <w:color w:val="000000" w:themeColor="text1"/>
                <w:sz w:val="24"/>
                <w:szCs w:val="24"/>
              </w:rPr>
              <w:t xml:space="preserve">. Available at: </w:t>
            </w:r>
            <w:hyperlink r:id="rId15" w:history="1">
              <w:r w:rsidRPr="000A574C">
                <w:rPr>
                  <w:rStyle w:val="Hyperlink"/>
                  <w:rFonts w:ascii="Arial" w:hAnsi="Arial" w:cs="Arial"/>
                  <w:color w:val="000000" w:themeColor="text1"/>
                  <w:sz w:val="24"/>
                  <w:szCs w:val="24"/>
                </w:rPr>
                <w:t>https://www.legislation.gov.uk/ukpga/1988/33/section/160/enacted</w:t>
              </w:r>
            </w:hyperlink>
            <w:r w:rsidRPr="000A574C">
              <w:rPr>
                <w:rStyle w:val="Hyperlink"/>
                <w:rFonts w:ascii="Arial" w:hAnsi="Arial" w:cs="Arial"/>
                <w:color w:val="000000" w:themeColor="text1"/>
                <w:sz w:val="24"/>
                <w:szCs w:val="24"/>
              </w:rPr>
              <w:t xml:space="preserve"> (Accessed: 2 May 2024).</w:t>
            </w:r>
          </w:p>
          <w:p w14:paraId="2F5D7DD7" w14:textId="77777777" w:rsidR="0084440B" w:rsidRPr="000A574C" w:rsidRDefault="0084440B" w:rsidP="0084440B">
            <w:pPr>
              <w:rPr>
                <w:rFonts w:ascii="Arial" w:hAnsi="Arial" w:cs="Arial"/>
                <w:color w:val="000000" w:themeColor="text1"/>
                <w:sz w:val="24"/>
                <w:szCs w:val="24"/>
              </w:rPr>
            </w:pPr>
          </w:p>
          <w:p w14:paraId="30B1746D" w14:textId="77777777"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rPr>
              <w:t xml:space="preserve">Criminal Justice and Immigration Act 2008, </w:t>
            </w:r>
            <w:r w:rsidRPr="000A574C">
              <w:rPr>
                <w:rFonts w:ascii="Arial" w:hAnsi="Arial" w:cs="Arial"/>
                <w:i/>
                <w:iCs/>
                <w:color w:val="000000" w:themeColor="text1"/>
                <w:sz w:val="24"/>
                <w:szCs w:val="24"/>
              </w:rPr>
              <w:t>section 63</w:t>
            </w:r>
            <w:r w:rsidRPr="000A574C">
              <w:rPr>
                <w:rFonts w:ascii="Arial" w:hAnsi="Arial" w:cs="Arial"/>
                <w:color w:val="000000" w:themeColor="text1"/>
                <w:sz w:val="24"/>
                <w:szCs w:val="24"/>
              </w:rPr>
              <w:t xml:space="preserve">. Available at  </w:t>
            </w:r>
            <w:hyperlink r:id="rId16" w:history="1">
              <w:r w:rsidRPr="000A574C">
                <w:rPr>
                  <w:rStyle w:val="Hyperlink"/>
                  <w:rFonts w:ascii="Arial" w:hAnsi="Arial" w:cs="Arial"/>
                  <w:color w:val="000000" w:themeColor="text1"/>
                  <w:sz w:val="24"/>
                  <w:szCs w:val="24"/>
                </w:rPr>
                <w:t>https://www.legislation.gov.uk/ukpga/2008/4/part/5/crossheading/pornography-etc</w:t>
              </w:r>
            </w:hyperlink>
            <w:r w:rsidRPr="000A574C">
              <w:rPr>
                <w:rFonts w:ascii="Arial" w:hAnsi="Arial" w:cs="Arial"/>
                <w:color w:val="000000" w:themeColor="text1"/>
                <w:sz w:val="24"/>
                <w:szCs w:val="24"/>
              </w:rPr>
              <w:t xml:space="preserve"> (Accessed: 2 May 2024).</w:t>
            </w:r>
          </w:p>
          <w:p w14:paraId="22CC52D7" w14:textId="77777777" w:rsidR="0084440B" w:rsidRPr="000A574C" w:rsidRDefault="0084440B" w:rsidP="0084440B">
            <w:pPr>
              <w:rPr>
                <w:rFonts w:ascii="Arial" w:hAnsi="Arial" w:cs="Arial"/>
                <w:color w:val="000000" w:themeColor="text1"/>
                <w:sz w:val="24"/>
                <w:szCs w:val="24"/>
              </w:rPr>
            </w:pPr>
          </w:p>
          <w:p w14:paraId="1392C266" w14:textId="77777777"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shd w:val="clear" w:color="auto" w:fill="FFFFFF"/>
              </w:rPr>
              <w:t>Garcia, C.P., 1993. Knock and Announce Rule: A New Approach to the Destruction-of-Evidence Exception. </w:t>
            </w:r>
            <w:r w:rsidRPr="000A574C">
              <w:rPr>
                <w:rFonts w:ascii="Arial" w:hAnsi="Arial" w:cs="Arial"/>
                <w:i/>
                <w:iCs/>
                <w:color w:val="000000" w:themeColor="text1"/>
                <w:sz w:val="24"/>
                <w:szCs w:val="24"/>
                <w:shd w:val="clear" w:color="auto" w:fill="FFFFFF"/>
              </w:rPr>
              <w:t>Columbia Law Review,</w:t>
            </w:r>
            <w:r w:rsidRPr="000A574C">
              <w:rPr>
                <w:rFonts w:ascii="Arial" w:hAnsi="Arial" w:cs="Arial"/>
                <w:color w:val="000000" w:themeColor="text1"/>
                <w:sz w:val="24"/>
                <w:szCs w:val="24"/>
                <w:shd w:val="clear" w:color="auto" w:fill="FFFFFF"/>
              </w:rPr>
              <w:t xml:space="preserve"> 93(3) pp.685-719. </w:t>
            </w:r>
            <w:r w:rsidRPr="000A574C">
              <w:rPr>
                <w:rFonts w:ascii="Arial" w:hAnsi="Arial" w:cs="Arial"/>
                <w:color w:val="000000" w:themeColor="text1"/>
                <w:sz w:val="24"/>
                <w:szCs w:val="24"/>
                <w:shd w:val="clear" w:color="auto" w:fill="FFFFFF"/>
              </w:rPr>
              <w:lastRenderedPageBreak/>
              <w:t xml:space="preserve">Available at </w:t>
            </w:r>
            <w:hyperlink r:id="rId17" w:history="1">
              <w:r w:rsidRPr="000A574C">
                <w:rPr>
                  <w:rStyle w:val="Hyperlink"/>
                  <w:rFonts w:ascii="Arial" w:hAnsi="Arial" w:cs="Arial"/>
                  <w:color w:val="000000" w:themeColor="text1"/>
                  <w:sz w:val="24"/>
                  <w:szCs w:val="24"/>
                </w:rPr>
                <w:t>The Knock and Announce Rule: A New Approach to the Destruction-of-Evidence Exception on JSTOR (uwtsd.ac.uk)</w:t>
              </w:r>
            </w:hyperlink>
          </w:p>
          <w:p w14:paraId="003870B1" w14:textId="77777777" w:rsidR="0084440B" w:rsidRPr="000A574C" w:rsidRDefault="0084440B" w:rsidP="0084440B">
            <w:pPr>
              <w:rPr>
                <w:rFonts w:ascii="Arial" w:hAnsi="Arial" w:cs="Arial"/>
                <w:color w:val="000000" w:themeColor="text1"/>
                <w:sz w:val="24"/>
                <w:szCs w:val="24"/>
              </w:rPr>
            </w:pPr>
          </w:p>
          <w:p w14:paraId="1047DB2B" w14:textId="1155FE4D" w:rsidR="0084440B" w:rsidRPr="000A574C" w:rsidRDefault="0084440B" w:rsidP="0084440B">
            <w:pPr>
              <w:rPr>
                <w:rFonts w:ascii="Arial" w:hAnsi="Arial" w:cs="Arial"/>
                <w:color w:val="000000" w:themeColor="text1"/>
                <w:sz w:val="24"/>
                <w:szCs w:val="24"/>
              </w:rPr>
            </w:pPr>
            <w:r w:rsidRPr="000A574C">
              <w:rPr>
                <w:rFonts w:ascii="Arial" w:hAnsi="Arial" w:cs="Arial"/>
                <w:color w:val="000000" w:themeColor="text1"/>
                <w:sz w:val="24"/>
                <w:szCs w:val="24"/>
              </w:rPr>
              <w:t xml:space="preserve">Hamad, N. and Eleyan, D. (2022) ‘ Digital Forensics Tools Used in Cybercrime Investigation – Comparative Analysis’, </w:t>
            </w:r>
            <w:r w:rsidRPr="000A574C">
              <w:rPr>
                <w:rFonts w:ascii="Arial" w:hAnsi="Arial" w:cs="Arial"/>
                <w:i/>
                <w:iCs/>
                <w:color w:val="000000" w:themeColor="text1"/>
                <w:sz w:val="24"/>
                <w:szCs w:val="24"/>
              </w:rPr>
              <w:t>Journal of Xi’an University</w:t>
            </w:r>
            <w:r w:rsidRPr="000A574C">
              <w:rPr>
                <w:rFonts w:ascii="Arial" w:hAnsi="Arial" w:cs="Arial"/>
                <w:i/>
                <w:iCs/>
                <w:color w:val="000000" w:themeColor="text1"/>
                <w:sz w:val="24"/>
                <w:szCs w:val="24"/>
              </w:rPr>
              <w:t xml:space="preserve"> </w:t>
            </w:r>
            <w:r w:rsidRPr="000A574C">
              <w:rPr>
                <w:rFonts w:ascii="Arial" w:hAnsi="Arial" w:cs="Arial"/>
                <w:i/>
                <w:iCs/>
                <w:color w:val="000000" w:themeColor="text1"/>
                <w:sz w:val="24"/>
                <w:szCs w:val="24"/>
              </w:rPr>
              <w:t>of Architecture &amp; Technology,</w:t>
            </w:r>
            <w:r w:rsidRPr="000A574C">
              <w:rPr>
                <w:rFonts w:ascii="Arial" w:hAnsi="Arial" w:cs="Arial"/>
                <w:color w:val="000000" w:themeColor="text1"/>
                <w:sz w:val="24"/>
                <w:szCs w:val="24"/>
              </w:rPr>
              <w:t xml:space="preserve"> 14(4) pp. 113-127. Available at: </w:t>
            </w:r>
            <w:hyperlink r:id="rId18" w:history="1">
              <w:r w:rsidRPr="000A574C">
                <w:rPr>
                  <w:rStyle w:val="Hyperlink"/>
                  <w:rFonts w:ascii="Arial" w:hAnsi="Arial" w:cs="Arial"/>
                  <w:color w:val="000000" w:themeColor="text1"/>
                  <w:sz w:val="24"/>
                  <w:szCs w:val="24"/>
                </w:rPr>
                <w:t>Digital-Forensics-Tools-Used-in-Cybercrime-Investigation-Comparative-Analysis.pdf (researchgate.net)</w:t>
              </w:r>
            </w:hyperlink>
          </w:p>
          <w:p w14:paraId="2FAFC230" w14:textId="77777777" w:rsidR="0084440B" w:rsidRPr="000A574C" w:rsidRDefault="0084440B" w:rsidP="0084440B">
            <w:pPr>
              <w:rPr>
                <w:rFonts w:ascii="Arial" w:hAnsi="Arial" w:cs="Arial"/>
                <w:color w:val="000000" w:themeColor="text1"/>
                <w:sz w:val="24"/>
                <w:szCs w:val="24"/>
              </w:rPr>
            </w:pPr>
          </w:p>
          <w:p w14:paraId="04B96AD0" w14:textId="77777777" w:rsidR="0084440B" w:rsidRPr="000A574C" w:rsidRDefault="0084440B" w:rsidP="0084440B">
            <w:pPr>
              <w:rPr>
                <w:rStyle w:val="Hyperlink"/>
                <w:rFonts w:ascii="Arial" w:hAnsi="Arial" w:cs="Arial"/>
                <w:color w:val="000000" w:themeColor="text1"/>
                <w:sz w:val="24"/>
                <w:szCs w:val="24"/>
              </w:rPr>
            </w:pPr>
            <w:r w:rsidRPr="000A574C">
              <w:rPr>
                <w:rFonts w:ascii="Arial" w:hAnsi="Arial" w:cs="Arial"/>
                <w:color w:val="000000" w:themeColor="text1"/>
                <w:sz w:val="24"/>
                <w:szCs w:val="24"/>
              </w:rPr>
              <w:t xml:space="preserve">Protection of Children Act 1978, </w:t>
            </w:r>
            <w:r w:rsidRPr="000A574C">
              <w:rPr>
                <w:rFonts w:ascii="Arial" w:hAnsi="Arial" w:cs="Arial"/>
                <w:i/>
                <w:iCs/>
                <w:color w:val="000000" w:themeColor="text1"/>
                <w:sz w:val="24"/>
                <w:szCs w:val="24"/>
              </w:rPr>
              <w:t>section 1</w:t>
            </w:r>
            <w:r w:rsidRPr="000A574C">
              <w:rPr>
                <w:rFonts w:ascii="Arial" w:hAnsi="Arial" w:cs="Arial"/>
                <w:color w:val="000000" w:themeColor="text1"/>
                <w:sz w:val="24"/>
                <w:szCs w:val="24"/>
              </w:rPr>
              <w:t xml:space="preserve">. Available at </w:t>
            </w:r>
            <w:hyperlink r:id="rId19" w:history="1">
              <w:r w:rsidRPr="000A574C">
                <w:rPr>
                  <w:rStyle w:val="Hyperlink"/>
                  <w:rFonts w:ascii="Arial" w:hAnsi="Arial" w:cs="Arial"/>
                  <w:color w:val="000000" w:themeColor="text1"/>
                  <w:sz w:val="24"/>
                  <w:szCs w:val="24"/>
                </w:rPr>
                <w:t>https://www.legislation.gov.uk/ukpga/1978/37/section/1</w:t>
              </w:r>
            </w:hyperlink>
            <w:r w:rsidRPr="000A574C">
              <w:rPr>
                <w:rStyle w:val="Hyperlink"/>
                <w:rFonts w:ascii="Arial" w:hAnsi="Arial" w:cs="Arial"/>
                <w:color w:val="000000" w:themeColor="text1"/>
                <w:sz w:val="24"/>
                <w:szCs w:val="24"/>
              </w:rPr>
              <w:t xml:space="preserve"> (Accessed: 1 May 2024).</w:t>
            </w:r>
          </w:p>
          <w:p w14:paraId="58435C2B" w14:textId="77777777" w:rsidR="0084440B" w:rsidRPr="000A574C" w:rsidRDefault="0084440B" w:rsidP="0084440B">
            <w:pPr>
              <w:rPr>
                <w:rFonts w:ascii="Arial" w:hAnsi="Arial" w:cs="Arial"/>
                <w:color w:val="000000" w:themeColor="text1"/>
                <w:sz w:val="24"/>
                <w:szCs w:val="24"/>
              </w:rPr>
            </w:pPr>
          </w:p>
          <w:p w14:paraId="2B33B6B6" w14:textId="77777777" w:rsidR="0084440B" w:rsidRPr="000A574C" w:rsidRDefault="0084440B" w:rsidP="0084440B">
            <w:pPr>
              <w:rPr>
                <w:rStyle w:val="Hyperlink"/>
                <w:rFonts w:ascii="Arial" w:hAnsi="Arial" w:cs="Arial"/>
                <w:color w:val="000000" w:themeColor="text1"/>
                <w:sz w:val="24"/>
                <w:szCs w:val="24"/>
              </w:rPr>
            </w:pPr>
            <w:r w:rsidRPr="000A574C">
              <w:rPr>
                <w:rStyle w:val="Hyperlink"/>
                <w:rFonts w:ascii="Arial" w:hAnsi="Arial" w:cs="Arial"/>
                <w:color w:val="000000" w:themeColor="text1"/>
                <w:sz w:val="24"/>
                <w:szCs w:val="24"/>
              </w:rPr>
              <w:t xml:space="preserve">Stalcup, M. (2015) ‘Policing Uncertainty: On Suspicious Activity Reporting’, in Samimian-Darash, L. and Rabinow, P. </w:t>
            </w:r>
            <w:r w:rsidRPr="000A574C">
              <w:rPr>
                <w:rStyle w:val="Hyperlink"/>
                <w:rFonts w:ascii="Arial" w:hAnsi="Arial" w:cs="Arial"/>
                <w:i/>
                <w:iCs/>
                <w:color w:val="000000" w:themeColor="text1"/>
                <w:sz w:val="24"/>
                <w:szCs w:val="24"/>
              </w:rPr>
              <w:t xml:space="preserve">Modes of Uncertainty: Anthropological Cases. </w:t>
            </w:r>
            <w:r w:rsidRPr="000A574C">
              <w:rPr>
                <w:rStyle w:val="Hyperlink"/>
                <w:rFonts w:ascii="Arial" w:hAnsi="Arial" w:cs="Arial"/>
                <w:color w:val="000000" w:themeColor="text1"/>
                <w:sz w:val="24"/>
                <w:szCs w:val="24"/>
              </w:rPr>
              <w:t>Chicago: University of Chicago Press, p. 69.</w:t>
            </w:r>
          </w:p>
          <w:p w14:paraId="79F53CD4" w14:textId="77777777" w:rsidR="0084440B" w:rsidRDefault="0084440B" w:rsidP="0084440B">
            <w:pPr>
              <w:rPr>
                <w:rStyle w:val="Hyperlink"/>
                <w:rFonts w:ascii="Arial" w:hAnsi="Arial" w:cs="Arial"/>
              </w:rPr>
            </w:pPr>
          </w:p>
          <w:p w14:paraId="3C5FA45B" w14:textId="77777777" w:rsidR="0084440B" w:rsidRPr="00E9152C" w:rsidRDefault="0084440B" w:rsidP="515A1CF8">
            <w:pPr>
              <w:rPr>
                <w:rFonts w:ascii="Arial" w:eastAsia="Arial" w:hAnsi="Arial" w:cs="Arial"/>
                <w:b/>
                <w:bCs/>
              </w:rPr>
            </w:pPr>
          </w:p>
          <w:p w14:paraId="01B79DB0" w14:textId="01241819" w:rsidR="7336895D" w:rsidRDefault="7336895D" w:rsidP="2F17ACDD"/>
          <w:p w14:paraId="2F7715EC" w14:textId="19D8D547" w:rsidR="7336895D" w:rsidRDefault="55B9A6C8" w:rsidP="2F17ACDD">
            <w:pPr>
              <w:ind w:right="237"/>
              <w:jc w:val="both"/>
              <w:rPr>
                <w:rFonts w:ascii="Calibri" w:eastAsia="Calibri" w:hAnsi="Calibri" w:cs="Calibri"/>
              </w:rPr>
            </w:pPr>
            <w:r w:rsidRPr="2F17ACDD">
              <w:rPr>
                <w:rFonts w:ascii="Arial" w:eastAsia="Arial" w:hAnsi="Arial" w:cs="Arial"/>
                <w:b/>
                <w:bCs/>
                <w:color w:val="000000" w:themeColor="text1"/>
                <w:sz w:val="24"/>
                <w:szCs w:val="24"/>
              </w:rPr>
              <w:t>2000 words</w:t>
            </w:r>
            <w:r w:rsidRPr="2F17ACDD">
              <w:rPr>
                <w:rFonts w:ascii="Arial" w:eastAsia="Arial" w:hAnsi="Arial" w:cs="Arial"/>
                <w:color w:val="000000" w:themeColor="text1"/>
                <w:sz w:val="24"/>
                <w:szCs w:val="24"/>
              </w:rPr>
              <w:t xml:space="preserve"> </w:t>
            </w:r>
            <w:r w:rsidRPr="2F17ACDD">
              <w:rPr>
                <w:rFonts w:ascii="Arial" w:eastAsia="Arial" w:hAnsi="Arial" w:cs="Arial"/>
                <w:i/>
                <w:iCs/>
                <w:color w:val="000000" w:themeColor="text1"/>
                <w:sz w:val="24"/>
                <w:szCs w:val="24"/>
              </w:rPr>
              <w:t>(+/- 10%: include your actual word count at the end of each section)</w:t>
            </w:r>
          </w:p>
        </w:tc>
      </w:tr>
    </w:tbl>
    <w:p w14:paraId="73A5527A" w14:textId="6827B766" w:rsidR="2F17ACDD" w:rsidRDefault="2F17ACDD" w:rsidP="57DF25C0">
      <w:pPr>
        <w:ind w:left="3600" w:right="107"/>
        <w:rPr>
          <w:rFonts w:ascii="Arial" w:eastAsia="Arial" w:hAnsi="Arial" w:cs="Arial"/>
          <w:b/>
          <w:bCs/>
          <w:color w:val="000000" w:themeColor="text1"/>
          <w:sz w:val="24"/>
          <w:szCs w:val="24"/>
        </w:rPr>
      </w:pPr>
    </w:p>
    <w:p w14:paraId="2F03655D" w14:textId="55FA5E1A" w:rsidR="7336895D" w:rsidRDefault="010A2EC9" w:rsidP="2F17ACDD">
      <w:pPr>
        <w:rPr>
          <w:rFonts w:ascii="Arial" w:eastAsia="Arial" w:hAnsi="Arial" w:cs="Arial"/>
          <w:b/>
          <w:bCs/>
          <w:i/>
          <w:iCs/>
          <w:sz w:val="24"/>
          <w:szCs w:val="24"/>
        </w:rPr>
      </w:pPr>
      <w:r w:rsidRPr="2F17ACDD">
        <w:rPr>
          <w:rFonts w:ascii="Arial" w:eastAsia="Arial" w:hAnsi="Arial" w:cs="Arial"/>
          <w:b/>
          <w:bCs/>
          <w:i/>
          <w:iCs/>
          <w:sz w:val="24"/>
          <w:szCs w:val="24"/>
        </w:rPr>
        <w:t xml:space="preserve">Task 2: </w:t>
      </w:r>
      <w:r w:rsidR="3F637696" w:rsidRPr="2F17ACDD">
        <w:rPr>
          <w:rFonts w:ascii="Arial" w:eastAsia="Arial" w:hAnsi="Arial" w:cs="Arial"/>
          <w:b/>
          <w:bCs/>
          <w:i/>
          <w:iCs/>
          <w:sz w:val="24"/>
          <w:szCs w:val="24"/>
        </w:rPr>
        <w:t>Safeguarding and Risk Assessment</w:t>
      </w:r>
    </w:p>
    <w:p w14:paraId="2A30A3F0" w14:textId="7DE690F1" w:rsidR="7336895D" w:rsidRDefault="1EBEE606"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You must choose an investigation in which you played a significant role and reflect upon how you supported victims and or witnesses. </w:t>
      </w:r>
    </w:p>
    <w:tbl>
      <w:tblPr>
        <w:tblStyle w:val="TableGrid"/>
        <w:tblW w:w="0" w:type="auto"/>
        <w:tblLayout w:type="fixed"/>
        <w:tblLook w:val="06A0" w:firstRow="1" w:lastRow="0" w:firstColumn="1" w:lastColumn="0" w:noHBand="1" w:noVBand="1"/>
      </w:tblPr>
      <w:tblGrid>
        <w:gridCol w:w="9015"/>
      </w:tblGrid>
      <w:tr w:rsidR="7336895D" w14:paraId="377E1D5D" w14:textId="77777777" w:rsidTr="2F17ACDD">
        <w:tc>
          <w:tcPr>
            <w:tcW w:w="9015" w:type="dxa"/>
          </w:tcPr>
          <w:p w14:paraId="44012570" w14:textId="0A59423F" w:rsidR="7336895D" w:rsidRDefault="1EBEE606" w:rsidP="2F17ACDD">
            <w:pPr>
              <w:spacing w:line="259" w:lineRule="auto"/>
              <w:rPr>
                <w:rFonts w:ascii="Arial" w:eastAsia="Arial" w:hAnsi="Arial" w:cs="Arial"/>
                <w:b/>
                <w:bCs/>
                <w:sz w:val="24"/>
                <w:szCs w:val="24"/>
              </w:rPr>
            </w:pPr>
            <w:r w:rsidRPr="007414A3">
              <w:rPr>
                <w:rFonts w:ascii="Arial" w:eastAsia="Arial" w:hAnsi="Arial" w:cs="Arial"/>
                <w:b/>
                <w:bCs/>
                <w:color w:val="000000" w:themeColor="text1"/>
                <w:sz w:val="24"/>
                <w:szCs w:val="24"/>
              </w:rPr>
              <w:t xml:space="preserve">Give a brief description of the investigation including social and legislative contexts and any relevant cultural, ethnicity and language issues.  </w:t>
            </w:r>
            <w:r w:rsidRPr="007414A3">
              <w:rPr>
                <w:rFonts w:ascii="Arial" w:eastAsia="Arial" w:hAnsi="Arial" w:cs="Arial"/>
                <w:b/>
                <w:bCs/>
                <w:sz w:val="24"/>
                <w:szCs w:val="24"/>
              </w:rPr>
              <w:t xml:space="preserve"> </w:t>
            </w:r>
          </w:p>
          <w:p w14:paraId="17BC8F10" w14:textId="77777777" w:rsidR="00D439C6" w:rsidRDefault="00D439C6" w:rsidP="2F17ACDD">
            <w:pPr>
              <w:spacing w:line="259" w:lineRule="auto"/>
              <w:rPr>
                <w:rFonts w:ascii="Arial" w:eastAsia="Arial" w:hAnsi="Arial" w:cs="Arial"/>
                <w:b/>
                <w:bCs/>
                <w:sz w:val="24"/>
                <w:szCs w:val="24"/>
              </w:rPr>
            </w:pPr>
          </w:p>
          <w:p w14:paraId="4972199E" w14:textId="77777777" w:rsidR="00D439C6" w:rsidRDefault="00D439C6" w:rsidP="00D439C6">
            <w:pPr>
              <w:rPr>
                <w:rFonts w:ascii="Arial" w:hAnsi="Arial" w:cs="Arial"/>
                <w:sz w:val="24"/>
                <w:szCs w:val="24"/>
              </w:rPr>
            </w:pPr>
            <w:r>
              <w:rPr>
                <w:rFonts w:ascii="Arial" w:hAnsi="Arial" w:cs="Arial"/>
                <w:sz w:val="24"/>
                <w:szCs w:val="24"/>
              </w:rPr>
              <w:t xml:space="preserve">This investigation involved domestic related offences, including assault, false imprisonment, and witness intimidation. The victim initially reported a domestic assault to police, however provided a statement withdrawing her complaint and refuting her previous account. The suspect was arrested regardless due to the disclosures made by the victim, and whilst he was not charged for the assault offence he was recalled to prison for one week. </w:t>
            </w:r>
          </w:p>
          <w:p w14:paraId="394DA2FB" w14:textId="2624B219" w:rsidR="00D439C6" w:rsidRDefault="00D439C6" w:rsidP="00D439C6">
            <w:pPr>
              <w:rPr>
                <w:rFonts w:ascii="Arial" w:hAnsi="Arial" w:cs="Arial"/>
                <w:sz w:val="24"/>
                <w:szCs w:val="24"/>
              </w:rPr>
            </w:pPr>
            <w:r>
              <w:rPr>
                <w:rFonts w:ascii="Arial" w:hAnsi="Arial" w:cs="Arial"/>
                <w:sz w:val="24"/>
                <w:szCs w:val="24"/>
              </w:rPr>
              <w:t>Whilst the suspect was in custody, the victim was further engaged with, and it emerged that she had not been truthful in her negating of the assault. A rapport was built with the victim and her trust gained, which led to her disclosing a campaign of abuse at the hands of the suspect, including the suspect assaulting her numerous times, preventing her from leaving her address, and intimidating her into withdrawing her complaint to police. Her support network, including family and her social worker, were utilised to help her gain confidence in providing a statement, and due to her disclosures</w:t>
            </w:r>
            <w:r w:rsidR="00430717">
              <w:rPr>
                <w:rFonts w:ascii="Arial" w:hAnsi="Arial" w:cs="Arial"/>
                <w:sz w:val="24"/>
                <w:szCs w:val="24"/>
              </w:rPr>
              <w:t>,</w:t>
            </w:r>
            <w:r>
              <w:rPr>
                <w:rFonts w:ascii="Arial" w:hAnsi="Arial" w:cs="Arial"/>
                <w:sz w:val="24"/>
                <w:szCs w:val="24"/>
              </w:rPr>
              <w:t xml:space="preserve"> the suspect was re-arrested on his release from prison, and a charge and remand subsequently achieved. </w:t>
            </w:r>
          </w:p>
          <w:p w14:paraId="72725631" w14:textId="77777777" w:rsidR="00D439C6" w:rsidRDefault="00D439C6" w:rsidP="00D439C6">
            <w:pPr>
              <w:rPr>
                <w:rFonts w:ascii="Arial" w:hAnsi="Arial" w:cs="Arial"/>
                <w:sz w:val="24"/>
                <w:szCs w:val="24"/>
              </w:rPr>
            </w:pPr>
            <w:r>
              <w:rPr>
                <w:rFonts w:ascii="Arial" w:hAnsi="Arial" w:cs="Arial"/>
                <w:sz w:val="24"/>
                <w:szCs w:val="24"/>
              </w:rPr>
              <w:t>The victim was thoroughly supported throughout the court process, and the suspect was found guilty at trial and handed a substantial prison sentence.</w:t>
            </w:r>
          </w:p>
          <w:p w14:paraId="37761E38" w14:textId="77777777" w:rsidR="00D439C6" w:rsidRDefault="00D439C6" w:rsidP="2F17ACDD">
            <w:pPr>
              <w:spacing w:line="259" w:lineRule="auto"/>
              <w:rPr>
                <w:rFonts w:ascii="Arial" w:eastAsia="Arial" w:hAnsi="Arial" w:cs="Arial"/>
                <w:b/>
                <w:bCs/>
                <w:color w:val="000000" w:themeColor="text1"/>
                <w:sz w:val="24"/>
                <w:szCs w:val="24"/>
              </w:rPr>
            </w:pPr>
          </w:p>
          <w:p w14:paraId="282916B0" w14:textId="77777777" w:rsidR="00D439C6" w:rsidRPr="007414A3" w:rsidRDefault="00D439C6" w:rsidP="2F17ACDD">
            <w:pPr>
              <w:spacing w:line="259" w:lineRule="auto"/>
              <w:rPr>
                <w:rFonts w:ascii="Arial" w:eastAsia="Arial" w:hAnsi="Arial" w:cs="Arial"/>
                <w:b/>
                <w:bCs/>
                <w:color w:val="000000" w:themeColor="text1"/>
                <w:sz w:val="24"/>
                <w:szCs w:val="24"/>
              </w:rPr>
            </w:pPr>
          </w:p>
          <w:p w14:paraId="2A0EC8D3" w14:textId="6AF2A5EB" w:rsidR="7336895D" w:rsidRPr="007414A3" w:rsidRDefault="7336895D" w:rsidP="515A1CF8">
            <w:pPr>
              <w:rPr>
                <w:rFonts w:ascii="Arial" w:eastAsia="Arial" w:hAnsi="Arial" w:cs="Arial"/>
                <w:b/>
                <w:bCs/>
                <w:color w:val="000000" w:themeColor="text1"/>
                <w:sz w:val="24"/>
                <w:szCs w:val="24"/>
              </w:rPr>
            </w:pPr>
          </w:p>
          <w:p w14:paraId="49AF60EB" w14:textId="7E8FD7D8" w:rsidR="1EBEE606" w:rsidRDefault="1EBEE606" w:rsidP="515A1CF8">
            <w:pPr>
              <w:rPr>
                <w:rFonts w:ascii="Arial" w:eastAsia="Arial" w:hAnsi="Arial" w:cs="Arial"/>
                <w:b/>
                <w:bCs/>
                <w:color w:val="000000" w:themeColor="text1"/>
                <w:sz w:val="24"/>
                <w:szCs w:val="24"/>
              </w:rPr>
            </w:pPr>
            <w:r w:rsidRPr="007414A3">
              <w:rPr>
                <w:rFonts w:ascii="Arial" w:eastAsia="Arial" w:hAnsi="Arial" w:cs="Arial"/>
                <w:b/>
                <w:bCs/>
                <w:color w:val="000000" w:themeColor="text1"/>
                <w:sz w:val="24"/>
                <w:szCs w:val="24"/>
              </w:rPr>
              <w:lastRenderedPageBreak/>
              <w:t xml:space="preserve">Critically evaluate how you have provided appropriate support for victims during an investigation. Consider the use of </w:t>
            </w:r>
            <w:r w:rsidR="77459558" w:rsidRPr="007414A3">
              <w:rPr>
                <w:rFonts w:ascii="Arial" w:eastAsia="Arial" w:hAnsi="Arial" w:cs="Arial"/>
                <w:b/>
                <w:bCs/>
                <w:color w:val="000000" w:themeColor="text1"/>
                <w:sz w:val="24"/>
                <w:szCs w:val="24"/>
              </w:rPr>
              <w:t xml:space="preserve">a victim strategy when required and working with the Victim Care Unit. </w:t>
            </w:r>
          </w:p>
          <w:p w14:paraId="4437CE34" w14:textId="77777777" w:rsidR="009F12F0" w:rsidRDefault="009F12F0" w:rsidP="515A1CF8">
            <w:pPr>
              <w:rPr>
                <w:rFonts w:ascii="Arial" w:eastAsia="Arial" w:hAnsi="Arial" w:cs="Arial"/>
                <w:b/>
                <w:bCs/>
                <w:color w:val="000000" w:themeColor="text1"/>
                <w:sz w:val="24"/>
                <w:szCs w:val="24"/>
              </w:rPr>
            </w:pPr>
          </w:p>
          <w:p w14:paraId="0F290D9D" w14:textId="68D13009" w:rsidR="009F12F0" w:rsidRDefault="009F12F0" w:rsidP="009F12F0">
            <w:pPr>
              <w:rPr>
                <w:rFonts w:ascii="Arial" w:hAnsi="Arial" w:cs="Arial"/>
                <w:sz w:val="24"/>
                <w:szCs w:val="24"/>
              </w:rPr>
            </w:pPr>
            <w:r>
              <w:rPr>
                <w:rFonts w:ascii="Arial" w:hAnsi="Arial" w:cs="Arial"/>
                <w:sz w:val="24"/>
                <w:szCs w:val="24"/>
              </w:rPr>
              <w:t>The success of this investigation relied significantly on gaining the trust of the victim and making her feel safe and supported enough to engage with police and disclose the abuse she had been subjected to.</w:t>
            </w:r>
          </w:p>
          <w:p w14:paraId="34FBF54F" w14:textId="77777777" w:rsidR="009F12F0" w:rsidRDefault="009F12F0" w:rsidP="009F12F0">
            <w:pPr>
              <w:rPr>
                <w:rFonts w:ascii="Arial" w:hAnsi="Arial" w:cs="Arial"/>
                <w:sz w:val="24"/>
                <w:szCs w:val="24"/>
              </w:rPr>
            </w:pPr>
            <w:r>
              <w:rPr>
                <w:rFonts w:ascii="Arial" w:hAnsi="Arial" w:cs="Arial"/>
                <w:sz w:val="24"/>
                <w:szCs w:val="24"/>
              </w:rPr>
              <w:t>When reflecting on my own actions in providing support to the victim, I have identified aspects that I believe were undertaken well, but also aspects that could have been improved upon.</w:t>
            </w:r>
          </w:p>
          <w:p w14:paraId="40FEB728" w14:textId="77777777" w:rsidR="009F12F0" w:rsidRDefault="009F12F0" w:rsidP="009F12F0">
            <w:pPr>
              <w:rPr>
                <w:rFonts w:ascii="Arial" w:hAnsi="Arial" w:cs="Arial"/>
                <w:sz w:val="24"/>
                <w:szCs w:val="24"/>
              </w:rPr>
            </w:pPr>
            <w:r>
              <w:rPr>
                <w:rFonts w:ascii="Arial" w:hAnsi="Arial" w:cs="Arial"/>
                <w:sz w:val="24"/>
                <w:szCs w:val="24"/>
              </w:rPr>
              <w:t xml:space="preserve">Firstly, in relation to my initial communication with the victim, I believe I did not conduct this optimally. When the matter was assigned to me, I initially contacted the victim by telephone to discuss the matter with her, whereas I believe a more appropriate course of action could have been to speak to her in person, for two main reasons. Firstly, her vulnerabilities as a victim of serious domestic abuse were difficult to recognise via telephone, and secondly, the victim seemed hesitant to communicate openly and disclose the full nature of the matter over the phone. The College of Policing (2021, p. 13, para 3) recognises the importance of the correct approach to communication in relation to both of these issues, stating “Advanced communication is fundamental to creating an environment in which individuals feel able to disclose information that may help officers or staff to identify any vulnerability”. The reluctance of this victim to make full disclosures by telephone is reflected in examples from the medical environment, as discovered by Hewitt, Gafaranga and McKinstry (2010) in their comparison of face-to-face and telephone medical consultations. They found that fewer issues were disclosed to primary care practitioners via telephone than in person. A more considered and effective approach given the seriousness of the matter would have been to visit the victim in person, and provide her with adequate time to make disclosures, and allow myself adequate time to effectively identify her vulnerabilities. </w:t>
            </w:r>
          </w:p>
          <w:p w14:paraId="06C5631C" w14:textId="77777777" w:rsidR="009F12F0" w:rsidRDefault="009F12F0" w:rsidP="009F12F0">
            <w:pPr>
              <w:rPr>
                <w:rFonts w:ascii="Arial" w:hAnsi="Arial" w:cs="Arial"/>
                <w:sz w:val="24"/>
                <w:szCs w:val="24"/>
              </w:rPr>
            </w:pPr>
            <w:r>
              <w:rPr>
                <w:rFonts w:ascii="Arial" w:hAnsi="Arial" w:cs="Arial"/>
                <w:sz w:val="24"/>
                <w:szCs w:val="24"/>
              </w:rPr>
              <w:t xml:space="preserve">Despite the flaws in my initial victim contact, the victim’s reaction to the suspect being recalled to prison led me to suspect that offences had been committed, and further support may be beneficial in helping her to disclose these to police. I therefore successfully applied for a Domestic Violence Protection Order (DVPO), which would prevent the suspect from contacting the victim even after his release from prison, which on reflection was a good policing decision. I initially decided to apply for the DVPO without consulting the victim, which had the potential of alienating her, however I felt it was the right decision, and upon hearing that this had been granted, the victim expressed further relief, and felt more able to communicate with police. DVPOs are considered a helpful support tool for this exact reason, allowing victims of domestic abuse time and space to seek to remove themselves from their abusive situations (Blackburn and Graca, 2021). They should however be used carefully, with Blackburn and Graca (2021) going on to write that the development of medium and long-term solutions is also required, </w:t>
            </w:r>
            <w:r>
              <w:rPr>
                <w:rFonts w:ascii="Arial" w:hAnsi="Arial" w:cs="Arial"/>
                <w:sz w:val="24"/>
                <w:szCs w:val="24"/>
              </w:rPr>
              <w:lastRenderedPageBreak/>
              <w:t>potentially by working alongside the justice system, support services, and community partners, to achieve a more sustainable safeguarding plan.</w:t>
            </w:r>
          </w:p>
          <w:p w14:paraId="5D77DA06" w14:textId="77777777" w:rsidR="009F12F0" w:rsidRDefault="009F12F0" w:rsidP="009F12F0">
            <w:pPr>
              <w:rPr>
                <w:rFonts w:ascii="Arial" w:hAnsi="Arial" w:cs="Arial"/>
                <w:sz w:val="24"/>
                <w:szCs w:val="24"/>
              </w:rPr>
            </w:pPr>
            <w:r>
              <w:rPr>
                <w:rFonts w:ascii="Arial" w:hAnsi="Arial" w:cs="Arial"/>
                <w:sz w:val="24"/>
                <w:szCs w:val="24"/>
              </w:rPr>
              <w:t xml:space="preserve">This leads me onto my next point, which concerns my engagement with the victim and the support offered to her. On a positive note, the development of a victim strategy that considered that the victim may need support to feel comfortable enough to communicate proved effective, as did reassuring her that family and support workers are able to be present during a victim interview. I spoke to both her mother and social worker, and arranged for them to be present during interview, seeking to create the most comfortable and secure environment possible. Lydia Bennett (2015), a professional practice advisor at the College of Social Work writes that the role of the social worker involves engaging with the victim and acting as a voice of reason, helping them to fully appreciate the danger both they and their children may be in at the hands of the suspect, and states that “social workers are skilled at engaging with the whole family and are able to link the experiences of every member of that family”, and that they are able to “work with the parent to encourage them to see the world how their children do”, which she explains can help to motivate parent to change the family’s situation. </w:t>
            </w:r>
          </w:p>
          <w:p w14:paraId="59F40280" w14:textId="3C2CC9FF" w:rsidR="009F12F0" w:rsidRDefault="009F12F0" w:rsidP="009F12F0">
            <w:pPr>
              <w:rPr>
                <w:rFonts w:ascii="Arial" w:hAnsi="Arial" w:cs="Arial"/>
                <w:sz w:val="24"/>
                <w:szCs w:val="24"/>
              </w:rPr>
            </w:pPr>
            <w:r>
              <w:rPr>
                <w:rFonts w:ascii="Arial" w:hAnsi="Arial" w:cs="Arial"/>
                <w:sz w:val="24"/>
                <w:szCs w:val="24"/>
              </w:rPr>
              <w:t>I believe that the victim strategy could have been improved upon by liaising with an Independent Domestic Violence Advisor (IDVA) and arranging a meeting between them and the victim. As the UK Government (2024, p. 3) asserts in their IDVA guidance, IDVAs “have been found to positively impact victims’ experiences as well as boost engagement with the criminal justice system”. Given that the victim had already provided a withdrawal statement previously, this independent support could have been invaluable in preventing the victim from withdrawing from the criminal justice process if she developed wishes to do that at some juncture in the process.</w:t>
            </w:r>
          </w:p>
          <w:p w14:paraId="7873D7C1" w14:textId="77777777" w:rsidR="009F12F0" w:rsidRDefault="009F12F0" w:rsidP="515A1CF8">
            <w:pPr>
              <w:rPr>
                <w:rFonts w:ascii="Arial" w:hAnsi="Arial" w:cs="Arial"/>
                <w:b/>
                <w:bCs/>
                <w:sz w:val="24"/>
                <w:szCs w:val="24"/>
              </w:rPr>
            </w:pPr>
          </w:p>
          <w:p w14:paraId="71193222" w14:textId="77777777" w:rsidR="009F12F0" w:rsidRPr="007414A3" w:rsidRDefault="009F12F0" w:rsidP="515A1CF8">
            <w:pPr>
              <w:rPr>
                <w:rFonts w:ascii="Arial" w:eastAsia="Arial" w:hAnsi="Arial" w:cs="Arial"/>
                <w:b/>
                <w:bCs/>
                <w:color w:val="000000" w:themeColor="text1"/>
                <w:sz w:val="24"/>
                <w:szCs w:val="24"/>
              </w:rPr>
            </w:pPr>
          </w:p>
          <w:p w14:paraId="44E0E104" w14:textId="74D7C2CC" w:rsidR="515A1CF8" w:rsidRPr="007414A3" w:rsidRDefault="515A1CF8" w:rsidP="515A1CF8">
            <w:pPr>
              <w:rPr>
                <w:rFonts w:ascii="Arial" w:eastAsia="Arial" w:hAnsi="Arial" w:cs="Arial"/>
                <w:b/>
                <w:bCs/>
                <w:color w:val="000000" w:themeColor="text1"/>
                <w:sz w:val="24"/>
                <w:szCs w:val="24"/>
              </w:rPr>
            </w:pPr>
          </w:p>
          <w:p w14:paraId="299FE2F7" w14:textId="5EF70B86" w:rsidR="587461C1" w:rsidRDefault="241B4BAD" w:rsidP="79283025">
            <w:pPr>
              <w:rPr>
                <w:rFonts w:ascii="Arial" w:eastAsia="Arial" w:hAnsi="Arial" w:cs="Arial"/>
                <w:b/>
                <w:bCs/>
                <w:color w:val="000000" w:themeColor="text1"/>
                <w:sz w:val="24"/>
                <w:szCs w:val="24"/>
              </w:rPr>
            </w:pPr>
            <w:r w:rsidRPr="007414A3">
              <w:rPr>
                <w:rFonts w:ascii="Arial" w:eastAsia="Arial" w:hAnsi="Arial" w:cs="Arial"/>
                <w:b/>
                <w:bCs/>
                <w:color w:val="000000" w:themeColor="text1"/>
                <w:sz w:val="24"/>
                <w:szCs w:val="24"/>
              </w:rPr>
              <w:t>Examine the use of appropriate responses to safeguarding concerns and manage</w:t>
            </w:r>
            <w:r w:rsidR="56CF73C9" w:rsidRPr="007414A3">
              <w:rPr>
                <w:rFonts w:ascii="Arial" w:eastAsia="Arial" w:hAnsi="Arial" w:cs="Arial"/>
                <w:b/>
                <w:bCs/>
                <w:color w:val="000000" w:themeColor="text1"/>
                <w:sz w:val="24"/>
                <w:szCs w:val="24"/>
              </w:rPr>
              <w:t>ment</w:t>
            </w:r>
            <w:r w:rsidRPr="007414A3">
              <w:rPr>
                <w:rFonts w:ascii="Arial" w:eastAsia="Arial" w:hAnsi="Arial" w:cs="Arial"/>
                <w:b/>
                <w:bCs/>
                <w:color w:val="000000" w:themeColor="text1"/>
                <w:sz w:val="24"/>
                <w:szCs w:val="24"/>
              </w:rPr>
              <w:t xml:space="preserve"> risk in investigations. </w:t>
            </w:r>
            <w:r w:rsidRPr="007414A3">
              <w:rPr>
                <w:rFonts w:ascii="Arial" w:eastAsia="Arial" w:hAnsi="Arial" w:cs="Arial"/>
                <w:b/>
                <w:bCs/>
                <w:i/>
                <w:iCs/>
                <w:color w:val="000000" w:themeColor="text1"/>
                <w:sz w:val="24"/>
                <w:szCs w:val="24"/>
              </w:rPr>
              <w:t>(</w:t>
            </w:r>
            <w:r w:rsidR="3BC963D9" w:rsidRPr="007414A3">
              <w:rPr>
                <w:rFonts w:ascii="Arial" w:eastAsia="Arial" w:hAnsi="Arial" w:cs="Arial"/>
                <w:b/>
                <w:bCs/>
                <w:i/>
                <w:iCs/>
                <w:color w:val="000000" w:themeColor="text1"/>
                <w:sz w:val="24"/>
                <w:szCs w:val="24"/>
              </w:rPr>
              <w:t>Examples</w:t>
            </w:r>
            <w:r w:rsidRPr="007414A3">
              <w:rPr>
                <w:rFonts w:ascii="Arial" w:eastAsia="Arial" w:hAnsi="Arial" w:cs="Arial"/>
                <w:b/>
                <w:bCs/>
                <w:i/>
                <w:iCs/>
                <w:color w:val="000000" w:themeColor="text1"/>
                <w:sz w:val="24"/>
                <w:szCs w:val="24"/>
              </w:rPr>
              <w:t xml:space="preserve"> inclu</w:t>
            </w:r>
            <w:r w:rsidR="3246B245" w:rsidRPr="007414A3">
              <w:rPr>
                <w:rFonts w:ascii="Arial" w:eastAsia="Arial" w:hAnsi="Arial" w:cs="Arial"/>
                <w:b/>
                <w:bCs/>
                <w:i/>
                <w:iCs/>
                <w:color w:val="000000" w:themeColor="text1"/>
                <w:sz w:val="24"/>
                <w:szCs w:val="24"/>
              </w:rPr>
              <w:t>de but not limited to; child abuse, offences against vulnerable adults and domestic abuse</w:t>
            </w:r>
            <w:r w:rsidR="3246B245" w:rsidRPr="007414A3">
              <w:rPr>
                <w:rFonts w:ascii="Arial" w:eastAsia="Arial" w:hAnsi="Arial" w:cs="Arial"/>
                <w:b/>
                <w:bCs/>
                <w:color w:val="000000" w:themeColor="text1"/>
                <w:sz w:val="24"/>
                <w:szCs w:val="24"/>
              </w:rPr>
              <w:t>).</w:t>
            </w:r>
          </w:p>
          <w:p w14:paraId="4C2B4916" w14:textId="77777777" w:rsidR="00C24E89" w:rsidRDefault="00C24E89" w:rsidP="79283025">
            <w:pPr>
              <w:rPr>
                <w:rFonts w:ascii="Arial" w:eastAsia="Arial" w:hAnsi="Arial" w:cs="Arial"/>
                <w:b/>
                <w:bCs/>
                <w:color w:val="000000" w:themeColor="text1"/>
                <w:sz w:val="24"/>
                <w:szCs w:val="24"/>
              </w:rPr>
            </w:pPr>
          </w:p>
          <w:p w14:paraId="2792B85C" w14:textId="53143774" w:rsidR="00C24E89" w:rsidRDefault="00C24E89" w:rsidP="00C24E89">
            <w:pPr>
              <w:rPr>
                <w:rFonts w:ascii="Arial" w:hAnsi="Arial" w:cs="Arial"/>
                <w:sz w:val="24"/>
                <w:szCs w:val="24"/>
              </w:rPr>
            </w:pPr>
            <w:r>
              <w:rPr>
                <w:rFonts w:ascii="Arial" w:hAnsi="Arial" w:cs="Arial"/>
                <w:sz w:val="24"/>
                <w:szCs w:val="24"/>
              </w:rPr>
              <w:t xml:space="preserve">In relation to domestic abuse incidents, responding appropriately to safeguarding concerns and managing the risks involved is vital. The College of Policing (2023) advises that the risk assessment process should start at the earliest opportunity, which in most cases will be a primary risk assessment at the scene of the incident. In this domestic abuse case, the initial attending officers’ risk assessment included safeguarding measures such as the completion of a Public Protection Notification (PPN) which was shared with partner agencies. Subsequent contact with the victim could have been more risk-aware, however. The victim re-contacted police and arranged to provide a withdrawal statement. An officer attended, and the victim refused to let them into her address, providing the statement on the doorstep. It transpired in later disclosures from the victim that the suspect was in fact hiding behind the door having made threats to the victim and intimidating her </w:t>
            </w:r>
            <w:r>
              <w:rPr>
                <w:rFonts w:ascii="Arial" w:hAnsi="Arial" w:cs="Arial"/>
                <w:sz w:val="24"/>
                <w:szCs w:val="24"/>
              </w:rPr>
              <w:lastRenderedPageBreak/>
              <w:t xml:space="preserve">into withdrawing her statement and was in fact at that time keeping her as a prisoner in her own home. </w:t>
            </w:r>
          </w:p>
          <w:p w14:paraId="42B75F17" w14:textId="77777777" w:rsidR="00C24E89" w:rsidRDefault="00C24E89" w:rsidP="00C24E89">
            <w:pPr>
              <w:rPr>
                <w:rFonts w:ascii="Arial" w:hAnsi="Arial" w:cs="Arial"/>
                <w:sz w:val="24"/>
                <w:szCs w:val="24"/>
              </w:rPr>
            </w:pPr>
            <w:r>
              <w:rPr>
                <w:rFonts w:ascii="Arial" w:hAnsi="Arial" w:cs="Arial"/>
                <w:sz w:val="24"/>
                <w:szCs w:val="24"/>
              </w:rPr>
              <w:t xml:space="preserve">Whilst it is easy to critically look at this interaction from a hindsight perspective, a more appropriate safeguarding response from the attending officer would have been to question why the victim would not allow them into her address, as she had done previously. If the officer had questioned this, the victim’s responses could have led the officer to form the belief that the suspect was inside the address, and due to him being at that time wanted for an indictable offence, the officer could have used their power under section 17 of the Police And Criminal Evidence Act 1984 to enter the address to search for and arrest the suspect, which would have prevented further offences and safeguarded the victim. </w:t>
            </w:r>
          </w:p>
          <w:p w14:paraId="0FC7BBA4" w14:textId="77777777" w:rsidR="00C24E89" w:rsidRDefault="00C24E89" w:rsidP="00C24E89">
            <w:pPr>
              <w:rPr>
                <w:rFonts w:ascii="Arial" w:hAnsi="Arial" w:cs="Arial"/>
                <w:sz w:val="24"/>
                <w:szCs w:val="24"/>
              </w:rPr>
            </w:pPr>
            <w:r>
              <w:rPr>
                <w:rFonts w:ascii="Arial" w:hAnsi="Arial" w:cs="Arial"/>
                <w:sz w:val="24"/>
                <w:szCs w:val="24"/>
              </w:rPr>
              <w:t>A further PPN submission to highlight the withdrawal of support from the victim would have been beneficial from a safeguarding perspective. The sharing of this information with appropriate parties such as the specialist domestic abuse team, as well as domestic abuse charities and IDVA providers, could have highlighted to them some concerns which may have caused them to engage further with the victim and offer her appropriate support. These potential benefits are exemplified in a study that found that whilst 54.8% of all domestic abuse cases in 2020 were discontinued due to victims withdrawing their support (Her Majesty’s Inspectorate of Constabulary and Fire &amp; Rescue Services, 2021 p. 6), with a large number of the involved victims withdrawing at the early stages of the investigation. The number of victims that initially engaged with the criminal justice system by providing a statement, and subsequently retracted this support, was low. As the victim in this matter fell into this second, anomalous category, a secondary risk assessment by specialist departments may have highlighted the threat and risk to the victim.</w:t>
            </w:r>
          </w:p>
          <w:p w14:paraId="2376B717" w14:textId="77777777" w:rsidR="00C24E89" w:rsidRDefault="00C24E89" w:rsidP="00C24E89">
            <w:pPr>
              <w:spacing w:after="160" w:line="259" w:lineRule="auto"/>
              <w:rPr>
                <w:rFonts w:ascii="Arial" w:hAnsi="Arial" w:cs="Arial"/>
                <w:sz w:val="24"/>
                <w:szCs w:val="24"/>
              </w:rPr>
            </w:pPr>
            <w:r>
              <w:rPr>
                <w:rFonts w:ascii="Arial" w:hAnsi="Arial" w:cs="Arial"/>
                <w:sz w:val="24"/>
                <w:szCs w:val="24"/>
              </w:rPr>
              <w:t>Whilst it was the responsibility of the initial attending, and subsequent re-attending officers to conduct primary risk assessments and offer appropriate responses to any safeguarding concerns, when the matter was passed on to myself, it became my role to conduct my own, secondary risk assessment. As the College of Policing (2023) notes, a secondary risk assessment is a continuing and dynamic process that should be reviewed periodically. I was aware that given the serious nature of the disclosures of the victim and the danger posed by the suspect, coupled with the victim already being intimidated into withdrawing her statement, management of risk in the matter would be an ongoing process that would require multi-agency working. The College of Policing’s Risk Principles (2013) address the importance of working with and sharing information with partner agencies, which is an essential safeguarding practice. Whilst I ensured adequate referrals were made to relevant partners, for example IDVAs, on reflection I could have liaised more thoroughly with them, which could have created a more informed platform from which to ensure that the maximum safeguarding and risk management practices could be implemented.</w:t>
            </w:r>
          </w:p>
          <w:p w14:paraId="60BE24AA" w14:textId="77777777" w:rsidR="00C24E89" w:rsidRDefault="00C24E89" w:rsidP="00C24E89">
            <w:pPr>
              <w:spacing w:after="160" w:line="259" w:lineRule="auto"/>
              <w:rPr>
                <w:rFonts w:ascii="Arial" w:hAnsi="Arial" w:cs="Arial"/>
                <w:sz w:val="24"/>
                <w:szCs w:val="24"/>
              </w:rPr>
            </w:pPr>
          </w:p>
          <w:p w14:paraId="5B20602A" w14:textId="77777777" w:rsidR="00C24E89" w:rsidRDefault="00C24E89" w:rsidP="00C24E89">
            <w:pPr>
              <w:spacing w:after="160" w:line="259" w:lineRule="auto"/>
              <w:rPr>
                <w:rFonts w:ascii="Arial" w:hAnsi="Arial" w:cs="Arial"/>
                <w:sz w:val="24"/>
                <w:szCs w:val="24"/>
              </w:rPr>
            </w:pPr>
          </w:p>
          <w:p w14:paraId="7CAF4048" w14:textId="79916D70" w:rsidR="4D1E61E7" w:rsidRDefault="487939DB" w:rsidP="00C24E89">
            <w:pPr>
              <w:spacing w:after="160" w:line="259" w:lineRule="auto"/>
              <w:rPr>
                <w:rFonts w:ascii="Arial" w:eastAsia="Arial" w:hAnsi="Arial" w:cs="Arial"/>
                <w:b/>
                <w:bCs/>
                <w:color w:val="000000" w:themeColor="text1"/>
                <w:sz w:val="24"/>
                <w:szCs w:val="24"/>
              </w:rPr>
            </w:pPr>
            <w:r w:rsidRPr="007414A3">
              <w:rPr>
                <w:rFonts w:ascii="Arial" w:eastAsia="Arial" w:hAnsi="Arial" w:cs="Arial"/>
                <w:b/>
                <w:bCs/>
                <w:color w:val="000000" w:themeColor="text1"/>
                <w:sz w:val="24"/>
                <w:szCs w:val="24"/>
              </w:rPr>
              <w:t xml:space="preserve">Consider and reflect upon how you have assessed threat, risk and harm </w:t>
            </w:r>
            <w:r w:rsidR="4953F3A6" w:rsidRPr="007414A3">
              <w:rPr>
                <w:rFonts w:ascii="Arial" w:eastAsia="Arial" w:hAnsi="Arial" w:cs="Arial"/>
                <w:b/>
                <w:bCs/>
                <w:color w:val="000000" w:themeColor="text1"/>
                <w:sz w:val="24"/>
                <w:szCs w:val="24"/>
              </w:rPr>
              <w:t>to</w:t>
            </w:r>
            <w:r w:rsidRPr="007414A3">
              <w:rPr>
                <w:rFonts w:ascii="Arial" w:eastAsia="Arial" w:hAnsi="Arial" w:cs="Arial"/>
                <w:b/>
                <w:bCs/>
                <w:color w:val="000000" w:themeColor="text1"/>
                <w:sz w:val="24"/>
                <w:szCs w:val="24"/>
              </w:rPr>
              <w:t xml:space="preserve"> develop and implement plans and strategies to investigate serious and complex crime</w:t>
            </w:r>
            <w:r w:rsidR="75DFBB0C" w:rsidRPr="007414A3">
              <w:rPr>
                <w:rFonts w:ascii="Arial" w:eastAsia="Arial" w:hAnsi="Arial" w:cs="Arial"/>
                <w:b/>
                <w:bCs/>
                <w:color w:val="000000" w:themeColor="text1"/>
                <w:sz w:val="24"/>
                <w:szCs w:val="24"/>
              </w:rPr>
              <w:t xml:space="preserve">. </w:t>
            </w:r>
          </w:p>
          <w:p w14:paraId="6E4722C2" w14:textId="77777777" w:rsidR="00764A2D" w:rsidRDefault="00764A2D" w:rsidP="00C24E89">
            <w:pPr>
              <w:spacing w:after="160" w:line="259" w:lineRule="auto"/>
              <w:rPr>
                <w:rFonts w:ascii="Arial" w:eastAsia="Arial" w:hAnsi="Arial" w:cs="Arial"/>
                <w:b/>
                <w:bCs/>
                <w:color w:val="000000" w:themeColor="text1"/>
                <w:sz w:val="24"/>
                <w:szCs w:val="24"/>
              </w:rPr>
            </w:pPr>
          </w:p>
          <w:p w14:paraId="74E684E1" w14:textId="77777777" w:rsidR="00764A2D" w:rsidRDefault="00764A2D" w:rsidP="00764A2D">
            <w:pPr>
              <w:rPr>
                <w:rFonts w:ascii="Arial" w:hAnsi="Arial" w:cs="Arial"/>
                <w:sz w:val="24"/>
                <w:szCs w:val="24"/>
              </w:rPr>
            </w:pPr>
            <w:r>
              <w:rPr>
                <w:rFonts w:ascii="Arial" w:hAnsi="Arial" w:cs="Arial"/>
                <w:sz w:val="24"/>
                <w:szCs w:val="24"/>
              </w:rPr>
              <w:t>A strategy I developed and implemented to investigate this domestic abuse matter to its fullest extent and ensure the victim was safeguarded adequately and appropriately, was by utilising an important safeguarding tool in the investigation of domestic abuse, the Domestic Violence Protection Order (DVPO).</w:t>
            </w:r>
          </w:p>
          <w:p w14:paraId="4A8494B6" w14:textId="2C0C7FD6" w:rsidR="00764A2D" w:rsidRDefault="00764A2D" w:rsidP="00764A2D">
            <w:pPr>
              <w:rPr>
                <w:rFonts w:ascii="Arial" w:hAnsi="Arial" w:cs="Arial"/>
                <w:sz w:val="24"/>
                <w:szCs w:val="24"/>
              </w:rPr>
            </w:pPr>
            <w:r>
              <w:rPr>
                <w:rFonts w:ascii="Arial" w:hAnsi="Arial" w:cs="Arial"/>
                <w:sz w:val="24"/>
                <w:szCs w:val="24"/>
              </w:rPr>
              <w:t xml:space="preserve">The implementation of this plan allowed the victim to feel safe enough to disclose the true serious and complex nature of the domestic offences she had been subjected to by the suspect. As I was aware that the victim had already retracted her support, I believed that she may be hesitant to support my application for the DVPO. Due to the seriousness of the initial disclosure from the victim, I considered applying for the DVPO without the </w:t>
            </w:r>
            <w:r>
              <w:rPr>
                <w:rFonts w:ascii="Arial" w:hAnsi="Arial" w:cs="Arial"/>
                <w:sz w:val="24"/>
                <w:szCs w:val="24"/>
              </w:rPr>
              <w:t>victim’s</w:t>
            </w:r>
            <w:r>
              <w:rPr>
                <w:rFonts w:ascii="Arial" w:hAnsi="Arial" w:cs="Arial"/>
                <w:sz w:val="24"/>
                <w:szCs w:val="24"/>
              </w:rPr>
              <w:t xml:space="preserve"> support. Domestic abuse cases should be progressed if there is no support to do so from the victim, if it is in the public interest to do so, and cases should be built robustly so that they can be continued as evidence-led prosecutions (Criminal Justice Joint Inspectorates, 2020). My strategy was to apply this concept to secure a positive outcome outside of a prosecution that would safeguard the victim in the short-term and allow for the opportunity of further engagement with the victim with the knowledge she was safe from the suspect.</w:t>
            </w:r>
          </w:p>
          <w:p w14:paraId="5B49F663" w14:textId="77777777" w:rsidR="00764A2D" w:rsidRDefault="00764A2D" w:rsidP="00764A2D">
            <w:pPr>
              <w:rPr>
                <w:rFonts w:ascii="Arial" w:hAnsi="Arial" w:cs="Arial"/>
                <w:sz w:val="24"/>
                <w:szCs w:val="24"/>
              </w:rPr>
            </w:pPr>
            <w:r>
              <w:rPr>
                <w:rFonts w:ascii="Arial" w:hAnsi="Arial" w:cs="Arial"/>
                <w:sz w:val="24"/>
                <w:szCs w:val="24"/>
              </w:rPr>
              <w:t xml:space="preserve">Utilising the National Decision Model (College of Policing, 2014), I used the information I had in the form of the initial statement of complaint from the victim and her anomalous subsequent delayed retraction, to assess the threat and risk to the victim, which I considered serious. I was aware that a supervisor had decided not to progress the matter to submission to the CPS due to the lack of victim support, and therefore considered powers and policies, in this case my ability to apply for a DVPO to be issued. As the only other safeguarding option would be to impose bail conditions, and this was not possible due to the suspect not being charged, I took action by completing the application, which was granted. I informed the victim of this, and her relief at hearing of the conditions of the order started a series of events that led to her disclosures and renewed support of a prosecution. </w:t>
            </w:r>
          </w:p>
          <w:p w14:paraId="2FB604E5" w14:textId="3A504271" w:rsidR="00764A2D" w:rsidRDefault="00764A2D" w:rsidP="00C24E89">
            <w:pPr>
              <w:spacing w:after="160" w:line="259" w:lineRule="auto"/>
              <w:rPr>
                <w:rFonts w:ascii="Arial" w:hAnsi="Arial" w:cs="Arial"/>
                <w:sz w:val="24"/>
                <w:szCs w:val="24"/>
              </w:rPr>
            </w:pPr>
            <w:r>
              <w:rPr>
                <w:rFonts w:ascii="Arial" w:hAnsi="Arial" w:cs="Arial"/>
                <w:sz w:val="24"/>
                <w:szCs w:val="24"/>
              </w:rPr>
              <w:t xml:space="preserve">As the College of Policing (2013) outlines in their Risk Principles, maintaining the safety, security, and wellbeing of people, including victims such as in this case, is a major consideration in risk decision making. I was aware of the risk of alienating the victim by applying for a DVPO without her consent, however I considered it a necessary course of action to protect her and provide her with space and time to receive appropriate support to engage with police. The College of Policing (2013) reflects this concept, stating that “risk taking involves judgement and balance. Decision makers are required to consider the value and likelihood of the possible benefits of a particular decision against the seriousness and likelihood of the possible harms”. In my opinion the possible safeguarding and risk management </w:t>
            </w:r>
            <w:r>
              <w:rPr>
                <w:rFonts w:ascii="Arial" w:hAnsi="Arial" w:cs="Arial"/>
                <w:sz w:val="24"/>
                <w:szCs w:val="24"/>
              </w:rPr>
              <w:lastRenderedPageBreak/>
              <w:t>benefits of applying for a DVPO far outweighed the risks associated with not doing so, and the implementation of this strategy was the correct decision in the circumstances.</w:t>
            </w:r>
          </w:p>
          <w:p w14:paraId="2635501C" w14:textId="77777777" w:rsidR="00EB2251" w:rsidRDefault="00EB2251" w:rsidP="00C24E89">
            <w:pPr>
              <w:spacing w:after="160" w:line="259" w:lineRule="auto"/>
              <w:rPr>
                <w:rFonts w:ascii="Arial" w:eastAsia="Arial" w:hAnsi="Arial" w:cs="Arial"/>
                <w:b/>
                <w:bCs/>
                <w:color w:val="000000" w:themeColor="text1"/>
                <w:sz w:val="24"/>
                <w:szCs w:val="24"/>
              </w:rPr>
            </w:pPr>
          </w:p>
          <w:p w14:paraId="217B7797" w14:textId="493CB62E" w:rsidR="00343B1C" w:rsidRPr="00D04DED" w:rsidRDefault="00343B1C" w:rsidP="00C24E89">
            <w:pPr>
              <w:spacing w:after="160" w:line="259" w:lineRule="auto"/>
              <w:rPr>
                <w:rFonts w:ascii="Arial" w:eastAsia="Arial" w:hAnsi="Arial" w:cs="Arial"/>
                <w:color w:val="000000" w:themeColor="text1"/>
                <w:sz w:val="24"/>
                <w:szCs w:val="24"/>
              </w:rPr>
            </w:pPr>
            <w:r w:rsidRPr="00D04DED">
              <w:rPr>
                <w:rFonts w:ascii="Arial" w:eastAsia="Arial" w:hAnsi="Arial" w:cs="Arial"/>
                <w:color w:val="000000" w:themeColor="text1"/>
                <w:sz w:val="24"/>
                <w:szCs w:val="24"/>
              </w:rPr>
              <w:t>Word Count: 2,200</w:t>
            </w:r>
          </w:p>
          <w:p w14:paraId="20EFE65D" w14:textId="77777777" w:rsidR="000B4C10" w:rsidRDefault="000B4C10" w:rsidP="00C24E89">
            <w:pPr>
              <w:spacing w:after="160" w:line="259" w:lineRule="auto"/>
              <w:rPr>
                <w:rFonts w:ascii="Arial" w:eastAsia="Arial" w:hAnsi="Arial" w:cs="Arial"/>
                <w:b/>
                <w:bCs/>
                <w:color w:val="000000" w:themeColor="text1"/>
                <w:sz w:val="24"/>
                <w:szCs w:val="24"/>
              </w:rPr>
            </w:pPr>
          </w:p>
          <w:p w14:paraId="6EB2F994" w14:textId="77777777" w:rsidR="000B4C10" w:rsidRPr="00D04DED" w:rsidRDefault="000B4C10" w:rsidP="000B4C10">
            <w:pPr>
              <w:rPr>
                <w:rFonts w:ascii="Arial" w:hAnsi="Arial" w:cs="Arial"/>
                <w:sz w:val="24"/>
                <w:szCs w:val="24"/>
              </w:rPr>
            </w:pPr>
            <w:r w:rsidRPr="00D04DED">
              <w:rPr>
                <w:rFonts w:ascii="Arial" w:hAnsi="Arial" w:cs="Arial"/>
                <w:sz w:val="24"/>
                <w:szCs w:val="24"/>
              </w:rPr>
              <w:t>References</w:t>
            </w:r>
          </w:p>
          <w:p w14:paraId="06BE9EC5" w14:textId="5C58A88F" w:rsidR="000B4C10" w:rsidRPr="000B4C10" w:rsidRDefault="000B4C10" w:rsidP="000A574C">
            <w:pPr>
              <w:pStyle w:val="dx-doi"/>
              <w:spacing w:before="0" w:after="0"/>
              <w:rPr>
                <w:rFonts w:ascii="Arial" w:hAnsi="Arial" w:cs="Arial"/>
              </w:rPr>
            </w:pPr>
            <w:r w:rsidRPr="000B4C10">
              <w:rPr>
                <w:rFonts w:ascii="Arial" w:hAnsi="Arial" w:cs="Arial"/>
                <w:color w:val="000000"/>
              </w:rPr>
              <w:t xml:space="preserve">Bennet, L. (2015) </w:t>
            </w:r>
            <w:r w:rsidRPr="000B4C10">
              <w:rPr>
                <w:rFonts w:ascii="Arial" w:hAnsi="Arial" w:cs="Arial"/>
                <w:i/>
                <w:iCs/>
                <w:color w:val="000000"/>
              </w:rPr>
              <w:t xml:space="preserve">The role of social workers in responding effectively to domestic abuse. </w:t>
            </w:r>
            <w:r w:rsidRPr="000B4C10">
              <w:rPr>
                <w:rFonts w:ascii="Arial" w:hAnsi="Arial" w:cs="Arial"/>
                <w:color w:val="000000"/>
              </w:rPr>
              <w:t xml:space="preserve"> Available at </w:t>
            </w:r>
            <w:hyperlink r:id="rId20" w:history="1">
              <w:r w:rsidRPr="000B4C10">
                <w:rPr>
                  <w:rStyle w:val="Hyperlink"/>
                  <w:rFonts w:ascii="Arial" w:hAnsi="Arial" w:cs="Arial"/>
                  <w:color w:val="000000"/>
                </w:rPr>
                <w:t>The role of social workers in responding effectively to domestic abuse | Safelives</w:t>
              </w:r>
            </w:hyperlink>
            <w:r w:rsidRPr="000B4C10">
              <w:rPr>
                <w:rFonts w:ascii="Arial" w:hAnsi="Arial" w:cs="Arial"/>
                <w:color w:val="000000"/>
              </w:rPr>
              <w:t xml:space="preserve"> (Accessed: 14 April 2024)</w:t>
            </w:r>
            <w:r w:rsidRPr="000B4C10">
              <w:rPr>
                <w:rFonts w:ascii="Arial" w:hAnsi="Arial" w:cs="Arial"/>
                <w:color w:val="000000"/>
              </w:rPr>
              <w:t>.</w:t>
            </w:r>
          </w:p>
          <w:p w14:paraId="59DD9E24" w14:textId="77777777" w:rsidR="000B4C10" w:rsidRPr="000B4C10" w:rsidRDefault="000B4C10" w:rsidP="000A574C">
            <w:pPr>
              <w:pStyle w:val="dx-doi"/>
              <w:spacing w:before="0" w:after="0"/>
              <w:ind w:left="720"/>
              <w:rPr>
                <w:rFonts w:ascii="Arial" w:hAnsi="Arial" w:cs="Arial"/>
                <w:color w:val="000000"/>
              </w:rPr>
            </w:pPr>
          </w:p>
          <w:p w14:paraId="382994D3" w14:textId="13F35D30" w:rsidR="000B4C10" w:rsidRPr="000B4C10" w:rsidRDefault="000B4C10" w:rsidP="000A574C">
            <w:pPr>
              <w:pStyle w:val="dx-doi"/>
              <w:spacing w:before="0" w:after="0"/>
              <w:rPr>
                <w:rFonts w:ascii="Arial" w:hAnsi="Arial" w:cs="Arial"/>
              </w:rPr>
            </w:pPr>
            <w:r w:rsidRPr="000B4C10">
              <w:rPr>
                <w:rStyle w:val="Hyperlink"/>
                <w:rFonts w:ascii="Arial" w:hAnsi="Arial" w:cs="Arial"/>
                <w:color w:val="000000"/>
              </w:rPr>
              <w:t xml:space="preserve">Blackburn, K. and Graca, S. (2021) ‘A critical reflection on the use and effectiveness of DVPNs and DVPOs’, </w:t>
            </w:r>
            <w:r w:rsidRPr="000B4C10">
              <w:rPr>
                <w:rStyle w:val="Hyperlink"/>
                <w:rFonts w:ascii="Arial" w:hAnsi="Arial" w:cs="Arial"/>
                <w:i/>
                <w:iCs/>
                <w:color w:val="000000"/>
              </w:rPr>
              <w:t xml:space="preserve">Police Practice and Research, </w:t>
            </w:r>
            <w:r w:rsidRPr="000B4C10">
              <w:rPr>
                <w:rStyle w:val="Hyperlink"/>
                <w:rFonts w:ascii="Arial" w:hAnsi="Arial" w:cs="Arial"/>
                <w:color w:val="000000"/>
              </w:rPr>
              <w:t xml:space="preserve">22(1), pp. 23-29. Available at </w:t>
            </w:r>
            <w:hyperlink r:id="rId21" w:history="1">
              <w:r w:rsidRPr="000B4C10">
                <w:rPr>
                  <w:rStyle w:val="Hyperlink"/>
                  <w:rFonts w:ascii="Arial" w:hAnsi="Arial" w:cs="Arial"/>
                  <w:color w:val="000000"/>
                </w:rPr>
                <w:t>A critical reflection on the use and effectiveness of DVPNs and DVPOs: Police Practice and Research: Vol 22 , No 1 - Get Access (tandfonline.com)</w:t>
              </w:r>
            </w:hyperlink>
          </w:p>
          <w:p w14:paraId="02AECC0B" w14:textId="77777777" w:rsidR="000B4C10" w:rsidRPr="000B4C10" w:rsidRDefault="000B4C10" w:rsidP="000A574C">
            <w:pPr>
              <w:pStyle w:val="ListParagraph"/>
            </w:pPr>
          </w:p>
          <w:p w14:paraId="1731B8B6" w14:textId="77777777" w:rsidR="000A574C" w:rsidRPr="000A574C" w:rsidRDefault="000B4C10" w:rsidP="000A574C">
            <w:pPr>
              <w:rPr>
                <w:rFonts w:ascii="Arial" w:hAnsi="Arial" w:cs="Arial"/>
                <w:sz w:val="24"/>
                <w:szCs w:val="24"/>
              </w:rPr>
            </w:pPr>
            <w:r w:rsidRPr="000A574C">
              <w:rPr>
                <w:rFonts w:ascii="Arial" w:hAnsi="Arial" w:cs="Arial"/>
                <w:sz w:val="24"/>
                <w:szCs w:val="24"/>
              </w:rPr>
              <w:t xml:space="preserve">College of Policing (2013) </w:t>
            </w:r>
            <w:r w:rsidRPr="000A574C">
              <w:rPr>
                <w:rFonts w:ascii="Arial" w:hAnsi="Arial" w:cs="Arial"/>
                <w:i/>
                <w:iCs/>
                <w:sz w:val="24"/>
                <w:szCs w:val="24"/>
              </w:rPr>
              <w:t xml:space="preserve">Risk. </w:t>
            </w:r>
            <w:r w:rsidRPr="000A574C">
              <w:rPr>
                <w:rFonts w:ascii="Arial" w:hAnsi="Arial" w:cs="Arial"/>
                <w:sz w:val="24"/>
                <w:szCs w:val="24"/>
              </w:rPr>
              <w:t xml:space="preserve">Available at </w:t>
            </w:r>
            <w:hyperlink r:id="rId22" w:history="1">
              <w:r w:rsidRPr="000A574C">
                <w:rPr>
                  <w:rStyle w:val="Hyperlink"/>
                  <w:rFonts w:ascii="Arial" w:hAnsi="Arial" w:cs="Arial"/>
                  <w:color w:val="000000"/>
                  <w:sz w:val="24"/>
                  <w:szCs w:val="24"/>
                </w:rPr>
                <w:t>Risk | College of Policing</w:t>
              </w:r>
            </w:hyperlink>
            <w:r w:rsidRPr="000A574C">
              <w:rPr>
                <w:rFonts w:ascii="Arial" w:hAnsi="Arial" w:cs="Arial"/>
                <w:sz w:val="24"/>
                <w:szCs w:val="24"/>
              </w:rPr>
              <w:t xml:space="preserve"> (Accessed: 15 April 2024).</w:t>
            </w:r>
          </w:p>
          <w:p w14:paraId="1CA86D10" w14:textId="77777777" w:rsidR="000A574C" w:rsidRPr="000A574C" w:rsidRDefault="000A574C" w:rsidP="000A574C">
            <w:pPr>
              <w:rPr>
                <w:rFonts w:ascii="Arial" w:hAnsi="Arial" w:cs="Arial"/>
                <w:sz w:val="24"/>
                <w:szCs w:val="24"/>
              </w:rPr>
            </w:pPr>
          </w:p>
          <w:p w14:paraId="082EEF59" w14:textId="571D3972" w:rsidR="000B4C10" w:rsidRPr="000A574C" w:rsidRDefault="000B4C10" w:rsidP="000A574C">
            <w:pPr>
              <w:rPr>
                <w:rFonts w:ascii="Arial" w:hAnsi="Arial" w:cs="Arial"/>
                <w:sz w:val="24"/>
                <w:szCs w:val="24"/>
              </w:rPr>
            </w:pPr>
            <w:r w:rsidRPr="000A574C">
              <w:rPr>
                <w:rFonts w:ascii="Arial" w:hAnsi="Arial" w:cs="Arial"/>
                <w:sz w:val="24"/>
                <w:szCs w:val="24"/>
              </w:rPr>
              <w:t xml:space="preserve">College of Policing (2014) </w:t>
            </w:r>
            <w:r w:rsidRPr="000A574C">
              <w:rPr>
                <w:rFonts w:ascii="Arial" w:hAnsi="Arial" w:cs="Arial"/>
                <w:i/>
                <w:iCs/>
                <w:sz w:val="24"/>
                <w:szCs w:val="24"/>
              </w:rPr>
              <w:t>National Decision Model</w:t>
            </w:r>
            <w:r w:rsidRPr="000A574C">
              <w:rPr>
                <w:rFonts w:ascii="Arial" w:hAnsi="Arial" w:cs="Arial"/>
                <w:sz w:val="24"/>
                <w:szCs w:val="24"/>
              </w:rPr>
              <w:t xml:space="preserve">. Available at </w:t>
            </w:r>
            <w:hyperlink r:id="rId23" w:history="1">
              <w:r w:rsidRPr="000A574C">
                <w:rPr>
                  <w:rStyle w:val="Hyperlink"/>
                  <w:rFonts w:ascii="Arial" w:hAnsi="Arial" w:cs="Arial"/>
                  <w:color w:val="000000"/>
                  <w:sz w:val="24"/>
                  <w:szCs w:val="24"/>
                </w:rPr>
                <w:t>National decision model | College of Policing</w:t>
              </w:r>
            </w:hyperlink>
            <w:r w:rsidRPr="000A574C">
              <w:rPr>
                <w:rFonts w:ascii="Arial" w:hAnsi="Arial" w:cs="Arial"/>
                <w:sz w:val="24"/>
                <w:szCs w:val="24"/>
              </w:rPr>
              <w:t xml:space="preserve"> (Accessed: 15 April 2024).</w:t>
            </w:r>
          </w:p>
          <w:p w14:paraId="0D6AF6B3" w14:textId="77777777" w:rsidR="000B4C10" w:rsidRPr="000A574C" w:rsidRDefault="000B4C10" w:rsidP="000A574C">
            <w:pPr>
              <w:rPr>
                <w:rFonts w:ascii="Arial" w:hAnsi="Arial" w:cs="Arial"/>
                <w:sz w:val="24"/>
                <w:szCs w:val="24"/>
              </w:rPr>
            </w:pPr>
          </w:p>
          <w:p w14:paraId="0BA0CB6E" w14:textId="77777777" w:rsidR="000B4C10" w:rsidRPr="000A574C" w:rsidRDefault="000B4C10" w:rsidP="000A574C">
            <w:pPr>
              <w:rPr>
                <w:rFonts w:ascii="Arial" w:hAnsi="Arial" w:cs="Arial"/>
                <w:sz w:val="24"/>
                <w:szCs w:val="24"/>
              </w:rPr>
            </w:pPr>
            <w:r w:rsidRPr="000A574C">
              <w:rPr>
                <w:rFonts w:ascii="Arial" w:hAnsi="Arial" w:cs="Arial"/>
                <w:sz w:val="24"/>
                <w:szCs w:val="24"/>
              </w:rPr>
              <w:t xml:space="preserve">College of Policing (2021) </w:t>
            </w:r>
            <w:r w:rsidRPr="000A574C">
              <w:rPr>
                <w:rFonts w:ascii="Arial" w:hAnsi="Arial" w:cs="Arial"/>
                <w:i/>
                <w:iCs/>
                <w:sz w:val="24"/>
                <w:szCs w:val="24"/>
              </w:rPr>
              <w:t xml:space="preserve">Recognising and responding to vulnerability-related risks: Guidelines. </w:t>
            </w:r>
            <w:r w:rsidRPr="000A574C">
              <w:rPr>
                <w:rFonts w:ascii="Arial" w:hAnsi="Arial" w:cs="Arial"/>
                <w:sz w:val="24"/>
                <w:szCs w:val="24"/>
                <w:u w:val="single"/>
              </w:rPr>
              <w:t xml:space="preserve">Available at: </w:t>
            </w:r>
            <w:hyperlink r:id="rId24" w:history="1">
              <w:r w:rsidRPr="000A574C">
                <w:rPr>
                  <w:rStyle w:val="Hyperlink"/>
                  <w:rFonts w:ascii="Arial" w:hAnsi="Arial" w:cs="Arial"/>
                  <w:color w:val="000000"/>
                  <w:sz w:val="24"/>
                  <w:szCs w:val="24"/>
                </w:rPr>
                <w:t>Recogn</w:t>
              </w:r>
              <w:bookmarkStart w:id="0" w:name="_Hlt164015459"/>
              <w:bookmarkStart w:id="1" w:name="_Hlt164015460"/>
              <w:r w:rsidRPr="000A574C">
                <w:rPr>
                  <w:rStyle w:val="Hyperlink"/>
                  <w:rFonts w:ascii="Arial" w:hAnsi="Arial" w:cs="Arial"/>
                  <w:color w:val="000000"/>
                  <w:sz w:val="24"/>
                  <w:szCs w:val="24"/>
                </w:rPr>
                <w:t>i</w:t>
              </w:r>
              <w:bookmarkEnd w:id="0"/>
              <w:bookmarkEnd w:id="1"/>
              <w:r w:rsidRPr="000A574C">
                <w:rPr>
                  <w:rStyle w:val="Hyperlink"/>
                  <w:rFonts w:ascii="Arial" w:hAnsi="Arial" w:cs="Arial"/>
                  <w:color w:val="000000"/>
                  <w:sz w:val="24"/>
                  <w:szCs w:val="24"/>
                </w:rPr>
                <w:t>sing and responding to vulnerability related risks: Guidelines (college.police.uk)</w:t>
              </w:r>
            </w:hyperlink>
            <w:r w:rsidRPr="000A574C">
              <w:rPr>
                <w:rFonts w:ascii="Arial" w:hAnsi="Arial" w:cs="Arial"/>
                <w:sz w:val="24"/>
                <w:szCs w:val="24"/>
              </w:rPr>
              <w:t xml:space="preserve"> (Accessed 12 April 2024).</w:t>
            </w:r>
          </w:p>
          <w:p w14:paraId="13C7C7C5" w14:textId="77777777" w:rsidR="000B4C10" w:rsidRPr="000A574C" w:rsidRDefault="000B4C10" w:rsidP="000A574C">
            <w:pPr>
              <w:rPr>
                <w:rFonts w:ascii="Arial" w:hAnsi="Arial" w:cs="Arial"/>
                <w:sz w:val="24"/>
                <w:szCs w:val="24"/>
              </w:rPr>
            </w:pPr>
          </w:p>
          <w:p w14:paraId="72479499" w14:textId="77777777" w:rsidR="000B4C10" w:rsidRPr="000A574C" w:rsidRDefault="000B4C10" w:rsidP="000A574C">
            <w:pPr>
              <w:rPr>
                <w:rFonts w:ascii="Arial" w:hAnsi="Arial" w:cs="Arial"/>
                <w:sz w:val="24"/>
                <w:szCs w:val="24"/>
              </w:rPr>
            </w:pPr>
            <w:r w:rsidRPr="000A574C">
              <w:rPr>
                <w:rFonts w:ascii="Arial" w:hAnsi="Arial" w:cs="Arial"/>
                <w:sz w:val="24"/>
                <w:szCs w:val="24"/>
              </w:rPr>
              <w:t xml:space="preserve">College of Policing (2023) </w:t>
            </w:r>
            <w:r w:rsidRPr="000A574C">
              <w:rPr>
                <w:rFonts w:ascii="Arial" w:hAnsi="Arial" w:cs="Arial"/>
                <w:i/>
                <w:iCs/>
                <w:sz w:val="24"/>
                <w:szCs w:val="24"/>
              </w:rPr>
              <w:t>Understanding risk and vulnerability in the context of domestic abuse</w:t>
            </w:r>
            <w:r w:rsidRPr="000A574C">
              <w:rPr>
                <w:rFonts w:ascii="Arial" w:hAnsi="Arial" w:cs="Arial"/>
                <w:sz w:val="24"/>
                <w:szCs w:val="24"/>
              </w:rPr>
              <w:t xml:space="preserve">. Available at </w:t>
            </w:r>
            <w:hyperlink r:id="rId25" w:history="1">
              <w:r w:rsidRPr="000A574C">
                <w:rPr>
                  <w:rStyle w:val="Hyperlink"/>
                  <w:rFonts w:ascii="Arial" w:hAnsi="Arial" w:cs="Arial"/>
                  <w:color w:val="000000"/>
                  <w:sz w:val="24"/>
                  <w:szCs w:val="24"/>
                </w:rPr>
                <w:t>Understanding risk and vulnerability in the context of domestic abuse | College of Policing</w:t>
              </w:r>
            </w:hyperlink>
            <w:r w:rsidRPr="000A574C">
              <w:rPr>
                <w:rFonts w:ascii="Arial" w:hAnsi="Arial" w:cs="Arial"/>
                <w:sz w:val="24"/>
                <w:szCs w:val="24"/>
              </w:rPr>
              <w:t xml:space="preserve"> (Accessed: 15 April 2024).</w:t>
            </w:r>
          </w:p>
          <w:p w14:paraId="4A75C26C" w14:textId="77777777" w:rsidR="000B4C10" w:rsidRPr="000A574C" w:rsidRDefault="000B4C10" w:rsidP="000A574C">
            <w:pPr>
              <w:rPr>
                <w:rFonts w:ascii="Arial" w:hAnsi="Arial" w:cs="Arial"/>
                <w:sz w:val="24"/>
                <w:szCs w:val="24"/>
              </w:rPr>
            </w:pPr>
          </w:p>
          <w:p w14:paraId="68D7DF1D" w14:textId="70D22E33" w:rsidR="000B4C10" w:rsidRPr="000A574C" w:rsidRDefault="000B4C10" w:rsidP="000A574C">
            <w:pPr>
              <w:rPr>
                <w:rFonts w:ascii="Arial" w:hAnsi="Arial" w:cs="Arial"/>
                <w:sz w:val="24"/>
                <w:szCs w:val="24"/>
              </w:rPr>
            </w:pPr>
            <w:r w:rsidRPr="000A574C">
              <w:rPr>
                <w:rFonts w:ascii="Arial" w:hAnsi="Arial" w:cs="Arial"/>
                <w:sz w:val="24"/>
                <w:szCs w:val="24"/>
              </w:rPr>
              <w:t xml:space="preserve">Criminal Justice Joint Inspectorates (2020) </w:t>
            </w:r>
            <w:r w:rsidRPr="000A574C">
              <w:rPr>
                <w:rFonts w:ascii="Arial" w:hAnsi="Arial" w:cs="Arial"/>
                <w:i/>
                <w:iCs/>
                <w:sz w:val="24"/>
                <w:szCs w:val="24"/>
              </w:rPr>
              <w:t xml:space="preserve">Evidence led domestic abuse prosecutions. </w:t>
            </w:r>
            <w:r w:rsidRPr="000A574C">
              <w:rPr>
                <w:rFonts w:ascii="Arial" w:hAnsi="Arial" w:cs="Arial"/>
                <w:sz w:val="24"/>
                <w:szCs w:val="24"/>
              </w:rPr>
              <w:t xml:space="preserve">Available at </w:t>
            </w:r>
            <w:hyperlink r:id="rId26" w:history="1">
              <w:r w:rsidRPr="000A574C">
                <w:rPr>
                  <w:rStyle w:val="Hyperlink"/>
                  <w:rFonts w:ascii="Arial" w:hAnsi="Arial" w:cs="Arial"/>
                  <w:color w:val="000000"/>
                  <w:sz w:val="24"/>
                  <w:szCs w:val="24"/>
                </w:rPr>
                <w:t>2020-01-20 ELDA report (justiceinspectorates.gov.uk)</w:t>
              </w:r>
            </w:hyperlink>
            <w:r w:rsidRPr="000A574C">
              <w:rPr>
                <w:rFonts w:ascii="Arial" w:hAnsi="Arial" w:cs="Arial"/>
                <w:sz w:val="24"/>
                <w:szCs w:val="24"/>
              </w:rPr>
              <w:t xml:space="preserve"> (Accessed 15 April 2024).</w:t>
            </w:r>
          </w:p>
          <w:p w14:paraId="120E4B83" w14:textId="77777777" w:rsidR="000A574C" w:rsidRPr="000A574C" w:rsidRDefault="000A574C" w:rsidP="000A574C">
            <w:pPr>
              <w:rPr>
                <w:rFonts w:ascii="Arial" w:hAnsi="Arial" w:cs="Arial"/>
                <w:sz w:val="24"/>
                <w:szCs w:val="24"/>
              </w:rPr>
            </w:pPr>
          </w:p>
          <w:p w14:paraId="24673D08" w14:textId="77777777" w:rsidR="000A574C" w:rsidRPr="000A574C" w:rsidRDefault="000B4C10" w:rsidP="000A574C">
            <w:pPr>
              <w:rPr>
                <w:rFonts w:ascii="Arial" w:hAnsi="Arial" w:cs="Arial"/>
                <w:sz w:val="24"/>
                <w:szCs w:val="24"/>
              </w:rPr>
            </w:pPr>
            <w:r w:rsidRPr="000A574C">
              <w:rPr>
                <w:rFonts w:ascii="Arial" w:hAnsi="Arial" w:cs="Arial"/>
                <w:sz w:val="24"/>
                <w:szCs w:val="24"/>
              </w:rPr>
              <w:t xml:space="preserve">Her Majesty’s Inspectorate of Constabulary and Fire &amp; Rescue Services (2021) </w:t>
            </w:r>
            <w:r w:rsidRPr="000A574C">
              <w:rPr>
                <w:rFonts w:ascii="Arial" w:hAnsi="Arial" w:cs="Arial"/>
                <w:i/>
                <w:iCs/>
                <w:sz w:val="24"/>
                <w:szCs w:val="24"/>
              </w:rPr>
              <w:t xml:space="preserve">Review of policing domestic abuse during the pandemic. </w:t>
            </w:r>
            <w:r w:rsidRPr="000A574C">
              <w:rPr>
                <w:rFonts w:ascii="Arial" w:hAnsi="Arial" w:cs="Arial"/>
                <w:sz w:val="24"/>
                <w:szCs w:val="24"/>
              </w:rPr>
              <w:t xml:space="preserve">Available at </w:t>
            </w:r>
            <w:hyperlink r:id="rId27" w:history="1">
              <w:r w:rsidRPr="000A574C">
                <w:rPr>
                  <w:rStyle w:val="Hyperlink"/>
                  <w:rFonts w:ascii="Arial" w:hAnsi="Arial" w:cs="Arial"/>
                  <w:color w:val="000000"/>
                  <w:sz w:val="24"/>
                  <w:szCs w:val="24"/>
                </w:rPr>
                <w:t>Review of policing domestic abuse during the pandemic: 2021 (justiceinspectorates.gov.uk)</w:t>
              </w:r>
            </w:hyperlink>
            <w:r w:rsidRPr="000A574C">
              <w:rPr>
                <w:rFonts w:ascii="Arial" w:hAnsi="Arial" w:cs="Arial"/>
                <w:sz w:val="24"/>
                <w:szCs w:val="24"/>
              </w:rPr>
              <w:t xml:space="preserve"> (Accessed: 15 April 2024)</w:t>
            </w:r>
            <w:r w:rsidR="000A574C" w:rsidRPr="000A574C">
              <w:rPr>
                <w:rFonts w:ascii="Arial" w:hAnsi="Arial" w:cs="Arial"/>
                <w:sz w:val="24"/>
                <w:szCs w:val="24"/>
              </w:rPr>
              <w:t>.</w:t>
            </w:r>
          </w:p>
          <w:p w14:paraId="53FE9640" w14:textId="77777777" w:rsidR="000A574C" w:rsidRDefault="000A574C" w:rsidP="000A574C">
            <w:pPr>
              <w:spacing w:after="160"/>
              <w:rPr>
                <w:rFonts w:ascii="Arial" w:hAnsi="Arial" w:cs="Arial"/>
                <w:color w:val="000000"/>
                <w:sz w:val="24"/>
                <w:szCs w:val="24"/>
              </w:rPr>
            </w:pPr>
          </w:p>
          <w:p w14:paraId="28FBF239" w14:textId="279D2E1B" w:rsidR="000B4C10" w:rsidRPr="000B4C10" w:rsidRDefault="000B4C10" w:rsidP="000A574C">
            <w:pPr>
              <w:spacing w:line="240" w:lineRule="auto"/>
              <w:rPr>
                <w:rFonts w:ascii="Arial" w:hAnsi="Arial" w:cs="Arial"/>
                <w:sz w:val="24"/>
                <w:szCs w:val="24"/>
              </w:rPr>
            </w:pPr>
            <w:r w:rsidRPr="000B4C10">
              <w:rPr>
                <w:rFonts w:ascii="Arial" w:hAnsi="Arial" w:cs="Arial"/>
                <w:color w:val="000000"/>
                <w:sz w:val="24"/>
                <w:szCs w:val="24"/>
              </w:rPr>
              <w:t xml:space="preserve">Hewitt, H., Gafaranga, J., and McKinstry, B. (2010) ‘Comparison of face-to-face and telephone consultations in primary care: qualitative analysis’, </w:t>
            </w:r>
            <w:r w:rsidRPr="000B4C10">
              <w:rPr>
                <w:rFonts w:ascii="Arial" w:hAnsi="Arial" w:cs="Arial"/>
                <w:i/>
                <w:iCs/>
                <w:color w:val="000000"/>
                <w:sz w:val="24"/>
                <w:szCs w:val="24"/>
              </w:rPr>
              <w:t xml:space="preserve">British Journal of </w:t>
            </w:r>
            <w:r w:rsidRPr="000B4C10">
              <w:rPr>
                <w:rFonts w:ascii="Arial" w:hAnsi="Arial" w:cs="Arial"/>
                <w:i/>
                <w:iCs/>
                <w:color w:val="000000"/>
                <w:sz w:val="24"/>
                <w:szCs w:val="24"/>
              </w:rPr>
              <w:lastRenderedPageBreak/>
              <w:t xml:space="preserve">General Practice, </w:t>
            </w:r>
            <w:r w:rsidRPr="000B4C10">
              <w:rPr>
                <w:rFonts w:ascii="Arial" w:hAnsi="Arial" w:cs="Arial"/>
                <w:color w:val="000000"/>
                <w:sz w:val="24"/>
                <w:szCs w:val="24"/>
              </w:rPr>
              <w:t xml:space="preserve">60(574) (May) e201-e212. Available at </w:t>
            </w:r>
            <w:hyperlink r:id="rId28" w:history="1">
              <w:r w:rsidRPr="000B4C10">
                <w:rPr>
                  <w:rStyle w:val="Hyperlink"/>
                  <w:rFonts w:ascii="Arial" w:hAnsi="Arial" w:cs="Arial"/>
                  <w:color w:val="000000"/>
                  <w:sz w:val="24"/>
                  <w:szCs w:val="24"/>
                </w:rPr>
                <w:t>Comparison of face-to-face and telephone consultations in primary care: qualitative analysis (bjgp.org)</w:t>
              </w:r>
            </w:hyperlink>
          </w:p>
          <w:p w14:paraId="648838D1" w14:textId="77777777" w:rsidR="000B4C10" w:rsidRPr="000B4C10" w:rsidRDefault="000B4C10" w:rsidP="000A574C">
            <w:pPr>
              <w:spacing w:line="240" w:lineRule="auto"/>
              <w:rPr>
                <w:rFonts w:ascii="Arial" w:hAnsi="Arial" w:cs="Arial"/>
                <w:sz w:val="24"/>
                <w:szCs w:val="24"/>
              </w:rPr>
            </w:pPr>
          </w:p>
          <w:p w14:paraId="58F88809" w14:textId="19798493" w:rsidR="000B4C10" w:rsidRPr="000B4C10" w:rsidRDefault="000B4C10" w:rsidP="000A574C">
            <w:pPr>
              <w:spacing w:line="240" w:lineRule="auto"/>
              <w:rPr>
                <w:rFonts w:ascii="Arial" w:hAnsi="Arial" w:cs="Arial"/>
                <w:sz w:val="24"/>
                <w:szCs w:val="24"/>
              </w:rPr>
            </w:pPr>
            <w:r w:rsidRPr="000B4C10">
              <w:rPr>
                <w:rFonts w:ascii="Arial" w:hAnsi="Arial" w:cs="Arial"/>
                <w:color w:val="000000"/>
                <w:sz w:val="24"/>
                <w:szCs w:val="24"/>
              </w:rPr>
              <w:t xml:space="preserve">Police And Criminal Evidence Act 1984. </w:t>
            </w:r>
            <w:r w:rsidRPr="000B4C10">
              <w:rPr>
                <w:rFonts w:ascii="Arial" w:hAnsi="Arial" w:cs="Arial"/>
                <w:i/>
                <w:iCs/>
                <w:color w:val="000000"/>
                <w:sz w:val="24"/>
                <w:szCs w:val="24"/>
              </w:rPr>
              <w:t xml:space="preserve">Section 17. </w:t>
            </w:r>
            <w:r w:rsidRPr="000B4C10">
              <w:rPr>
                <w:rFonts w:ascii="Arial" w:hAnsi="Arial" w:cs="Arial"/>
                <w:color w:val="000000"/>
                <w:sz w:val="24"/>
                <w:szCs w:val="24"/>
              </w:rPr>
              <w:t xml:space="preserve">Available at </w:t>
            </w:r>
            <w:hyperlink r:id="rId29" w:history="1">
              <w:r w:rsidRPr="000B4C10">
                <w:rPr>
                  <w:rStyle w:val="Hyperlink"/>
                  <w:rFonts w:ascii="Arial" w:hAnsi="Arial" w:cs="Arial"/>
                  <w:color w:val="000000"/>
                  <w:sz w:val="24"/>
                  <w:szCs w:val="24"/>
                </w:rPr>
                <w:t>Police and Criminal Evidence Act 1984 (legislation.gov.uk)</w:t>
              </w:r>
            </w:hyperlink>
            <w:r w:rsidRPr="000B4C10">
              <w:rPr>
                <w:rFonts w:ascii="Arial" w:hAnsi="Arial" w:cs="Arial"/>
                <w:color w:val="000000"/>
                <w:sz w:val="24"/>
                <w:szCs w:val="24"/>
              </w:rPr>
              <w:t xml:space="preserve"> (Accessed 15 April 2024)</w:t>
            </w:r>
            <w:r w:rsidR="000A574C">
              <w:rPr>
                <w:rFonts w:ascii="Arial" w:hAnsi="Arial" w:cs="Arial"/>
                <w:color w:val="000000"/>
                <w:sz w:val="24"/>
                <w:szCs w:val="24"/>
              </w:rPr>
              <w:t>.</w:t>
            </w:r>
          </w:p>
          <w:p w14:paraId="5187A081" w14:textId="77777777" w:rsidR="000B4C10" w:rsidRPr="000B4C10" w:rsidRDefault="000B4C10" w:rsidP="000A574C">
            <w:pPr>
              <w:pStyle w:val="ListParagraph"/>
              <w:rPr>
                <w:rFonts w:ascii="Arial" w:hAnsi="Arial" w:cs="Arial"/>
                <w:color w:val="000000"/>
                <w:sz w:val="24"/>
                <w:szCs w:val="24"/>
              </w:rPr>
            </w:pPr>
          </w:p>
          <w:p w14:paraId="5B254988" w14:textId="3D5FA63F" w:rsidR="000B4C10" w:rsidRPr="000B4C10" w:rsidRDefault="000B4C10" w:rsidP="000A574C">
            <w:pPr>
              <w:spacing w:line="240" w:lineRule="auto"/>
              <w:rPr>
                <w:rFonts w:ascii="Arial" w:hAnsi="Arial" w:cs="Arial"/>
                <w:sz w:val="24"/>
                <w:szCs w:val="24"/>
              </w:rPr>
            </w:pPr>
            <w:r w:rsidRPr="000B4C10">
              <w:rPr>
                <w:rStyle w:val="Hyperlink"/>
                <w:rFonts w:ascii="Arial" w:hAnsi="Arial" w:cs="Arial"/>
                <w:color w:val="000000"/>
                <w:sz w:val="24"/>
                <w:szCs w:val="24"/>
              </w:rPr>
              <w:t xml:space="preserve">UK Government (2024). </w:t>
            </w:r>
            <w:r w:rsidRPr="000B4C10">
              <w:rPr>
                <w:rStyle w:val="Hyperlink"/>
                <w:rFonts w:ascii="Arial" w:hAnsi="Arial" w:cs="Arial"/>
                <w:i/>
                <w:iCs/>
                <w:color w:val="000000"/>
                <w:sz w:val="24"/>
                <w:szCs w:val="24"/>
              </w:rPr>
              <w:t>Clause 15: Guidance about independent advisors (ISVAs and IDVAs)</w:t>
            </w:r>
            <w:r w:rsidRPr="000B4C10">
              <w:rPr>
                <w:rStyle w:val="Hyperlink"/>
                <w:rFonts w:ascii="Arial" w:hAnsi="Arial" w:cs="Arial"/>
                <w:color w:val="000000"/>
                <w:sz w:val="24"/>
                <w:szCs w:val="24"/>
              </w:rPr>
              <w:t xml:space="preserve">. Available at: </w:t>
            </w:r>
            <w:hyperlink r:id="rId30" w:history="1">
              <w:r w:rsidRPr="000B4C10">
                <w:rPr>
                  <w:rStyle w:val="Hyperlink"/>
                  <w:rFonts w:ascii="Arial" w:hAnsi="Arial" w:cs="Arial"/>
                  <w:color w:val="000000"/>
                  <w:sz w:val="24"/>
                  <w:szCs w:val="24"/>
                </w:rPr>
                <w:t>Gu</w:t>
              </w:r>
              <w:bookmarkStart w:id="2" w:name="_Hlt164089247"/>
              <w:bookmarkStart w:id="3" w:name="_Hlt164089248"/>
              <w:r w:rsidRPr="000B4C10">
                <w:rPr>
                  <w:rStyle w:val="Hyperlink"/>
                  <w:rFonts w:ascii="Arial" w:hAnsi="Arial" w:cs="Arial"/>
                  <w:color w:val="000000"/>
                  <w:sz w:val="24"/>
                  <w:szCs w:val="24"/>
                </w:rPr>
                <w:t>i</w:t>
              </w:r>
              <w:bookmarkEnd w:id="2"/>
              <w:bookmarkEnd w:id="3"/>
              <w:r w:rsidRPr="000B4C10">
                <w:rPr>
                  <w:rStyle w:val="Hyperlink"/>
                  <w:rFonts w:ascii="Arial" w:hAnsi="Arial" w:cs="Arial"/>
                  <w:color w:val="000000"/>
                  <w:sz w:val="24"/>
                  <w:szCs w:val="24"/>
                </w:rPr>
                <w:t>dance about independent advisors (ISVAs and IDVAs) fact sheet (publishing.service.gov.uk)</w:t>
              </w:r>
            </w:hyperlink>
            <w:r w:rsidRPr="000B4C10">
              <w:rPr>
                <w:rFonts w:ascii="Arial" w:hAnsi="Arial" w:cs="Arial"/>
                <w:color w:val="000000"/>
                <w:sz w:val="24"/>
                <w:szCs w:val="24"/>
              </w:rPr>
              <w:t>. (Accessed: 14 April 2024)</w:t>
            </w:r>
            <w:r w:rsidR="000A574C">
              <w:rPr>
                <w:rFonts w:ascii="Arial" w:hAnsi="Arial" w:cs="Arial"/>
                <w:color w:val="000000"/>
                <w:sz w:val="24"/>
                <w:szCs w:val="24"/>
              </w:rPr>
              <w:t>.</w:t>
            </w:r>
          </w:p>
          <w:p w14:paraId="7D2AD179" w14:textId="77777777" w:rsidR="000B4C10" w:rsidRPr="007414A3" w:rsidRDefault="000B4C10" w:rsidP="00C24E89">
            <w:pPr>
              <w:spacing w:after="160" w:line="259" w:lineRule="auto"/>
              <w:rPr>
                <w:rFonts w:ascii="Arial" w:eastAsia="Arial" w:hAnsi="Arial" w:cs="Arial"/>
                <w:b/>
                <w:bCs/>
                <w:color w:val="000000" w:themeColor="text1"/>
                <w:sz w:val="24"/>
                <w:szCs w:val="24"/>
              </w:rPr>
            </w:pPr>
          </w:p>
          <w:p w14:paraId="22801FC5" w14:textId="42129A2A" w:rsidR="7336895D" w:rsidRDefault="7336895D" w:rsidP="2F17ACDD">
            <w:pPr>
              <w:rPr>
                <w:rFonts w:ascii="Arial" w:eastAsia="Arial" w:hAnsi="Arial" w:cs="Arial"/>
                <w:color w:val="000000" w:themeColor="text1"/>
                <w:sz w:val="24"/>
                <w:szCs w:val="24"/>
              </w:rPr>
            </w:pPr>
          </w:p>
          <w:p w14:paraId="33BEFD48" w14:textId="34D11B70" w:rsidR="7336895D" w:rsidRDefault="02F7C53E" w:rsidP="2F17ACDD">
            <w:pPr>
              <w:ind w:right="237"/>
              <w:jc w:val="both"/>
              <w:rPr>
                <w:rFonts w:ascii="Arial" w:eastAsia="Arial" w:hAnsi="Arial" w:cs="Arial"/>
                <w:sz w:val="24"/>
                <w:szCs w:val="24"/>
              </w:rPr>
            </w:pPr>
            <w:r w:rsidRPr="2F17ACDD">
              <w:rPr>
                <w:rFonts w:ascii="Arial" w:eastAsia="Arial" w:hAnsi="Arial" w:cs="Arial"/>
                <w:b/>
                <w:bCs/>
                <w:color w:val="000000" w:themeColor="text1"/>
                <w:sz w:val="24"/>
                <w:szCs w:val="24"/>
              </w:rPr>
              <w:t>2000 words</w:t>
            </w:r>
            <w:r w:rsidRPr="2F17ACDD">
              <w:rPr>
                <w:rFonts w:ascii="Arial" w:eastAsia="Arial" w:hAnsi="Arial" w:cs="Arial"/>
                <w:color w:val="000000" w:themeColor="text1"/>
                <w:sz w:val="24"/>
                <w:szCs w:val="24"/>
              </w:rPr>
              <w:t xml:space="preserve"> </w:t>
            </w:r>
            <w:r w:rsidRPr="2F17ACDD">
              <w:rPr>
                <w:rFonts w:ascii="Arial" w:eastAsia="Arial" w:hAnsi="Arial" w:cs="Arial"/>
                <w:i/>
                <w:iCs/>
                <w:color w:val="000000" w:themeColor="text1"/>
                <w:sz w:val="24"/>
                <w:szCs w:val="24"/>
              </w:rPr>
              <w:t>(+/- 10%: include your actual word count at the end of each section)</w:t>
            </w:r>
          </w:p>
        </w:tc>
      </w:tr>
    </w:tbl>
    <w:p w14:paraId="07802346" w14:textId="4BD445A0" w:rsidR="4AF6DABA" w:rsidRDefault="4AF6DABA" w:rsidP="57DF25C0">
      <w:pPr>
        <w:ind w:left="3600" w:right="107" w:firstLine="720"/>
        <w:jc w:val="both"/>
        <w:rPr>
          <w:rFonts w:ascii="Arial" w:eastAsia="Arial" w:hAnsi="Arial" w:cs="Arial"/>
          <w:b/>
          <w:bCs/>
          <w:color w:val="000000" w:themeColor="text1"/>
          <w:sz w:val="24"/>
          <w:szCs w:val="24"/>
        </w:rPr>
      </w:pPr>
    </w:p>
    <w:p w14:paraId="6664E868" w14:textId="0C9C4205" w:rsidR="4AF6DABA" w:rsidRDefault="4AF6DABA" w:rsidP="2F17ACDD">
      <w:pPr>
        <w:ind w:right="107"/>
        <w:rPr>
          <w:rFonts w:ascii="Arial" w:eastAsia="Arial" w:hAnsi="Arial" w:cs="Arial"/>
          <w:b/>
          <w:bCs/>
          <w:i/>
          <w:iCs/>
          <w:color w:val="000000" w:themeColor="text1"/>
          <w:sz w:val="24"/>
          <w:szCs w:val="24"/>
        </w:rPr>
      </w:pPr>
      <w:r w:rsidRPr="2F17ACDD">
        <w:rPr>
          <w:rFonts w:ascii="Arial" w:eastAsia="Arial" w:hAnsi="Arial" w:cs="Arial"/>
          <w:b/>
          <w:bCs/>
          <w:i/>
          <w:iCs/>
          <w:color w:val="000000" w:themeColor="text1"/>
          <w:sz w:val="24"/>
          <w:szCs w:val="24"/>
        </w:rPr>
        <w:t xml:space="preserve">Task 3: </w:t>
      </w:r>
      <w:r w:rsidR="77EF1F52" w:rsidRPr="2F17ACDD">
        <w:rPr>
          <w:rFonts w:ascii="Arial" w:eastAsia="Arial" w:hAnsi="Arial" w:cs="Arial"/>
          <w:b/>
          <w:bCs/>
          <w:i/>
          <w:iCs/>
          <w:color w:val="000000" w:themeColor="text1"/>
          <w:sz w:val="24"/>
          <w:szCs w:val="24"/>
        </w:rPr>
        <w:t>Interview and Custody Processes</w:t>
      </w:r>
    </w:p>
    <w:p w14:paraId="17370670" w14:textId="6704ECDB" w:rsidR="515A1CF8" w:rsidRDefault="131953EB"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You must choose a</w:t>
      </w:r>
      <w:r w:rsidR="2C4EA49A" w:rsidRPr="2F17ACDD">
        <w:rPr>
          <w:rFonts w:ascii="Arial" w:eastAsia="Arial" w:hAnsi="Arial" w:cs="Arial"/>
          <w:color w:val="000000" w:themeColor="text1"/>
          <w:sz w:val="24"/>
          <w:szCs w:val="24"/>
        </w:rPr>
        <w:t xml:space="preserve"> serious and complex</w:t>
      </w:r>
      <w:r w:rsidRPr="2F17ACDD">
        <w:rPr>
          <w:rFonts w:ascii="Arial" w:eastAsia="Arial" w:hAnsi="Arial" w:cs="Arial"/>
          <w:color w:val="000000" w:themeColor="text1"/>
          <w:sz w:val="24"/>
          <w:szCs w:val="24"/>
        </w:rPr>
        <w:t xml:space="preserve"> investigation in which you played a significant role with witnesses</w:t>
      </w:r>
      <w:r w:rsidR="1E611AAB" w:rsidRPr="2F17ACDD">
        <w:rPr>
          <w:rFonts w:ascii="Arial" w:eastAsia="Arial" w:hAnsi="Arial" w:cs="Arial"/>
          <w:color w:val="000000" w:themeColor="text1"/>
          <w:sz w:val="24"/>
          <w:szCs w:val="24"/>
        </w:rPr>
        <w:t>, suspects or victims</w:t>
      </w:r>
      <w:r w:rsidR="01B3FCC5" w:rsidRPr="2F17ACDD">
        <w:rPr>
          <w:rFonts w:ascii="Arial" w:eastAsia="Arial" w:hAnsi="Arial" w:cs="Arial"/>
          <w:color w:val="000000" w:themeColor="text1"/>
          <w:sz w:val="24"/>
          <w:szCs w:val="24"/>
        </w:rPr>
        <w:t>.</w:t>
      </w:r>
    </w:p>
    <w:tbl>
      <w:tblPr>
        <w:tblStyle w:val="TableGrid"/>
        <w:tblW w:w="0" w:type="auto"/>
        <w:tblLayout w:type="fixed"/>
        <w:tblLook w:val="06A0" w:firstRow="1" w:lastRow="0" w:firstColumn="1" w:lastColumn="0" w:noHBand="1" w:noVBand="1"/>
      </w:tblPr>
      <w:tblGrid>
        <w:gridCol w:w="9015"/>
      </w:tblGrid>
      <w:tr w:rsidR="7336895D" w14:paraId="66F0C074" w14:textId="77777777" w:rsidTr="2F17ACDD">
        <w:tc>
          <w:tcPr>
            <w:tcW w:w="9015" w:type="dxa"/>
          </w:tcPr>
          <w:p w14:paraId="3D2C74E4" w14:textId="42879527" w:rsidR="7336895D" w:rsidRDefault="1E611AAB" w:rsidP="00A610F0">
            <w:pPr>
              <w:spacing w:line="259" w:lineRule="auto"/>
              <w:rPr>
                <w:rFonts w:ascii="Arial" w:eastAsia="Arial" w:hAnsi="Arial" w:cs="Arial"/>
                <w:b/>
                <w:bCs/>
                <w:color w:val="000000" w:themeColor="text1"/>
                <w:sz w:val="24"/>
                <w:szCs w:val="24"/>
              </w:rPr>
            </w:pPr>
            <w:r w:rsidRPr="00DB31DF">
              <w:rPr>
                <w:rFonts w:ascii="Arial" w:eastAsia="Arial" w:hAnsi="Arial" w:cs="Arial"/>
                <w:b/>
                <w:bCs/>
                <w:color w:val="000000" w:themeColor="text1"/>
                <w:sz w:val="24"/>
                <w:szCs w:val="24"/>
              </w:rPr>
              <w:t xml:space="preserve">Give a brief description of the investigation including social and legislative contexts and any relevant cultural, ethnicity and language issues.  </w:t>
            </w:r>
            <w:r w:rsidRPr="00DB31DF">
              <w:rPr>
                <w:rFonts w:ascii="Arial" w:eastAsia="Arial" w:hAnsi="Arial" w:cs="Arial"/>
                <w:b/>
                <w:bCs/>
                <w:sz w:val="24"/>
                <w:szCs w:val="24"/>
              </w:rPr>
              <w:t xml:space="preserve"> </w:t>
            </w:r>
          </w:p>
          <w:p w14:paraId="36B3312B" w14:textId="77777777" w:rsidR="00A610F0" w:rsidRDefault="00A610F0" w:rsidP="00A610F0">
            <w:pPr>
              <w:spacing w:line="259" w:lineRule="auto"/>
              <w:rPr>
                <w:rFonts w:ascii="Arial" w:eastAsia="Arial" w:hAnsi="Arial" w:cs="Arial"/>
                <w:b/>
                <w:bCs/>
                <w:color w:val="000000" w:themeColor="text1"/>
                <w:sz w:val="24"/>
                <w:szCs w:val="24"/>
              </w:rPr>
            </w:pPr>
          </w:p>
          <w:p w14:paraId="453AD2C1" w14:textId="77777777" w:rsidR="00A610F0" w:rsidRDefault="00A610F0" w:rsidP="00A610F0">
            <w:pPr>
              <w:rPr>
                <w:rFonts w:ascii="Arial" w:eastAsia="Arial" w:hAnsi="Arial" w:cs="Arial"/>
                <w:color w:val="000000" w:themeColor="text1"/>
                <w:sz w:val="24"/>
                <w:szCs w:val="24"/>
              </w:rPr>
            </w:pPr>
            <w:r>
              <w:rPr>
                <w:rFonts w:ascii="Arial" w:eastAsia="Arial" w:hAnsi="Arial" w:cs="Arial"/>
                <w:color w:val="000000" w:themeColor="text1"/>
                <w:sz w:val="24"/>
                <w:szCs w:val="24"/>
              </w:rPr>
              <w:t>This investigation involved offences committed by a regulated financial advisor of fraud by false representation, contrary to section 2 of the Fraud Act 2006, and fraud by abuse of position, contrary to section 4 of the Fraud Act 2006. Instead of investing a client’s funds, the suspect placed them in his personal account, and also failed to pay the client’s money to her estate when she died, claiming it to be a gift from her and producing a forged gift letter and other documents to the next of kin (and victim, as beneficiary).</w:t>
            </w:r>
          </w:p>
          <w:p w14:paraId="73893822" w14:textId="77777777" w:rsidR="002B6F3F" w:rsidRDefault="002B6F3F" w:rsidP="00A610F0">
            <w:pPr>
              <w:rPr>
                <w:rFonts w:ascii="Arial" w:eastAsia="Arial" w:hAnsi="Arial" w:cs="Arial"/>
                <w:color w:val="000000" w:themeColor="text1"/>
                <w:sz w:val="24"/>
                <w:szCs w:val="24"/>
              </w:rPr>
            </w:pPr>
          </w:p>
          <w:p w14:paraId="7CB3FD5E" w14:textId="77777777" w:rsidR="00A610F0" w:rsidRDefault="00A610F0" w:rsidP="00A610F0">
            <w:pPr>
              <w:rPr>
                <w:rFonts w:ascii="Arial" w:eastAsia="Arial" w:hAnsi="Arial" w:cs="Arial"/>
                <w:color w:val="000000" w:themeColor="text1"/>
                <w:sz w:val="24"/>
                <w:szCs w:val="24"/>
              </w:rPr>
            </w:pPr>
            <w:r>
              <w:rPr>
                <w:rFonts w:ascii="Arial" w:eastAsia="Arial" w:hAnsi="Arial" w:cs="Arial"/>
                <w:color w:val="000000" w:themeColor="text1"/>
                <w:sz w:val="24"/>
                <w:szCs w:val="24"/>
              </w:rPr>
              <w:t>After initial enquiries were completed, including obtaining a detailed account from the victim and gathering relevant documentary evidence, the suspect was invited to attend an interview voluntarily in relation to the allegations. After this interview his account was reviewed and details were clarified with the victim, and a second voluntary interview with the suspect was conducted, challenging him on several aspects of his first account.</w:t>
            </w:r>
          </w:p>
          <w:p w14:paraId="6C14F805" w14:textId="77777777" w:rsidR="002B6F3F" w:rsidRDefault="002B6F3F" w:rsidP="00A610F0">
            <w:pPr>
              <w:rPr>
                <w:rFonts w:ascii="Arial" w:eastAsia="Arial" w:hAnsi="Arial" w:cs="Arial"/>
                <w:color w:val="000000" w:themeColor="text1"/>
                <w:sz w:val="24"/>
                <w:szCs w:val="24"/>
              </w:rPr>
            </w:pPr>
          </w:p>
          <w:p w14:paraId="200BF563" w14:textId="77777777" w:rsidR="00A610F0" w:rsidRDefault="00A610F0" w:rsidP="00A610F0">
            <w:pPr>
              <w:rPr>
                <w:rFonts w:ascii="Arial" w:eastAsia="Arial" w:hAnsi="Arial" w:cs="Arial"/>
                <w:color w:val="000000" w:themeColor="text1"/>
                <w:sz w:val="24"/>
                <w:szCs w:val="24"/>
              </w:rPr>
            </w:pPr>
            <w:r>
              <w:rPr>
                <w:rFonts w:ascii="Arial" w:eastAsia="Arial" w:hAnsi="Arial" w:cs="Arial"/>
                <w:color w:val="000000" w:themeColor="text1"/>
                <w:sz w:val="24"/>
                <w:szCs w:val="24"/>
              </w:rPr>
              <w:t>The suspect voluntarily provided his work laptop to police, an examination of which proved that he had created documents that he had claimed were sent to him, and had altered creation dates of other documents, including the gift letter. Financial checks demonstrated the retention of client funds in his personal account, and his employer confirmed that his practices were not within procedure and constituted offences. A third voluntary interview was arranged, in which the inconsistencies in the suspect’s accounts were challenged, and he ceased to cooperate, provided a minimal prepared statement denying the offences and answered no comment. The file is now in preparation for submission to the CPS for a charging decision.</w:t>
            </w:r>
          </w:p>
          <w:p w14:paraId="7E384A13" w14:textId="77777777" w:rsidR="00A610F0" w:rsidRDefault="00A610F0" w:rsidP="00A610F0">
            <w:pPr>
              <w:rPr>
                <w:rFonts w:ascii="Arial" w:eastAsia="Arial" w:hAnsi="Arial" w:cs="Arial"/>
                <w:color w:val="000000" w:themeColor="text1"/>
                <w:sz w:val="24"/>
                <w:szCs w:val="24"/>
              </w:rPr>
            </w:pPr>
          </w:p>
          <w:p w14:paraId="281C3526" w14:textId="77777777" w:rsidR="00A610F0" w:rsidRPr="00F8011C" w:rsidRDefault="00A610F0" w:rsidP="00A610F0">
            <w:pPr>
              <w:rPr>
                <w:rFonts w:ascii="Arial" w:eastAsia="Arial" w:hAnsi="Arial" w:cs="Arial"/>
                <w:color w:val="000000" w:themeColor="text1"/>
                <w:sz w:val="24"/>
                <w:szCs w:val="24"/>
              </w:rPr>
            </w:pPr>
          </w:p>
          <w:p w14:paraId="19C56831" w14:textId="77777777" w:rsidR="00A610F0" w:rsidRPr="00DB31DF" w:rsidRDefault="00A610F0" w:rsidP="00A610F0">
            <w:pPr>
              <w:spacing w:line="259" w:lineRule="auto"/>
              <w:rPr>
                <w:rFonts w:ascii="Arial" w:eastAsia="Arial" w:hAnsi="Arial" w:cs="Arial"/>
                <w:b/>
                <w:bCs/>
                <w:sz w:val="24"/>
                <w:szCs w:val="24"/>
              </w:rPr>
            </w:pPr>
          </w:p>
          <w:p w14:paraId="49577BB7" w14:textId="4E7787C9" w:rsidR="7336895D" w:rsidRDefault="7195713B" w:rsidP="2F17ACDD">
            <w:pPr>
              <w:rPr>
                <w:rFonts w:ascii="Arial" w:eastAsia="Arial" w:hAnsi="Arial" w:cs="Arial"/>
                <w:b/>
                <w:bCs/>
                <w:color w:val="000000" w:themeColor="text1"/>
                <w:sz w:val="24"/>
                <w:szCs w:val="24"/>
              </w:rPr>
            </w:pPr>
            <w:r w:rsidRPr="00DB31DF">
              <w:rPr>
                <w:rFonts w:ascii="Arial" w:eastAsia="Arial" w:hAnsi="Arial" w:cs="Arial"/>
                <w:b/>
                <w:bCs/>
                <w:color w:val="000000" w:themeColor="text1"/>
                <w:sz w:val="24"/>
                <w:szCs w:val="24"/>
              </w:rPr>
              <w:t xml:space="preserve">Critically </w:t>
            </w:r>
            <w:r w:rsidR="4B6B79B8" w:rsidRPr="00DB31DF">
              <w:rPr>
                <w:rFonts w:ascii="Arial" w:eastAsia="Arial" w:hAnsi="Arial" w:cs="Arial"/>
                <w:b/>
                <w:bCs/>
                <w:color w:val="000000" w:themeColor="text1"/>
                <w:sz w:val="24"/>
                <w:szCs w:val="24"/>
              </w:rPr>
              <w:t>evaluate</w:t>
            </w:r>
            <w:r w:rsidRPr="00DB31DF">
              <w:rPr>
                <w:rFonts w:ascii="Arial" w:eastAsia="Arial" w:hAnsi="Arial" w:cs="Arial"/>
                <w:b/>
                <w:bCs/>
                <w:color w:val="000000" w:themeColor="text1"/>
                <w:sz w:val="24"/>
                <w:szCs w:val="24"/>
              </w:rPr>
              <w:t xml:space="preserve"> the interview process of witnesses and </w:t>
            </w:r>
            <w:r w:rsidR="1CD88FC1" w:rsidRPr="00DB31DF">
              <w:rPr>
                <w:rFonts w:ascii="Arial" w:eastAsia="Arial" w:hAnsi="Arial" w:cs="Arial"/>
                <w:b/>
                <w:bCs/>
                <w:color w:val="000000" w:themeColor="text1"/>
                <w:sz w:val="24"/>
                <w:szCs w:val="24"/>
              </w:rPr>
              <w:t>suspects</w:t>
            </w:r>
            <w:r w:rsidRPr="00DB31DF">
              <w:rPr>
                <w:rFonts w:ascii="Arial" w:eastAsia="Arial" w:hAnsi="Arial" w:cs="Arial"/>
                <w:b/>
                <w:bCs/>
                <w:color w:val="000000" w:themeColor="text1"/>
                <w:sz w:val="24"/>
                <w:szCs w:val="24"/>
              </w:rPr>
              <w:t xml:space="preserve"> and how you have </w:t>
            </w:r>
            <w:r w:rsidR="2064BCDF" w:rsidRPr="00DB31DF">
              <w:rPr>
                <w:rFonts w:ascii="Arial" w:eastAsia="Arial" w:hAnsi="Arial" w:cs="Arial"/>
                <w:b/>
                <w:bCs/>
                <w:color w:val="000000" w:themeColor="text1"/>
                <w:sz w:val="24"/>
                <w:szCs w:val="24"/>
              </w:rPr>
              <w:t>gathered</w:t>
            </w:r>
            <w:r w:rsidRPr="00DB31DF">
              <w:rPr>
                <w:rFonts w:ascii="Arial" w:eastAsia="Arial" w:hAnsi="Arial" w:cs="Arial"/>
                <w:b/>
                <w:bCs/>
                <w:color w:val="000000" w:themeColor="text1"/>
                <w:sz w:val="24"/>
                <w:szCs w:val="24"/>
              </w:rPr>
              <w:t xml:space="preserve"> all required information in relation to the investigation in </w:t>
            </w:r>
            <w:r w:rsidR="3B87AB52" w:rsidRPr="00DB31DF">
              <w:rPr>
                <w:rFonts w:ascii="Arial" w:eastAsia="Arial" w:hAnsi="Arial" w:cs="Arial"/>
                <w:b/>
                <w:bCs/>
                <w:color w:val="000000" w:themeColor="text1"/>
                <w:sz w:val="24"/>
                <w:szCs w:val="24"/>
              </w:rPr>
              <w:t>accordance</w:t>
            </w:r>
            <w:r w:rsidRPr="00DB31DF">
              <w:rPr>
                <w:rFonts w:ascii="Arial" w:eastAsia="Arial" w:hAnsi="Arial" w:cs="Arial"/>
                <w:b/>
                <w:bCs/>
                <w:color w:val="000000" w:themeColor="text1"/>
                <w:sz w:val="24"/>
                <w:szCs w:val="24"/>
              </w:rPr>
              <w:t xml:space="preserve"> with P</w:t>
            </w:r>
            <w:r w:rsidR="17E92F93" w:rsidRPr="00DB31DF">
              <w:rPr>
                <w:rFonts w:ascii="Arial" w:eastAsia="Arial" w:hAnsi="Arial" w:cs="Arial"/>
                <w:b/>
                <w:bCs/>
                <w:color w:val="000000" w:themeColor="text1"/>
                <w:sz w:val="24"/>
                <w:szCs w:val="24"/>
              </w:rPr>
              <w:t xml:space="preserve">IP2 investigative standards. </w:t>
            </w:r>
            <w:r w:rsidR="62C9EDBC" w:rsidRPr="00DB31DF">
              <w:rPr>
                <w:rFonts w:ascii="Arial" w:eastAsia="Arial" w:hAnsi="Arial" w:cs="Arial"/>
                <w:b/>
                <w:bCs/>
                <w:color w:val="000000" w:themeColor="text1"/>
                <w:sz w:val="24"/>
                <w:szCs w:val="24"/>
              </w:rPr>
              <w:t xml:space="preserve">(Consider generating further lines of enquiry where required). </w:t>
            </w:r>
          </w:p>
          <w:p w14:paraId="6DB6653F" w14:textId="77777777" w:rsidR="00EA0B07" w:rsidRDefault="00EA0B07" w:rsidP="2F17ACDD">
            <w:pPr>
              <w:rPr>
                <w:rFonts w:ascii="Arial" w:eastAsia="Arial" w:hAnsi="Arial" w:cs="Arial"/>
                <w:b/>
                <w:bCs/>
                <w:color w:val="000000" w:themeColor="text1"/>
                <w:sz w:val="24"/>
                <w:szCs w:val="24"/>
              </w:rPr>
            </w:pPr>
          </w:p>
          <w:p w14:paraId="013A8FE6" w14:textId="77777777" w:rsidR="00EA0B07" w:rsidRDefault="00EA0B07" w:rsidP="00EA0B07">
            <w:pPr>
              <w:rPr>
                <w:rFonts w:ascii="Arial" w:eastAsia="Arial" w:hAnsi="Arial" w:cs="Arial"/>
                <w:color w:val="000000" w:themeColor="text1"/>
                <w:sz w:val="24"/>
                <w:szCs w:val="24"/>
              </w:rPr>
            </w:pPr>
            <w:r>
              <w:rPr>
                <w:rFonts w:ascii="Arial" w:eastAsia="Arial" w:hAnsi="Arial" w:cs="Arial"/>
                <w:color w:val="000000" w:themeColor="text1"/>
                <w:sz w:val="24"/>
                <w:szCs w:val="24"/>
              </w:rPr>
              <w:t>The process of interviewing the suspect was carefully planned, with three distinct stages. The intention of the first interview was to obtain an initial account from the suspect on all aspects of the case. The second interview was largely for clarification, and the third interview served as an opportunity to challenge the suspect on certain conflicting aspects of his accounts.</w:t>
            </w:r>
          </w:p>
          <w:p w14:paraId="779D2A02" w14:textId="77777777" w:rsidR="00BB6FBC" w:rsidRPr="00F749F2" w:rsidRDefault="00BB6FBC" w:rsidP="00EA0B07">
            <w:pPr>
              <w:rPr>
                <w:rFonts w:ascii="Arial" w:eastAsia="Arial" w:hAnsi="Arial" w:cs="Arial"/>
                <w:color w:val="000000" w:themeColor="text1"/>
                <w:sz w:val="24"/>
                <w:szCs w:val="24"/>
              </w:rPr>
            </w:pPr>
          </w:p>
          <w:p w14:paraId="3EAF18F0" w14:textId="77777777" w:rsidR="00EA0B07" w:rsidRDefault="00EA0B07" w:rsidP="00EA0B07">
            <w:pPr>
              <w:rPr>
                <w:rFonts w:ascii="Arial" w:eastAsia="Arial" w:hAnsi="Arial" w:cs="Arial"/>
                <w:color w:val="000000" w:themeColor="text1"/>
                <w:sz w:val="24"/>
                <w:szCs w:val="24"/>
              </w:rPr>
            </w:pPr>
            <w:r>
              <w:rPr>
                <w:rFonts w:ascii="Arial" w:eastAsia="Arial" w:hAnsi="Arial" w:cs="Arial"/>
                <w:color w:val="000000" w:themeColor="text1"/>
                <w:sz w:val="24"/>
                <w:szCs w:val="24"/>
              </w:rPr>
              <w:t>It is accepted that good preparation is an essential pre-requisite to successful investigative interviewing (Chin, Milne and Bull, 2022). Indeed, the PEACE framework described in detail by the College of Policing (2022) further solidifies this notion, describing planning and preparation as amongst the most important phases of an effective interview. A robust planning stage is even more essential when it comes to complex fraud investigations such as the one described in this task (Betts, 2017, p. 215).</w:t>
            </w:r>
          </w:p>
          <w:p w14:paraId="2E7ECBC3" w14:textId="77777777" w:rsidR="00BB6FBC" w:rsidRDefault="00BB6FBC" w:rsidP="00EA0B07">
            <w:pPr>
              <w:rPr>
                <w:rFonts w:ascii="Arial" w:eastAsia="Arial" w:hAnsi="Arial" w:cs="Arial"/>
                <w:color w:val="000000" w:themeColor="text1"/>
                <w:sz w:val="24"/>
                <w:szCs w:val="24"/>
              </w:rPr>
            </w:pPr>
          </w:p>
          <w:p w14:paraId="5E5C735F" w14:textId="77777777" w:rsidR="00EA0B07" w:rsidRDefault="00EA0B07" w:rsidP="00EA0B07">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College of Policing (2022) framework goes on to refer to the requirement of the interviewer to take all available information into account in order to identify essential issues and objectives. In relation to this investigation, I recognised it as a complex financial investigation, therefore gathered as much information as possible. </w:t>
            </w:r>
          </w:p>
          <w:p w14:paraId="47BC1216" w14:textId="77777777" w:rsidR="00BB6FBC" w:rsidRDefault="00BB6FBC" w:rsidP="00EA0B07">
            <w:pPr>
              <w:rPr>
                <w:rFonts w:ascii="Arial" w:eastAsia="Arial" w:hAnsi="Arial" w:cs="Arial"/>
                <w:color w:val="000000" w:themeColor="text1"/>
                <w:sz w:val="24"/>
                <w:szCs w:val="24"/>
              </w:rPr>
            </w:pPr>
          </w:p>
          <w:p w14:paraId="1BC2F40E" w14:textId="77777777" w:rsidR="00EA0B07" w:rsidRDefault="00EA0B07" w:rsidP="00EA0B07">
            <w:pPr>
              <w:rPr>
                <w:rFonts w:ascii="Arial" w:eastAsia="Arial" w:hAnsi="Arial" w:cs="Arial"/>
                <w:color w:val="000000" w:themeColor="text1"/>
                <w:sz w:val="24"/>
                <w:szCs w:val="24"/>
              </w:rPr>
            </w:pPr>
            <w:r>
              <w:rPr>
                <w:rFonts w:ascii="Arial" w:eastAsia="Arial" w:hAnsi="Arial" w:cs="Arial"/>
                <w:color w:val="000000" w:themeColor="text1"/>
                <w:sz w:val="24"/>
                <w:szCs w:val="24"/>
              </w:rPr>
              <w:t>Whilst being thorough logically seems the best approach based on the above points, the gathering of information in fraud investigations in particular requires more considered and bespoke tactics. The volume of information that can be generated and gathered in fraud investigations has the potential to be huge. The College of Policing, despite its aforementioned advice to consider all information, recognises in its guidance on policing of fraud (2019, p. 13) that fraud’s complexity can make it difficult to understand, and defence solicitors are able to exploit this to confuse juries, undermining the prosecution, and that “the simpler the presentation of evidence to the jury, the higher the chance of a conviction”. This supports the suggestion that a more cautious and sensible attitude to information gathering may be beneficial.</w:t>
            </w:r>
          </w:p>
          <w:p w14:paraId="6DF84182" w14:textId="77777777" w:rsidR="00BB6FBC" w:rsidRDefault="00BB6FBC" w:rsidP="00EA0B07">
            <w:pPr>
              <w:rPr>
                <w:rFonts w:ascii="Arial" w:eastAsia="Arial" w:hAnsi="Arial" w:cs="Arial"/>
                <w:color w:val="000000" w:themeColor="text1"/>
                <w:sz w:val="24"/>
                <w:szCs w:val="24"/>
              </w:rPr>
            </w:pPr>
          </w:p>
          <w:p w14:paraId="2119902F" w14:textId="77777777" w:rsidR="00EA0B07" w:rsidRDefault="00EA0B07" w:rsidP="00EA0B07">
            <w:pPr>
              <w:rPr>
                <w:rFonts w:ascii="Arial" w:eastAsia="Arial" w:hAnsi="Arial" w:cs="Arial"/>
                <w:color w:val="000000" w:themeColor="text1"/>
                <w:sz w:val="24"/>
                <w:szCs w:val="24"/>
              </w:rPr>
            </w:pPr>
            <w:r>
              <w:rPr>
                <w:rFonts w:ascii="Arial" w:eastAsia="Arial" w:hAnsi="Arial" w:cs="Arial"/>
                <w:color w:val="000000" w:themeColor="text1"/>
                <w:sz w:val="24"/>
                <w:szCs w:val="24"/>
              </w:rPr>
              <w:t>The same guidance from the College of Policing (2019 p. 13) purports that gathering all evidence available and pursuing all lines of enquiry in fraud can lead to an unnecessarily complex investigation, and Betts (2017, p. 32) suggests the use of investigative parameters in information gathering. Setting objectives for the investigation is also encouraged, which may help to avoid becoming overwhelmed by volume of (in some cases irrelevant) information, as is utilising an investigation plan to maintain focus on these objectives to assist in the differentiation between pertinent and non-pertinent aspects (Betts, 2017, p. 167-168).</w:t>
            </w:r>
          </w:p>
          <w:p w14:paraId="6425C789" w14:textId="77777777" w:rsidR="00BB6FBC" w:rsidRDefault="00BB6FBC" w:rsidP="00EA0B07">
            <w:pPr>
              <w:rPr>
                <w:rFonts w:ascii="Arial" w:eastAsia="Arial" w:hAnsi="Arial" w:cs="Arial"/>
                <w:color w:val="000000" w:themeColor="text1"/>
                <w:sz w:val="24"/>
                <w:szCs w:val="24"/>
              </w:rPr>
            </w:pPr>
          </w:p>
          <w:p w14:paraId="6CBD1F68" w14:textId="4F719FBF" w:rsidR="00EA0B07" w:rsidRDefault="00EA0B07" w:rsidP="00EA0B07">
            <w:pPr>
              <w:rPr>
                <w:rFonts w:ascii="Arial" w:eastAsia="Arial" w:hAnsi="Arial" w:cs="Arial"/>
                <w:color w:val="000000" w:themeColor="text1"/>
                <w:sz w:val="24"/>
                <w:szCs w:val="24"/>
              </w:rPr>
            </w:pPr>
            <w:r>
              <w:rPr>
                <w:rFonts w:ascii="Arial" w:eastAsia="Arial" w:hAnsi="Arial" w:cs="Arial"/>
                <w:color w:val="000000" w:themeColor="text1"/>
                <w:sz w:val="24"/>
                <w:szCs w:val="24"/>
              </w:rPr>
              <w:t>Prior knowledge of these concepts would have been highly beneficial in the information gathering stages of the investigation and would have allowed for more succinct and effective interviewing of both the victim and the suspect.</w:t>
            </w:r>
          </w:p>
          <w:p w14:paraId="75B20425" w14:textId="77777777" w:rsidR="00EA0B07" w:rsidRDefault="00EA0B07" w:rsidP="00EA0B07">
            <w:pPr>
              <w:rPr>
                <w:rFonts w:ascii="Arial" w:eastAsia="Arial" w:hAnsi="Arial" w:cs="Arial"/>
                <w:color w:val="000000" w:themeColor="text1"/>
                <w:sz w:val="24"/>
                <w:szCs w:val="24"/>
              </w:rPr>
            </w:pPr>
          </w:p>
          <w:p w14:paraId="0484DFF3" w14:textId="77777777" w:rsidR="00EA0B07" w:rsidRPr="00142880" w:rsidRDefault="00EA0B07" w:rsidP="00EA0B07">
            <w:pPr>
              <w:rPr>
                <w:rFonts w:ascii="Arial" w:eastAsia="Arial" w:hAnsi="Arial" w:cs="Arial"/>
                <w:color w:val="000000" w:themeColor="text1"/>
                <w:sz w:val="24"/>
                <w:szCs w:val="24"/>
              </w:rPr>
            </w:pPr>
          </w:p>
          <w:p w14:paraId="6DEEE7AB" w14:textId="77777777" w:rsidR="00EA0B07" w:rsidRPr="00DB31DF" w:rsidRDefault="00EA0B07" w:rsidP="2F17ACDD">
            <w:pPr>
              <w:rPr>
                <w:rFonts w:ascii="Arial" w:eastAsia="Arial" w:hAnsi="Arial" w:cs="Arial"/>
                <w:b/>
                <w:bCs/>
                <w:color w:val="000000" w:themeColor="text1"/>
                <w:sz w:val="24"/>
                <w:szCs w:val="24"/>
              </w:rPr>
            </w:pPr>
          </w:p>
          <w:p w14:paraId="462E9563" w14:textId="6821C60C" w:rsidR="7336895D" w:rsidRDefault="39B0FD09" w:rsidP="515A1CF8">
            <w:pPr>
              <w:rPr>
                <w:rFonts w:ascii="Arial" w:eastAsia="Arial" w:hAnsi="Arial" w:cs="Arial"/>
                <w:b/>
                <w:bCs/>
                <w:color w:val="000000" w:themeColor="text1"/>
                <w:sz w:val="24"/>
                <w:szCs w:val="24"/>
              </w:rPr>
            </w:pPr>
            <w:r w:rsidRPr="00DB31DF">
              <w:rPr>
                <w:rFonts w:ascii="Arial" w:eastAsia="Arial" w:hAnsi="Arial" w:cs="Arial"/>
                <w:b/>
                <w:bCs/>
                <w:color w:val="000000" w:themeColor="text1"/>
                <w:sz w:val="24"/>
                <w:szCs w:val="24"/>
              </w:rPr>
              <w:t xml:space="preserve">Reflect upon your application of relevant powers to arrest and apprehend where necessary and the use of special warnings when required. </w:t>
            </w:r>
          </w:p>
          <w:p w14:paraId="48FBCEA1" w14:textId="77777777" w:rsidR="00D90BEF" w:rsidRDefault="00D90BEF" w:rsidP="515A1CF8">
            <w:pPr>
              <w:rPr>
                <w:rFonts w:ascii="Arial" w:eastAsia="Arial" w:hAnsi="Arial" w:cs="Arial"/>
                <w:b/>
                <w:bCs/>
                <w:color w:val="000000" w:themeColor="text1"/>
                <w:sz w:val="24"/>
                <w:szCs w:val="24"/>
              </w:rPr>
            </w:pPr>
          </w:p>
          <w:p w14:paraId="609C641B" w14:textId="77777777" w:rsidR="00D90BEF" w:rsidRDefault="00D90BEF" w:rsidP="00D90BEF">
            <w:pPr>
              <w:rPr>
                <w:rFonts w:ascii="Arial" w:eastAsia="Arial" w:hAnsi="Arial" w:cs="Arial"/>
                <w:color w:val="000000" w:themeColor="text1"/>
                <w:sz w:val="24"/>
                <w:szCs w:val="24"/>
              </w:rPr>
            </w:pPr>
            <w:r>
              <w:rPr>
                <w:rFonts w:ascii="Arial" w:eastAsia="Arial" w:hAnsi="Arial" w:cs="Arial"/>
                <w:color w:val="000000" w:themeColor="text1"/>
                <w:sz w:val="24"/>
                <w:szCs w:val="24"/>
              </w:rPr>
              <w:t>After careful consideration, and discussion with my supervisor, the decision was made to approach the suspect and invite him to attend an interview voluntarily, explaining to him as outlined in paragraph 3.21A of Code C of the Police And Criminal Evidence Act (PACE) 1984 (2023) that the interview was for the purpose of questioning him regarding suspected involvement in the outlined offences.</w:t>
            </w:r>
          </w:p>
          <w:p w14:paraId="6AB9488E" w14:textId="77777777" w:rsidR="00D90BEF" w:rsidRDefault="00D90BEF" w:rsidP="00D90BEF">
            <w:pPr>
              <w:rPr>
                <w:rFonts w:ascii="Arial" w:eastAsia="Arial" w:hAnsi="Arial" w:cs="Arial"/>
                <w:color w:val="000000" w:themeColor="text1"/>
                <w:sz w:val="24"/>
                <w:szCs w:val="24"/>
              </w:rPr>
            </w:pPr>
            <w:r>
              <w:rPr>
                <w:rFonts w:ascii="Arial" w:eastAsia="Arial" w:hAnsi="Arial" w:cs="Arial"/>
                <w:color w:val="000000" w:themeColor="text1"/>
                <w:sz w:val="24"/>
                <w:szCs w:val="24"/>
              </w:rPr>
              <w:t>Reflecting on my decision to voluntarily interview the suspect as opposed to arrest him, I have identified distinct advantages and disadvantages to this decision, which became evident as the investigation developed.</w:t>
            </w:r>
          </w:p>
          <w:p w14:paraId="13A6D057" w14:textId="77777777" w:rsidR="00D90BEF" w:rsidRPr="008E77A4" w:rsidRDefault="00D90BEF" w:rsidP="00D90BEF">
            <w:pPr>
              <w:rPr>
                <w:rFonts w:ascii="Arial" w:eastAsia="Arial" w:hAnsi="Arial" w:cs="Arial"/>
                <w:color w:val="000000" w:themeColor="text1"/>
                <w:sz w:val="24"/>
                <w:szCs w:val="24"/>
              </w:rPr>
            </w:pPr>
          </w:p>
          <w:p w14:paraId="61216D3D" w14:textId="6A753148" w:rsidR="00D90BEF" w:rsidRDefault="00D90BEF" w:rsidP="00D90BEF">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On the question of legal representation for example, the suspect was not legally represented in his first two interviews, during which he freely answered questions, whereas he was represented in the third, during which he offered a restrained prepared statement followed by providing no comment. Pearse and Gudjonnsson (1997) mention the phenomenon of suspect interview outcomes being significantly affected by the presence, or lack of, legal representation. Moston, Stephenson and Williamson’s (1993, cited by Pearse and Gudjonnsson, 1997), study noted that nearly a third of suspects exercised their right to silence when represented legally in interview, compared to less than 5% of suspects who were not. The interviews in this investigation followed this pattern and had a positive bearing on the investigation with the suspect providing conflicting verbal accounts and then a written prepared statement attempting to clarify and renegue on some previously made points, highlighting his dishonesty, a central feature in the offences for which he is accused.  </w:t>
            </w:r>
          </w:p>
          <w:p w14:paraId="0B098FEB" w14:textId="77777777" w:rsidR="00D90BEF" w:rsidRDefault="00D90BEF" w:rsidP="00D90BEF">
            <w:pPr>
              <w:rPr>
                <w:rFonts w:ascii="Arial" w:eastAsia="Arial" w:hAnsi="Arial" w:cs="Arial"/>
                <w:color w:val="000000" w:themeColor="text1"/>
                <w:sz w:val="24"/>
                <w:szCs w:val="24"/>
              </w:rPr>
            </w:pPr>
          </w:p>
          <w:p w14:paraId="5A68AE73" w14:textId="77777777" w:rsidR="00D90BEF" w:rsidRDefault="00D90BEF" w:rsidP="00D90BEF">
            <w:pPr>
              <w:rPr>
                <w:rFonts w:ascii="Arial" w:eastAsia="Arial" w:hAnsi="Arial" w:cs="Arial"/>
                <w:color w:val="000000" w:themeColor="text1"/>
                <w:sz w:val="24"/>
                <w:szCs w:val="24"/>
              </w:rPr>
            </w:pPr>
            <w:r>
              <w:rPr>
                <w:rFonts w:ascii="Arial" w:eastAsia="Arial" w:hAnsi="Arial" w:cs="Arial"/>
                <w:color w:val="000000" w:themeColor="text1"/>
                <w:sz w:val="24"/>
                <w:szCs w:val="24"/>
              </w:rPr>
              <w:t>The suspect’s choice to decline legal representation raises the question of the prevalence of declination of such representation amongst voluntary attendees in police interviews. At present this concept, and the reasons for it, appear under-researched, however in my own experience of conducting interviews with suspects both voluntarily and with suspects in custody, the trend that I have observed is that voluntary attendees are far less likely to seek legal representation, and Harewood Law (no date) offer a potential explanation in that suspects may confuse being invited to a voluntary interview as a suspect with being interviewed as a witness, and therefore may not perceive the need for legal representation.</w:t>
            </w:r>
          </w:p>
          <w:p w14:paraId="007A2120" w14:textId="77777777" w:rsidR="00D90BEF" w:rsidRDefault="00D90BEF" w:rsidP="00D90BEF">
            <w:pPr>
              <w:rPr>
                <w:rFonts w:ascii="Arial" w:eastAsia="Arial" w:hAnsi="Arial" w:cs="Arial"/>
                <w:color w:val="000000" w:themeColor="text1"/>
                <w:sz w:val="24"/>
                <w:szCs w:val="24"/>
              </w:rPr>
            </w:pPr>
          </w:p>
          <w:p w14:paraId="7CF96430" w14:textId="77777777" w:rsidR="00D90BEF" w:rsidRDefault="00D90BEF" w:rsidP="00D90BEF">
            <w:pPr>
              <w:rPr>
                <w:rFonts w:ascii="Arial" w:eastAsia="Arial" w:hAnsi="Arial" w:cs="Arial"/>
                <w:color w:val="000000" w:themeColor="text1"/>
                <w:sz w:val="24"/>
                <w:szCs w:val="24"/>
              </w:rPr>
            </w:pPr>
            <w:r>
              <w:rPr>
                <w:rFonts w:ascii="Arial" w:eastAsia="Arial" w:hAnsi="Arial" w:cs="Arial"/>
                <w:color w:val="000000" w:themeColor="text1"/>
                <w:sz w:val="24"/>
                <w:szCs w:val="24"/>
              </w:rPr>
              <w:t>Betts (2017, pp. 213-214) informs that for fraud investigations, if a suspect interview is the only investigative action required at that time (which it was not in this case), and the suspect is willing to attend, the necessity for arrest is negated, and that in protracted and complex fraud investigations, the suspect being afforded the opportunity to provide an initial account in a voluntary interview may make the best use of the custody detention clock, which affirms my decision to take that course of action.</w:t>
            </w:r>
          </w:p>
          <w:p w14:paraId="31070462" w14:textId="77777777" w:rsidR="00D90BEF" w:rsidRDefault="00D90BEF" w:rsidP="00D90BEF">
            <w:pPr>
              <w:rPr>
                <w:rFonts w:ascii="Arial" w:eastAsia="Arial" w:hAnsi="Arial" w:cs="Arial"/>
                <w:color w:val="000000" w:themeColor="text1"/>
                <w:sz w:val="24"/>
                <w:szCs w:val="24"/>
              </w:rPr>
            </w:pPr>
          </w:p>
          <w:p w14:paraId="068593A8" w14:textId="72C6FB3C" w:rsidR="00D90BEF" w:rsidRDefault="00D90BEF" w:rsidP="00D90BEF">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One negative aspect of my choice to not arrest the suspect is that I was unable to apply search powers, specifically under section 32 of PACE 1984 to search the </w:t>
            </w:r>
            <w:r>
              <w:rPr>
                <w:rFonts w:ascii="Arial" w:eastAsia="Arial" w:hAnsi="Arial" w:cs="Arial"/>
                <w:color w:val="000000" w:themeColor="text1"/>
                <w:sz w:val="24"/>
                <w:szCs w:val="24"/>
              </w:rPr>
              <w:lastRenderedPageBreak/>
              <w:t xml:space="preserve">suspect’s premises after arrest, or under section 18 of PACE 1984 whilst the suspect was in custody, which could also have been used to search his workplace for evidential material. An examination of the arrest necessity criteria outlined in PACE 1984 Code G (2012), confirms that if an officer thinks it likely that an individual may steal or destroy evidence, or if the entrance to and search of premises controlled by the individual is required, a necessity to arrest can be demonstrated. In this case both of these criteria were </w:t>
            </w:r>
            <w:r w:rsidR="002F0F9A">
              <w:rPr>
                <w:rFonts w:ascii="Arial" w:eastAsia="Arial" w:hAnsi="Arial" w:cs="Arial"/>
                <w:color w:val="000000" w:themeColor="text1"/>
                <w:sz w:val="24"/>
                <w:szCs w:val="24"/>
              </w:rPr>
              <w:t>met,</w:t>
            </w:r>
            <w:r>
              <w:rPr>
                <w:rFonts w:ascii="Arial" w:eastAsia="Arial" w:hAnsi="Arial" w:cs="Arial"/>
                <w:color w:val="000000" w:themeColor="text1"/>
                <w:sz w:val="24"/>
                <w:szCs w:val="24"/>
              </w:rPr>
              <w:t xml:space="preserve"> and an arrest was justifiable. A search of the suspect’s premises or office may have been beneficial in securing easily disposable evidence, that could have opened further lines of enquiry. As Cook, Hibbitt and Hill (2016, p.125) point out, “a search allows for added tactical opportunities”.</w:t>
            </w:r>
          </w:p>
          <w:p w14:paraId="33A86130" w14:textId="77777777" w:rsidR="00D90BEF" w:rsidRDefault="00D90BEF" w:rsidP="00D90BEF">
            <w:pPr>
              <w:rPr>
                <w:rFonts w:ascii="Arial" w:eastAsia="Arial" w:hAnsi="Arial" w:cs="Arial"/>
                <w:color w:val="000000" w:themeColor="text1"/>
                <w:sz w:val="24"/>
                <w:szCs w:val="24"/>
              </w:rPr>
            </w:pPr>
          </w:p>
          <w:p w14:paraId="4D7E3E37" w14:textId="77777777" w:rsidR="00D90BEF" w:rsidRDefault="00D90BEF" w:rsidP="00D90BEF">
            <w:pPr>
              <w:rPr>
                <w:rFonts w:ascii="Arial" w:eastAsia="Arial" w:hAnsi="Arial" w:cs="Arial"/>
                <w:color w:val="000000" w:themeColor="text1"/>
                <w:sz w:val="24"/>
                <w:szCs w:val="24"/>
              </w:rPr>
            </w:pPr>
            <w:r>
              <w:rPr>
                <w:rFonts w:ascii="Arial" w:eastAsia="Arial" w:hAnsi="Arial" w:cs="Arial"/>
                <w:color w:val="000000" w:themeColor="text1"/>
                <w:sz w:val="24"/>
                <w:szCs w:val="24"/>
              </w:rPr>
              <w:t>Taking these points into consideration, in this instance I believe that inviting the suspect to attend interviews voluntarily was the correct course of action due to it potentially leading to the provision of his conflicting accounts, however as evidence of his offending would likely have been discovered during searches, in future I would likely more strongly consider arrest.</w:t>
            </w:r>
          </w:p>
          <w:p w14:paraId="7F25A7EE" w14:textId="77777777" w:rsidR="00D90BEF" w:rsidRDefault="00D90BEF" w:rsidP="00D90BEF">
            <w:pPr>
              <w:rPr>
                <w:rFonts w:ascii="Arial" w:eastAsia="Arial" w:hAnsi="Arial" w:cs="Arial"/>
                <w:b/>
                <w:bCs/>
                <w:color w:val="000000" w:themeColor="text1"/>
                <w:sz w:val="24"/>
                <w:szCs w:val="24"/>
              </w:rPr>
            </w:pPr>
          </w:p>
          <w:p w14:paraId="5CF5E699" w14:textId="77777777" w:rsidR="00D90BEF" w:rsidRPr="00DB31DF" w:rsidRDefault="00D90BEF" w:rsidP="515A1CF8">
            <w:pPr>
              <w:rPr>
                <w:rFonts w:ascii="Arial" w:eastAsia="Arial" w:hAnsi="Arial" w:cs="Arial"/>
                <w:b/>
                <w:bCs/>
                <w:color w:val="000000" w:themeColor="text1"/>
                <w:sz w:val="24"/>
                <w:szCs w:val="24"/>
              </w:rPr>
            </w:pPr>
          </w:p>
          <w:p w14:paraId="07FB6129" w14:textId="0DBBEFF5" w:rsidR="7336895D" w:rsidRPr="00DB31DF" w:rsidRDefault="7336895D" w:rsidP="2F17ACDD">
            <w:pPr>
              <w:rPr>
                <w:rFonts w:ascii="Arial" w:eastAsia="Arial" w:hAnsi="Arial" w:cs="Arial"/>
                <w:b/>
                <w:bCs/>
                <w:color w:val="000000" w:themeColor="text1"/>
                <w:sz w:val="24"/>
                <w:szCs w:val="24"/>
              </w:rPr>
            </w:pPr>
          </w:p>
          <w:p w14:paraId="0896BCC9" w14:textId="5280C6BD" w:rsidR="7336895D" w:rsidRDefault="39B0FD09" w:rsidP="515A1CF8">
            <w:pPr>
              <w:rPr>
                <w:rFonts w:ascii="Arial" w:eastAsia="Arial" w:hAnsi="Arial" w:cs="Arial"/>
                <w:b/>
                <w:bCs/>
                <w:color w:val="000000" w:themeColor="text1"/>
                <w:sz w:val="24"/>
                <w:szCs w:val="24"/>
              </w:rPr>
            </w:pPr>
            <w:r w:rsidRPr="00DB31DF">
              <w:rPr>
                <w:rFonts w:ascii="Arial" w:eastAsia="Arial" w:hAnsi="Arial" w:cs="Arial"/>
                <w:b/>
                <w:bCs/>
                <w:color w:val="000000" w:themeColor="text1"/>
                <w:sz w:val="24"/>
                <w:szCs w:val="24"/>
              </w:rPr>
              <w:t>Illustrate how you have undertaken associated search and custody procedures to protect and safeguard the public in accordance with legalisation and policy.</w:t>
            </w:r>
          </w:p>
          <w:p w14:paraId="19772F8E" w14:textId="77777777" w:rsidR="0009556E" w:rsidRDefault="0009556E" w:rsidP="515A1CF8">
            <w:pPr>
              <w:rPr>
                <w:rFonts w:ascii="Arial" w:eastAsia="Arial" w:hAnsi="Arial" w:cs="Arial"/>
                <w:b/>
                <w:bCs/>
                <w:color w:val="000000" w:themeColor="text1"/>
                <w:sz w:val="24"/>
                <w:szCs w:val="24"/>
              </w:rPr>
            </w:pPr>
          </w:p>
          <w:p w14:paraId="76D2DAA3" w14:textId="77777777" w:rsidR="0009556E" w:rsidRDefault="0009556E" w:rsidP="0009556E">
            <w:pPr>
              <w:rPr>
                <w:rFonts w:ascii="Arial" w:eastAsia="Arial" w:hAnsi="Arial" w:cs="Arial"/>
                <w:color w:val="000000" w:themeColor="text1"/>
                <w:sz w:val="24"/>
                <w:szCs w:val="24"/>
              </w:rPr>
            </w:pPr>
            <w:r>
              <w:rPr>
                <w:rFonts w:ascii="Arial" w:eastAsia="Arial" w:hAnsi="Arial" w:cs="Arial"/>
                <w:color w:val="000000" w:themeColor="text1"/>
                <w:sz w:val="24"/>
                <w:szCs w:val="24"/>
              </w:rPr>
              <w:t>Due to the suspect in this investigation being dealt with by way of voluntary interview, the procedures governing my actions differed from those that would have been prominent if he was instead arrested.</w:t>
            </w:r>
          </w:p>
          <w:p w14:paraId="1C956984" w14:textId="77777777" w:rsidR="0009556E" w:rsidRDefault="0009556E" w:rsidP="0009556E">
            <w:pPr>
              <w:rPr>
                <w:rFonts w:ascii="Arial" w:eastAsia="Arial" w:hAnsi="Arial" w:cs="Arial"/>
                <w:color w:val="000000" w:themeColor="text1"/>
                <w:sz w:val="24"/>
                <w:szCs w:val="24"/>
              </w:rPr>
            </w:pPr>
          </w:p>
          <w:p w14:paraId="121A8FAF" w14:textId="77777777" w:rsidR="0009556E" w:rsidRDefault="0009556E" w:rsidP="0009556E">
            <w:pPr>
              <w:rPr>
                <w:rFonts w:ascii="Arial" w:eastAsia="Arial" w:hAnsi="Arial" w:cs="Arial"/>
                <w:color w:val="000000" w:themeColor="text1"/>
                <w:sz w:val="24"/>
                <w:szCs w:val="24"/>
              </w:rPr>
            </w:pPr>
            <w:r>
              <w:rPr>
                <w:rFonts w:ascii="Arial" w:eastAsia="Arial" w:hAnsi="Arial" w:cs="Arial"/>
                <w:color w:val="000000" w:themeColor="text1"/>
                <w:sz w:val="24"/>
                <w:szCs w:val="24"/>
              </w:rPr>
              <w:t>There were nevertheless custody procedures that were adhered to. As outlined by the College of Policing (2022), in line with PACE 1984, upon arranging the interview, the suspect was advised that he was entitled to leave unless placed under arrest, and also advised of the purpose of the interview and that he was entitled to free legal advice. The custody sergeant was informed of the interview prior to the suspect’s arrival, and upon arrival the suspect was assessed for fitness for interview by the custody sergeant, with the interview itself being recorded as required by PACE 1984 Code E (2016).</w:t>
            </w:r>
          </w:p>
          <w:p w14:paraId="6319A9EE" w14:textId="77777777" w:rsidR="0009556E" w:rsidRDefault="0009556E" w:rsidP="0009556E">
            <w:pPr>
              <w:rPr>
                <w:rFonts w:ascii="Arial" w:eastAsia="Arial" w:hAnsi="Arial" w:cs="Arial"/>
                <w:color w:val="000000" w:themeColor="text1"/>
                <w:sz w:val="24"/>
                <w:szCs w:val="24"/>
              </w:rPr>
            </w:pPr>
          </w:p>
          <w:p w14:paraId="2006F8C7" w14:textId="77777777" w:rsidR="0009556E" w:rsidRDefault="0009556E" w:rsidP="0009556E">
            <w:pPr>
              <w:rPr>
                <w:rFonts w:ascii="Arial" w:eastAsia="Arial" w:hAnsi="Arial" w:cs="Arial"/>
                <w:color w:val="000000" w:themeColor="text1"/>
                <w:sz w:val="24"/>
                <w:szCs w:val="24"/>
              </w:rPr>
            </w:pPr>
            <w:r>
              <w:rPr>
                <w:rFonts w:ascii="Arial" w:eastAsia="Arial" w:hAnsi="Arial" w:cs="Arial"/>
                <w:color w:val="000000" w:themeColor="text1"/>
                <w:sz w:val="24"/>
                <w:szCs w:val="24"/>
              </w:rPr>
              <w:t>The suspect, due to not being arrested, was ineligible to be made subject to bail conditions. This was another consideration when deciding whether to arrest him or not, and the decision was that given the nature of the circumstances of the case, bail was not necessary. As Betts (2017, p. 217) notes, investigations into fraud can be protracted, and retention of suspects on police bail may cease to be warranted. Whilst there were no safeguarding benefits to bail, other safeguarding methods were employed, which leads me on to my next point.</w:t>
            </w:r>
          </w:p>
          <w:p w14:paraId="082825F1" w14:textId="77777777" w:rsidR="0009556E" w:rsidRDefault="0009556E" w:rsidP="0009556E">
            <w:pPr>
              <w:rPr>
                <w:rFonts w:ascii="Arial" w:eastAsia="Arial" w:hAnsi="Arial" w:cs="Arial"/>
                <w:color w:val="000000" w:themeColor="text1"/>
                <w:sz w:val="24"/>
                <w:szCs w:val="24"/>
              </w:rPr>
            </w:pPr>
          </w:p>
          <w:p w14:paraId="251CE8BD" w14:textId="3C6EFBC6" w:rsidR="0009556E" w:rsidRDefault="0009556E" w:rsidP="2F17ACDD">
            <w:pPr>
              <w:rPr>
                <w:rFonts w:ascii="Arial" w:eastAsia="Arial" w:hAnsi="Arial" w:cs="Arial"/>
                <w:color w:val="000000" w:themeColor="text1"/>
                <w:sz w:val="24"/>
                <w:szCs w:val="24"/>
              </w:rPr>
            </w:pPr>
            <w:r>
              <w:rPr>
                <w:rFonts w:ascii="Arial" w:eastAsia="Arial" w:hAnsi="Arial" w:cs="Arial"/>
                <w:color w:val="000000" w:themeColor="text1"/>
                <w:sz w:val="24"/>
                <w:szCs w:val="24"/>
              </w:rPr>
              <w:t>The suspect was a financial advisor, regulated by the Financial Conduct Authority (FCA). The FCA ha</w:t>
            </w:r>
            <w:r w:rsidR="00D0550D">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 the ability to suspend permission of an authorised person to carry out a regulated activity (FCA, 2024). The reporting of regulated financial professionals for suspected criminal wrongdoing to their respective regulatory body is recognised by Betts (2017, p. 56) as an important investigatory tool, and </w:t>
            </w:r>
            <w:r>
              <w:rPr>
                <w:rFonts w:ascii="Arial" w:eastAsia="Arial" w:hAnsi="Arial" w:cs="Arial"/>
                <w:color w:val="000000" w:themeColor="text1"/>
                <w:sz w:val="24"/>
                <w:szCs w:val="24"/>
              </w:rPr>
              <w:lastRenderedPageBreak/>
              <w:t>that intervention by regulatory bodies such as the FCA can be an alternative to criminal prosecution. The concern that without bail conditions the suspect could continue to practice and potentially expose further victims to risk of loss, was mitigated by the provision of a referral to the FCA, who consequently invoked their ability to withdraw his practicing licence.</w:t>
            </w:r>
          </w:p>
          <w:p w14:paraId="2530425D" w14:textId="77777777" w:rsidR="0009556E" w:rsidRDefault="0009556E" w:rsidP="2F17ACDD">
            <w:pPr>
              <w:rPr>
                <w:rFonts w:ascii="Arial" w:eastAsia="Arial" w:hAnsi="Arial" w:cs="Arial"/>
                <w:color w:val="000000" w:themeColor="text1"/>
                <w:sz w:val="24"/>
                <w:szCs w:val="24"/>
              </w:rPr>
            </w:pPr>
          </w:p>
          <w:p w14:paraId="7B4E9118" w14:textId="77777777" w:rsidR="0009556E" w:rsidRDefault="0009556E" w:rsidP="2F17ACDD">
            <w:pPr>
              <w:rPr>
                <w:rFonts w:ascii="Arial" w:eastAsia="Arial" w:hAnsi="Arial" w:cs="Arial"/>
                <w:color w:val="000000" w:themeColor="text1"/>
                <w:sz w:val="24"/>
                <w:szCs w:val="24"/>
              </w:rPr>
            </w:pPr>
          </w:p>
          <w:p w14:paraId="6453E535" w14:textId="77777777" w:rsidR="0009556E" w:rsidRDefault="0009556E" w:rsidP="2F17ACDD">
            <w:pPr>
              <w:rPr>
                <w:rFonts w:ascii="Arial" w:eastAsia="Arial" w:hAnsi="Arial" w:cs="Arial"/>
                <w:color w:val="000000" w:themeColor="text1"/>
                <w:sz w:val="24"/>
                <w:szCs w:val="24"/>
              </w:rPr>
            </w:pPr>
          </w:p>
          <w:p w14:paraId="7CE49826" w14:textId="102130A5" w:rsidR="7336895D" w:rsidRDefault="0009556E" w:rsidP="2F17ACDD">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A</w:t>
            </w:r>
            <w:r w:rsidR="36CADCB7" w:rsidRPr="00DB31DF">
              <w:rPr>
                <w:rFonts w:ascii="Arial" w:eastAsia="Arial" w:hAnsi="Arial" w:cs="Arial"/>
                <w:b/>
                <w:bCs/>
                <w:color w:val="000000" w:themeColor="text1"/>
                <w:sz w:val="24"/>
                <w:szCs w:val="24"/>
              </w:rPr>
              <w:t xml:space="preserve">nalyse your understanding of ethics and values of the service. </w:t>
            </w:r>
          </w:p>
          <w:p w14:paraId="67564F59" w14:textId="77777777" w:rsidR="00922739" w:rsidRDefault="00922739" w:rsidP="2F17ACDD">
            <w:pPr>
              <w:rPr>
                <w:rFonts w:ascii="Arial" w:eastAsia="Arial" w:hAnsi="Arial" w:cs="Arial"/>
                <w:b/>
                <w:bCs/>
                <w:color w:val="000000" w:themeColor="text1"/>
                <w:sz w:val="24"/>
                <w:szCs w:val="24"/>
              </w:rPr>
            </w:pPr>
          </w:p>
          <w:p w14:paraId="2CE96FC7" w14:textId="77777777" w:rsidR="00922739" w:rsidRDefault="00922739" w:rsidP="00922739">
            <w:pPr>
              <w:rPr>
                <w:rFonts w:ascii="Arial" w:eastAsia="Arial" w:hAnsi="Arial" w:cs="Arial"/>
                <w:color w:val="000000" w:themeColor="text1"/>
                <w:sz w:val="24"/>
                <w:szCs w:val="24"/>
              </w:rPr>
            </w:pPr>
            <w:r>
              <w:rPr>
                <w:rFonts w:ascii="Arial" w:eastAsia="Arial" w:hAnsi="Arial" w:cs="Arial"/>
                <w:color w:val="000000" w:themeColor="text1"/>
                <w:sz w:val="24"/>
                <w:szCs w:val="24"/>
              </w:rPr>
              <w:t>In my understanding of the ethics of the police service, an augmented emphasis is placed on ethical values and moral excellence compared to most other professions. Personally, I feel I am expected to act with a level of integrity far exceeding that expected of other occupations, both on and off duty. Kleinig (1996, p. i) recognises this concept, reporting that “few occupations make as significant moral demands on their practitioners as policing”.</w:t>
            </w:r>
          </w:p>
          <w:p w14:paraId="48A388C6" w14:textId="77777777" w:rsidR="00922739" w:rsidRDefault="00922739" w:rsidP="00922739">
            <w:pPr>
              <w:rPr>
                <w:rFonts w:ascii="Arial" w:eastAsia="Arial" w:hAnsi="Arial" w:cs="Arial"/>
                <w:color w:val="000000" w:themeColor="text1"/>
                <w:sz w:val="24"/>
                <w:szCs w:val="24"/>
              </w:rPr>
            </w:pPr>
          </w:p>
          <w:p w14:paraId="1271E1FD" w14:textId="39774209" w:rsidR="00922739" w:rsidRDefault="00922739" w:rsidP="00922739">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Regarding values of the police service, my own force, South Wales Police (2024), state that their values are “to be proud, professional, and positive in everything we do”. My understanding of this is that as a police officer, my conduct professionally, for example conducting investigations and interacting with members of the public, should </w:t>
            </w:r>
            <w:r>
              <w:rPr>
                <w:rFonts w:ascii="Arial" w:eastAsia="Arial" w:hAnsi="Arial" w:cs="Arial"/>
                <w:color w:val="000000" w:themeColor="text1"/>
                <w:sz w:val="24"/>
                <w:szCs w:val="24"/>
              </w:rPr>
              <w:t xml:space="preserve">constantly </w:t>
            </w:r>
            <w:r>
              <w:rPr>
                <w:rFonts w:ascii="Arial" w:eastAsia="Arial" w:hAnsi="Arial" w:cs="Arial"/>
                <w:color w:val="000000" w:themeColor="text1"/>
                <w:sz w:val="24"/>
                <w:szCs w:val="24"/>
              </w:rPr>
              <w:t xml:space="preserve">reflect these values. Police officers adhering to the values of their own forces, and of the police service as a whole, is essential to maintaining the public’s trust and confidence in the police. These two concepts, trust and confidence, can both have an impact on, and similarly but conversely be impacted by, legitimacy of the police, the willingness of the public to obey the police, and procedural justice (Hanway and Hambly, 2023). </w:t>
            </w:r>
            <w:r>
              <w:rPr>
                <w:rFonts w:ascii="Arial" w:eastAsia="Arial" w:hAnsi="Arial" w:cs="Arial"/>
                <w:color w:val="000000" w:themeColor="text1"/>
                <w:sz w:val="24"/>
                <w:szCs w:val="24"/>
              </w:rPr>
              <w:t>Thus,</w:t>
            </w:r>
            <w:r>
              <w:rPr>
                <w:rFonts w:ascii="Arial" w:eastAsia="Arial" w:hAnsi="Arial" w:cs="Arial"/>
                <w:color w:val="000000" w:themeColor="text1"/>
                <w:sz w:val="24"/>
                <w:szCs w:val="24"/>
              </w:rPr>
              <w:t xml:space="preserve"> what I understand of ethics and values of the police service is that whilst officers’ adherence to them can positively impact public perception of the police, a lack of it, or a disproportionate perception of a lack of it, can significantly damage this perception.</w:t>
            </w:r>
          </w:p>
          <w:p w14:paraId="0600068B" w14:textId="77777777" w:rsidR="00922739" w:rsidRDefault="00922739" w:rsidP="00922739">
            <w:pPr>
              <w:rPr>
                <w:rFonts w:ascii="Arial" w:eastAsia="Arial" w:hAnsi="Arial" w:cs="Arial"/>
                <w:color w:val="000000" w:themeColor="text1"/>
                <w:sz w:val="24"/>
                <w:szCs w:val="24"/>
              </w:rPr>
            </w:pPr>
          </w:p>
          <w:p w14:paraId="35F75F55" w14:textId="77777777" w:rsidR="00922739" w:rsidRPr="002F32FE" w:rsidRDefault="00922739" w:rsidP="00922739">
            <w:pPr>
              <w:rPr>
                <w:rFonts w:ascii="Arial" w:eastAsia="Arial" w:hAnsi="Arial" w:cs="Arial"/>
                <w:color w:val="000000" w:themeColor="text1"/>
                <w:sz w:val="24"/>
                <w:szCs w:val="24"/>
              </w:rPr>
            </w:pPr>
            <w:r>
              <w:rPr>
                <w:rFonts w:ascii="Arial" w:eastAsia="Arial" w:hAnsi="Arial" w:cs="Arial"/>
                <w:color w:val="000000" w:themeColor="text1"/>
                <w:sz w:val="24"/>
                <w:szCs w:val="24"/>
              </w:rPr>
              <w:t>I feel that there is currently an increased scrutiny on the ethics, integrity, and conduct of police officers, largely fuelled by press reports of increases in numbers of officers facing misconduct proceedings. An example of such reporting can be found in an article written by Mackintosh and Cooney (2023) for the British Broadcasting Corporation (BBC), which stated that in the twelve months prior to the article, 100 Metropolitan Police officers had been dismissed from their roles due to gross misconduct, an increase of 66% compared to past figures, whilst also noting that the number of reports from the public and other police officers of alleged misconduct had doubled. However, the Independent Office for Police Conduct (IOPC) (2023) reported that whilst in 2022-2023 more complaints had indeed been logged than previous years, these increased numbers are due to factors including significant changes in the complaints system that took place in February 2020, including the widening of the definition of a complaint to include “any dissatisfaction with the police service”, suggesting there is less of an issue with officers adhering to police ethics and values than would appear.</w:t>
            </w:r>
          </w:p>
          <w:p w14:paraId="6E111119" w14:textId="77777777" w:rsidR="00922739" w:rsidRDefault="00922739" w:rsidP="00922739">
            <w:pPr>
              <w:spacing w:after="160" w:line="259" w:lineRule="auto"/>
              <w:rPr>
                <w:rFonts w:ascii="Arial" w:eastAsia="Arial" w:hAnsi="Arial" w:cs="Arial"/>
                <w:b/>
                <w:bCs/>
                <w:color w:val="000000" w:themeColor="text1"/>
                <w:sz w:val="24"/>
                <w:szCs w:val="24"/>
              </w:rPr>
            </w:pPr>
          </w:p>
          <w:p w14:paraId="4E0E146C" w14:textId="7A3C277E" w:rsidR="00D24695" w:rsidRPr="00D04DED" w:rsidRDefault="00D24695" w:rsidP="00922739">
            <w:pPr>
              <w:spacing w:after="160" w:line="259" w:lineRule="auto"/>
              <w:rPr>
                <w:rFonts w:ascii="Arial" w:eastAsia="Arial" w:hAnsi="Arial" w:cs="Arial"/>
                <w:color w:val="000000" w:themeColor="text1"/>
                <w:sz w:val="24"/>
                <w:szCs w:val="24"/>
              </w:rPr>
            </w:pPr>
            <w:r w:rsidRPr="00D04DED">
              <w:rPr>
                <w:rFonts w:ascii="Arial" w:eastAsia="Arial" w:hAnsi="Arial" w:cs="Arial"/>
                <w:color w:val="000000" w:themeColor="text1"/>
                <w:sz w:val="24"/>
                <w:szCs w:val="24"/>
              </w:rPr>
              <w:t>Word Count: 2,160</w:t>
            </w:r>
          </w:p>
          <w:p w14:paraId="2B68D08E" w14:textId="77777777" w:rsidR="007F0651" w:rsidRDefault="007F0651" w:rsidP="00922739">
            <w:pPr>
              <w:spacing w:after="160" w:line="259" w:lineRule="auto"/>
              <w:rPr>
                <w:rFonts w:ascii="Arial" w:eastAsia="Arial" w:hAnsi="Arial" w:cs="Arial"/>
                <w:b/>
                <w:bCs/>
                <w:color w:val="000000" w:themeColor="text1"/>
                <w:sz w:val="24"/>
                <w:szCs w:val="24"/>
              </w:rPr>
            </w:pPr>
          </w:p>
          <w:p w14:paraId="0A2754B8" w14:textId="77777777" w:rsidR="007F0651" w:rsidRPr="00D04DED" w:rsidRDefault="007F0651" w:rsidP="007F0651">
            <w:pPr>
              <w:rPr>
                <w:rFonts w:ascii="Arial" w:hAnsi="Arial" w:cs="Arial"/>
                <w:sz w:val="24"/>
                <w:szCs w:val="24"/>
              </w:rPr>
            </w:pPr>
            <w:r w:rsidRPr="00D04DED">
              <w:rPr>
                <w:rFonts w:ascii="Arial" w:hAnsi="Arial" w:cs="Arial"/>
                <w:sz w:val="24"/>
                <w:szCs w:val="24"/>
              </w:rPr>
              <w:t>References</w:t>
            </w:r>
          </w:p>
          <w:p w14:paraId="21E9C141"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Betts, M. (2017) </w:t>
            </w:r>
            <w:r w:rsidRPr="007F0651">
              <w:rPr>
                <w:rFonts w:ascii="Arial" w:hAnsi="Arial" w:cs="Arial"/>
                <w:i/>
                <w:iCs/>
                <w:color w:val="000000" w:themeColor="text1"/>
                <w:sz w:val="24"/>
                <w:szCs w:val="24"/>
              </w:rPr>
              <w:t>Investigation of Fraud and Economic Crime</w:t>
            </w:r>
            <w:r w:rsidRPr="007F0651">
              <w:rPr>
                <w:rFonts w:ascii="Arial" w:hAnsi="Arial" w:cs="Arial"/>
                <w:color w:val="000000" w:themeColor="text1"/>
                <w:sz w:val="24"/>
                <w:szCs w:val="24"/>
              </w:rPr>
              <w:t>. Oxford: Oxford University Press.</w:t>
            </w:r>
          </w:p>
          <w:p w14:paraId="1FA7AD1D" w14:textId="77777777" w:rsidR="007F0651" w:rsidRPr="007F0651" w:rsidRDefault="007F0651" w:rsidP="007F0651">
            <w:pPr>
              <w:rPr>
                <w:rFonts w:ascii="Arial" w:hAnsi="Arial" w:cs="Arial"/>
                <w:color w:val="000000" w:themeColor="text1"/>
                <w:sz w:val="24"/>
                <w:szCs w:val="24"/>
              </w:rPr>
            </w:pPr>
          </w:p>
          <w:p w14:paraId="4302EAF5" w14:textId="107C002D" w:rsidR="00D04DED" w:rsidRPr="00D04DED" w:rsidRDefault="007F0651" w:rsidP="007F0651">
            <w:pPr>
              <w:rPr>
                <w:rFonts w:ascii="Arial" w:hAnsi="Arial" w:cs="Arial"/>
                <w:color w:val="000000" w:themeColor="text1"/>
                <w:sz w:val="24"/>
                <w:szCs w:val="24"/>
                <w:u w:val="single"/>
              </w:rPr>
            </w:pPr>
            <w:r w:rsidRPr="007F0651">
              <w:rPr>
                <w:rFonts w:ascii="Arial" w:hAnsi="Arial" w:cs="Arial"/>
                <w:color w:val="000000" w:themeColor="text1"/>
                <w:sz w:val="24"/>
                <w:szCs w:val="24"/>
              </w:rPr>
              <w:t xml:space="preserve">Chin, J., Milne, R. and Bull, R. (2022) ‘Fuelling an investigative mindset: the importance of pre-interview planning in police interviews with suspects’, </w:t>
            </w:r>
            <w:r w:rsidRPr="007F0651">
              <w:rPr>
                <w:rFonts w:ascii="Arial" w:hAnsi="Arial" w:cs="Arial"/>
                <w:i/>
                <w:iCs/>
                <w:color w:val="000000" w:themeColor="text1"/>
                <w:sz w:val="24"/>
                <w:szCs w:val="24"/>
              </w:rPr>
              <w:t xml:space="preserve">Psychology, Crime &amp; Law, </w:t>
            </w:r>
            <w:r w:rsidRPr="007F0651">
              <w:rPr>
                <w:rFonts w:ascii="Arial" w:hAnsi="Arial" w:cs="Arial"/>
                <w:color w:val="000000" w:themeColor="text1"/>
                <w:sz w:val="24"/>
                <w:szCs w:val="24"/>
              </w:rPr>
              <w:t xml:space="preserve">pp. 1-25. Available at </w:t>
            </w:r>
            <w:hyperlink r:id="rId31" w:history="1">
              <w:r w:rsidRPr="007F0651">
                <w:rPr>
                  <w:rStyle w:val="Hyperlink"/>
                  <w:rFonts w:ascii="Arial" w:hAnsi="Arial" w:cs="Arial"/>
                  <w:color w:val="000000" w:themeColor="text1"/>
                  <w:sz w:val="24"/>
                  <w:szCs w:val="24"/>
                </w:rPr>
                <w:t>Full article: Fuelling an investigative mindset: the importance of pre-interview planning in police interviews with suspects (tandfonline.com)</w:t>
              </w:r>
            </w:hyperlink>
          </w:p>
          <w:p w14:paraId="305256AB" w14:textId="77777777" w:rsidR="007F0651" w:rsidRPr="007F0651" w:rsidRDefault="007F0651" w:rsidP="007F0651">
            <w:pPr>
              <w:rPr>
                <w:rFonts w:ascii="Arial" w:hAnsi="Arial" w:cs="Arial"/>
                <w:color w:val="000000" w:themeColor="text1"/>
                <w:sz w:val="24"/>
                <w:szCs w:val="24"/>
              </w:rPr>
            </w:pPr>
          </w:p>
          <w:p w14:paraId="61D3AE11" w14:textId="77777777" w:rsid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College of Policing (2019) </w:t>
            </w:r>
            <w:r w:rsidRPr="007F0651">
              <w:rPr>
                <w:rFonts w:ascii="Arial" w:hAnsi="Arial" w:cs="Arial"/>
                <w:i/>
                <w:iCs/>
                <w:color w:val="000000" w:themeColor="text1"/>
                <w:sz w:val="24"/>
                <w:szCs w:val="24"/>
              </w:rPr>
              <w:t xml:space="preserve">Policing Fraud. </w:t>
            </w:r>
            <w:r w:rsidRPr="007F0651">
              <w:rPr>
                <w:rFonts w:ascii="Arial" w:hAnsi="Arial" w:cs="Arial"/>
                <w:color w:val="000000" w:themeColor="text1"/>
                <w:sz w:val="24"/>
                <w:szCs w:val="24"/>
              </w:rPr>
              <w:t xml:space="preserve">Available at </w:t>
            </w:r>
            <w:hyperlink r:id="rId32" w:history="1">
              <w:r w:rsidRPr="007F0651">
                <w:rPr>
                  <w:rStyle w:val="Hyperlink"/>
                  <w:rFonts w:ascii="Arial" w:hAnsi="Arial" w:cs="Arial"/>
                  <w:color w:val="000000" w:themeColor="text1"/>
                  <w:sz w:val="24"/>
                  <w:szCs w:val="24"/>
                </w:rPr>
                <w:t>Policing Fraud 2019 | College Learn (pnn.police.uk)</w:t>
              </w:r>
            </w:hyperlink>
            <w:r w:rsidRPr="007F0651">
              <w:rPr>
                <w:rFonts w:ascii="Arial" w:hAnsi="Arial" w:cs="Arial"/>
                <w:color w:val="000000" w:themeColor="text1"/>
                <w:sz w:val="24"/>
                <w:szCs w:val="24"/>
              </w:rPr>
              <w:t xml:space="preserve"> (Accessed: 29 April 2024).</w:t>
            </w:r>
          </w:p>
          <w:p w14:paraId="0A430800" w14:textId="77777777" w:rsidR="00D04DED" w:rsidRPr="007F0651" w:rsidRDefault="00D04DED" w:rsidP="007F0651">
            <w:pPr>
              <w:rPr>
                <w:rFonts w:ascii="Arial" w:hAnsi="Arial" w:cs="Arial"/>
                <w:color w:val="000000" w:themeColor="text1"/>
                <w:sz w:val="24"/>
                <w:szCs w:val="24"/>
              </w:rPr>
            </w:pPr>
          </w:p>
          <w:p w14:paraId="10C9BB1D" w14:textId="77777777" w:rsidR="007F0651" w:rsidRPr="007F0651" w:rsidRDefault="007F0651" w:rsidP="007F0651">
            <w:pPr>
              <w:rPr>
                <w:rFonts w:ascii="Arial" w:hAnsi="Arial" w:cs="Arial"/>
                <w:color w:val="000000" w:themeColor="text1"/>
                <w:sz w:val="24"/>
                <w:szCs w:val="24"/>
              </w:rPr>
            </w:pPr>
          </w:p>
          <w:p w14:paraId="261C0175" w14:textId="77777777" w:rsid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College of Policing (2022) </w:t>
            </w:r>
            <w:r w:rsidRPr="007F0651">
              <w:rPr>
                <w:rFonts w:ascii="Arial" w:hAnsi="Arial" w:cs="Arial"/>
                <w:i/>
                <w:iCs/>
                <w:color w:val="000000" w:themeColor="text1"/>
                <w:sz w:val="24"/>
                <w:szCs w:val="24"/>
              </w:rPr>
              <w:t xml:space="preserve">Investigative Interviewing. </w:t>
            </w:r>
            <w:r w:rsidRPr="007F0651">
              <w:rPr>
                <w:rFonts w:ascii="Arial" w:hAnsi="Arial" w:cs="Arial"/>
                <w:color w:val="000000" w:themeColor="text1"/>
                <w:sz w:val="24"/>
                <w:szCs w:val="24"/>
              </w:rPr>
              <w:t xml:space="preserve">Available at </w:t>
            </w:r>
            <w:hyperlink r:id="rId33" w:history="1">
              <w:r w:rsidRPr="007F0651">
                <w:rPr>
                  <w:rStyle w:val="Hyperlink"/>
                  <w:rFonts w:ascii="Arial" w:hAnsi="Arial" w:cs="Arial"/>
                  <w:color w:val="000000" w:themeColor="text1"/>
                  <w:sz w:val="24"/>
                  <w:szCs w:val="24"/>
                </w:rPr>
                <w:t>Investigative interviewing | College of Policing</w:t>
              </w:r>
            </w:hyperlink>
            <w:r w:rsidRPr="007F0651">
              <w:rPr>
                <w:rFonts w:ascii="Arial" w:hAnsi="Arial" w:cs="Arial"/>
                <w:color w:val="000000" w:themeColor="text1"/>
                <w:sz w:val="24"/>
                <w:szCs w:val="24"/>
              </w:rPr>
              <w:t xml:space="preserve"> (Accessed: 29 April 2024).</w:t>
            </w:r>
          </w:p>
          <w:p w14:paraId="1FC461FB" w14:textId="77777777" w:rsidR="00D04DED" w:rsidRPr="007F0651" w:rsidRDefault="00D04DED" w:rsidP="007F0651">
            <w:pPr>
              <w:rPr>
                <w:rFonts w:ascii="Arial" w:hAnsi="Arial" w:cs="Arial"/>
                <w:color w:val="000000" w:themeColor="text1"/>
                <w:sz w:val="24"/>
                <w:szCs w:val="24"/>
              </w:rPr>
            </w:pPr>
          </w:p>
          <w:p w14:paraId="1B70A8A4" w14:textId="77777777" w:rsidR="007F0651" w:rsidRPr="007F0651" w:rsidRDefault="007F0651" w:rsidP="007F0651">
            <w:pPr>
              <w:rPr>
                <w:rFonts w:ascii="Arial" w:hAnsi="Arial" w:cs="Arial"/>
                <w:color w:val="000000" w:themeColor="text1"/>
                <w:sz w:val="24"/>
                <w:szCs w:val="24"/>
              </w:rPr>
            </w:pPr>
          </w:p>
          <w:p w14:paraId="4C026BD3"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Cook, T., Hibbitt, S. Hill, M. (2016) </w:t>
            </w:r>
            <w:r w:rsidRPr="007F0651">
              <w:rPr>
                <w:rFonts w:ascii="Arial" w:hAnsi="Arial" w:cs="Arial"/>
                <w:i/>
                <w:iCs/>
                <w:color w:val="000000" w:themeColor="text1"/>
                <w:sz w:val="24"/>
                <w:szCs w:val="24"/>
              </w:rPr>
              <w:t>Crime Investigator’s Handbook</w:t>
            </w:r>
            <w:r w:rsidRPr="007F0651">
              <w:rPr>
                <w:rFonts w:ascii="Arial" w:hAnsi="Arial" w:cs="Arial"/>
                <w:color w:val="000000" w:themeColor="text1"/>
                <w:sz w:val="24"/>
                <w:szCs w:val="24"/>
              </w:rPr>
              <w:t>. 2</w:t>
            </w:r>
            <w:r w:rsidRPr="007F0651">
              <w:rPr>
                <w:rFonts w:ascii="Arial" w:hAnsi="Arial" w:cs="Arial"/>
                <w:color w:val="000000" w:themeColor="text1"/>
                <w:sz w:val="24"/>
                <w:szCs w:val="24"/>
                <w:vertAlign w:val="superscript"/>
              </w:rPr>
              <w:t>nd</w:t>
            </w:r>
            <w:r w:rsidRPr="007F0651">
              <w:rPr>
                <w:rFonts w:ascii="Arial" w:hAnsi="Arial" w:cs="Arial"/>
                <w:color w:val="000000" w:themeColor="text1"/>
                <w:sz w:val="24"/>
                <w:szCs w:val="24"/>
              </w:rPr>
              <w:t xml:space="preserve"> edn. Oxford: Oxford University Press.</w:t>
            </w:r>
          </w:p>
          <w:p w14:paraId="13EF6C1A" w14:textId="77777777" w:rsidR="007F0651" w:rsidRPr="007F0651" w:rsidRDefault="007F0651" w:rsidP="007F0651">
            <w:pPr>
              <w:spacing w:line="240" w:lineRule="auto"/>
              <w:rPr>
                <w:rFonts w:ascii="Arial" w:hAnsi="Arial" w:cs="Arial"/>
                <w:color w:val="000000" w:themeColor="text1"/>
                <w:sz w:val="24"/>
                <w:szCs w:val="24"/>
              </w:rPr>
            </w:pPr>
          </w:p>
          <w:p w14:paraId="6312CAE1"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Financial Conduct Authority [FCA] (2024) </w:t>
            </w:r>
            <w:r w:rsidRPr="007F0651">
              <w:rPr>
                <w:rFonts w:ascii="Arial" w:hAnsi="Arial" w:cs="Arial"/>
                <w:i/>
                <w:iCs/>
                <w:color w:val="000000" w:themeColor="text1"/>
                <w:sz w:val="24"/>
                <w:szCs w:val="24"/>
              </w:rPr>
              <w:t xml:space="preserve">Decision Procedure and Penalties Manual. Chapter 6A. The power to impose a suspension, restriction, condition, limitation, or disciplinary prohibition. </w:t>
            </w:r>
            <w:r w:rsidRPr="007F0651">
              <w:rPr>
                <w:rFonts w:ascii="Arial" w:hAnsi="Arial" w:cs="Arial"/>
                <w:color w:val="000000" w:themeColor="text1"/>
                <w:sz w:val="24"/>
                <w:szCs w:val="24"/>
              </w:rPr>
              <w:t xml:space="preserve">(p. 2 para. 6A. 1 .2 (1) (a)). Available at: </w:t>
            </w:r>
            <w:hyperlink r:id="rId34" w:anchor=":~:text=The%20power%20to%20impose%20a%20suspension%2C%20restriction%2C%20condition%2C,a%20financial%20penalty%20or%20issuing%20a%20public%20censure." w:history="1">
              <w:r w:rsidRPr="007F0651">
                <w:rPr>
                  <w:rStyle w:val="Hyperlink"/>
                  <w:rFonts w:ascii="Arial" w:hAnsi="Arial" w:cs="Arial"/>
                  <w:color w:val="000000" w:themeColor="text1"/>
                  <w:sz w:val="24"/>
                  <w:szCs w:val="24"/>
                </w:rPr>
                <w:t>https://www.handbook.fca.org.uk/handbook/DEPP/6A.pdf</w:t>
              </w:r>
            </w:hyperlink>
            <w:r w:rsidRPr="007F0651">
              <w:rPr>
                <w:rFonts w:ascii="Arial" w:hAnsi="Arial" w:cs="Arial"/>
                <w:color w:val="000000" w:themeColor="text1"/>
                <w:sz w:val="24"/>
                <w:szCs w:val="24"/>
              </w:rPr>
              <w:t xml:space="preserve"> (Accessed: 30 April 2024).</w:t>
            </w:r>
          </w:p>
          <w:p w14:paraId="62FE04BC" w14:textId="77777777" w:rsidR="007F0651" w:rsidRPr="007F0651" w:rsidRDefault="007F0651" w:rsidP="007F0651">
            <w:pPr>
              <w:spacing w:line="240" w:lineRule="auto"/>
              <w:rPr>
                <w:rFonts w:ascii="Arial" w:hAnsi="Arial" w:cs="Arial"/>
                <w:color w:val="000000" w:themeColor="text1"/>
                <w:sz w:val="24"/>
                <w:szCs w:val="24"/>
              </w:rPr>
            </w:pPr>
          </w:p>
          <w:p w14:paraId="460888D2" w14:textId="77777777" w:rsidR="007F0651" w:rsidRPr="007F0651" w:rsidRDefault="007F0651" w:rsidP="007F0651">
            <w:pPr>
              <w:spacing w:line="240" w:lineRule="auto"/>
              <w:rPr>
                <w:rStyle w:val="Hyperlink"/>
                <w:rFonts w:ascii="Arial" w:hAnsi="Arial" w:cs="Arial"/>
                <w:color w:val="000000" w:themeColor="text1"/>
                <w:sz w:val="24"/>
                <w:szCs w:val="24"/>
              </w:rPr>
            </w:pPr>
            <w:r w:rsidRPr="007F0651">
              <w:rPr>
                <w:rFonts w:ascii="Arial" w:hAnsi="Arial" w:cs="Arial"/>
                <w:color w:val="000000" w:themeColor="text1"/>
                <w:sz w:val="24"/>
                <w:szCs w:val="24"/>
              </w:rPr>
              <w:t xml:space="preserve">Fraud Act 2006. </w:t>
            </w:r>
            <w:r w:rsidRPr="007F0651">
              <w:rPr>
                <w:rFonts w:ascii="Arial" w:hAnsi="Arial" w:cs="Arial"/>
                <w:i/>
                <w:iCs/>
                <w:color w:val="000000" w:themeColor="text1"/>
                <w:sz w:val="24"/>
                <w:szCs w:val="24"/>
              </w:rPr>
              <w:t xml:space="preserve">Section 4. </w:t>
            </w:r>
            <w:r w:rsidRPr="007F0651">
              <w:rPr>
                <w:rFonts w:ascii="Arial" w:hAnsi="Arial" w:cs="Arial"/>
                <w:color w:val="000000" w:themeColor="text1"/>
                <w:sz w:val="24"/>
                <w:szCs w:val="24"/>
              </w:rPr>
              <w:t xml:space="preserve">Available at </w:t>
            </w:r>
            <w:hyperlink r:id="rId35" w:history="1">
              <w:r w:rsidRPr="007F0651">
                <w:rPr>
                  <w:rStyle w:val="Hyperlink"/>
                  <w:rFonts w:ascii="Arial" w:hAnsi="Arial" w:cs="Arial"/>
                  <w:color w:val="000000" w:themeColor="text1"/>
                  <w:sz w:val="24"/>
                  <w:szCs w:val="24"/>
                </w:rPr>
                <w:t>Fraud Act 2006 (legislation.gov.uk)</w:t>
              </w:r>
            </w:hyperlink>
            <w:r w:rsidRPr="007F0651">
              <w:rPr>
                <w:rStyle w:val="Hyperlink"/>
                <w:rFonts w:ascii="Arial" w:hAnsi="Arial" w:cs="Arial"/>
                <w:color w:val="000000" w:themeColor="text1"/>
                <w:sz w:val="24"/>
                <w:szCs w:val="24"/>
              </w:rPr>
              <w:t xml:space="preserve"> (Accessed: 29 April 2024).</w:t>
            </w:r>
          </w:p>
          <w:p w14:paraId="5075C90A" w14:textId="77777777" w:rsidR="007F0651" w:rsidRPr="007F0651" w:rsidRDefault="007F0651" w:rsidP="007F0651">
            <w:pPr>
              <w:spacing w:line="240" w:lineRule="auto"/>
              <w:rPr>
                <w:rStyle w:val="Hyperlink"/>
                <w:rFonts w:ascii="Arial" w:hAnsi="Arial" w:cs="Arial"/>
                <w:color w:val="000000" w:themeColor="text1"/>
                <w:sz w:val="24"/>
                <w:szCs w:val="24"/>
              </w:rPr>
            </w:pPr>
          </w:p>
          <w:p w14:paraId="51AE5BEC" w14:textId="77777777" w:rsidR="007F0651" w:rsidRPr="007F0651" w:rsidRDefault="007F0651" w:rsidP="007F0651">
            <w:pPr>
              <w:rPr>
                <w:rStyle w:val="Hyperlink"/>
                <w:rFonts w:ascii="Arial" w:hAnsi="Arial" w:cs="Arial"/>
                <w:color w:val="000000" w:themeColor="text1"/>
                <w:sz w:val="24"/>
                <w:szCs w:val="24"/>
              </w:rPr>
            </w:pPr>
            <w:r w:rsidRPr="007F0651">
              <w:rPr>
                <w:rFonts w:ascii="Arial" w:hAnsi="Arial" w:cs="Arial"/>
                <w:color w:val="000000" w:themeColor="text1"/>
                <w:sz w:val="24"/>
                <w:szCs w:val="24"/>
              </w:rPr>
              <w:t xml:space="preserve">Fraud Act 2006. </w:t>
            </w:r>
            <w:r w:rsidRPr="007F0651">
              <w:rPr>
                <w:rFonts w:ascii="Arial" w:hAnsi="Arial" w:cs="Arial"/>
                <w:i/>
                <w:iCs/>
                <w:color w:val="000000" w:themeColor="text1"/>
                <w:sz w:val="24"/>
                <w:szCs w:val="24"/>
              </w:rPr>
              <w:t xml:space="preserve">Section 2. </w:t>
            </w:r>
            <w:r w:rsidRPr="007F0651">
              <w:rPr>
                <w:rFonts w:ascii="Arial" w:hAnsi="Arial" w:cs="Arial"/>
                <w:color w:val="000000" w:themeColor="text1"/>
                <w:sz w:val="24"/>
                <w:szCs w:val="24"/>
              </w:rPr>
              <w:t xml:space="preserve">Available at </w:t>
            </w:r>
            <w:hyperlink r:id="rId36" w:history="1">
              <w:r w:rsidRPr="007F0651">
                <w:rPr>
                  <w:rStyle w:val="Hyperlink"/>
                  <w:rFonts w:ascii="Arial" w:hAnsi="Arial" w:cs="Arial"/>
                  <w:color w:val="000000" w:themeColor="text1"/>
                  <w:sz w:val="24"/>
                  <w:szCs w:val="24"/>
                </w:rPr>
                <w:t>Fraud Act 2006 (legislation.gov.uk)</w:t>
              </w:r>
            </w:hyperlink>
            <w:r w:rsidRPr="007F0651">
              <w:rPr>
                <w:rStyle w:val="Hyperlink"/>
                <w:rFonts w:ascii="Arial" w:hAnsi="Arial" w:cs="Arial"/>
                <w:color w:val="000000" w:themeColor="text1"/>
                <w:sz w:val="24"/>
                <w:szCs w:val="24"/>
              </w:rPr>
              <w:t xml:space="preserve"> (Accessed: 29 April 2024).</w:t>
            </w:r>
          </w:p>
          <w:p w14:paraId="6768FE98" w14:textId="77777777" w:rsidR="007F0651" w:rsidRPr="007F0651" w:rsidRDefault="007F0651" w:rsidP="007F0651">
            <w:pPr>
              <w:spacing w:line="240" w:lineRule="auto"/>
              <w:rPr>
                <w:rFonts w:ascii="Arial" w:hAnsi="Arial" w:cs="Arial"/>
                <w:color w:val="000000" w:themeColor="text1"/>
                <w:sz w:val="24"/>
                <w:szCs w:val="24"/>
              </w:rPr>
            </w:pPr>
          </w:p>
          <w:p w14:paraId="41FBF512"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Hanway, P. and Hambly, O., Home Office (2023). </w:t>
            </w:r>
            <w:r w:rsidRPr="007F0651">
              <w:rPr>
                <w:rFonts w:ascii="Arial" w:hAnsi="Arial" w:cs="Arial"/>
                <w:i/>
                <w:iCs/>
                <w:color w:val="000000" w:themeColor="text1"/>
                <w:sz w:val="24"/>
                <w:szCs w:val="24"/>
              </w:rPr>
              <w:t xml:space="preserve"> Public perceptions of policing: A review of research and literature</w:t>
            </w:r>
            <w:r w:rsidRPr="007F0651">
              <w:rPr>
                <w:rFonts w:ascii="Arial" w:hAnsi="Arial" w:cs="Arial"/>
                <w:color w:val="000000" w:themeColor="text1"/>
                <w:sz w:val="24"/>
                <w:szCs w:val="24"/>
              </w:rPr>
              <w:t xml:space="preserve">. Available at </w:t>
            </w:r>
            <w:hyperlink r:id="rId37" w:anchor="findings" w:history="1">
              <w:r w:rsidRPr="007F0651">
                <w:rPr>
                  <w:rStyle w:val="Hyperlink"/>
                  <w:rFonts w:ascii="Arial" w:hAnsi="Arial" w:cs="Arial"/>
                  <w:color w:val="000000" w:themeColor="text1"/>
                  <w:sz w:val="24"/>
                  <w:szCs w:val="24"/>
                </w:rPr>
                <w:t>Public perceptions of policing: A review of research and literature - GOV.UK (www.gov.uk)</w:t>
              </w:r>
            </w:hyperlink>
            <w:r w:rsidRPr="007F0651">
              <w:rPr>
                <w:rFonts w:ascii="Arial" w:hAnsi="Arial" w:cs="Arial"/>
                <w:color w:val="000000" w:themeColor="text1"/>
                <w:sz w:val="24"/>
                <w:szCs w:val="24"/>
              </w:rPr>
              <w:t xml:space="preserve"> (Accessed: 29 April 2024).</w:t>
            </w:r>
          </w:p>
          <w:p w14:paraId="79F583EF" w14:textId="77777777" w:rsidR="007F0651" w:rsidRPr="007F0651" w:rsidRDefault="007F0651" w:rsidP="007F0651">
            <w:pPr>
              <w:spacing w:line="240" w:lineRule="auto"/>
              <w:rPr>
                <w:rFonts w:ascii="Arial" w:hAnsi="Arial" w:cs="Arial"/>
                <w:color w:val="000000" w:themeColor="text1"/>
                <w:sz w:val="24"/>
                <w:szCs w:val="24"/>
              </w:rPr>
            </w:pPr>
          </w:p>
          <w:p w14:paraId="5AD36434" w14:textId="77777777" w:rsidR="007F0651" w:rsidRPr="007F0651" w:rsidRDefault="007F0651" w:rsidP="007F0651">
            <w:pPr>
              <w:rPr>
                <w:rFonts w:ascii="Arial" w:hAnsi="Arial" w:cs="Arial"/>
                <w:color w:val="000000" w:themeColor="text1"/>
                <w:sz w:val="24"/>
                <w:szCs w:val="24"/>
                <w:u w:val="single"/>
              </w:rPr>
            </w:pPr>
            <w:r w:rsidRPr="007F0651">
              <w:rPr>
                <w:rStyle w:val="Hyperlink"/>
                <w:rFonts w:ascii="Arial" w:hAnsi="Arial" w:cs="Arial"/>
                <w:color w:val="000000" w:themeColor="text1"/>
                <w:sz w:val="24"/>
                <w:szCs w:val="24"/>
              </w:rPr>
              <w:t>Harewood Law (no date)</w:t>
            </w:r>
            <w:r w:rsidRPr="007F0651">
              <w:rPr>
                <w:rFonts w:ascii="Arial" w:hAnsi="Arial" w:cs="Arial"/>
                <w:sz w:val="24"/>
                <w:szCs w:val="24"/>
              </w:rPr>
              <w:t xml:space="preserve"> </w:t>
            </w:r>
            <w:r w:rsidRPr="007F0651">
              <w:rPr>
                <w:rFonts w:ascii="Arial" w:hAnsi="Arial" w:cs="Arial"/>
                <w:i/>
                <w:iCs/>
                <w:sz w:val="24"/>
                <w:szCs w:val="24"/>
              </w:rPr>
              <w:t>I’ve been asked to attend a voluntary police interview. Do I need a solicitor?</w:t>
            </w:r>
            <w:r w:rsidRPr="007F0651">
              <w:rPr>
                <w:rFonts w:ascii="Arial" w:hAnsi="Arial" w:cs="Arial"/>
                <w:sz w:val="24"/>
                <w:szCs w:val="24"/>
              </w:rPr>
              <w:t xml:space="preserve"> </w:t>
            </w:r>
            <w:r w:rsidRPr="007F0651">
              <w:rPr>
                <w:rFonts w:ascii="Arial" w:hAnsi="Arial" w:cs="Arial"/>
                <w:color w:val="000000" w:themeColor="text1"/>
                <w:sz w:val="24"/>
                <w:szCs w:val="24"/>
              </w:rPr>
              <w:t xml:space="preserve">Available at </w:t>
            </w:r>
            <w:hyperlink r:id="rId38" w:history="1">
              <w:r w:rsidRPr="007F0651">
                <w:rPr>
                  <w:rStyle w:val="Hyperlink"/>
                  <w:rFonts w:ascii="Arial" w:hAnsi="Arial" w:cs="Arial"/>
                  <w:color w:val="000000" w:themeColor="text1"/>
                  <w:sz w:val="24"/>
                  <w:szCs w:val="24"/>
                </w:rPr>
                <w:t>I’ve been asked to attend a voluntary police interview. Do I need a solicitor? - Harewood Law</w:t>
              </w:r>
            </w:hyperlink>
            <w:r w:rsidRPr="007F0651">
              <w:rPr>
                <w:rFonts w:ascii="Arial" w:hAnsi="Arial" w:cs="Arial"/>
                <w:color w:val="000000" w:themeColor="text1"/>
                <w:sz w:val="24"/>
                <w:szCs w:val="24"/>
              </w:rPr>
              <w:t xml:space="preserve"> (Accessed: 27 April 2024).</w:t>
            </w:r>
          </w:p>
          <w:p w14:paraId="7AB80CCF" w14:textId="77777777" w:rsidR="007F0651" w:rsidRPr="007F0651" w:rsidRDefault="007F0651" w:rsidP="007F0651">
            <w:pPr>
              <w:spacing w:line="240" w:lineRule="auto"/>
              <w:rPr>
                <w:rFonts w:ascii="Arial" w:hAnsi="Arial" w:cs="Arial"/>
                <w:color w:val="000000" w:themeColor="text1"/>
                <w:sz w:val="24"/>
                <w:szCs w:val="24"/>
              </w:rPr>
            </w:pPr>
          </w:p>
          <w:p w14:paraId="01D04CF3"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Independent Office for Police Conduct [IOPC] (2023) </w:t>
            </w:r>
            <w:r w:rsidRPr="007F0651">
              <w:rPr>
                <w:rFonts w:ascii="Arial" w:hAnsi="Arial" w:cs="Arial"/>
                <w:i/>
                <w:iCs/>
                <w:color w:val="000000" w:themeColor="text1"/>
                <w:sz w:val="24"/>
                <w:szCs w:val="24"/>
              </w:rPr>
              <w:t>IOPC publishes figures on police complaints made in 2022/23</w:t>
            </w:r>
            <w:r w:rsidRPr="007F0651">
              <w:rPr>
                <w:rFonts w:ascii="Arial" w:hAnsi="Arial" w:cs="Arial"/>
                <w:color w:val="000000" w:themeColor="text1"/>
                <w:sz w:val="24"/>
                <w:szCs w:val="24"/>
              </w:rPr>
              <w:t xml:space="preserve">. Available at </w:t>
            </w:r>
            <w:hyperlink r:id="rId39" w:history="1">
              <w:r w:rsidRPr="007F0651">
                <w:rPr>
                  <w:rStyle w:val="Hyperlink"/>
                  <w:rFonts w:ascii="Arial" w:hAnsi="Arial" w:cs="Arial"/>
                  <w:color w:val="000000" w:themeColor="text1"/>
                  <w:sz w:val="24"/>
                  <w:szCs w:val="24"/>
                </w:rPr>
                <w:t xml:space="preserve">IOPC publishes figures on police </w:t>
              </w:r>
              <w:r w:rsidRPr="007F0651">
                <w:rPr>
                  <w:rStyle w:val="Hyperlink"/>
                  <w:rFonts w:ascii="Arial" w:hAnsi="Arial" w:cs="Arial"/>
                  <w:color w:val="000000" w:themeColor="text1"/>
                  <w:sz w:val="24"/>
                  <w:szCs w:val="24"/>
                </w:rPr>
                <w:lastRenderedPageBreak/>
                <w:t>complaints made in 2022/23 | Independent Office for Police Conduct (IOPC)</w:t>
              </w:r>
            </w:hyperlink>
            <w:r w:rsidRPr="007F0651">
              <w:rPr>
                <w:rFonts w:ascii="Arial" w:hAnsi="Arial" w:cs="Arial"/>
                <w:color w:val="000000" w:themeColor="text1"/>
                <w:sz w:val="24"/>
                <w:szCs w:val="24"/>
              </w:rPr>
              <w:t xml:space="preserve"> (Accessed: 28 April 2024).</w:t>
            </w:r>
          </w:p>
          <w:p w14:paraId="2F24C18C" w14:textId="77777777" w:rsidR="007F0651" w:rsidRPr="007F0651" w:rsidRDefault="007F0651" w:rsidP="007F0651">
            <w:pPr>
              <w:rPr>
                <w:rFonts w:ascii="Arial" w:hAnsi="Arial" w:cs="Arial"/>
                <w:color w:val="000000" w:themeColor="text1"/>
                <w:sz w:val="24"/>
                <w:szCs w:val="24"/>
              </w:rPr>
            </w:pPr>
          </w:p>
          <w:p w14:paraId="3021E557"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Klenig, J. (1996) </w:t>
            </w:r>
            <w:r w:rsidRPr="007F0651">
              <w:rPr>
                <w:rFonts w:ascii="Arial" w:hAnsi="Arial" w:cs="Arial"/>
                <w:i/>
                <w:iCs/>
                <w:color w:val="000000" w:themeColor="text1"/>
                <w:sz w:val="24"/>
                <w:szCs w:val="24"/>
              </w:rPr>
              <w:t xml:space="preserve">The ethics of policing. </w:t>
            </w:r>
            <w:r w:rsidRPr="007F0651">
              <w:rPr>
                <w:rFonts w:ascii="Arial" w:hAnsi="Arial" w:cs="Arial"/>
                <w:color w:val="000000" w:themeColor="text1"/>
                <w:sz w:val="24"/>
                <w:szCs w:val="24"/>
              </w:rPr>
              <w:t>Cambridge: Cambridge University Press.</w:t>
            </w:r>
          </w:p>
          <w:p w14:paraId="1F67FE0B" w14:textId="77777777" w:rsidR="007F0651" w:rsidRPr="007F0651" w:rsidRDefault="007F0651" w:rsidP="007F0651">
            <w:pPr>
              <w:spacing w:line="240" w:lineRule="auto"/>
              <w:rPr>
                <w:rFonts w:ascii="Arial" w:hAnsi="Arial" w:cs="Arial"/>
                <w:color w:val="000000" w:themeColor="text1"/>
                <w:sz w:val="24"/>
                <w:szCs w:val="24"/>
              </w:rPr>
            </w:pPr>
          </w:p>
          <w:p w14:paraId="7389B1C0"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Mackintosh, M. and Cooney, C. (2023) ‘1,000 Met Police officers suspended or on restricted duties’, </w:t>
            </w:r>
            <w:r w:rsidRPr="007F0651">
              <w:rPr>
                <w:rFonts w:ascii="Arial" w:hAnsi="Arial" w:cs="Arial"/>
                <w:i/>
                <w:iCs/>
                <w:color w:val="000000" w:themeColor="text1"/>
                <w:sz w:val="24"/>
                <w:szCs w:val="24"/>
              </w:rPr>
              <w:t xml:space="preserve">BBC News, </w:t>
            </w:r>
            <w:r w:rsidRPr="007F0651">
              <w:rPr>
                <w:rFonts w:ascii="Arial" w:hAnsi="Arial" w:cs="Arial"/>
                <w:color w:val="000000" w:themeColor="text1"/>
                <w:sz w:val="24"/>
                <w:szCs w:val="24"/>
              </w:rPr>
              <w:t xml:space="preserve">19 September. Available at </w:t>
            </w:r>
            <w:hyperlink r:id="rId40" w:history="1">
              <w:r w:rsidRPr="007F0651">
                <w:rPr>
                  <w:rStyle w:val="Hyperlink"/>
                  <w:rFonts w:ascii="Arial" w:hAnsi="Arial" w:cs="Arial"/>
                  <w:color w:val="000000" w:themeColor="text1"/>
                  <w:sz w:val="24"/>
                  <w:szCs w:val="24"/>
                </w:rPr>
                <w:t>1,000 Met Police officers suspended or on restricted duties - BBC News</w:t>
              </w:r>
            </w:hyperlink>
            <w:r w:rsidRPr="007F0651">
              <w:rPr>
                <w:rFonts w:ascii="Arial" w:hAnsi="Arial" w:cs="Arial"/>
                <w:color w:val="000000" w:themeColor="text1"/>
                <w:sz w:val="24"/>
                <w:szCs w:val="24"/>
              </w:rPr>
              <w:t xml:space="preserve"> (Accessed: 28 April 2024).</w:t>
            </w:r>
          </w:p>
          <w:p w14:paraId="04751714" w14:textId="77777777" w:rsidR="007F0651" w:rsidRPr="007F0651" w:rsidRDefault="007F0651" w:rsidP="007F0651">
            <w:pPr>
              <w:spacing w:line="240" w:lineRule="auto"/>
              <w:rPr>
                <w:rFonts w:ascii="Arial" w:hAnsi="Arial" w:cs="Arial"/>
                <w:color w:val="000000" w:themeColor="text1"/>
                <w:sz w:val="24"/>
                <w:szCs w:val="24"/>
              </w:rPr>
            </w:pPr>
          </w:p>
          <w:p w14:paraId="5DF1122E" w14:textId="02FD02D4" w:rsidR="007F0651" w:rsidRDefault="007F0651" w:rsidP="007F0651">
            <w:pPr>
              <w:spacing w:after="160"/>
              <w:rPr>
                <w:rStyle w:val="Hyperlink"/>
                <w:rFonts w:ascii="Arial" w:hAnsi="Arial" w:cs="Arial"/>
                <w:color w:val="000000" w:themeColor="text1"/>
                <w:sz w:val="24"/>
                <w:szCs w:val="24"/>
              </w:rPr>
            </w:pPr>
            <w:r w:rsidRPr="007F0651">
              <w:rPr>
                <w:rFonts w:ascii="Arial" w:hAnsi="Arial" w:cs="Arial"/>
                <w:color w:val="000000" w:themeColor="text1"/>
                <w:sz w:val="24"/>
                <w:szCs w:val="24"/>
              </w:rPr>
              <w:t xml:space="preserve">Police And Criminal Evidence Act 1984 Code C (2023). Available at </w:t>
            </w:r>
            <w:hyperlink r:id="rId41" w:anchor="initial-action" w:history="1">
              <w:r w:rsidRPr="007F0651">
                <w:rPr>
                  <w:rStyle w:val="Hyperlink"/>
                  <w:rFonts w:ascii="Arial" w:hAnsi="Arial" w:cs="Arial"/>
                  <w:color w:val="000000" w:themeColor="text1"/>
                  <w:sz w:val="24"/>
                  <w:szCs w:val="24"/>
                </w:rPr>
                <w:t>PACE Code C 2023 (accessible) - GOV.UK (www.gov.uk)</w:t>
              </w:r>
            </w:hyperlink>
            <w:r w:rsidRPr="009838BF">
              <w:rPr>
                <w:rStyle w:val="Hyperlink"/>
                <w:rFonts w:ascii="Arial" w:hAnsi="Arial" w:cs="Arial"/>
                <w:color w:val="000000" w:themeColor="text1"/>
                <w:sz w:val="24"/>
                <w:szCs w:val="24"/>
                <w:u w:val="none"/>
              </w:rPr>
              <w:t xml:space="preserve"> (Accessed: 29 April 2024).</w:t>
            </w:r>
          </w:p>
          <w:p w14:paraId="359F58CB" w14:textId="77777777" w:rsidR="009838BF" w:rsidRPr="007F0651" w:rsidRDefault="009838BF" w:rsidP="007F0651">
            <w:pPr>
              <w:spacing w:line="240" w:lineRule="auto"/>
              <w:rPr>
                <w:rStyle w:val="Hyperlink"/>
                <w:rFonts w:ascii="Arial" w:hAnsi="Arial" w:cs="Arial"/>
                <w:color w:val="000000" w:themeColor="text1"/>
                <w:sz w:val="24"/>
                <w:szCs w:val="24"/>
              </w:rPr>
            </w:pPr>
          </w:p>
          <w:p w14:paraId="0453494E" w14:textId="77777777" w:rsidR="007F0651" w:rsidRPr="007F0651" w:rsidRDefault="007F0651" w:rsidP="007F0651">
            <w:pPr>
              <w:rPr>
                <w:rStyle w:val="Hyperlink"/>
                <w:rFonts w:ascii="Arial" w:hAnsi="Arial" w:cs="Arial"/>
                <w:color w:val="000000" w:themeColor="text1"/>
                <w:sz w:val="24"/>
                <w:szCs w:val="24"/>
              </w:rPr>
            </w:pPr>
            <w:r w:rsidRPr="007F0651">
              <w:rPr>
                <w:rFonts w:ascii="Arial" w:hAnsi="Arial" w:cs="Arial"/>
                <w:color w:val="000000" w:themeColor="text1"/>
                <w:sz w:val="24"/>
                <w:szCs w:val="24"/>
              </w:rPr>
              <w:t xml:space="preserve">Police And Criminal Evidence Act 1984 Code E (2016). Available at </w:t>
            </w:r>
            <w:hyperlink r:id="rId42" w:history="1">
              <w:r w:rsidRPr="007F0651">
                <w:rPr>
                  <w:rStyle w:val="Hyperlink"/>
                  <w:rFonts w:ascii="Arial" w:hAnsi="Arial" w:cs="Arial"/>
                  <w:color w:val="000000" w:themeColor="text1"/>
                  <w:sz w:val="24"/>
                  <w:szCs w:val="24"/>
                </w:rPr>
                <w:t>Code E - Revised - Code of Practice on Audio Recording Interviews with Suspects (publishing.service.gov.uk)</w:t>
              </w:r>
            </w:hyperlink>
            <w:r w:rsidRPr="009838BF">
              <w:rPr>
                <w:rStyle w:val="Hyperlink"/>
                <w:rFonts w:ascii="Arial" w:hAnsi="Arial" w:cs="Arial"/>
                <w:color w:val="000000" w:themeColor="text1"/>
                <w:sz w:val="24"/>
                <w:szCs w:val="24"/>
                <w:u w:val="none"/>
              </w:rPr>
              <w:t xml:space="preserve"> (Accessed: 29 April 2024).</w:t>
            </w:r>
          </w:p>
          <w:p w14:paraId="0A2FD99B" w14:textId="77777777" w:rsidR="007F0651" w:rsidRPr="007F0651" w:rsidRDefault="007F0651" w:rsidP="007F0651">
            <w:pPr>
              <w:rPr>
                <w:rStyle w:val="Hyperlink"/>
                <w:rFonts w:ascii="Arial" w:hAnsi="Arial" w:cs="Arial"/>
                <w:color w:val="000000" w:themeColor="text1"/>
                <w:sz w:val="24"/>
                <w:szCs w:val="24"/>
              </w:rPr>
            </w:pPr>
          </w:p>
          <w:p w14:paraId="68BBBF7C" w14:textId="77777777" w:rsidR="007F0651" w:rsidRPr="007F0651" w:rsidRDefault="007F0651" w:rsidP="007F0651">
            <w:pPr>
              <w:rPr>
                <w:rFonts w:ascii="Arial" w:hAnsi="Arial" w:cs="Arial"/>
                <w:color w:val="000000" w:themeColor="text1"/>
                <w:sz w:val="24"/>
                <w:szCs w:val="24"/>
              </w:rPr>
            </w:pPr>
            <w:r w:rsidRPr="007F0651">
              <w:rPr>
                <w:rStyle w:val="Hyperlink"/>
                <w:rFonts w:ascii="Arial" w:hAnsi="Arial" w:cs="Arial"/>
                <w:color w:val="000000" w:themeColor="text1"/>
                <w:sz w:val="24"/>
                <w:szCs w:val="24"/>
              </w:rPr>
              <w:t xml:space="preserve">Police And Criminal Evidence Act 1984 Code G (2012). Available at </w:t>
            </w:r>
            <w:hyperlink r:id="rId43" w:history="1">
              <w:r w:rsidRPr="007F0651">
                <w:rPr>
                  <w:rStyle w:val="Hyperlink"/>
                  <w:rFonts w:ascii="Arial" w:hAnsi="Arial" w:cs="Arial"/>
                  <w:color w:val="000000" w:themeColor="text1"/>
                  <w:sz w:val="24"/>
                  <w:szCs w:val="24"/>
                </w:rPr>
                <w:t>PACE Code G 2012 (accessible) - GOV.UK (www.gov.uk)</w:t>
              </w:r>
            </w:hyperlink>
            <w:r w:rsidRPr="007F0651">
              <w:rPr>
                <w:rFonts w:ascii="Arial" w:hAnsi="Arial" w:cs="Arial"/>
                <w:color w:val="000000" w:themeColor="text1"/>
                <w:sz w:val="24"/>
                <w:szCs w:val="24"/>
              </w:rPr>
              <w:t xml:space="preserve"> (Accessed: 28 April 2024).</w:t>
            </w:r>
          </w:p>
          <w:p w14:paraId="05ADF063" w14:textId="77777777" w:rsidR="007F0651" w:rsidRPr="007F0651" w:rsidRDefault="007F0651" w:rsidP="007F0651">
            <w:pPr>
              <w:spacing w:line="240" w:lineRule="auto"/>
              <w:rPr>
                <w:rFonts w:ascii="Arial" w:hAnsi="Arial" w:cs="Arial"/>
                <w:color w:val="000000" w:themeColor="text1"/>
                <w:sz w:val="24"/>
                <w:szCs w:val="24"/>
              </w:rPr>
            </w:pPr>
          </w:p>
          <w:p w14:paraId="7CEBAE7F"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Police And Criminal Evidence Act 1984. </w:t>
            </w:r>
            <w:r w:rsidRPr="007F0651">
              <w:rPr>
                <w:rFonts w:ascii="Arial" w:hAnsi="Arial" w:cs="Arial"/>
                <w:i/>
                <w:iCs/>
                <w:color w:val="000000" w:themeColor="text1"/>
                <w:sz w:val="24"/>
                <w:szCs w:val="24"/>
              </w:rPr>
              <w:t xml:space="preserve">section 32. </w:t>
            </w:r>
            <w:r w:rsidRPr="007F0651">
              <w:rPr>
                <w:rFonts w:ascii="Arial" w:hAnsi="Arial" w:cs="Arial"/>
                <w:color w:val="000000" w:themeColor="text1"/>
                <w:sz w:val="24"/>
                <w:szCs w:val="24"/>
              </w:rPr>
              <w:t xml:space="preserve">Available at </w:t>
            </w:r>
            <w:hyperlink r:id="rId44" w:history="1">
              <w:r w:rsidRPr="007F0651">
                <w:rPr>
                  <w:rStyle w:val="Hyperlink"/>
                  <w:rFonts w:ascii="Arial" w:hAnsi="Arial" w:cs="Arial"/>
                  <w:color w:val="000000" w:themeColor="text1"/>
                  <w:sz w:val="24"/>
                  <w:szCs w:val="24"/>
                </w:rPr>
                <w:t>Police and Criminal Evidence Act 1984 (legislation.gov.uk)</w:t>
              </w:r>
            </w:hyperlink>
            <w:r w:rsidRPr="009838BF">
              <w:rPr>
                <w:rStyle w:val="Hyperlink"/>
                <w:rFonts w:ascii="Arial" w:hAnsi="Arial" w:cs="Arial"/>
                <w:color w:val="000000" w:themeColor="text1"/>
                <w:sz w:val="24"/>
                <w:szCs w:val="24"/>
                <w:u w:val="none"/>
              </w:rPr>
              <w:t xml:space="preserve"> (Accessed: 30 April 2024).</w:t>
            </w:r>
          </w:p>
          <w:p w14:paraId="7892489A" w14:textId="77777777" w:rsidR="007F0651" w:rsidRPr="007F0651" w:rsidRDefault="007F0651" w:rsidP="007F0651">
            <w:pPr>
              <w:rPr>
                <w:rFonts w:ascii="Arial" w:hAnsi="Arial" w:cs="Arial"/>
                <w:color w:val="000000" w:themeColor="text1"/>
                <w:sz w:val="24"/>
                <w:szCs w:val="24"/>
              </w:rPr>
            </w:pPr>
          </w:p>
          <w:p w14:paraId="1EF82F90" w14:textId="77777777" w:rsidR="007F0651" w:rsidRPr="007F0651" w:rsidRDefault="007F0651" w:rsidP="007F0651">
            <w:pPr>
              <w:rPr>
                <w:rFonts w:ascii="Arial" w:hAnsi="Arial" w:cs="Arial"/>
                <w:color w:val="000000" w:themeColor="text1"/>
                <w:sz w:val="24"/>
                <w:szCs w:val="24"/>
              </w:rPr>
            </w:pPr>
            <w:r w:rsidRPr="007F0651">
              <w:rPr>
                <w:rFonts w:ascii="Arial" w:hAnsi="Arial" w:cs="Arial"/>
                <w:color w:val="000000" w:themeColor="text1"/>
                <w:sz w:val="24"/>
                <w:szCs w:val="24"/>
              </w:rPr>
              <w:t xml:space="preserve">Police And Criminal Evidence Act 1984. </w:t>
            </w:r>
            <w:r w:rsidRPr="007F0651">
              <w:rPr>
                <w:rFonts w:ascii="Arial" w:hAnsi="Arial" w:cs="Arial"/>
                <w:i/>
                <w:iCs/>
                <w:color w:val="000000" w:themeColor="text1"/>
                <w:sz w:val="24"/>
                <w:szCs w:val="24"/>
              </w:rPr>
              <w:t>section 18</w:t>
            </w:r>
            <w:r w:rsidRPr="007F0651">
              <w:rPr>
                <w:rFonts w:ascii="Arial" w:hAnsi="Arial" w:cs="Arial"/>
                <w:color w:val="000000" w:themeColor="text1"/>
                <w:sz w:val="24"/>
                <w:szCs w:val="24"/>
              </w:rPr>
              <w:t xml:space="preserve">. Available at:  </w:t>
            </w:r>
            <w:hyperlink r:id="rId45" w:anchor=":~:text=%281%29%20Subject%20to%20the%20following%20provisions%20of%20this,than%20items%20subject%20to%20legal%20privilege%2C%20that%20relates%E2%80%94" w:history="1">
              <w:r w:rsidRPr="007F0651">
                <w:rPr>
                  <w:rStyle w:val="Hyperlink"/>
                  <w:rFonts w:ascii="Arial" w:hAnsi="Arial" w:cs="Arial"/>
                  <w:color w:val="000000" w:themeColor="text1"/>
                  <w:sz w:val="24"/>
                  <w:szCs w:val="24"/>
                </w:rPr>
                <w:t>Police and Criminal Evidence Act 1984 (legislation.gov.uk)</w:t>
              </w:r>
            </w:hyperlink>
            <w:r w:rsidRPr="009838BF">
              <w:rPr>
                <w:rStyle w:val="Hyperlink"/>
                <w:rFonts w:ascii="Arial" w:hAnsi="Arial" w:cs="Arial"/>
                <w:color w:val="000000" w:themeColor="text1"/>
                <w:sz w:val="24"/>
                <w:szCs w:val="24"/>
                <w:u w:val="none"/>
              </w:rPr>
              <w:t xml:space="preserve"> (Accessed: 30 April 2024).</w:t>
            </w:r>
          </w:p>
          <w:p w14:paraId="32456548" w14:textId="77777777" w:rsidR="007F0651" w:rsidRPr="007F0651" w:rsidRDefault="007F0651" w:rsidP="007F0651">
            <w:pPr>
              <w:spacing w:line="240" w:lineRule="auto"/>
              <w:rPr>
                <w:rFonts w:ascii="Arial" w:hAnsi="Arial" w:cs="Arial"/>
                <w:color w:val="000000" w:themeColor="text1"/>
                <w:sz w:val="24"/>
                <w:szCs w:val="24"/>
              </w:rPr>
            </w:pPr>
          </w:p>
          <w:p w14:paraId="2B4B36F3" w14:textId="77777777" w:rsidR="007F0651" w:rsidRPr="007F0651" w:rsidRDefault="007F0651" w:rsidP="007F0651">
            <w:pPr>
              <w:spacing w:line="240" w:lineRule="auto"/>
              <w:rPr>
                <w:rStyle w:val="Hyperlink"/>
                <w:rFonts w:ascii="Arial" w:hAnsi="Arial" w:cs="Arial"/>
                <w:color w:val="000000" w:themeColor="text1"/>
                <w:sz w:val="24"/>
                <w:szCs w:val="24"/>
              </w:rPr>
            </w:pPr>
            <w:r w:rsidRPr="007F0651">
              <w:rPr>
                <w:rFonts w:ascii="Arial" w:hAnsi="Arial" w:cs="Arial"/>
                <w:color w:val="000000" w:themeColor="text1"/>
                <w:sz w:val="24"/>
                <w:szCs w:val="24"/>
              </w:rPr>
              <w:t xml:space="preserve">PEARSE, J. and Gudjonsson, G. (1997) ‘Police Interviewing and legal representation: A field study’, </w:t>
            </w:r>
            <w:r w:rsidRPr="007F0651">
              <w:rPr>
                <w:rFonts w:ascii="Arial" w:hAnsi="Arial" w:cs="Arial"/>
                <w:i/>
                <w:iCs/>
                <w:color w:val="000000" w:themeColor="text1"/>
                <w:sz w:val="24"/>
                <w:szCs w:val="24"/>
              </w:rPr>
              <w:t xml:space="preserve">The journal of forensic Psychiatry, </w:t>
            </w:r>
            <w:r w:rsidRPr="007F0651">
              <w:rPr>
                <w:rFonts w:ascii="Arial" w:hAnsi="Arial" w:cs="Arial"/>
                <w:color w:val="000000" w:themeColor="text1"/>
                <w:sz w:val="24"/>
                <w:szCs w:val="24"/>
              </w:rPr>
              <w:t xml:space="preserve">8(1), pp. 200-208. Available at: </w:t>
            </w:r>
            <w:hyperlink r:id="rId46" w:history="1">
              <w:r w:rsidRPr="007F0651">
                <w:rPr>
                  <w:rStyle w:val="Hyperlink"/>
                  <w:rFonts w:ascii="Arial" w:hAnsi="Arial" w:cs="Arial"/>
                  <w:color w:val="000000" w:themeColor="text1"/>
                  <w:sz w:val="24"/>
                  <w:szCs w:val="24"/>
                </w:rPr>
                <w:t>Police interviewing and legal representation: A field study: The Journal of Forensic Psychiatry: Vol 8, No 1 (tandfonline.com)</w:t>
              </w:r>
            </w:hyperlink>
          </w:p>
          <w:p w14:paraId="279C294E" w14:textId="77777777" w:rsidR="00922739" w:rsidRDefault="00922739" w:rsidP="2F17ACDD">
            <w:pPr>
              <w:rPr>
                <w:rFonts w:ascii="Arial" w:eastAsia="Arial" w:hAnsi="Arial" w:cs="Arial"/>
                <w:b/>
                <w:bCs/>
                <w:color w:val="000000" w:themeColor="text1"/>
                <w:sz w:val="24"/>
                <w:szCs w:val="24"/>
              </w:rPr>
            </w:pPr>
          </w:p>
          <w:p w14:paraId="02FCCB4D" w14:textId="77777777" w:rsidR="00D04DED" w:rsidRPr="00DB31DF" w:rsidRDefault="00D04DED" w:rsidP="2F17ACDD">
            <w:pPr>
              <w:rPr>
                <w:rFonts w:ascii="Arial" w:eastAsia="Arial" w:hAnsi="Arial" w:cs="Arial"/>
                <w:b/>
                <w:bCs/>
                <w:color w:val="000000" w:themeColor="text1"/>
                <w:sz w:val="24"/>
                <w:szCs w:val="24"/>
              </w:rPr>
            </w:pPr>
          </w:p>
          <w:p w14:paraId="32D22CF4" w14:textId="006C17EB" w:rsidR="2F17ACDD" w:rsidRDefault="2F17ACDD" w:rsidP="2F17ACDD">
            <w:pPr>
              <w:rPr>
                <w:rFonts w:ascii="Arial" w:eastAsia="Arial" w:hAnsi="Arial" w:cs="Arial"/>
                <w:color w:val="000000" w:themeColor="text1"/>
                <w:sz w:val="24"/>
                <w:szCs w:val="24"/>
              </w:rPr>
            </w:pPr>
          </w:p>
          <w:p w14:paraId="296E3AF7" w14:textId="443BB977" w:rsidR="7336895D" w:rsidRDefault="544C3B79" w:rsidP="2F17ACDD">
            <w:pPr>
              <w:ind w:right="237"/>
              <w:jc w:val="both"/>
              <w:rPr>
                <w:rFonts w:ascii="Arial" w:eastAsia="Arial" w:hAnsi="Arial" w:cs="Arial"/>
                <w:sz w:val="24"/>
                <w:szCs w:val="24"/>
              </w:rPr>
            </w:pPr>
            <w:r w:rsidRPr="2F17ACDD">
              <w:rPr>
                <w:rFonts w:ascii="Arial" w:eastAsia="Arial" w:hAnsi="Arial" w:cs="Arial"/>
                <w:b/>
                <w:bCs/>
                <w:color w:val="000000" w:themeColor="text1"/>
                <w:sz w:val="24"/>
                <w:szCs w:val="24"/>
              </w:rPr>
              <w:t xml:space="preserve">2000 words </w:t>
            </w:r>
            <w:r w:rsidRPr="2F17ACDD">
              <w:rPr>
                <w:rFonts w:ascii="Arial" w:eastAsia="Arial" w:hAnsi="Arial" w:cs="Arial"/>
                <w:i/>
                <w:iCs/>
                <w:color w:val="000000" w:themeColor="text1"/>
                <w:sz w:val="24"/>
                <w:szCs w:val="24"/>
              </w:rPr>
              <w:t>(+/- 10%: include your actual word count at the end of each section)</w:t>
            </w:r>
          </w:p>
        </w:tc>
      </w:tr>
    </w:tbl>
    <w:p w14:paraId="7C247AEB" w14:textId="3F5406C8" w:rsidR="2F17ACDD" w:rsidRDefault="2F17ACDD" w:rsidP="2F17ACDD">
      <w:pPr>
        <w:ind w:left="3600" w:right="107" w:firstLine="720"/>
        <w:jc w:val="both"/>
        <w:rPr>
          <w:rFonts w:ascii="Arial" w:eastAsia="Arial" w:hAnsi="Arial" w:cs="Arial"/>
          <w:b/>
          <w:bCs/>
          <w:color w:val="000000" w:themeColor="text1"/>
          <w:sz w:val="24"/>
          <w:szCs w:val="24"/>
        </w:rPr>
      </w:pPr>
    </w:p>
    <w:p w14:paraId="798286C5" w14:textId="19397D7A" w:rsidR="2C28128D" w:rsidRDefault="2C28128D" w:rsidP="2F17ACDD">
      <w:pPr>
        <w:ind w:right="107"/>
        <w:jc w:val="both"/>
        <w:rPr>
          <w:rFonts w:ascii="Arial" w:eastAsia="Arial" w:hAnsi="Arial" w:cs="Arial"/>
          <w:b/>
          <w:bCs/>
          <w:i/>
          <w:iCs/>
          <w:color w:val="000000" w:themeColor="text1"/>
          <w:sz w:val="24"/>
          <w:szCs w:val="24"/>
        </w:rPr>
      </w:pPr>
      <w:r w:rsidRPr="2F17ACDD">
        <w:rPr>
          <w:rFonts w:ascii="Arial" w:eastAsia="Arial" w:hAnsi="Arial" w:cs="Arial"/>
          <w:b/>
          <w:bCs/>
          <w:i/>
          <w:iCs/>
          <w:color w:val="000000" w:themeColor="text1"/>
          <w:sz w:val="24"/>
          <w:szCs w:val="24"/>
        </w:rPr>
        <w:t xml:space="preserve">Task 4: </w:t>
      </w:r>
      <w:r w:rsidR="62C030DE" w:rsidRPr="2F17ACDD">
        <w:rPr>
          <w:rFonts w:ascii="Arial" w:eastAsia="Arial" w:hAnsi="Arial" w:cs="Arial"/>
          <w:b/>
          <w:bCs/>
          <w:i/>
          <w:iCs/>
          <w:color w:val="000000" w:themeColor="text1"/>
          <w:sz w:val="24"/>
          <w:szCs w:val="24"/>
        </w:rPr>
        <w:t>Investigation documentation processes</w:t>
      </w:r>
    </w:p>
    <w:p w14:paraId="043F77C6" w14:textId="1A09E684" w:rsidR="727E3A7D" w:rsidRDefault="62F55F56"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You must choose an investigation in which you played a significant role and reflect upon how you completed </w:t>
      </w:r>
      <w:r w:rsidR="1BCE5E2F" w:rsidRPr="2F17ACDD">
        <w:rPr>
          <w:rFonts w:ascii="Arial" w:eastAsia="Arial" w:hAnsi="Arial" w:cs="Arial"/>
          <w:color w:val="000000" w:themeColor="text1"/>
          <w:sz w:val="24"/>
          <w:szCs w:val="24"/>
        </w:rPr>
        <w:t xml:space="preserve">relevant documentation in relation to the investigation. </w:t>
      </w:r>
      <w:r w:rsidRPr="2F17ACDD">
        <w:rPr>
          <w:rFonts w:ascii="Arial" w:eastAsia="Arial" w:hAnsi="Arial" w:cs="Arial"/>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14:paraId="2EA4F0B4" w14:textId="77777777" w:rsidTr="2F17ACDD">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760D530E" w:rsidR="7336895D" w:rsidRDefault="71E6567F" w:rsidP="515A1CF8">
            <w:pPr>
              <w:rPr>
                <w:rFonts w:ascii="Arial" w:eastAsia="Arial" w:hAnsi="Arial" w:cs="Arial"/>
                <w:b/>
                <w:bCs/>
                <w:color w:val="000000" w:themeColor="text1"/>
                <w:sz w:val="24"/>
                <w:szCs w:val="24"/>
              </w:rPr>
            </w:pPr>
            <w:r w:rsidRPr="00C4563F">
              <w:rPr>
                <w:rFonts w:ascii="Arial" w:eastAsia="Arial" w:hAnsi="Arial" w:cs="Arial"/>
                <w:b/>
                <w:bCs/>
                <w:color w:val="000000" w:themeColor="text1"/>
                <w:sz w:val="24"/>
                <w:szCs w:val="24"/>
              </w:rPr>
              <w:t>Give a brief description of the investigation including social and legislative contexts and any relevant cultural, ethnicity and language issues</w:t>
            </w:r>
          </w:p>
          <w:p w14:paraId="40B577A1" w14:textId="77777777" w:rsidR="00A1496E" w:rsidRDefault="00A1496E" w:rsidP="515A1CF8">
            <w:pPr>
              <w:rPr>
                <w:rFonts w:ascii="Arial" w:eastAsia="Arial" w:hAnsi="Arial" w:cs="Arial"/>
                <w:b/>
                <w:bCs/>
                <w:color w:val="000000" w:themeColor="text1"/>
                <w:sz w:val="24"/>
                <w:szCs w:val="24"/>
              </w:rPr>
            </w:pPr>
          </w:p>
          <w:p w14:paraId="72CA6C50" w14:textId="77777777" w:rsidR="00A1496E" w:rsidRDefault="00A1496E" w:rsidP="00A1496E">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This investigation involved a sexual assault offence in which the female victim was inappropriately touched by a male unknown to her as she walked her dog in public. CCTV enquiries were conducted and initially proved beneficial in capturing a male </w:t>
            </w:r>
            <w:r>
              <w:rPr>
                <w:rFonts w:ascii="Arial" w:eastAsia="Arial" w:hAnsi="Arial" w:cs="Arial"/>
                <w:color w:val="000000" w:themeColor="text1"/>
                <w:sz w:val="24"/>
                <w:szCs w:val="24"/>
              </w:rPr>
              <w:lastRenderedPageBreak/>
              <w:t xml:space="preserve">believed to be the offender, however the application of Automatic Facial Recognition technology failed to identify a suspect. </w:t>
            </w:r>
          </w:p>
          <w:p w14:paraId="310D9951" w14:textId="77777777" w:rsidR="00A1496E" w:rsidRDefault="00A1496E" w:rsidP="00A1496E">
            <w:pPr>
              <w:rPr>
                <w:rFonts w:ascii="Arial" w:eastAsia="Arial" w:hAnsi="Arial" w:cs="Arial"/>
                <w:color w:val="000000" w:themeColor="text1"/>
                <w:sz w:val="24"/>
                <w:szCs w:val="24"/>
              </w:rPr>
            </w:pPr>
          </w:p>
          <w:p w14:paraId="5AAA27E1" w14:textId="3D6A5B29" w:rsidR="00A1496E" w:rsidRDefault="00A1496E" w:rsidP="00A1496E">
            <w:pPr>
              <w:rPr>
                <w:rFonts w:ascii="Arial" w:eastAsia="Arial" w:hAnsi="Arial" w:cs="Arial"/>
                <w:color w:val="000000" w:themeColor="text1"/>
                <w:sz w:val="24"/>
                <w:szCs w:val="24"/>
              </w:rPr>
            </w:pPr>
            <w:r>
              <w:rPr>
                <w:rFonts w:ascii="Arial" w:eastAsia="Arial" w:hAnsi="Arial" w:cs="Arial"/>
                <w:color w:val="000000" w:themeColor="text1"/>
                <w:sz w:val="24"/>
                <w:szCs w:val="24"/>
              </w:rPr>
              <w:t>A social media appeal was arranged and circulated, which included still images from the CCTV footage featuring the face of the suspect. Shortly after this appeal, the suspect himself attended at a police station and stated that he was the featured male and was arrested. The suspect had recently moved to the United Kingdom from Romania and spoke no English, posing a significant language issue which was managed initially by utilising a telephone interpreter during his arrest, and an in-person interpreter in his interview.</w:t>
            </w:r>
          </w:p>
          <w:p w14:paraId="5D4CAD05" w14:textId="77777777" w:rsidR="00A1496E" w:rsidRDefault="00A1496E" w:rsidP="00A1496E">
            <w:pPr>
              <w:rPr>
                <w:rFonts w:ascii="Arial" w:eastAsia="Arial" w:hAnsi="Arial" w:cs="Arial"/>
                <w:color w:val="000000" w:themeColor="text1"/>
                <w:sz w:val="24"/>
                <w:szCs w:val="24"/>
              </w:rPr>
            </w:pPr>
          </w:p>
          <w:p w14:paraId="4CC8D574" w14:textId="77777777" w:rsidR="00A1496E" w:rsidRDefault="00A1496E" w:rsidP="00A1496E">
            <w:pPr>
              <w:rPr>
                <w:rFonts w:ascii="Arial" w:eastAsia="Arial" w:hAnsi="Arial" w:cs="Arial"/>
                <w:color w:val="000000" w:themeColor="text1"/>
                <w:sz w:val="24"/>
                <w:szCs w:val="24"/>
              </w:rPr>
            </w:pPr>
            <w:r>
              <w:rPr>
                <w:rFonts w:ascii="Arial" w:eastAsia="Arial" w:hAnsi="Arial" w:cs="Arial"/>
                <w:color w:val="000000" w:themeColor="text1"/>
                <w:sz w:val="24"/>
                <w:szCs w:val="24"/>
              </w:rPr>
              <w:t>Whilst the suspect had identified himself as the male from the CCTV images, the offence itself had not been captured by CCTV cameras, and as such a video identification procedure was arranged and undertaken with the victim in an attempt to link the suspect to the offence via a positive identification by the victim.</w:t>
            </w:r>
          </w:p>
          <w:p w14:paraId="66C185C8" w14:textId="77777777" w:rsidR="00A1496E" w:rsidRDefault="00A1496E" w:rsidP="00A1496E">
            <w:pPr>
              <w:rPr>
                <w:rFonts w:ascii="Arial" w:eastAsia="Arial" w:hAnsi="Arial" w:cs="Arial"/>
                <w:color w:val="000000" w:themeColor="text1"/>
                <w:sz w:val="24"/>
                <w:szCs w:val="24"/>
              </w:rPr>
            </w:pPr>
          </w:p>
          <w:p w14:paraId="5F57507B" w14:textId="4DB1B911" w:rsidR="7336895D" w:rsidRDefault="00A1496E"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The victim did positively identify the suspect as the offender during the identification process, and a file was prepared for submission to the Crown Prosecution Service (CPS), ensuring disclosure rules were followed in relation to all information generated during the investigation, with the outcome being a guilty plea and conviction.</w:t>
            </w:r>
          </w:p>
          <w:p w14:paraId="7810A14B" w14:textId="77777777" w:rsidR="00A1496E" w:rsidRDefault="00A1496E" w:rsidP="515A1CF8">
            <w:pPr>
              <w:rPr>
                <w:rFonts w:ascii="Arial" w:eastAsia="Arial" w:hAnsi="Arial" w:cs="Arial"/>
                <w:color w:val="000000" w:themeColor="text1"/>
                <w:sz w:val="24"/>
                <w:szCs w:val="24"/>
              </w:rPr>
            </w:pPr>
          </w:p>
          <w:p w14:paraId="333C89AF" w14:textId="77777777" w:rsidR="00A1496E" w:rsidRDefault="00A1496E" w:rsidP="515A1CF8">
            <w:pPr>
              <w:rPr>
                <w:rFonts w:ascii="Arial" w:eastAsia="Arial" w:hAnsi="Arial" w:cs="Arial"/>
                <w:color w:val="000000" w:themeColor="text1"/>
                <w:sz w:val="24"/>
                <w:szCs w:val="24"/>
              </w:rPr>
            </w:pPr>
          </w:p>
          <w:p w14:paraId="68E3FFA2" w14:textId="77777777" w:rsidR="00A1496E" w:rsidRDefault="00A1496E" w:rsidP="515A1CF8">
            <w:pPr>
              <w:rPr>
                <w:rFonts w:ascii="Arial" w:eastAsia="Arial" w:hAnsi="Arial" w:cs="Arial"/>
                <w:color w:val="000000" w:themeColor="text1"/>
                <w:sz w:val="24"/>
                <w:szCs w:val="24"/>
              </w:rPr>
            </w:pPr>
          </w:p>
          <w:p w14:paraId="6CEEA956" w14:textId="77777777" w:rsidR="00A1496E" w:rsidRPr="00C4563F" w:rsidRDefault="00A1496E" w:rsidP="515A1CF8">
            <w:pPr>
              <w:rPr>
                <w:rFonts w:ascii="Arial" w:eastAsia="Arial" w:hAnsi="Arial" w:cs="Arial"/>
                <w:b/>
                <w:bCs/>
                <w:color w:val="000000" w:themeColor="text1"/>
                <w:sz w:val="24"/>
                <w:szCs w:val="24"/>
              </w:rPr>
            </w:pPr>
          </w:p>
          <w:p w14:paraId="6B21309E" w14:textId="4874545E" w:rsidR="7336895D" w:rsidRDefault="24035274" w:rsidP="515A1CF8">
            <w:pPr>
              <w:rPr>
                <w:rFonts w:ascii="Arial" w:eastAsia="Arial" w:hAnsi="Arial" w:cs="Arial"/>
                <w:b/>
                <w:bCs/>
                <w:color w:val="000000" w:themeColor="text1"/>
                <w:sz w:val="24"/>
                <w:szCs w:val="24"/>
              </w:rPr>
            </w:pPr>
            <w:r w:rsidRPr="00C4563F">
              <w:rPr>
                <w:rFonts w:ascii="Arial" w:eastAsia="Arial" w:hAnsi="Arial" w:cs="Arial"/>
                <w:b/>
                <w:bCs/>
                <w:color w:val="000000" w:themeColor="text1"/>
                <w:sz w:val="24"/>
                <w:szCs w:val="24"/>
              </w:rPr>
              <w:t>Consider and reflect upon how you analysed, assessed and eva</w:t>
            </w:r>
            <w:r w:rsidR="796C5F38" w:rsidRPr="00C4563F">
              <w:rPr>
                <w:rFonts w:ascii="Arial" w:eastAsia="Arial" w:hAnsi="Arial" w:cs="Arial"/>
                <w:b/>
                <w:bCs/>
                <w:color w:val="000000" w:themeColor="text1"/>
                <w:sz w:val="24"/>
                <w:szCs w:val="24"/>
              </w:rPr>
              <w:t>luated</w:t>
            </w:r>
            <w:r w:rsidRPr="00C4563F">
              <w:rPr>
                <w:rFonts w:ascii="Arial" w:eastAsia="Arial" w:hAnsi="Arial" w:cs="Arial"/>
                <w:b/>
                <w:bCs/>
                <w:color w:val="000000" w:themeColor="text1"/>
                <w:sz w:val="24"/>
                <w:szCs w:val="24"/>
              </w:rPr>
              <w:t xml:space="preserve"> material generated by the investigation to identify offenders. </w:t>
            </w:r>
          </w:p>
          <w:p w14:paraId="3FDD07E1" w14:textId="77777777" w:rsidR="00167B9D" w:rsidRDefault="00167B9D" w:rsidP="515A1CF8">
            <w:pPr>
              <w:rPr>
                <w:rFonts w:ascii="Arial" w:eastAsia="Arial" w:hAnsi="Arial" w:cs="Arial"/>
                <w:b/>
                <w:bCs/>
                <w:color w:val="000000" w:themeColor="text1"/>
                <w:sz w:val="24"/>
                <w:szCs w:val="24"/>
              </w:rPr>
            </w:pPr>
          </w:p>
          <w:p w14:paraId="0CE77EC1" w14:textId="77777777" w:rsidR="00167B9D" w:rsidRDefault="00167B9D" w:rsidP="00167B9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In the early stages of this investigation, the only evidence available was the victim’s statement. I firstly ensured I was fully familiar with its contents and the lines of enquiry that had been generated by it, including importantly a description of the suspect, from which I formed an image of how I believed the suspect looked, and I used this when reviewing the CCTV footage in order to search for him, as at that point I believed this to be the correct course of action. </w:t>
            </w:r>
          </w:p>
          <w:p w14:paraId="40AE23B0" w14:textId="77777777" w:rsidR="00167B9D" w:rsidRDefault="00167B9D" w:rsidP="00167B9D">
            <w:pPr>
              <w:rPr>
                <w:rFonts w:ascii="Arial" w:eastAsia="Arial" w:hAnsi="Arial" w:cs="Arial"/>
                <w:color w:val="000000" w:themeColor="text1"/>
                <w:sz w:val="24"/>
                <w:szCs w:val="24"/>
              </w:rPr>
            </w:pPr>
          </w:p>
          <w:p w14:paraId="27F65B1A" w14:textId="77777777" w:rsidR="00167B9D" w:rsidRDefault="00167B9D" w:rsidP="00167B9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Upon reflection, in assessing the victim’s description and utilising it in searching for the offender, I should have been more open-minded to the possibility of inaccuracies in the description the victim provided, due to the reported unreliability of the memory of witnesses of crimes. The victim provided her statement very soon after what was no doubt a traumatic experience for her. Bornstein and Miller (2013, p. 300) explain that being a victim of a crime is stressful and frequently traumatic, and research conducted by Deffenbacher </w:t>
            </w:r>
            <w:r>
              <w:rPr>
                <w:rFonts w:ascii="Arial" w:eastAsia="Arial" w:hAnsi="Arial" w:cs="Arial"/>
                <w:i/>
                <w:iCs/>
                <w:color w:val="000000" w:themeColor="text1"/>
                <w:sz w:val="24"/>
                <w:szCs w:val="24"/>
              </w:rPr>
              <w:t xml:space="preserve">et. al. </w:t>
            </w:r>
            <w:r>
              <w:rPr>
                <w:rFonts w:ascii="Arial" w:eastAsia="Arial" w:hAnsi="Arial" w:cs="Arial"/>
                <w:color w:val="000000" w:themeColor="text1"/>
                <w:sz w:val="24"/>
                <w:szCs w:val="24"/>
              </w:rPr>
              <w:t>(2004) demonstrated that stress experienced by an eyewitness (or victim) as a result of a crime generally has a negative effect on the reliability of their memory. It transpired that the suspect was in fact wearing slightly different clothing to what the victim described, and was in fact much younger than her estimation, which caused difficulties in identifying him in the footage.</w:t>
            </w:r>
          </w:p>
          <w:p w14:paraId="405CB4DF" w14:textId="77777777" w:rsidR="00167B9D" w:rsidRDefault="00167B9D" w:rsidP="00167B9D">
            <w:pPr>
              <w:rPr>
                <w:rFonts w:ascii="Arial" w:eastAsia="Arial" w:hAnsi="Arial" w:cs="Arial"/>
                <w:color w:val="000000" w:themeColor="text1"/>
                <w:sz w:val="24"/>
                <w:szCs w:val="24"/>
              </w:rPr>
            </w:pPr>
          </w:p>
          <w:p w14:paraId="3111B5A2" w14:textId="77777777" w:rsidR="00167B9D" w:rsidRDefault="00167B9D" w:rsidP="00167B9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Whilst a suspect was eventually located in the footage, and after circulation of a facial image from this footage on social media and an individual identifying himself </w:t>
            </w:r>
            <w:r>
              <w:rPr>
                <w:rFonts w:ascii="Arial" w:eastAsia="Arial" w:hAnsi="Arial" w:cs="Arial"/>
                <w:color w:val="000000" w:themeColor="text1"/>
                <w:sz w:val="24"/>
                <w:szCs w:val="24"/>
              </w:rPr>
              <w:lastRenderedPageBreak/>
              <w:t>as the suspect handed himself into police, there remained a lack of evidential connection between the suspect and the actual commission of the offence, which he denied. In order to overcome this barrier, I arranged for a Video Identification Parade Electronic Recording (VIPER) process to be undertaken by the victim.</w:t>
            </w:r>
          </w:p>
          <w:p w14:paraId="1D4615F1" w14:textId="77777777" w:rsidR="00167B9D" w:rsidRDefault="00167B9D" w:rsidP="00167B9D">
            <w:pPr>
              <w:rPr>
                <w:rFonts w:ascii="Arial" w:eastAsia="Arial" w:hAnsi="Arial" w:cs="Arial"/>
                <w:color w:val="000000" w:themeColor="text1"/>
                <w:sz w:val="24"/>
                <w:szCs w:val="24"/>
              </w:rPr>
            </w:pPr>
          </w:p>
          <w:p w14:paraId="0F71E2BE" w14:textId="77777777" w:rsidR="00167B9D" w:rsidRDefault="00167B9D" w:rsidP="00167B9D">
            <w:pPr>
              <w:rPr>
                <w:rFonts w:ascii="Arial" w:eastAsia="Arial" w:hAnsi="Arial" w:cs="Arial"/>
                <w:color w:val="000000" w:themeColor="text1"/>
                <w:sz w:val="24"/>
                <w:szCs w:val="24"/>
              </w:rPr>
            </w:pPr>
            <w:r>
              <w:rPr>
                <w:rFonts w:ascii="Arial" w:eastAsia="Arial" w:hAnsi="Arial" w:cs="Arial"/>
                <w:color w:val="000000" w:themeColor="text1"/>
                <w:sz w:val="24"/>
                <w:szCs w:val="24"/>
              </w:rPr>
              <w:t>The VIPER process was necessary in this case as the three circumstances identified under the Police And Criminal Evidence Act (PACE) 1984 Code D (2017, para 3.12) were present, namely that the victim had stated that she would be able to recognise the suspect and there was therefore a reasonable chance she could do so, the victim had not at that point been given an opportunity to identify the suspect previously via any identification procedure (nor had she seen the social media appeal), and the suspect had in his interview disputed being the perpetrator of the offence. PACE Code D (2017, para 3.13) also outlines that an identification procedure may be held if the officer in the case considers that it would be useful, which I did due to the requirement to evidentially link the suspect to the commission of the offence.</w:t>
            </w:r>
          </w:p>
          <w:p w14:paraId="204E7D18" w14:textId="77777777" w:rsidR="00167B9D" w:rsidRDefault="00167B9D" w:rsidP="00167B9D">
            <w:pPr>
              <w:rPr>
                <w:rFonts w:ascii="Arial" w:eastAsia="Arial" w:hAnsi="Arial" w:cs="Arial"/>
                <w:color w:val="000000" w:themeColor="text1"/>
                <w:sz w:val="24"/>
                <w:szCs w:val="24"/>
              </w:rPr>
            </w:pPr>
          </w:p>
          <w:p w14:paraId="7280DF2C" w14:textId="66D31BDD" w:rsidR="00167B9D" w:rsidRDefault="00167B9D" w:rsidP="00167B9D">
            <w:pPr>
              <w:rPr>
                <w:rFonts w:ascii="Arial" w:eastAsia="Arial" w:hAnsi="Arial" w:cs="Arial"/>
                <w:color w:val="000000" w:themeColor="text1"/>
                <w:sz w:val="24"/>
                <w:szCs w:val="24"/>
              </w:rPr>
            </w:pPr>
            <w:r>
              <w:rPr>
                <w:rFonts w:ascii="Arial" w:eastAsia="Arial" w:hAnsi="Arial" w:cs="Arial"/>
                <w:color w:val="000000" w:themeColor="text1"/>
                <w:sz w:val="24"/>
                <w:szCs w:val="24"/>
              </w:rPr>
              <w:t>Despite the discrepancies in the victim’s description of the suspect compared to his appearance, I believed this to be the right choice of investigative action. The reliability of witnesses in identification procedures, in a similar way to witness description reliability, is the subject of frequent academic study. In contrast to the general consensus identifying a causal link between exposure to crime and unreliability of memory, as I encountered in this victim’s erroneous description of the suspect, there is a more contentious view of the reliability of witness identification. Some sources, for example, indicate that confidence in one’s own identification has no bearing on actual accuracy. The American Psychological Association (2014, pp. 17-18) comments that in identification procedures, rates of error can be high even amongst confident witnesses. Wixted and Wells (2017, p. 37) have refuted this and claim the opposite, that confidence and accuracy are positively correlated, compiling a graphical representation of these factors, illustrating the results from across 15 studies comparing witnesses’ confidence in identification procedures with their accuracy in identifying perpetrators, in which the correlation is evident:</w:t>
            </w:r>
          </w:p>
          <w:p w14:paraId="69C73850" w14:textId="77777777" w:rsidR="00167B9D" w:rsidRDefault="00167B9D" w:rsidP="00167B9D">
            <w:pPr>
              <w:jc w:val="center"/>
              <w:rPr>
                <w:rFonts w:ascii="Arial" w:eastAsia="Arial" w:hAnsi="Arial" w:cs="Arial"/>
                <w:color w:val="000000" w:themeColor="text1"/>
                <w:sz w:val="24"/>
                <w:szCs w:val="24"/>
              </w:rPr>
            </w:pPr>
            <w:r>
              <w:rPr>
                <w:noProof/>
                <w14:ligatures w14:val="standardContextual"/>
              </w:rPr>
              <w:drawing>
                <wp:inline distT="0" distB="0" distL="0" distR="0" wp14:anchorId="186D8A90" wp14:editId="3D6964B2">
                  <wp:extent cx="3079750" cy="2556635"/>
                  <wp:effectExtent l="0" t="0" r="6350" b="0"/>
                  <wp:docPr id="2023801369" name="Picture 1" descr="A graph with dot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01369" name="Picture 1" descr="A graph with dots and lines&#10;&#10;Description automatically generated"/>
                          <pic:cNvPicPr/>
                        </pic:nvPicPr>
                        <pic:blipFill>
                          <a:blip r:embed="rId47"/>
                          <a:stretch>
                            <a:fillRect/>
                          </a:stretch>
                        </pic:blipFill>
                        <pic:spPr>
                          <a:xfrm>
                            <a:off x="0" y="0"/>
                            <a:ext cx="3086455" cy="2562201"/>
                          </a:xfrm>
                          <a:prstGeom prst="rect">
                            <a:avLst/>
                          </a:prstGeom>
                        </pic:spPr>
                      </pic:pic>
                    </a:graphicData>
                  </a:graphic>
                </wp:inline>
              </w:drawing>
            </w:r>
          </w:p>
          <w:p w14:paraId="1AC84EE6" w14:textId="77777777" w:rsidR="00167B9D" w:rsidRDefault="00167B9D" w:rsidP="00167B9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Wixted, Mickes and Fisher (2018) also contend the widely held concept of unreliability of witnesses, but this is directly refuted by Wade, Nash and Lindsay </w:t>
            </w:r>
            <w:r>
              <w:rPr>
                <w:rFonts w:ascii="Arial" w:eastAsia="Arial" w:hAnsi="Arial" w:cs="Arial"/>
                <w:color w:val="000000" w:themeColor="text1"/>
                <w:sz w:val="24"/>
                <w:szCs w:val="24"/>
              </w:rPr>
              <w:lastRenderedPageBreak/>
              <w:t>(2018), who whilst agreeing with the general ideas presented by Wixted, Mickes and Fisher (2018), criticise the narrowness and lack of real-life observation in their research. It is clear from reading into the subject of witness reliability that it is a strongly contended and debated area of research, which further justifies the need for consideration of these factors when dealing with witness accounts.</w:t>
            </w:r>
          </w:p>
          <w:p w14:paraId="25665BFC" w14:textId="77777777" w:rsidR="00670F3F" w:rsidRDefault="00670F3F" w:rsidP="00167B9D">
            <w:pPr>
              <w:rPr>
                <w:rFonts w:ascii="Arial" w:eastAsia="Arial" w:hAnsi="Arial" w:cs="Arial"/>
                <w:color w:val="000000" w:themeColor="text1"/>
                <w:sz w:val="24"/>
                <w:szCs w:val="24"/>
              </w:rPr>
            </w:pPr>
          </w:p>
          <w:p w14:paraId="790AE368" w14:textId="7D425BBB" w:rsidR="00670F3F" w:rsidRDefault="00167B9D" w:rsidP="79283025">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Reflecting upon my own actions in this investigation, I have employed Borton’s (1970) “What” Model of Reflection. When considering the “What?” question, I have considered what investigative aspect played a crucial part in the success of this investigation, and in this </w:t>
            </w:r>
            <w:r w:rsidR="00670F3F">
              <w:rPr>
                <w:rFonts w:ascii="Arial" w:eastAsia="Arial" w:hAnsi="Arial" w:cs="Arial"/>
                <w:color w:val="000000" w:themeColor="text1"/>
                <w:sz w:val="24"/>
                <w:szCs w:val="24"/>
              </w:rPr>
              <w:t>case,</w:t>
            </w:r>
            <w:r>
              <w:rPr>
                <w:rFonts w:ascii="Arial" w:eastAsia="Arial" w:hAnsi="Arial" w:cs="Arial"/>
                <w:color w:val="000000" w:themeColor="text1"/>
                <w:sz w:val="24"/>
                <w:szCs w:val="24"/>
              </w:rPr>
              <w:t xml:space="preserve"> it is the identification of the suspect and the linking of him to the crime. When thinking of the “So What?” question, I have reflected on the potential disadvantages of identification methods and how the unreliability of a witnesses’ memory can influence the accuracy of descriptions and identifications and consequently effect investigation outcomes. And lastly, “Now What?”, whilst in future investigations I would not alter the methods used in establishing a suspect’s identity, I would more carefully consider the prospect of inaccurate descriptions of suspects, remaining open-minded, even in cases such as this one where the witness is convinced of their accuracy.</w:t>
            </w:r>
          </w:p>
          <w:p w14:paraId="21494325" w14:textId="77777777" w:rsidR="00670F3F" w:rsidRDefault="00670F3F" w:rsidP="79283025">
            <w:pPr>
              <w:rPr>
                <w:rFonts w:ascii="Arial" w:eastAsia="Arial" w:hAnsi="Arial" w:cs="Arial"/>
                <w:color w:val="000000" w:themeColor="text1"/>
                <w:sz w:val="24"/>
                <w:szCs w:val="24"/>
              </w:rPr>
            </w:pPr>
          </w:p>
          <w:p w14:paraId="5BF88A6E" w14:textId="77777777" w:rsidR="00670F3F" w:rsidRDefault="00670F3F" w:rsidP="79283025">
            <w:pPr>
              <w:rPr>
                <w:rFonts w:ascii="Arial" w:eastAsia="Arial" w:hAnsi="Arial" w:cs="Arial"/>
                <w:color w:val="000000" w:themeColor="text1"/>
                <w:sz w:val="24"/>
                <w:szCs w:val="24"/>
              </w:rPr>
            </w:pPr>
          </w:p>
          <w:p w14:paraId="7B40D094" w14:textId="77777777" w:rsidR="00670F3F" w:rsidRDefault="00670F3F" w:rsidP="79283025">
            <w:pPr>
              <w:rPr>
                <w:rFonts w:ascii="Arial" w:eastAsia="Arial" w:hAnsi="Arial" w:cs="Arial"/>
                <w:color w:val="000000" w:themeColor="text1"/>
                <w:sz w:val="24"/>
                <w:szCs w:val="24"/>
              </w:rPr>
            </w:pPr>
          </w:p>
          <w:p w14:paraId="0C5A1992" w14:textId="68E383B6" w:rsidR="7336895D" w:rsidRDefault="378EC49D" w:rsidP="79283025">
            <w:pPr>
              <w:rPr>
                <w:rFonts w:ascii="Arial" w:eastAsia="Arial" w:hAnsi="Arial" w:cs="Arial"/>
                <w:b/>
                <w:bCs/>
                <w:color w:val="000000" w:themeColor="text1"/>
                <w:sz w:val="24"/>
                <w:szCs w:val="24"/>
              </w:rPr>
            </w:pPr>
            <w:r w:rsidRPr="00C4563F">
              <w:rPr>
                <w:rFonts w:ascii="Arial" w:eastAsia="Arial" w:hAnsi="Arial" w:cs="Arial"/>
                <w:b/>
                <w:bCs/>
                <w:color w:val="000000" w:themeColor="text1"/>
                <w:sz w:val="24"/>
                <w:szCs w:val="24"/>
              </w:rPr>
              <w:t>Illustrate</w:t>
            </w:r>
            <w:r w:rsidR="5CF57445" w:rsidRPr="00C4563F">
              <w:rPr>
                <w:rFonts w:ascii="Arial" w:eastAsia="Arial" w:hAnsi="Arial" w:cs="Arial"/>
                <w:b/>
                <w:bCs/>
                <w:i/>
                <w:iCs/>
                <w:color w:val="000000" w:themeColor="text1"/>
                <w:sz w:val="24"/>
                <w:szCs w:val="24"/>
              </w:rPr>
              <w:t xml:space="preserve"> </w:t>
            </w:r>
            <w:r w:rsidR="5CF57445" w:rsidRPr="00C4563F">
              <w:rPr>
                <w:rFonts w:ascii="Arial" w:eastAsia="Arial" w:hAnsi="Arial" w:cs="Arial"/>
                <w:b/>
                <w:bCs/>
                <w:color w:val="000000" w:themeColor="text1"/>
                <w:sz w:val="24"/>
                <w:szCs w:val="24"/>
              </w:rPr>
              <w:t xml:space="preserve">how you have </w:t>
            </w:r>
            <w:r w:rsidR="223C72C6" w:rsidRPr="00C4563F">
              <w:rPr>
                <w:rFonts w:ascii="Arial" w:eastAsia="Arial" w:hAnsi="Arial" w:cs="Arial"/>
                <w:b/>
                <w:bCs/>
                <w:color w:val="000000" w:themeColor="text1"/>
                <w:sz w:val="24"/>
                <w:szCs w:val="24"/>
              </w:rPr>
              <w:t>ensured</w:t>
            </w:r>
            <w:r w:rsidR="5CF57445" w:rsidRPr="00C4563F">
              <w:rPr>
                <w:rFonts w:ascii="Arial" w:eastAsia="Arial" w:hAnsi="Arial" w:cs="Arial"/>
                <w:b/>
                <w:bCs/>
                <w:color w:val="000000" w:themeColor="text1"/>
                <w:sz w:val="24"/>
                <w:szCs w:val="24"/>
              </w:rPr>
              <w:t xml:space="preserve"> all material, including exhibits generated were seized, examined and retained in </w:t>
            </w:r>
            <w:r w:rsidR="6DCD363F" w:rsidRPr="00C4563F">
              <w:rPr>
                <w:rFonts w:ascii="Arial" w:eastAsia="Arial" w:hAnsi="Arial" w:cs="Arial"/>
                <w:b/>
                <w:bCs/>
                <w:color w:val="000000" w:themeColor="text1"/>
                <w:sz w:val="24"/>
                <w:szCs w:val="24"/>
              </w:rPr>
              <w:t>accordance</w:t>
            </w:r>
            <w:r w:rsidR="5CF57445" w:rsidRPr="00C4563F">
              <w:rPr>
                <w:rFonts w:ascii="Arial" w:eastAsia="Arial" w:hAnsi="Arial" w:cs="Arial"/>
                <w:b/>
                <w:bCs/>
                <w:color w:val="000000" w:themeColor="text1"/>
                <w:sz w:val="24"/>
                <w:szCs w:val="24"/>
              </w:rPr>
              <w:t xml:space="preserve"> with </w:t>
            </w:r>
            <w:r w:rsidR="25B7CE95" w:rsidRPr="00C4563F">
              <w:rPr>
                <w:rFonts w:ascii="Arial" w:eastAsia="Arial" w:hAnsi="Arial" w:cs="Arial"/>
                <w:b/>
                <w:bCs/>
                <w:color w:val="000000" w:themeColor="text1"/>
                <w:sz w:val="24"/>
                <w:szCs w:val="24"/>
              </w:rPr>
              <w:t>legalisation</w:t>
            </w:r>
            <w:r w:rsidR="5CF57445" w:rsidRPr="00C4563F">
              <w:rPr>
                <w:rFonts w:ascii="Arial" w:eastAsia="Arial" w:hAnsi="Arial" w:cs="Arial"/>
                <w:b/>
                <w:bCs/>
                <w:color w:val="000000" w:themeColor="text1"/>
                <w:sz w:val="24"/>
                <w:szCs w:val="24"/>
              </w:rPr>
              <w:t xml:space="preserve"> and policy where neces</w:t>
            </w:r>
            <w:r w:rsidR="1EA4B145" w:rsidRPr="00C4563F">
              <w:rPr>
                <w:rFonts w:ascii="Arial" w:eastAsia="Arial" w:hAnsi="Arial" w:cs="Arial"/>
                <w:b/>
                <w:bCs/>
                <w:color w:val="000000" w:themeColor="text1"/>
                <w:sz w:val="24"/>
                <w:szCs w:val="24"/>
              </w:rPr>
              <w:t>sary</w:t>
            </w:r>
            <w:r w:rsidR="1161A79E" w:rsidRPr="00C4563F">
              <w:rPr>
                <w:rFonts w:ascii="Arial" w:eastAsia="Arial" w:hAnsi="Arial" w:cs="Arial"/>
                <w:b/>
                <w:bCs/>
                <w:color w:val="000000" w:themeColor="text1"/>
                <w:sz w:val="24"/>
                <w:szCs w:val="24"/>
              </w:rPr>
              <w:t xml:space="preserve"> (e.g., compliance with CPIA, PACE). </w:t>
            </w:r>
          </w:p>
          <w:p w14:paraId="2CD6F96E" w14:textId="77777777" w:rsidR="00475151" w:rsidRDefault="00475151" w:rsidP="79283025">
            <w:pPr>
              <w:rPr>
                <w:rFonts w:ascii="Arial" w:eastAsia="Arial" w:hAnsi="Arial" w:cs="Arial"/>
                <w:b/>
                <w:bCs/>
                <w:color w:val="000000" w:themeColor="text1"/>
                <w:sz w:val="24"/>
                <w:szCs w:val="24"/>
              </w:rPr>
            </w:pPr>
          </w:p>
          <w:p w14:paraId="517FC99E" w14:textId="77777777" w:rsidR="00475151" w:rsidRDefault="00475151" w:rsidP="00475151">
            <w:pPr>
              <w:rPr>
                <w:rFonts w:ascii="Arial" w:eastAsia="Arial" w:hAnsi="Arial" w:cs="Arial"/>
                <w:color w:val="000000" w:themeColor="text1"/>
                <w:sz w:val="24"/>
                <w:szCs w:val="24"/>
              </w:rPr>
            </w:pPr>
            <w:r>
              <w:rPr>
                <w:rFonts w:ascii="Arial" w:eastAsia="Arial" w:hAnsi="Arial" w:cs="Arial"/>
                <w:color w:val="000000" w:themeColor="text1"/>
                <w:sz w:val="24"/>
                <w:szCs w:val="24"/>
              </w:rPr>
              <w:t>The material generated during this investigation, for example the CCTV footage and the subsequent still images circulated on social media, the material regarding the video identification process, and also other relevant case material, required the consideration of relevant legislation, which governed its management and disclosure.</w:t>
            </w:r>
          </w:p>
          <w:p w14:paraId="3D10FE03" w14:textId="77777777" w:rsidR="00475151" w:rsidRDefault="00475151" w:rsidP="00475151">
            <w:pPr>
              <w:rPr>
                <w:rFonts w:ascii="Arial" w:eastAsia="Arial" w:hAnsi="Arial" w:cs="Arial"/>
                <w:color w:val="000000" w:themeColor="text1"/>
                <w:sz w:val="24"/>
                <w:szCs w:val="24"/>
              </w:rPr>
            </w:pPr>
          </w:p>
          <w:p w14:paraId="2E6697ED" w14:textId="51DB290F" w:rsidR="00475151" w:rsidRDefault="0074732D" w:rsidP="00475151">
            <w:pPr>
              <w:rPr>
                <w:rFonts w:ascii="Arial" w:eastAsia="Arial" w:hAnsi="Arial" w:cs="Arial"/>
                <w:color w:val="000000" w:themeColor="text1"/>
                <w:sz w:val="24"/>
                <w:szCs w:val="24"/>
              </w:rPr>
            </w:pPr>
            <w:r>
              <w:rPr>
                <w:rFonts w:ascii="Arial" w:eastAsia="Arial" w:hAnsi="Arial" w:cs="Arial"/>
                <w:color w:val="000000" w:themeColor="text1"/>
                <w:sz w:val="24"/>
                <w:szCs w:val="24"/>
              </w:rPr>
              <w:t>Firstly,</w:t>
            </w:r>
            <w:r w:rsidR="00475151">
              <w:rPr>
                <w:rFonts w:ascii="Arial" w:eastAsia="Arial" w:hAnsi="Arial" w:cs="Arial"/>
                <w:color w:val="000000" w:themeColor="text1"/>
                <w:sz w:val="24"/>
                <w:szCs w:val="24"/>
              </w:rPr>
              <w:t xml:space="preserve"> in relation to the CCTV footage, this was not seized by myself but by other officers before I took ownership of the investigation. Whilst I did not seize the footage, I am aware of the procedures surrounding the seizure of CCTV evidence, including that a copy of the original footage is acceptable, as per the Disclosure Manual (CPS, 2022b). This is the course of action that was taken in this matter as copies were able to be obtained, with the permission of the owners in the case of private CCTV. </w:t>
            </w:r>
          </w:p>
          <w:p w14:paraId="69BA1427" w14:textId="77777777" w:rsidR="00475151" w:rsidRDefault="00475151" w:rsidP="00475151">
            <w:pPr>
              <w:rPr>
                <w:rFonts w:ascii="Arial" w:eastAsia="Arial" w:hAnsi="Arial" w:cs="Arial"/>
                <w:color w:val="000000" w:themeColor="text1"/>
                <w:sz w:val="24"/>
                <w:szCs w:val="24"/>
              </w:rPr>
            </w:pPr>
          </w:p>
          <w:p w14:paraId="30DF3DA9" w14:textId="77777777" w:rsidR="00475151" w:rsidRDefault="00475151" w:rsidP="00475151">
            <w:pPr>
              <w:rPr>
                <w:rFonts w:ascii="Arial" w:eastAsia="Arial" w:hAnsi="Arial" w:cs="Arial"/>
                <w:color w:val="000000" w:themeColor="text1"/>
                <w:sz w:val="24"/>
                <w:szCs w:val="24"/>
              </w:rPr>
            </w:pPr>
            <w:r>
              <w:rPr>
                <w:rFonts w:ascii="Arial" w:eastAsia="Arial" w:hAnsi="Arial" w:cs="Arial"/>
                <w:color w:val="000000" w:themeColor="text1"/>
                <w:sz w:val="24"/>
                <w:szCs w:val="24"/>
              </w:rPr>
              <w:t>As the CCTV evidence was pertinent in showing the perpetrator’s movements before and after the crime, if the owners of the systems on which the footage was stored were not cooperative in allowing copies to be made, I would have sought to exercise power under section 50 of the Criminal Justice and Police Act 2001, outlined under paragraph 7.7 of PACE Code B (2013) in order to seize the CCTV systems themselves, removing only what is necessary and examining it for relevant material as soon as practicable.</w:t>
            </w:r>
          </w:p>
          <w:p w14:paraId="0D349670" w14:textId="77777777" w:rsidR="00475151" w:rsidRDefault="00475151" w:rsidP="00475151">
            <w:pPr>
              <w:rPr>
                <w:rFonts w:ascii="Arial" w:eastAsia="Arial" w:hAnsi="Arial" w:cs="Arial"/>
                <w:color w:val="000000" w:themeColor="text1"/>
                <w:sz w:val="24"/>
                <w:szCs w:val="24"/>
              </w:rPr>
            </w:pPr>
          </w:p>
          <w:p w14:paraId="7F4D38B5" w14:textId="77777777" w:rsidR="00475151" w:rsidRDefault="00475151" w:rsidP="00475151">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After I took ownership of the investigation, I became responsible for the examination and retention of the CCTV footage, and any subsequent required disclosure. I clipped the footage so that the full content of it was evidential in </w:t>
            </w:r>
            <w:r>
              <w:rPr>
                <w:rFonts w:ascii="Arial" w:eastAsia="Arial" w:hAnsi="Arial" w:cs="Arial"/>
                <w:color w:val="000000" w:themeColor="text1"/>
                <w:sz w:val="24"/>
                <w:szCs w:val="24"/>
              </w:rPr>
              <w:lastRenderedPageBreak/>
              <w:t>showing the suspect’s movements, and retained the original footage, including it on the schedule of unused material for disclosure to the defence, as outlined under section 23(1) of the Criminal Procedure and Investigations Act (CPIA) 1996 Code of Practice (2015, p. 11, para 6.7).</w:t>
            </w:r>
          </w:p>
          <w:p w14:paraId="6F7E1755" w14:textId="77777777" w:rsidR="00475151" w:rsidRDefault="00475151" w:rsidP="00475151">
            <w:pPr>
              <w:rPr>
                <w:rFonts w:ascii="Arial" w:eastAsia="Arial" w:hAnsi="Arial" w:cs="Arial"/>
                <w:color w:val="000000" w:themeColor="text1"/>
                <w:sz w:val="24"/>
                <w:szCs w:val="24"/>
              </w:rPr>
            </w:pPr>
          </w:p>
          <w:p w14:paraId="0CE4EFFF" w14:textId="3F53C0DA" w:rsidR="7336895D" w:rsidRDefault="00475151" w:rsidP="515A1CF8">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With regards to other case material, I considered the guidance under section 23(1) of the CPIA Code of Practice (2015, p. 8, para 5.1), and ensured material that I thought to be relevant to the investigation was retained appropriately. In this case there were no physical and only digital exhibits, therefore I retained the relevant material on the digital case file using my force’s secure record management system and network. Examples of documents retained in this way include the identification procedure documentation, which included the first description of the suspect provided by the victim. As the description differed from the actual appearance of the suspect, this could potentially have been considered undermining material, and I kept this in mind when constructing the schedules of documents for disclosure. </w:t>
            </w:r>
          </w:p>
          <w:p w14:paraId="06AF8049" w14:textId="77777777" w:rsidR="00475151" w:rsidRDefault="00475151" w:rsidP="515A1CF8">
            <w:pPr>
              <w:rPr>
                <w:rFonts w:ascii="Arial" w:eastAsia="Arial" w:hAnsi="Arial" w:cs="Arial"/>
                <w:color w:val="000000" w:themeColor="text1"/>
                <w:sz w:val="24"/>
                <w:szCs w:val="24"/>
              </w:rPr>
            </w:pPr>
          </w:p>
          <w:p w14:paraId="474693CC" w14:textId="77777777" w:rsidR="00475151" w:rsidRDefault="00475151" w:rsidP="515A1CF8">
            <w:pPr>
              <w:rPr>
                <w:rFonts w:ascii="Arial" w:eastAsia="Arial" w:hAnsi="Arial" w:cs="Arial"/>
                <w:color w:val="000000" w:themeColor="text1"/>
                <w:sz w:val="24"/>
                <w:szCs w:val="24"/>
              </w:rPr>
            </w:pPr>
          </w:p>
          <w:p w14:paraId="2C3F09A1" w14:textId="77777777" w:rsidR="00475151" w:rsidRDefault="00475151" w:rsidP="515A1CF8">
            <w:pPr>
              <w:rPr>
                <w:rFonts w:ascii="Arial" w:eastAsia="Arial" w:hAnsi="Arial" w:cs="Arial"/>
                <w:color w:val="000000" w:themeColor="text1"/>
                <w:sz w:val="24"/>
                <w:szCs w:val="24"/>
              </w:rPr>
            </w:pPr>
          </w:p>
          <w:p w14:paraId="6FB3AE9F" w14:textId="77777777" w:rsidR="00475151" w:rsidRPr="00C4563F" w:rsidRDefault="00475151" w:rsidP="515A1CF8">
            <w:pPr>
              <w:rPr>
                <w:rFonts w:ascii="Arial" w:eastAsia="Arial" w:hAnsi="Arial" w:cs="Arial"/>
                <w:b/>
                <w:bCs/>
                <w:color w:val="000000" w:themeColor="text1"/>
                <w:sz w:val="24"/>
                <w:szCs w:val="24"/>
              </w:rPr>
            </w:pPr>
          </w:p>
          <w:p w14:paraId="7CB0C751" w14:textId="3927968D" w:rsidR="7336895D" w:rsidRDefault="376F5DDD" w:rsidP="515A1CF8">
            <w:pPr>
              <w:rPr>
                <w:rFonts w:ascii="Arial" w:eastAsia="Arial" w:hAnsi="Arial" w:cs="Arial"/>
                <w:b/>
                <w:bCs/>
                <w:color w:val="000000" w:themeColor="text1"/>
                <w:sz w:val="24"/>
                <w:szCs w:val="24"/>
              </w:rPr>
            </w:pPr>
            <w:r w:rsidRPr="00C4563F">
              <w:rPr>
                <w:rFonts w:ascii="Arial" w:eastAsia="Arial" w:hAnsi="Arial" w:cs="Arial"/>
                <w:b/>
                <w:bCs/>
                <w:color w:val="000000" w:themeColor="text1"/>
                <w:sz w:val="24"/>
                <w:szCs w:val="24"/>
              </w:rPr>
              <w:t>Evaluate</w:t>
            </w:r>
            <w:r w:rsidR="31143131" w:rsidRPr="00C4563F">
              <w:rPr>
                <w:rFonts w:ascii="Arial" w:eastAsia="Arial" w:hAnsi="Arial" w:cs="Arial"/>
                <w:b/>
                <w:bCs/>
                <w:color w:val="000000" w:themeColor="text1"/>
                <w:sz w:val="24"/>
                <w:szCs w:val="24"/>
              </w:rPr>
              <w:t xml:space="preserve"> </w:t>
            </w:r>
            <w:r w:rsidR="58F07DB9" w:rsidRPr="00C4563F">
              <w:rPr>
                <w:rFonts w:ascii="Arial" w:eastAsia="Arial" w:hAnsi="Arial" w:cs="Arial"/>
                <w:b/>
                <w:bCs/>
                <w:color w:val="000000" w:themeColor="text1"/>
                <w:sz w:val="24"/>
                <w:szCs w:val="24"/>
              </w:rPr>
              <w:t>how you</w:t>
            </w:r>
            <w:r w:rsidR="31143131" w:rsidRPr="00C4563F">
              <w:rPr>
                <w:rFonts w:ascii="Arial" w:eastAsia="Arial" w:hAnsi="Arial" w:cs="Arial"/>
                <w:b/>
                <w:bCs/>
                <w:color w:val="000000" w:themeColor="text1"/>
                <w:sz w:val="24"/>
                <w:szCs w:val="24"/>
              </w:rPr>
              <w:t xml:space="preserve"> </w:t>
            </w:r>
            <w:r w:rsidR="2C817043" w:rsidRPr="00C4563F">
              <w:rPr>
                <w:rFonts w:ascii="Arial" w:eastAsia="Arial" w:hAnsi="Arial" w:cs="Arial"/>
                <w:b/>
                <w:bCs/>
                <w:color w:val="000000" w:themeColor="text1"/>
                <w:sz w:val="24"/>
                <w:szCs w:val="24"/>
              </w:rPr>
              <w:t>preprepared</w:t>
            </w:r>
            <w:r w:rsidR="1B19800C" w:rsidRPr="00C4563F">
              <w:rPr>
                <w:rFonts w:ascii="Arial" w:eastAsia="Arial" w:hAnsi="Arial" w:cs="Arial"/>
                <w:b/>
                <w:bCs/>
                <w:color w:val="000000" w:themeColor="text1"/>
                <w:sz w:val="24"/>
                <w:szCs w:val="24"/>
              </w:rPr>
              <w:t xml:space="preserve"> report</w:t>
            </w:r>
            <w:r w:rsidR="1CDF7B3F" w:rsidRPr="00C4563F">
              <w:rPr>
                <w:rFonts w:ascii="Arial" w:eastAsia="Arial" w:hAnsi="Arial" w:cs="Arial"/>
                <w:b/>
                <w:bCs/>
                <w:color w:val="000000" w:themeColor="text1"/>
                <w:sz w:val="24"/>
                <w:szCs w:val="24"/>
              </w:rPr>
              <w:t>s</w:t>
            </w:r>
            <w:r w:rsidR="1B19800C" w:rsidRPr="00C4563F">
              <w:rPr>
                <w:rFonts w:ascii="Arial" w:eastAsia="Arial" w:hAnsi="Arial" w:cs="Arial"/>
                <w:b/>
                <w:bCs/>
                <w:color w:val="000000" w:themeColor="text1"/>
                <w:sz w:val="24"/>
                <w:szCs w:val="24"/>
              </w:rPr>
              <w:t xml:space="preserve"> </w:t>
            </w:r>
            <w:r w:rsidR="7D6F839B" w:rsidRPr="00C4563F">
              <w:rPr>
                <w:rFonts w:ascii="Arial" w:eastAsia="Arial" w:hAnsi="Arial" w:cs="Arial"/>
                <w:b/>
                <w:bCs/>
                <w:color w:val="000000" w:themeColor="text1"/>
                <w:sz w:val="24"/>
                <w:szCs w:val="24"/>
              </w:rPr>
              <w:t>detailing</w:t>
            </w:r>
            <w:r w:rsidR="31143131" w:rsidRPr="00C4563F">
              <w:rPr>
                <w:rFonts w:ascii="Arial" w:eastAsia="Arial" w:hAnsi="Arial" w:cs="Arial"/>
                <w:b/>
                <w:bCs/>
                <w:color w:val="000000" w:themeColor="text1"/>
                <w:sz w:val="24"/>
                <w:szCs w:val="24"/>
              </w:rPr>
              <w:t xml:space="preserve"> the </w:t>
            </w:r>
            <w:r w:rsidR="4EB2EBD6" w:rsidRPr="00C4563F">
              <w:rPr>
                <w:rFonts w:ascii="Arial" w:eastAsia="Arial" w:hAnsi="Arial" w:cs="Arial"/>
                <w:b/>
                <w:bCs/>
                <w:color w:val="000000" w:themeColor="text1"/>
                <w:sz w:val="24"/>
                <w:szCs w:val="24"/>
              </w:rPr>
              <w:t>investigation</w:t>
            </w:r>
            <w:r w:rsidR="31143131" w:rsidRPr="00C4563F">
              <w:rPr>
                <w:rFonts w:ascii="Arial" w:eastAsia="Arial" w:hAnsi="Arial" w:cs="Arial"/>
                <w:b/>
                <w:bCs/>
                <w:color w:val="000000" w:themeColor="text1"/>
                <w:sz w:val="24"/>
                <w:szCs w:val="24"/>
              </w:rPr>
              <w:t xml:space="preserve"> and</w:t>
            </w:r>
            <w:r w:rsidR="2765B99A" w:rsidRPr="00C4563F">
              <w:rPr>
                <w:rFonts w:ascii="Arial" w:eastAsia="Arial" w:hAnsi="Arial" w:cs="Arial"/>
                <w:b/>
                <w:bCs/>
                <w:color w:val="000000" w:themeColor="text1"/>
                <w:sz w:val="24"/>
                <w:szCs w:val="24"/>
              </w:rPr>
              <w:t xml:space="preserve"> the management of</w:t>
            </w:r>
            <w:r w:rsidR="31143131" w:rsidRPr="00C4563F">
              <w:rPr>
                <w:rFonts w:ascii="Arial" w:eastAsia="Arial" w:hAnsi="Arial" w:cs="Arial"/>
                <w:b/>
                <w:bCs/>
                <w:color w:val="000000" w:themeColor="text1"/>
                <w:sz w:val="24"/>
                <w:szCs w:val="24"/>
              </w:rPr>
              <w:t xml:space="preserve"> case files. Examine how you have conducted disclosure with best</w:t>
            </w:r>
            <w:r w:rsidR="2464EBBD" w:rsidRPr="00C4563F">
              <w:rPr>
                <w:rFonts w:ascii="Arial" w:eastAsia="Arial" w:hAnsi="Arial" w:cs="Arial"/>
                <w:b/>
                <w:bCs/>
                <w:color w:val="000000" w:themeColor="text1"/>
                <w:sz w:val="24"/>
                <w:szCs w:val="24"/>
              </w:rPr>
              <w:t xml:space="preserve"> practice procedures</w:t>
            </w:r>
            <w:r w:rsidR="31143131" w:rsidRPr="00C4563F">
              <w:rPr>
                <w:rFonts w:ascii="Arial" w:eastAsia="Arial" w:hAnsi="Arial" w:cs="Arial"/>
                <w:b/>
                <w:bCs/>
                <w:color w:val="000000" w:themeColor="text1"/>
                <w:sz w:val="24"/>
                <w:szCs w:val="24"/>
              </w:rPr>
              <w:t xml:space="preserve"> </w:t>
            </w:r>
            <w:r w:rsidR="2BD1B6F3" w:rsidRPr="00C4563F">
              <w:rPr>
                <w:rFonts w:ascii="Arial" w:eastAsia="Arial" w:hAnsi="Arial" w:cs="Arial"/>
                <w:b/>
                <w:bCs/>
                <w:color w:val="000000" w:themeColor="text1"/>
                <w:sz w:val="24"/>
                <w:szCs w:val="24"/>
              </w:rPr>
              <w:t xml:space="preserve">while creating an accurate audit trail. </w:t>
            </w:r>
          </w:p>
          <w:p w14:paraId="2693A66F" w14:textId="77777777" w:rsidR="002151CC" w:rsidRDefault="002151CC" w:rsidP="515A1CF8">
            <w:pPr>
              <w:rPr>
                <w:rFonts w:ascii="Arial" w:eastAsia="Arial" w:hAnsi="Arial" w:cs="Arial"/>
                <w:b/>
                <w:bCs/>
                <w:color w:val="000000" w:themeColor="text1"/>
                <w:sz w:val="24"/>
                <w:szCs w:val="24"/>
              </w:rPr>
            </w:pPr>
          </w:p>
          <w:p w14:paraId="5F14921D" w14:textId="6E00BD04" w:rsidR="002151CC" w:rsidRDefault="002151CC" w:rsidP="002151CC">
            <w:pPr>
              <w:rPr>
                <w:rFonts w:ascii="Arial" w:hAnsi="Arial" w:cs="Arial"/>
                <w:sz w:val="24"/>
                <w:szCs w:val="24"/>
              </w:rPr>
            </w:pPr>
            <w:r>
              <w:rPr>
                <w:rFonts w:ascii="Arial" w:hAnsi="Arial" w:cs="Arial"/>
                <w:sz w:val="24"/>
                <w:szCs w:val="24"/>
              </w:rPr>
              <w:t>The College of Policing (2023) advises that t</w:t>
            </w:r>
            <w:r w:rsidRPr="000A0C99">
              <w:rPr>
                <w:rFonts w:ascii="Arial" w:hAnsi="Arial" w:cs="Arial"/>
                <w:sz w:val="24"/>
                <w:szCs w:val="24"/>
              </w:rPr>
              <w:t xml:space="preserve">he process of disclosure of relevant material is a vital component of both the investigative and prosecution domains in a criminal </w:t>
            </w:r>
            <w:r w:rsidRPr="000A0C99">
              <w:rPr>
                <w:rFonts w:ascii="Arial" w:hAnsi="Arial" w:cs="Arial"/>
                <w:sz w:val="24"/>
                <w:szCs w:val="24"/>
              </w:rPr>
              <w:t>investigation and</w:t>
            </w:r>
            <w:r w:rsidRPr="000A0C99">
              <w:rPr>
                <w:rFonts w:ascii="Arial" w:hAnsi="Arial" w:cs="Arial"/>
                <w:sz w:val="24"/>
                <w:szCs w:val="24"/>
              </w:rPr>
              <w:t xml:space="preserve"> is a central aspect of the concept of the right to a fair trial. One important aspect of modern investigations is the completion and regular updating of the Investigation Management Document (IMD), which assists in the consideration of what material will and will not be disclosed to the defence. The CPS is provided with the IMD, from which they compile the Disclosure Management Document (DMD), which helps the court to evaluate the fairness of the processes of disclosure employed throughout the investigation. </w:t>
            </w:r>
          </w:p>
          <w:p w14:paraId="65EC5D8E" w14:textId="77777777" w:rsidR="002151CC" w:rsidRPr="000A0C99" w:rsidRDefault="002151CC" w:rsidP="002151CC">
            <w:pPr>
              <w:rPr>
                <w:rFonts w:ascii="Arial" w:hAnsi="Arial" w:cs="Arial"/>
                <w:sz w:val="24"/>
                <w:szCs w:val="24"/>
              </w:rPr>
            </w:pPr>
          </w:p>
          <w:p w14:paraId="33363D93" w14:textId="77777777" w:rsidR="002151CC" w:rsidRDefault="002151CC" w:rsidP="002151CC">
            <w:pPr>
              <w:rPr>
                <w:rFonts w:ascii="Arial" w:hAnsi="Arial" w:cs="Arial"/>
                <w:sz w:val="24"/>
                <w:szCs w:val="24"/>
              </w:rPr>
            </w:pPr>
            <w:r w:rsidRPr="000A0C99">
              <w:rPr>
                <w:rFonts w:ascii="Arial" w:hAnsi="Arial" w:cs="Arial"/>
                <w:sz w:val="24"/>
                <w:szCs w:val="24"/>
              </w:rPr>
              <w:t>With the clear benefits outlined above, this investigation would no doubt have benefitted from an IMD report detailing not only a comprehensive summary of the investigation, as well as a record of all disclosure</w:t>
            </w:r>
            <w:r>
              <w:rPr>
                <w:rFonts w:ascii="Arial" w:hAnsi="Arial" w:cs="Arial"/>
                <w:sz w:val="24"/>
                <w:szCs w:val="24"/>
              </w:rPr>
              <w:t>-</w:t>
            </w:r>
            <w:r w:rsidRPr="000A0C99">
              <w:rPr>
                <w:rFonts w:ascii="Arial" w:hAnsi="Arial" w:cs="Arial"/>
                <w:sz w:val="24"/>
                <w:szCs w:val="24"/>
              </w:rPr>
              <w:t>relevant investigative actions such as the gathering of CCTV evidence and the identification procedure. At the time that this investigation took place</w:t>
            </w:r>
            <w:r>
              <w:rPr>
                <w:rFonts w:ascii="Arial" w:hAnsi="Arial" w:cs="Arial"/>
                <w:sz w:val="24"/>
                <w:szCs w:val="24"/>
              </w:rPr>
              <w:t xml:space="preserve"> </w:t>
            </w:r>
            <w:r w:rsidRPr="000A0C99">
              <w:rPr>
                <w:rFonts w:ascii="Arial" w:hAnsi="Arial" w:cs="Arial"/>
                <w:sz w:val="24"/>
                <w:szCs w:val="24"/>
              </w:rPr>
              <w:t xml:space="preserve">however, completion of an IMD was not a CPS requirement of police investigations. Whilst the impact of the introduction of IMDs themselves on the disclosure process and the consequent success of investigations appears to be under-researched at present, the negative impact of poor disclosure practices on investigation outcomes is well-documented, particularly with regards to </w:t>
            </w:r>
            <w:r>
              <w:rPr>
                <w:rFonts w:ascii="Arial" w:hAnsi="Arial" w:cs="Arial"/>
                <w:sz w:val="24"/>
                <w:szCs w:val="24"/>
              </w:rPr>
              <w:t>sexual offences cases</w:t>
            </w:r>
            <w:r w:rsidRPr="000A0C99">
              <w:rPr>
                <w:rFonts w:ascii="Arial" w:hAnsi="Arial" w:cs="Arial"/>
                <w:sz w:val="24"/>
                <w:szCs w:val="24"/>
              </w:rPr>
              <w:t>.</w:t>
            </w:r>
          </w:p>
          <w:p w14:paraId="2922E6AE" w14:textId="77777777" w:rsidR="002151CC" w:rsidRPr="000A0C99" w:rsidRDefault="002151CC" w:rsidP="002151CC">
            <w:pPr>
              <w:rPr>
                <w:rFonts w:ascii="Arial" w:hAnsi="Arial" w:cs="Arial"/>
                <w:sz w:val="24"/>
                <w:szCs w:val="24"/>
              </w:rPr>
            </w:pPr>
          </w:p>
          <w:p w14:paraId="42E4FE7A" w14:textId="77777777" w:rsidR="002151CC" w:rsidRDefault="002151CC" w:rsidP="002151CC">
            <w:pPr>
              <w:rPr>
                <w:rFonts w:ascii="Arial" w:hAnsi="Arial" w:cs="Arial"/>
                <w:sz w:val="24"/>
                <w:szCs w:val="24"/>
              </w:rPr>
            </w:pPr>
            <w:r w:rsidRPr="000A0C99">
              <w:rPr>
                <w:rFonts w:ascii="Arial" w:hAnsi="Arial" w:cs="Arial"/>
                <w:sz w:val="24"/>
                <w:szCs w:val="24"/>
              </w:rPr>
              <w:t>The Criminal Cases Review Commission (2016) wrote that failure to disclose material that could assist the defence was the most frequent cause of miscarriages of justice in 2015-2016. The BBC (2018) reports that 916 cases were d</w:t>
            </w:r>
            <w:r>
              <w:rPr>
                <w:rFonts w:ascii="Arial" w:hAnsi="Arial" w:cs="Arial"/>
                <w:sz w:val="24"/>
                <w:szCs w:val="24"/>
              </w:rPr>
              <w:t>iscontinued</w:t>
            </w:r>
            <w:r w:rsidRPr="000A0C99">
              <w:rPr>
                <w:rFonts w:ascii="Arial" w:hAnsi="Arial" w:cs="Arial"/>
                <w:sz w:val="24"/>
                <w:szCs w:val="24"/>
              </w:rPr>
              <w:t xml:space="preserve"> in 2017 due to failings in the disclosure of evidence (an increase of 70% over the previous two years), in particular highlighting the rape trial of Liam Allan, which </w:t>
            </w:r>
            <w:r w:rsidRPr="000A0C99">
              <w:rPr>
                <w:rFonts w:ascii="Arial" w:hAnsi="Arial" w:cs="Arial"/>
                <w:sz w:val="24"/>
                <w:szCs w:val="24"/>
              </w:rPr>
              <w:lastRenderedPageBreak/>
              <w:t xml:space="preserve">was halted in December 2017 due to the emergence of evidence that was significantly undermining to the prosecution, and up to that point had failed to be disclosed. And whilst the National Police Chief’s Council’s (NPCC) (2018) National Disclosure Improvement Plan revealed plans for DMDs to be used in all criminal cases that feature a significant volume of material by March 2018, in the year leading to 30 June 2021, failings in disclosure led to the collapse of </w:t>
            </w:r>
            <w:r>
              <w:rPr>
                <w:rFonts w:ascii="Arial" w:hAnsi="Arial" w:cs="Arial"/>
                <w:sz w:val="24"/>
                <w:szCs w:val="24"/>
              </w:rPr>
              <w:t xml:space="preserve">a further </w:t>
            </w:r>
            <w:r w:rsidRPr="000A0C99">
              <w:rPr>
                <w:rFonts w:ascii="Arial" w:hAnsi="Arial" w:cs="Arial"/>
                <w:sz w:val="24"/>
                <w:szCs w:val="24"/>
              </w:rPr>
              <w:t xml:space="preserve">1,648 cases (Ungoed-Thomas, 2021). </w:t>
            </w:r>
          </w:p>
          <w:p w14:paraId="113EDC64" w14:textId="77777777" w:rsidR="002151CC" w:rsidRPr="000A0C99" w:rsidRDefault="002151CC" w:rsidP="002151CC">
            <w:pPr>
              <w:rPr>
                <w:rFonts w:ascii="Arial" w:hAnsi="Arial" w:cs="Arial"/>
                <w:sz w:val="24"/>
                <w:szCs w:val="24"/>
              </w:rPr>
            </w:pPr>
          </w:p>
          <w:p w14:paraId="6603727F" w14:textId="77777777" w:rsidR="002151CC" w:rsidRDefault="002151CC" w:rsidP="002151CC">
            <w:pPr>
              <w:rPr>
                <w:rFonts w:ascii="Arial" w:hAnsi="Arial" w:cs="Arial"/>
                <w:sz w:val="24"/>
                <w:szCs w:val="24"/>
              </w:rPr>
            </w:pPr>
            <w:r w:rsidRPr="000A0C99">
              <w:rPr>
                <w:rFonts w:ascii="Arial" w:hAnsi="Arial" w:cs="Arial"/>
                <w:sz w:val="24"/>
                <w:szCs w:val="24"/>
              </w:rPr>
              <w:t xml:space="preserve">The case of Liam Allan commonly features in literature regarding disclosure failings, with Ruyters, Stratton and Bartle (2021) explaining that the issues stemmed from the OIC of the matter </w:t>
            </w:r>
            <w:r>
              <w:rPr>
                <w:rFonts w:ascii="Arial" w:hAnsi="Arial" w:cs="Arial"/>
                <w:sz w:val="24"/>
                <w:szCs w:val="24"/>
              </w:rPr>
              <w:t>failing to notice undermining information on the complainant’s phone</w:t>
            </w:r>
            <w:r w:rsidRPr="000A0C99">
              <w:rPr>
                <w:rFonts w:ascii="Arial" w:hAnsi="Arial" w:cs="Arial"/>
                <w:sz w:val="24"/>
                <w:szCs w:val="24"/>
              </w:rPr>
              <w:t>, before declaring in a report that the phone contained no relevant data. The OIC then also failed to include the download of the phone data in their schedule of disclosures to the CPS, who in turn initially failed to follow up on this omission, before agreeing not to disclose the download based on the officer’s review of it. This case highlighted the importance of completion of accurate reports containing investigation details, and provision of accurate and detailed disclosure schedules to the CPS so that an audit trail of relevant material is generated.</w:t>
            </w:r>
          </w:p>
          <w:p w14:paraId="5D03FD42" w14:textId="77777777" w:rsidR="002151CC" w:rsidRPr="000A0C99" w:rsidRDefault="002151CC" w:rsidP="002151CC">
            <w:pPr>
              <w:rPr>
                <w:rFonts w:ascii="Arial" w:hAnsi="Arial" w:cs="Arial"/>
                <w:sz w:val="24"/>
                <w:szCs w:val="24"/>
              </w:rPr>
            </w:pPr>
          </w:p>
          <w:p w14:paraId="2D4C6CB9" w14:textId="77777777" w:rsidR="002151CC" w:rsidRDefault="002151CC" w:rsidP="002151CC">
            <w:pPr>
              <w:rPr>
                <w:rFonts w:ascii="Arial" w:eastAsia="Arial" w:hAnsi="Arial" w:cs="Arial"/>
                <w:color w:val="000000" w:themeColor="text1"/>
                <w:sz w:val="24"/>
                <w:szCs w:val="24"/>
              </w:rPr>
            </w:pPr>
            <w:r w:rsidRPr="000A0C99">
              <w:rPr>
                <w:rFonts w:ascii="Arial" w:eastAsia="Arial" w:hAnsi="Arial" w:cs="Arial"/>
                <w:color w:val="000000" w:themeColor="text1"/>
                <w:sz w:val="24"/>
                <w:szCs w:val="24"/>
              </w:rPr>
              <w:t>In order to maintain an accurate audit trail in this case, I carefully examined all relevant material, including the rebuttable presumption material, explained in the CPS’s (2022</w:t>
            </w:r>
            <w:r>
              <w:rPr>
                <w:rFonts w:ascii="Arial" w:eastAsia="Arial" w:hAnsi="Arial" w:cs="Arial"/>
                <w:color w:val="000000" w:themeColor="text1"/>
                <w:sz w:val="24"/>
                <w:szCs w:val="24"/>
              </w:rPr>
              <w:t>a</w:t>
            </w:r>
            <w:r w:rsidRPr="000A0C99">
              <w:rPr>
                <w:rFonts w:ascii="Arial" w:eastAsia="Arial" w:hAnsi="Arial" w:cs="Arial"/>
                <w:color w:val="000000" w:themeColor="text1"/>
                <w:sz w:val="24"/>
                <w:szCs w:val="24"/>
              </w:rPr>
              <w:t xml:space="preserve">) Disclosure Manual, redacting it where necessary, and considering whether any part of the material would undermine the prosecution case or assist the defence, </w:t>
            </w:r>
            <w:r>
              <w:rPr>
                <w:rFonts w:ascii="Arial" w:eastAsia="Arial" w:hAnsi="Arial" w:cs="Arial"/>
                <w:color w:val="000000" w:themeColor="text1"/>
                <w:sz w:val="24"/>
                <w:szCs w:val="24"/>
              </w:rPr>
              <w:t>summarising</w:t>
            </w:r>
            <w:r w:rsidRPr="000A0C99">
              <w:rPr>
                <w:rFonts w:ascii="Arial" w:eastAsia="Arial" w:hAnsi="Arial" w:cs="Arial"/>
                <w:color w:val="000000" w:themeColor="text1"/>
                <w:sz w:val="24"/>
                <w:szCs w:val="24"/>
              </w:rPr>
              <w:t xml:space="preserve"> these documents on an MG 6C document, as outlined in the guidance under paragraph 6 of section 23(1) of CPIA Code of Practice (2015, pp. 10-12). In this case</w:t>
            </w:r>
            <w:r>
              <w:rPr>
                <w:rFonts w:ascii="Arial" w:eastAsia="Arial" w:hAnsi="Arial" w:cs="Arial"/>
                <w:color w:val="000000" w:themeColor="text1"/>
                <w:sz w:val="24"/>
                <w:szCs w:val="24"/>
              </w:rPr>
              <w:t>, I</w:t>
            </w:r>
            <w:r w:rsidRPr="000A0C99">
              <w:rPr>
                <w:rFonts w:ascii="Arial" w:eastAsia="Arial" w:hAnsi="Arial" w:cs="Arial"/>
                <w:color w:val="000000" w:themeColor="text1"/>
                <w:sz w:val="24"/>
                <w:szCs w:val="24"/>
              </w:rPr>
              <w:t xml:space="preserve"> redacted copies of the police occurrence record, incident log, the suspect’s custody record, attending officers’ pocketbook entries pertinent to the investigation, my own notes of </w:t>
            </w:r>
            <w:r>
              <w:rPr>
                <w:rFonts w:ascii="Arial" w:eastAsia="Arial" w:hAnsi="Arial" w:cs="Arial"/>
                <w:color w:val="000000" w:themeColor="text1"/>
                <w:sz w:val="24"/>
                <w:szCs w:val="24"/>
              </w:rPr>
              <w:t>the suspect interview</w:t>
            </w:r>
            <w:r w:rsidRPr="000A0C99">
              <w:rPr>
                <w:rFonts w:ascii="Arial" w:eastAsia="Arial" w:hAnsi="Arial" w:cs="Arial"/>
                <w:color w:val="000000" w:themeColor="text1"/>
                <w:sz w:val="24"/>
                <w:szCs w:val="24"/>
              </w:rPr>
              <w:t>, as well as the identification procedure documentation served on the suspect</w:t>
            </w:r>
            <w:r>
              <w:rPr>
                <w:rFonts w:ascii="Arial" w:eastAsia="Arial" w:hAnsi="Arial" w:cs="Arial"/>
                <w:color w:val="000000" w:themeColor="text1"/>
                <w:sz w:val="24"/>
                <w:szCs w:val="24"/>
              </w:rPr>
              <w:t>. These documents and the related schedule</w:t>
            </w:r>
            <w:r w:rsidRPr="000A0C99">
              <w:rPr>
                <w:rFonts w:ascii="Arial" w:eastAsia="Arial" w:hAnsi="Arial" w:cs="Arial"/>
                <w:color w:val="000000" w:themeColor="text1"/>
                <w:sz w:val="24"/>
                <w:szCs w:val="24"/>
              </w:rPr>
              <w:t xml:space="preserve"> were forwarded to the prosecutor in line with guidance in paragraph 7 of section 23(1) of CPIA Code of Practice (2015, p. 13)</w:t>
            </w:r>
            <w:r>
              <w:rPr>
                <w:rFonts w:ascii="Arial" w:eastAsia="Arial" w:hAnsi="Arial" w:cs="Arial"/>
                <w:color w:val="000000" w:themeColor="text1"/>
                <w:sz w:val="24"/>
                <w:szCs w:val="24"/>
              </w:rPr>
              <w:t>.</w:t>
            </w:r>
          </w:p>
          <w:p w14:paraId="5F68CA1B" w14:textId="77777777" w:rsidR="002151CC" w:rsidRDefault="002151CC" w:rsidP="002151CC">
            <w:pPr>
              <w:rPr>
                <w:rFonts w:ascii="Arial" w:eastAsia="Arial" w:hAnsi="Arial" w:cs="Arial"/>
                <w:color w:val="000000" w:themeColor="text1"/>
                <w:sz w:val="24"/>
                <w:szCs w:val="24"/>
              </w:rPr>
            </w:pPr>
          </w:p>
          <w:p w14:paraId="5A6F2EA4" w14:textId="77777777" w:rsidR="0063491E" w:rsidRDefault="0063491E" w:rsidP="002151CC">
            <w:pPr>
              <w:rPr>
                <w:rFonts w:ascii="Arial" w:eastAsia="Arial" w:hAnsi="Arial" w:cs="Arial"/>
                <w:color w:val="000000" w:themeColor="text1"/>
                <w:sz w:val="24"/>
                <w:szCs w:val="24"/>
              </w:rPr>
            </w:pPr>
          </w:p>
          <w:p w14:paraId="71EE3799" w14:textId="4A7DE2B6" w:rsidR="002151CC" w:rsidRDefault="002151CC" w:rsidP="002151CC">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Word Count: </w:t>
            </w:r>
            <w:r w:rsidR="0063491E">
              <w:rPr>
                <w:rFonts w:ascii="Arial" w:eastAsia="Arial" w:hAnsi="Arial" w:cs="Arial"/>
                <w:color w:val="000000" w:themeColor="text1"/>
                <w:sz w:val="24"/>
                <w:szCs w:val="24"/>
              </w:rPr>
              <w:t>2,195</w:t>
            </w:r>
          </w:p>
          <w:p w14:paraId="162820AE" w14:textId="77777777" w:rsidR="002F45CC" w:rsidRDefault="002F45CC" w:rsidP="002151CC">
            <w:pPr>
              <w:rPr>
                <w:rFonts w:ascii="Arial" w:eastAsia="Arial" w:hAnsi="Arial" w:cs="Arial"/>
                <w:color w:val="000000" w:themeColor="text1"/>
                <w:sz w:val="24"/>
                <w:szCs w:val="24"/>
              </w:rPr>
            </w:pPr>
          </w:p>
          <w:p w14:paraId="7A89AC92" w14:textId="77777777" w:rsidR="002F45CC" w:rsidRDefault="002F45CC" w:rsidP="002151CC">
            <w:pPr>
              <w:rPr>
                <w:rFonts w:ascii="Arial" w:eastAsia="Arial" w:hAnsi="Arial" w:cs="Arial"/>
                <w:color w:val="000000" w:themeColor="text1"/>
                <w:sz w:val="24"/>
                <w:szCs w:val="24"/>
              </w:rPr>
            </w:pPr>
          </w:p>
          <w:p w14:paraId="3EBA8253" w14:textId="77777777" w:rsidR="002F45CC" w:rsidRPr="002F45CC" w:rsidRDefault="002F45CC" w:rsidP="002F45CC">
            <w:pPr>
              <w:rPr>
                <w:rFonts w:ascii="Arial" w:hAnsi="Arial" w:cs="Arial"/>
                <w:sz w:val="24"/>
                <w:szCs w:val="24"/>
              </w:rPr>
            </w:pPr>
            <w:r w:rsidRPr="002F45CC">
              <w:rPr>
                <w:rFonts w:ascii="Arial" w:hAnsi="Arial" w:cs="Arial"/>
                <w:sz w:val="24"/>
                <w:szCs w:val="24"/>
              </w:rPr>
              <w:t>References</w:t>
            </w:r>
          </w:p>
          <w:p w14:paraId="0CAD33A9" w14:textId="77777777" w:rsidR="002F45CC" w:rsidRDefault="002F45CC" w:rsidP="002F45CC">
            <w:pPr>
              <w:rPr>
                <w:rFonts w:ascii="Arial" w:hAnsi="Arial" w:cs="Arial"/>
                <w:b/>
                <w:bCs/>
                <w:sz w:val="24"/>
                <w:szCs w:val="24"/>
              </w:rPr>
            </w:pPr>
          </w:p>
          <w:p w14:paraId="14267828"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British Broadcasting Corporation [BBC] (2018) ‘Hundreds of cases dropped over evidence disclosure failings’, </w:t>
            </w:r>
            <w:r w:rsidRPr="002F45CC">
              <w:rPr>
                <w:rFonts w:ascii="Arial" w:hAnsi="Arial" w:cs="Arial"/>
                <w:i/>
                <w:iCs/>
                <w:color w:val="000000" w:themeColor="text1"/>
                <w:sz w:val="24"/>
                <w:szCs w:val="24"/>
              </w:rPr>
              <w:t xml:space="preserve">BBC News, </w:t>
            </w:r>
            <w:r w:rsidRPr="002F45CC">
              <w:rPr>
                <w:rFonts w:ascii="Arial" w:hAnsi="Arial" w:cs="Arial"/>
                <w:color w:val="000000" w:themeColor="text1"/>
                <w:sz w:val="24"/>
                <w:szCs w:val="24"/>
              </w:rPr>
              <w:t xml:space="preserve">24 January. Available at </w:t>
            </w:r>
            <w:hyperlink r:id="rId48" w:history="1">
              <w:r w:rsidRPr="002F45CC">
                <w:rPr>
                  <w:rStyle w:val="Hyperlink"/>
                  <w:rFonts w:ascii="Arial" w:hAnsi="Arial" w:cs="Arial"/>
                  <w:color w:val="000000" w:themeColor="text1"/>
                  <w:sz w:val="24"/>
                  <w:szCs w:val="24"/>
                </w:rPr>
                <w:t>Hundreds of cases dropped over evidence disclosure failings - BBC News</w:t>
              </w:r>
            </w:hyperlink>
            <w:r w:rsidRPr="002F45CC">
              <w:rPr>
                <w:rFonts w:ascii="Arial" w:hAnsi="Arial" w:cs="Arial"/>
                <w:color w:val="000000" w:themeColor="text1"/>
                <w:sz w:val="24"/>
                <w:szCs w:val="24"/>
              </w:rPr>
              <w:t xml:space="preserve"> (Accessed: 9 May 2024).</w:t>
            </w:r>
          </w:p>
          <w:p w14:paraId="22DC4D62" w14:textId="77777777" w:rsidR="002F45CC" w:rsidRPr="002F45CC" w:rsidRDefault="002F45CC" w:rsidP="002F45CC">
            <w:pPr>
              <w:rPr>
                <w:rFonts w:ascii="Arial" w:hAnsi="Arial" w:cs="Arial"/>
                <w:color w:val="000000" w:themeColor="text1"/>
                <w:sz w:val="24"/>
                <w:szCs w:val="24"/>
              </w:rPr>
            </w:pPr>
          </w:p>
          <w:p w14:paraId="78915A93"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Bornstein, B. H. and Miller, M. K. (2013) </w:t>
            </w:r>
            <w:r w:rsidRPr="002F45CC">
              <w:rPr>
                <w:rFonts w:ascii="Arial" w:hAnsi="Arial" w:cs="Arial"/>
                <w:i/>
                <w:iCs/>
                <w:color w:val="000000" w:themeColor="text1"/>
                <w:sz w:val="24"/>
                <w:szCs w:val="24"/>
              </w:rPr>
              <w:t>Stress, Trauma, and Wellbeing in the Legal System</w:t>
            </w:r>
            <w:r w:rsidRPr="002F45CC">
              <w:rPr>
                <w:rFonts w:ascii="Arial" w:hAnsi="Arial" w:cs="Arial"/>
                <w:color w:val="000000" w:themeColor="text1"/>
                <w:sz w:val="24"/>
                <w:szCs w:val="24"/>
              </w:rPr>
              <w:t>. New York: Oxford University Press.</w:t>
            </w:r>
          </w:p>
          <w:p w14:paraId="7B4CBF85" w14:textId="77777777" w:rsidR="002F45CC" w:rsidRPr="002F45CC" w:rsidRDefault="002F45CC" w:rsidP="002F45CC">
            <w:pPr>
              <w:rPr>
                <w:rFonts w:ascii="Arial" w:hAnsi="Arial" w:cs="Arial"/>
                <w:color w:val="000000" w:themeColor="text1"/>
                <w:sz w:val="24"/>
                <w:szCs w:val="24"/>
              </w:rPr>
            </w:pPr>
          </w:p>
          <w:p w14:paraId="4A5C56EA"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Borton, T. (1970) </w:t>
            </w:r>
            <w:r w:rsidRPr="002F45CC">
              <w:rPr>
                <w:rFonts w:ascii="Arial" w:hAnsi="Arial" w:cs="Arial"/>
                <w:i/>
                <w:iCs/>
                <w:color w:val="000000" w:themeColor="text1"/>
                <w:sz w:val="24"/>
                <w:szCs w:val="24"/>
              </w:rPr>
              <w:t xml:space="preserve"> Reach Touch and Teach. </w:t>
            </w:r>
            <w:r w:rsidRPr="002F45CC">
              <w:rPr>
                <w:rFonts w:ascii="Arial" w:hAnsi="Arial" w:cs="Arial"/>
                <w:color w:val="000000" w:themeColor="text1"/>
                <w:sz w:val="24"/>
                <w:szCs w:val="24"/>
              </w:rPr>
              <w:t>New York: McGraw-Hill.</w:t>
            </w:r>
          </w:p>
          <w:p w14:paraId="537F23C0" w14:textId="77777777" w:rsidR="002F45CC" w:rsidRPr="002F45CC" w:rsidRDefault="002F45CC" w:rsidP="002F45CC">
            <w:pPr>
              <w:rPr>
                <w:rFonts w:ascii="Arial" w:hAnsi="Arial" w:cs="Arial"/>
                <w:color w:val="000000" w:themeColor="text1"/>
                <w:sz w:val="24"/>
                <w:szCs w:val="24"/>
              </w:rPr>
            </w:pPr>
          </w:p>
          <w:p w14:paraId="4F8B674C"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lastRenderedPageBreak/>
              <w:t xml:space="preserve">‘Commonwealth of Massachusetts, Plaintiff-Appellee v. Jeremy D. Gomes, Defendant-Appellant’ (2014) SJC-11537, </w:t>
            </w:r>
            <w:r w:rsidRPr="002F45CC">
              <w:rPr>
                <w:rFonts w:ascii="Arial" w:hAnsi="Arial" w:cs="Arial"/>
                <w:i/>
                <w:iCs/>
                <w:color w:val="000000" w:themeColor="text1"/>
                <w:sz w:val="24"/>
                <w:szCs w:val="24"/>
              </w:rPr>
              <w:t xml:space="preserve">Brief of the American Psychological Association and the Center for Law, Brain &amp; Behaviour as Amici Curiae in support of Defendants-Appellants. </w:t>
            </w:r>
            <w:r w:rsidRPr="002F45CC">
              <w:rPr>
                <w:rFonts w:ascii="Arial" w:hAnsi="Arial" w:cs="Arial"/>
                <w:color w:val="000000" w:themeColor="text1"/>
                <w:sz w:val="24"/>
                <w:szCs w:val="24"/>
              </w:rPr>
              <w:t xml:space="preserve"> Available at </w:t>
            </w:r>
            <w:hyperlink r:id="rId49" w:history="1">
              <w:r w:rsidRPr="002F45CC">
                <w:rPr>
                  <w:rStyle w:val="Hyperlink"/>
                  <w:rFonts w:ascii="Arial" w:hAnsi="Arial" w:cs="Arial"/>
                  <w:color w:val="000000" w:themeColor="text1"/>
                  <w:sz w:val="24"/>
                  <w:szCs w:val="24"/>
                </w:rPr>
                <w:t>gomes-johnson.pdf (apa.org)</w:t>
              </w:r>
            </w:hyperlink>
            <w:r w:rsidRPr="002F45CC">
              <w:rPr>
                <w:rFonts w:ascii="Arial" w:hAnsi="Arial" w:cs="Arial"/>
                <w:color w:val="000000" w:themeColor="text1"/>
                <w:sz w:val="24"/>
                <w:szCs w:val="24"/>
              </w:rPr>
              <w:t xml:space="preserve"> (Accessed: 5 May 2024).</w:t>
            </w:r>
          </w:p>
          <w:p w14:paraId="3206B3B0" w14:textId="77777777" w:rsidR="002F45CC" w:rsidRPr="002F45CC" w:rsidRDefault="002F45CC" w:rsidP="002F45CC">
            <w:pPr>
              <w:rPr>
                <w:rFonts w:ascii="Arial" w:hAnsi="Arial" w:cs="Arial"/>
                <w:color w:val="000000" w:themeColor="text1"/>
                <w:sz w:val="24"/>
                <w:szCs w:val="24"/>
              </w:rPr>
            </w:pPr>
          </w:p>
          <w:p w14:paraId="4628420D"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College of Policing (2023) </w:t>
            </w:r>
            <w:r w:rsidRPr="002F45CC">
              <w:rPr>
                <w:rFonts w:ascii="Arial" w:hAnsi="Arial" w:cs="Arial"/>
                <w:i/>
                <w:iCs/>
                <w:color w:val="000000" w:themeColor="text1"/>
                <w:sz w:val="24"/>
                <w:szCs w:val="24"/>
              </w:rPr>
              <w:t>Managing effective investigations</w:t>
            </w:r>
            <w:r w:rsidRPr="002F45CC">
              <w:rPr>
                <w:rFonts w:ascii="Arial" w:hAnsi="Arial" w:cs="Arial"/>
                <w:color w:val="000000" w:themeColor="text1"/>
                <w:sz w:val="24"/>
                <w:szCs w:val="24"/>
              </w:rPr>
              <w:t xml:space="preserve">. Available at </w:t>
            </w:r>
            <w:hyperlink r:id="rId50" w:history="1">
              <w:r w:rsidRPr="002F45CC">
                <w:rPr>
                  <w:rStyle w:val="Hyperlink"/>
                  <w:rFonts w:ascii="Arial" w:hAnsi="Arial" w:cs="Arial"/>
                  <w:color w:val="000000" w:themeColor="text1"/>
                  <w:sz w:val="24"/>
                  <w:szCs w:val="24"/>
                </w:rPr>
                <w:t>Managing effective investigations | College of Policing</w:t>
              </w:r>
            </w:hyperlink>
            <w:r w:rsidRPr="002F45CC">
              <w:rPr>
                <w:rFonts w:ascii="Arial" w:hAnsi="Arial" w:cs="Arial"/>
                <w:color w:val="000000" w:themeColor="text1"/>
                <w:sz w:val="24"/>
                <w:szCs w:val="24"/>
              </w:rPr>
              <w:t xml:space="preserve"> (Accessed: 8 May 2024).</w:t>
            </w:r>
          </w:p>
          <w:p w14:paraId="117AC1C5" w14:textId="77777777" w:rsidR="002F45CC" w:rsidRPr="002F45CC" w:rsidRDefault="002F45CC" w:rsidP="002F45CC">
            <w:pPr>
              <w:rPr>
                <w:rFonts w:ascii="Arial" w:hAnsi="Arial" w:cs="Arial"/>
                <w:color w:val="000000" w:themeColor="text1"/>
                <w:sz w:val="24"/>
                <w:szCs w:val="24"/>
              </w:rPr>
            </w:pPr>
          </w:p>
          <w:p w14:paraId="2D685C43"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Criminal Cases Review Commission (2016) </w:t>
            </w:r>
            <w:r w:rsidRPr="002F45CC">
              <w:rPr>
                <w:rFonts w:ascii="Arial" w:hAnsi="Arial" w:cs="Arial"/>
                <w:i/>
                <w:iCs/>
                <w:color w:val="000000" w:themeColor="text1"/>
                <w:sz w:val="24"/>
                <w:szCs w:val="24"/>
              </w:rPr>
              <w:t xml:space="preserve">Annual Report and Accounts 2015/2016. </w:t>
            </w:r>
            <w:r w:rsidRPr="002F45CC">
              <w:rPr>
                <w:rFonts w:ascii="Arial" w:hAnsi="Arial" w:cs="Arial"/>
                <w:color w:val="000000" w:themeColor="text1"/>
                <w:sz w:val="24"/>
                <w:szCs w:val="24"/>
              </w:rPr>
              <w:t xml:space="preserve">Available at </w:t>
            </w:r>
            <w:hyperlink r:id="rId51" w:history="1">
              <w:r w:rsidRPr="002F45CC">
                <w:rPr>
                  <w:rStyle w:val="Hyperlink"/>
                  <w:rFonts w:ascii="Arial" w:hAnsi="Arial" w:cs="Arial"/>
                  <w:color w:val="000000" w:themeColor="text1"/>
                  <w:sz w:val="24"/>
                  <w:szCs w:val="24"/>
                </w:rPr>
                <w:t>HC244 - CCRC Criminal Cases Review Commission Annual Report and Accounts 2015/2016</w:t>
              </w:r>
            </w:hyperlink>
            <w:r w:rsidRPr="002F45CC">
              <w:rPr>
                <w:rFonts w:ascii="Arial" w:hAnsi="Arial" w:cs="Arial"/>
                <w:color w:val="000000" w:themeColor="text1"/>
                <w:sz w:val="24"/>
                <w:szCs w:val="24"/>
              </w:rPr>
              <w:t xml:space="preserve"> (Accessed: 9 May 2024).</w:t>
            </w:r>
          </w:p>
          <w:p w14:paraId="17A84AF0" w14:textId="77777777" w:rsidR="002F45CC" w:rsidRPr="002F45CC" w:rsidRDefault="002F45CC" w:rsidP="002F45CC">
            <w:pPr>
              <w:rPr>
                <w:rFonts w:ascii="Arial" w:hAnsi="Arial" w:cs="Arial"/>
                <w:color w:val="000000" w:themeColor="text1"/>
                <w:sz w:val="24"/>
                <w:szCs w:val="24"/>
              </w:rPr>
            </w:pPr>
          </w:p>
          <w:p w14:paraId="2E4F8F70"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Criminal Justice and Police Act 2001. Available at </w:t>
            </w:r>
            <w:hyperlink r:id="rId52" w:history="1">
              <w:r w:rsidRPr="002F45CC">
                <w:rPr>
                  <w:rStyle w:val="Hyperlink"/>
                  <w:rFonts w:ascii="Arial" w:hAnsi="Arial" w:cs="Arial"/>
                  <w:color w:val="000000" w:themeColor="text1"/>
                  <w:sz w:val="24"/>
                  <w:szCs w:val="24"/>
                </w:rPr>
                <w:t>Criminal Justice and Police Act 2001 (legislation.gov.uk)</w:t>
              </w:r>
            </w:hyperlink>
            <w:r w:rsidRPr="002F45CC">
              <w:rPr>
                <w:rFonts w:ascii="Arial" w:hAnsi="Arial" w:cs="Arial"/>
                <w:color w:val="000000" w:themeColor="text1"/>
                <w:sz w:val="24"/>
                <w:szCs w:val="24"/>
              </w:rPr>
              <w:t xml:space="preserve"> (Accessed: 6 May 2024).</w:t>
            </w:r>
          </w:p>
          <w:p w14:paraId="3D3E82A5" w14:textId="77777777" w:rsidR="002F45CC" w:rsidRPr="002F45CC" w:rsidRDefault="002F45CC" w:rsidP="002F45CC">
            <w:pPr>
              <w:rPr>
                <w:rFonts w:ascii="Arial" w:hAnsi="Arial" w:cs="Arial"/>
                <w:color w:val="000000" w:themeColor="text1"/>
                <w:sz w:val="24"/>
                <w:szCs w:val="24"/>
              </w:rPr>
            </w:pPr>
          </w:p>
          <w:p w14:paraId="2226CE4F"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Criminal Procedure and Investigations Act 1996 (section 23(1)) Code of Practice (2015). Available at </w:t>
            </w:r>
            <w:hyperlink r:id="rId53" w:history="1">
              <w:r w:rsidRPr="002F45CC">
                <w:rPr>
                  <w:rStyle w:val="Hyperlink"/>
                  <w:rFonts w:ascii="Arial" w:hAnsi="Arial" w:cs="Arial"/>
                  <w:color w:val="000000" w:themeColor="text1"/>
                  <w:sz w:val="24"/>
                  <w:szCs w:val="24"/>
                </w:rPr>
                <w:t>Criminal Procedure and Investigations Act 1996 (section 23(1)) Code of Practice (publishing.service.gov.uk)</w:t>
              </w:r>
            </w:hyperlink>
            <w:r w:rsidRPr="002F45CC">
              <w:rPr>
                <w:rFonts w:ascii="Arial" w:hAnsi="Arial" w:cs="Arial"/>
                <w:color w:val="000000" w:themeColor="text1"/>
                <w:sz w:val="24"/>
                <w:szCs w:val="24"/>
              </w:rPr>
              <w:t xml:space="preserve"> (Accessed: 7 May 2024).</w:t>
            </w:r>
          </w:p>
          <w:p w14:paraId="45C5626C" w14:textId="77777777" w:rsidR="002F45CC" w:rsidRPr="002F45CC" w:rsidRDefault="002F45CC" w:rsidP="002F45CC">
            <w:pPr>
              <w:rPr>
                <w:rFonts w:ascii="Arial" w:hAnsi="Arial" w:cs="Arial"/>
                <w:color w:val="000000" w:themeColor="text1"/>
                <w:sz w:val="24"/>
                <w:szCs w:val="24"/>
              </w:rPr>
            </w:pPr>
          </w:p>
          <w:p w14:paraId="405DAC24"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Crown Prosecution Service [CPS] (2022a) </w:t>
            </w:r>
            <w:r w:rsidRPr="002F45CC">
              <w:rPr>
                <w:rFonts w:ascii="Arial" w:hAnsi="Arial" w:cs="Arial"/>
                <w:i/>
                <w:iCs/>
                <w:color w:val="000000" w:themeColor="text1"/>
                <w:sz w:val="24"/>
                <w:szCs w:val="24"/>
              </w:rPr>
              <w:t xml:space="preserve">Disclosure Manual: Chapter 1 – Introduction. </w:t>
            </w:r>
            <w:r w:rsidRPr="002F45CC">
              <w:rPr>
                <w:rFonts w:ascii="Arial" w:hAnsi="Arial" w:cs="Arial"/>
                <w:color w:val="000000" w:themeColor="text1"/>
                <w:sz w:val="24"/>
                <w:szCs w:val="24"/>
              </w:rPr>
              <w:t xml:space="preserve">Available at </w:t>
            </w:r>
            <w:hyperlink r:id="rId54" w:history="1">
              <w:r w:rsidRPr="002F45CC">
                <w:rPr>
                  <w:rStyle w:val="Hyperlink"/>
                  <w:rFonts w:ascii="Arial" w:hAnsi="Arial" w:cs="Arial"/>
                  <w:color w:val="000000" w:themeColor="text1"/>
                  <w:sz w:val="24"/>
                  <w:szCs w:val="24"/>
                </w:rPr>
                <w:t>Disclosure Manual: Chapter 1 - Introduction | The Crown Prosecution Service (cps.gov.uk)</w:t>
              </w:r>
            </w:hyperlink>
            <w:r w:rsidRPr="002F45CC">
              <w:rPr>
                <w:rFonts w:ascii="Arial" w:hAnsi="Arial" w:cs="Arial"/>
                <w:color w:val="000000" w:themeColor="text1"/>
                <w:sz w:val="24"/>
                <w:szCs w:val="24"/>
              </w:rPr>
              <w:t xml:space="preserve"> (Accessed: 7 May 2024).</w:t>
            </w:r>
          </w:p>
          <w:p w14:paraId="64A1B1ED" w14:textId="77777777" w:rsidR="002F45CC" w:rsidRPr="002F45CC" w:rsidRDefault="002F45CC" w:rsidP="002F45CC">
            <w:pPr>
              <w:rPr>
                <w:rFonts w:ascii="Arial" w:hAnsi="Arial" w:cs="Arial"/>
                <w:color w:val="000000" w:themeColor="text1"/>
                <w:sz w:val="24"/>
                <w:szCs w:val="24"/>
              </w:rPr>
            </w:pPr>
          </w:p>
          <w:p w14:paraId="2A33AA90" w14:textId="77777777" w:rsidR="002F45CC" w:rsidRPr="002F45CC" w:rsidRDefault="002F45CC" w:rsidP="002F45CC">
            <w:pPr>
              <w:rPr>
                <w:rFonts w:ascii="Arial" w:hAnsi="Arial" w:cs="Arial"/>
                <w:color w:val="000000" w:themeColor="text1"/>
                <w:sz w:val="24"/>
                <w:szCs w:val="24"/>
              </w:rPr>
            </w:pPr>
          </w:p>
          <w:p w14:paraId="1B232B82"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Crown Prosecution Service [CPS] (2022b) </w:t>
            </w:r>
            <w:r w:rsidRPr="002F45CC">
              <w:rPr>
                <w:rFonts w:ascii="Arial" w:hAnsi="Arial" w:cs="Arial"/>
                <w:i/>
                <w:iCs/>
                <w:color w:val="000000" w:themeColor="text1"/>
                <w:sz w:val="24"/>
                <w:szCs w:val="24"/>
              </w:rPr>
              <w:t xml:space="preserve">Disclosure Manual: Chapter 30 – Digital Material. </w:t>
            </w:r>
            <w:r w:rsidRPr="002F45CC">
              <w:rPr>
                <w:rFonts w:ascii="Arial" w:hAnsi="Arial" w:cs="Arial"/>
                <w:color w:val="000000" w:themeColor="text1"/>
                <w:sz w:val="24"/>
                <w:szCs w:val="24"/>
              </w:rPr>
              <w:t xml:space="preserve">Available at </w:t>
            </w:r>
            <w:hyperlink r:id="rId55" w:history="1">
              <w:r w:rsidRPr="002F45CC">
                <w:rPr>
                  <w:rStyle w:val="Hyperlink"/>
                  <w:rFonts w:ascii="Arial" w:hAnsi="Arial" w:cs="Arial"/>
                  <w:color w:val="000000" w:themeColor="text1"/>
                  <w:sz w:val="24"/>
                  <w:szCs w:val="24"/>
                </w:rPr>
                <w:t>Disclosure Manual: Chapter 30 - Digital Material | The Crown Prosecution Service (cps.gov.uk)</w:t>
              </w:r>
            </w:hyperlink>
            <w:r w:rsidRPr="002F45CC">
              <w:rPr>
                <w:rFonts w:ascii="Arial" w:hAnsi="Arial" w:cs="Arial"/>
                <w:color w:val="000000" w:themeColor="text1"/>
                <w:sz w:val="24"/>
                <w:szCs w:val="24"/>
              </w:rPr>
              <w:t xml:space="preserve"> (Accessed: 7 May 2024).</w:t>
            </w:r>
          </w:p>
          <w:p w14:paraId="2F48E1DC" w14:textId="77777777" w:rsidR="002F45CC" w:rsidRPr="002F45CC" w:rsidRDefault="002F45CC" w:rsidP="002F45CC">
            <w:pPr>
              <w:rPr>
                <w:rFonts w:ascii="Arial" w:hAnsi="Arial" w:cs="Arial"/>
                <w:color w:val="000000" w:themeColor="text1"/>
                <w:sz w:val="24"/>
                <w:szCs w:val="24"/>
              </w:rPr>
            </w:pPr>
          </w:p>
          <w:p w14:paraId="1A0D8147"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Deffenbacher, K. A., Bornstein, B. H., Penrod, S. D., and McGorty, E. K. (2004). ‘A Meta-Analytic Review of the Effects of High Stress on Eyewitness Memory’, </w:t>
            </w:r>
            <w:r w:rsidRPr="002F45CC">
              <w:rPr>
                <w:rFonts w:ascii="Arial" w:hAnsi="Arial" w:cs="Arial"/>
                <w:i/>
                <w:iCs/>
                <w:color w:val="000000" w:themeColor="text1"/>
                <w:sz w:val="24"/>
                <w:szCs w:val="24"/>
              </w:rPr>
              <w:t xml:space="preserve">Law and Human Behaviour, </w:t>
            </w:r>
            <w:r w:rsidRPr="002F45CC">
              <w:rPr>
                <w:rFonts w:ascii="Arial" w:hAnsi="Arial" w:cs="Arial"/>
                <w:color w:val="000000" w:themeColor="text1"/>
                <w:sz w:val="24"/>
                <w:szCs w:val="24"/>
              </w:rPr>
              <w:t xml:space="preserve">28(6), pp. 687-706. Available at </w:t>
            </w:r>
            <w:hyperlink r:id="rId56" w:history="1">
              <w:r w:rsidRPr="002F45CC">
                <w:rPr>
                  <w:rStyle w:val="Hyperlink"/>
                  <w:rFonts w:ascii="Arial" w:hAnsi="Arial" w:cs="Arial"/>
                  <w:color w:val="000000" w:themeColor="text1"/>
                  <w:sz w:val="24"/>
                  <w:szCs w:val="24"/>
                </w:rPr>
                <w:t>A Meta-Analytic Review of the Effects of High Stress on Eyewitness Memory - ProQuest</w:t>
              </w:r>
            </w:hyperlink>
          </w:p>
          <w:p w14:paraId="132537CB" w14:textId="77777777" w:rsidR="002F45CC" w:rsidRPr="002F45CC" w:rsidRDefault="002F45CC" w:rsidP="002F45CC">
            <w:pPr>
              <w:rPr>
                <w:rFonts w:ascii="Arial" w:hAnsi="Arial" w:cs="Arial"/>
                <w:color w:val="000000" w:themeColor="text1"/>
                <w:sz w:val="24"/>
                <w:szCs w:val="24"/>
              </w:rPr>
            </w:pPr>
          </w:p>
          <w:p w14:paraId="15DA26AA"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National Police Chief’s Council [NPCC] (2018) </w:t>
            </w:r>
            <w:r w:rsidRPr="002F45CC">
              <w:rPr>
                <w:rFonts w:ascii="Arial" w:hAnsi="Arial" w:cs="Arial"/>
                <w:i/>
                <w:iCs/>
                <w:color w:val="000000" w:themeColor="text1"/>
                <w:sz w:val="24"/>
                <w:szCs w:val="24"/>
              </w:rPr>
              <w:t xml:space="preserve">National Disclosure Improvement Plan. </w:t>
            </w:r>
            <w:r w:rsidRPr="002F45CC">
              <w:rPr>
                <w:rFonts w:ascii="Arial" w:hAnsi="Arial" w:cs="Arial"/>
                <w:color w:val="000000" w:themeColor="text1"/>
                <w:sz w:val="24"/>
                <w:szCs w:val="24"/>
              </w:rPr>
              <w:t xml:space="preserve">Available at </w:t>
            </w:r>
            <w:hyperlink r:id="rId57" w:history="1">
              <w:r w:rsidRPr="002F45CC">
                <w:rPr>
                  <w:rStyle w:val="Hyperlink"/>
                  <w:rFonts w:ascii="Arial" w:hAnsi="Arial" w:cs="Arial"/>
                  <w:color w:val="000000" w:themeColor="text1"/>
                  <w:sz w:val="24"/>
                  <w:szCs w:val="24"/>
                </w:rPr>
                <w:t>National-Disclosure-Improvement-Plan-May-2018.pdf (cps.gov.uk)</w:t>
              </w:r>
            </w:hyperlink>
            <w:r w:rsidRPr="002F45CC">
              <w:rPr>
                <w:rFonts w:ascii="Arial" w:hAnsi="Arial" w:cs="Arial"/>
                <w:color w:val="000000" w:themeColor="text1"/>
                <w:sz w:val="24"/>
                <w:szCs w:val="24"/>
              </w:rPr>
              <w:t xml:space="preserve"> (Accessed: 9 May 2024).</w:t>
            </w:r>
          </w:p>
          <w:p w14:paraId="6D09F8E9" w14:textId="77777777" w:rsidR="002F45CC" w:rsidRPr="002F45CC" w:rsidRDefault="002F45CC" w:rsidP="002F45CC">
            <w:pPr>
              <w:rPr>
                <w:rFonts w:ascii="Arial" w:hAnsi="Arial" w:cs="Arial"/>
                <w:color w:val="000000" w:themeColor="text1"/>
                <w:sz w:val="24"/>
                <w:szCs w:val="24"/>
              </w:rPr>
            </w:pPr>
          </w:p>
          <w:p w14:paraId="329EE27B" w14:textId="77777777" w:rsidR="002F45CC" w:rsidRPr="002F45CC" w:rsidRDefault="002F45CC" w:rsidP="002F45CC">
            <w:pPr>
              <w:rPr>
                <w:rStyle w:val="Hyperlink"/>
                <w:rFonts w:ascii="Arial" w:hAnsi="Arial" w:cs="Arial"/>
                <w:color w:val="000000" w:themeColor="text1"/>
                <w:sz w:val="24"/>
                <w:szCs w:val="24"/>
              </w:rPr>
            </w:pPr>
            <w:r w:rsidRPr="002F45CC">
              <w:rPr>
                <w:rFonts w:ascii="Arial" w:hAnsi="Arial" w:cs="Arial"/>
                <w:color w:val="000000" w:themeColor="text1"/>
                <w:sz w:val="24"/>
                <w:szCs w:val="24"/>
              </w:rPr>
              <w:t xml:space="preserve">Police And Criminal Evidence Act 1984 Code B (2013). Available at </w:t>
            </w:r>
            <w:hyperlink r:id="rId58" w:history="1">
              <w:r w:rsidRPr="002F45CC">
                <w:rPr>
                  <w:rStyle w:val="Hyperlink"/>
                  <w:rFonts w:ascii="Arial" w:hAnsi="Arial" w:cs="Arial"/>
                  <w:color w:val="000000" w:themeColor="text1"/>
                  <w:sz w:val="24"/>
                  <w:szCs w:val="24"/>
                </w:rPr>
                <w:t>2013 PACE Code B (A5) (publishing.service.gov.uk)</w:t>
              </w:r>
            </w:hyperlink>
            <w:r w:rsidRPr="002F45CC">
              <w:rPr>
                <w:rStyle w:val="Hyperlink"/>
                <w:rFonts w:ascii="Arial" w:hAnsi="Arial" w:cs="Arial"/>
                <w:color w:val="000000" w:themeColor="text1"/>
                <w:sz w:val="24"/>
                <w:szCs w:val="24"/>
                <w:u w:val="none"/>
              </w:rPr>
              <w:t xml:space="preserve"> (Accessed: 7 May 2024).</w:t>
            </w:r>
          </w:p>
          <w:p w14:paraId="14634873" w14:textId="77777777" w:rsidR="002F45CC" w:rsidRPr="002F45CC" w:rsidRDefault="002F45CC" w:rsidP="002F45CC">
            <w:pPr>
              <w:rPr>
                <w:rFonts w:ascii="Arial" w:hAnsi="Arial" w:cs="Arial"/>
                <w:color w:val="000000" w:themeColor="text1"/>
                <w:sz w:val="24"/>
                <w:szCs w:val="24"/>
              </w:rPr>
            </w:pPr>
          </w:p>
          <w:p w14:paraId="3FDF2D5B" w14:textId="0EAE5D65" w:rsidR="002F45CC" w:rsidRPr="002F45CC" w:rsidRDefault="002F45CC" w:rsidP="002F45CC">
            <w:pPr>
              <w:rPr>
                <w:rStyle w:val="Hyperlink"/>
                <w:rFonts w:ascii="Arial" w:hAnsi="Arial" w:cs="Arial"/>
                <w:color w:val="000000" w:themeColor="text1"/>
                <w:sz w:val="24"/>
                <w:szCs w:val="24"/>
              </w:rPr>
            </w:pPr>
            <w:r w:rsidRPr="002F45CC">
              <w:rPr>
                <w:rFonts w:ascii="Arial" w:hAnsi="Arial" w:cs="Arial"/>
                <w:color w:val="000000" w:themeColor="text1"/>
                <w:sz w:val="24"/>
                <w:szCs w:val="24"/>
              </w:rPr>
              <w:t xml:space="preserve">Police And Criminal Evidence Act 1984 Code D (2017) </w:t>
            </w:r>
            <w:hyperlink r:id="rId59" w:history="1">
              <w:r w:rsidRPr="002F45CC">
                <w:rPr>
                  <w:rStyle w:val="Hyperlink"/>
                  <w:rFonts w:ascii="Arial" w:hAnsi="Arial" w:cs="Arial"/>
                  <w:color w:val="000000" w:themeColor="text1"/>
                  <w:sz w:val="24"/>
                  <w:szCs w:val="24"/>
                </w:rPr>
                <w:t>PACE Code D (publishing.service.gov.uk)</w:t>
              </w:r>
            </w:hyperlink>
            <w:r w:rsidRPr="002F45CC">
              <w:rPr>
                <w:rStyle w:val="Hyperlink"/>
                <w:rFonts w:ascii="Arial" w:hAnsi="Arial" w:cs="Arial"/>
                <w:color w:val="000000" w:themeColor="text1"/>
                <w:sz w:val="24"/>
                <w:szCs w:val="24"/>
                <w:u w:val="none"/>
              </w:rPr>
              <w:t xml:space="preserve"> (Accessed</w:t>
            </w:r>
            <w:r>
              <w:rPr>
                <w:rStyle w:val="Hyperlink"/>
                <w:rFonts w:ascii="Arial" w:hAnsi="Arial" w:cs="Arial"/>
                <w:color w:val="000000" w:themeColor="text1"/>
                <w:sz w:val="24"/>
                <w:szCs w:val="24"/>
                <w:u w:val="none"/>
              </w:rPr>
              <w:t>:</w:t>
            </w:r>
            <w:r w:rsidRPr="002F45CC">
              <w:rPr>
                <w:rStyle w:val="Hyperlink"/>
                <w:rFonts w:ascii="Arial" w:hAnsi="Arial" w:cs="Arial"/>
                <w:color w:val="000000" w:themeColor="text1"/>
                <w:sz w:val="24"/>
                <w:szCs w:val="24"/>
                <w:u w:val="none"/>
              </w:rPr>
              <w:t xml:space="preserve"> 7 May 2024).</w:t>
            </w:r>
          </w:p>
          <w:p w14:paraId="6FDBE422" w14:textId="77777777" w:rsidR="002F45CC" w:rsidRPr="002F45CC" w:rsidRDefault="002F45CC" w:rsidP="002F45CC">
            <w:pPr>
              <w:rPr>
                <w:rFonts w:ascii="Arial" w:hAnsi="Arial" w:cs="Arial"/>
                <w:color w:val="000000" w:themeColor="text1"/>
                <w:sz w:val="24"/>
                <w:szCs w:val="24"/>
              </w:rPr>
            </w:pPr>
          </w:p>
          <w:p w14:paraId="61CBD1A7"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Ruyters, M., Stratton, G. and Bartle, J. (2021) ‘The culture of non-disclosure and miscarriages of justice’, </w:t>
            </w:r>
            <w:r w:rsidRPr="002F45CC">
              <w:rPr>
                <w:rFonts w:ascii="Arial" w:hAnsi="Arial" w:cs="Arial"/>
                <w:i/>
                <w:iCs/>
                <w:color w:val="000000" w:themeColor="text1"/>
                <w:sz w:val="24"/>
                <w:szCs w:val="24"/>
              </w:rPr>
              <w:t xml:space="preserve">Alternative Law Journal, </w:t>
            </w:r>
            <w:r w:rsidRPr="002F45CC">
              <w:rPr>
                <w:rFonts w:ascii="Arial" w:hAnsi="Arial" w:cs="Arial"/>
                <w:color w:val="000000" w:themeColor="text1"/>
                <w:sz w:val="24"/>
                <w:szCs w:val="24"/>
              </w:rPr>
              <w:t xml:space="preserve">46(4), pp. 299-306. Available at </w:t>
            </w:r>
            <w:hyperlink r:id="rId60" w:history="1">
              <w:r w:rsidRPr="002F45CC">
                <w:rPr>
                  <w:rStyle w:val="Hyperlink"/>
                  <w:rFonts w:ascii="Arial" w:hAnsi="Arial" w:cs="Arial"/>
                  <w:color w:val="000000" w:themeColor="text1"/>
                  <w:sz w:val="24"/>
                  <w:szCs w:val="24"/>
                </w:rPr>
                <w:t>The culture of non-disclosure and miscarriages of justice - Michele Ruyters, Gregory Stratton, Jarryd Bartle, 2021 (sagepub.com)</w:t>
              </w:r>
            </w:hyperlink>
          </w:p>
          <w:p w14:paraId="6336E3AF" w14:textId="77777777" w:rsidR="002F45CC" w:rsidRPr="002F45CC" w:rsidRDefault="002F45CC" w:rsidP="002F45CC">
            <w:pPr>
              <w:rPr>
                <w:rFonts w:ascii="Arial" w:hAnsi="Arial" w:cs="Arial"/>
                <w:color w:val="000000" w:themeColor="text1"/>
                <w:sz w:val="24"/>
                <w:szCs w:val="24"/>
              </w:rPr>
            </w:pPr>
          </w:p>
          <w:p w14:paraId="4BC99F9E"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lastRenderedPageBreak/>
              <w:t xml:space="preserve">Ungoed-Thomas, J. (2021) ‘Courts ‘are close to collapse over police disclosure failures’’, </w:t>
            </w:r>
            <w:r w:rsidRPr="002F45CC">
              <w:rPr>
                <w:rFonts w:ascii="Arial" w:hAnsi="Arial" w:cs="Arial"/>
                <w:i/>
                <w:iCs/>
                <w:color w:val="000000" w:themeColor="text1"/>
                <w:sz w:val="24"/>
                <w:szCs w:val="24"/>
              </w:rPr>
              <w:t xml:space="preserve">The Guardian, </w:t>
            </w:r>
            <w:r w:rsidRPr="002F45CC">
              <w:rPr>
                <w:rFonts w:ascii="Arial" w:hAnsi="Arial" w:cs="Arial"/>
                <w:color w:val="000000" w:themeColor="text1"/>
                <w:sz w:val="24"/>
                <w:szCs w:val="24"/>
              </w:rPr>
              <w:t xml:space="preserve">31 October. Available at </w:t>
            </w:r>
            <w:hyperlink r:id="rId61" w:history="1">
              <w:r w:rsidRPr="002F45CC">
                <w:rPr>
                  <w:rStyle w:val="Hyperlink"/>
                  <w:rFonts w:ascii="Arial" w:hAnsi="Arial" w:cs="Arial"/>
                  <w:color w:val="000000" w:themeColor="text1"/>
                  <w:sz w:val="24"/>
                  <w:szCs w:val="24"/>
                </w:rPr>
                <w:t>Courts ‘are close to collapse over police disclosure failures’ | Crown Prosecution Service | The Guardian</w:t>
              </w:r>
            </w:hyperlink>
            <w:r w:rsidRPr="002F45CC">
              <w:rPr>
                <w:rFonts w:ascii="Arial" w:hAnsi="Arial" w:cs="Arial"/>
                <w:color w:val="000000" w:themeColor="text1"/>
                <w:sz w:val="24"/>
                <w:szCs w:val="24"/>
              </w:rPr>
              <w:t xml:space="preserve"> (Accessed: 9 May 2024).</w:t>
            </w:r>
          </w:p>
          <w:p w14:paraId="10FD5195" w14:textId="77777777" w:rsidR="002F45CC" w:rsidRPr="002F45CC" w:rsidRDefault="002F45CC" w:rsidP="002F45CC">
            <w:pPr>
              <w:rPr>
                <w:rFonts w:ascii="Arial" w:hAnsi="Arial" w:cs="Arial"/>
                <w:color w:val="000000" w:themeColor="text1"/>
                <w:sz w:val="24"/>
                <w:szCs w:val="24"/>
              </w:rPr>
            </w:pPr>
          </w:p>
          <w:p w14:paraId="612F8B28"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Wade, K. A., Nash, R. A. and Lindsay, D. S. (2018) ‘Reasons to Doubt the Reliability of Eyewitness Memory: Commentary on Wixted, Mickes, and Fisher (2018). </w:t>
            </w:r>
            <w:r w:rsidRPr="002F45CC">
              <w:rPr>
                <w:rFonts w:ascii="Arial" w:hAnsi="Arial" w:cs="Arial"/>
                <w:i/>
                <w:iCs/>
                <w:color w:val="000000" w:themeColor="text1"/>
                <w:sz w:val="24"/>
                <w:szCs w:val="24"/>
              </w:rPr>
              <w:t xml:space="preserve">Perspectives on Psychological Science, </w:t>
            </w:r>
            <w:r w:rsidRPr="002F45CC">
              <w:rPr>
                <w:rFonts w:ascii="Arial" w:hAnsi="Arial" w:cs="Arial"/>
                <w:color w:val="000000" w:themeColor="text1"/>
                <w:sz w:val="24"/>
                <w:szCs w:val="24"/>
              </w:rPr>
              <w:t xml:space="preserve">13(3), pp. 339-342. Available at </w:t>
            </w:r>
            <w:hyperlink r:id="rId62" w:history="1">
              <w:r w:rsidRPr="002F45CC">
                <w:rPr>
                  <w:rStyle w:val="Hyperlink"/>
                  <w:rFonts w:ascii="Arial" w:hAnsi="Arial" w:cs="Arial"/>
                  <w:color w:val="000000" w:themeColor="text1"/>
                  <w:sz w:val="24"/>
                  <w:szCs w:val="24"/>
                </w:rPr>
                <w:t>Reasons to Doubt the Reliability of Eyewitness Memory: Commentary on Wixted, Mickes, and Fisher (2018) Commentary on Wixted, Mickes, and Fisher (2018) on JSTOR (uwtsd.ac.uk)</w:t>
              </w:r>
            </w:hyperlink>
          </w:p>
          <w:p w14:paraId="77FA690D" w14:textId="77777777" w:rsidR="002F45CC" w:rsidRPr="002F45CC" w:rsidRDefault="002F45CC" w:rsidP="002F45CC">
            <w:pPr>
              <w:rPr>
                <w:rFonts w:ascii="Arial" w:hAnsi="Arial" w:cs="Arial"/>
                <w:color w:val="000000" w:themeColor="text1"/>
                <w:sz w:val="24"/>
                <w:szCs w:val="24"/>
              </w:rPr>
            </w:pPr>
          </w:p>
          <w:p w14:paraId="5C9D0AA9" w14:textId="77777777" w:rsidR="002F45CC" w:rsidRPr="002F45CC" w:rsidRDefault="002F45CC" w:rsidP="002F45CC">
            <w:pPr>
              <w:rPr>
                <w:rFonts w:ascii="Arial" w:hAnsi="Arial" w:cs="Arial"/>
                <w:color w:val="000000" w:themeColor="text1"/>
                <w:sz w:val="24"/>
                <w:szCs w:val="24"/>
              </w:rPr>
            </w:pPr>
            <w:r w:rsidRPr="002F45CC">
              <w:rPr>
                <w:rFonts w:ascii="Arial" w:hAnsi="Arial" w:cs="Arial"/>
                <w:color w:val="000000" w:themeColor="text1"/>
                <w:sz w:val="24"/>
                <w:szCs w:val="24"/>
              </w:rPr>
              <w:t xml:space="preserve">Wixted, J. T. and Wells, G. L. (2017). </w:t>
            </w:r>
            <w:r w:rsidRPr="002F45CC">
              <w:rPr>
                <w:rFonts w:ascii="Arial" w:hAnsi="Arial" w:cs="Arial"/>
                <w:i/>
                <w:iCs/>
                <w:color w:val="000000" w:themeColor="text1"/>
                <w:sz w:val="24"/>
                <w:szCs w:val="24"/>
              </w:rPr>
              <w:t xml:space="preserve">The Relationship Between Eyewitness Confidence and Identification Accuracy: A New Synthesis. </w:t>
            </w:r>
            <w:r w:rsidRPr="002F45CC">
              <w:rPr>
                <w:rFonts w:ascii="Arial" w:hAnsi="Arial" w:cs="Arial"/>
                <w:color w:val="000000" w:themeColor="text1"/>
                <w:sz w:val="24"/>
                <w:szCs w:val="24"/>
              </w:rPr>
              <w:t>Psychological Science in the Public Interest, 18(1), p. 37, graph.</w:t>
            </w:r>
          </w:p>
          <w:p w14:paraId="0FAEE7D0" w14:textId="77777777" w:rsidR="002F45CC" w:rsidRPr="002F45CC" w:rsidRDefault="002F45CC" w:rsidP="002F45CC">
            <w:pPr>
              <w:rPr>
                <w:rFonts w:ascii="Arial" w:hAnsi="Arial" w:cs="Arial"/>
                <w:color w:val="000000" w:themeColor="text1"/>
                <w:sz w:val="24"/>
                <w:szCs w:val="24"/>
              </w:rPr>
            </w:pPr>
          </w:p>
          <w:p w14:paraId="43FFD80D" w14:textId="77777777" w:rsidR="002F45CC" w:rsidRPr="002F45CC" w:rsidRDefault="002F45CC" w:rsidP="002F45CC">
            <w:pPr>
              <w:rPr>
                <w:rStyle w:val="Hyperlink"/>
                <w:rFonts w:ascii="Arial" w:hAnsi="Arial" w:cs="Arial"/>
                <w:color w:val="000000" w:themeColor="text1"/>
                <w:sz w:val="24"/>
                <w:szCs w:val="24"/>
              </w:rPr>
            </w:pPr>
            <w:r w:rsidRPr="002F45CC">
              <w:rPr>
                <w:rFonts w:ascii="Arial" w:hAnsi="Arial" w:cs="Arial"/>
                <w:color w:val="000000" w:themeColor="text1"/>
                <w:sz w:val="24"/>
                <w:szCs w:val="24"/>
              </w:rPr>
              <w:t xml:space="preserve">Wixted, J.T., Mickes, L., and Fisher, R.P. (2018). ‘Rethinking the Resliability of Eyewitness Memory. </w:t>
            </w:r>
            <w:r w:rsidRPr="002F45CC">
              <w:rPr>
                <w:rFonts w:ascii="Arial" w:hAnsi="Arial" w:cs="Arial"/>
                <w:i/>
                <w:iCs/>
                <w:color w:val="000000" w:themeColor="text1"/>
                <w:sz w:val="24"/>
                <w:szCs w:val="24"/>
              </w:rPr>
              <w:t xml:space="preserve">Perspectives on Psychological Science, </w:t>
            </w:r>
            <w:r w:rsidRPr="002F45CC">
              <w:rPr>
                <w:rFonts w:ascii="Arial" w:hAnsi="Arial" w:cs="Arial"/>
                <w:color w:val="000000" w:themeColor="text1"/>
                <w:sz w:val="24"/>
                <w:szCs w:val="24"/>
              </w:rPr>
              <w:t xml:space="preserve">13(3), pp. 324-335. Available at: </w:t>
            </w:r>
            <w:hyperlink r:id="rId63" w:history="1">
              <w:r w:rsidRPr="002F45CC">
                <w:rPr>
                  <w:rStyle w:val="Hyperlink"/>
                  <w:rFonts w:ascii="Arial" w:hAnsi="Arial" w:cs="Arial"/>
                  <w:color w:val="000000" w:themeColor="text1"/>
                  <w:sz w:val="24"/>
                  <w:szCs w:val="24"/>
                </w:rPr>
                <w:t>Rethinking the Reliability of Eyewitness Memory on JSTOR (uwtsd.ac.uk)</w:t>
              </w:r>
            </w:hyperlink>
          </w:p>
          <w:p w14:paraId="49103B1F" w14:textId="77777777" w:rsidR="002F45CC" w:rsidRDefault="002F45CC" w:rsidP="002F45CC">
            <w:pPr>
              <w:rPr>
                <w:rStyle w:val="Hyperlink"/>
                <w:rFonts w:ascii="Arial" w:hAnsi="Arial" w:cs="Arial"/>
                <w:color w:val="000000" w:themeColor="text1"/>
              </w:rPr>
            </w:pPr>
          </w:p>
          <w:p w14:paraId="0EB8EA48" w14:textId="77777777" w:rsidR="002F45CC" w:rsidRPr="00943C83" w:rsidRDefault="002F45CC" w:rsidP="002F45CC">
            <w:pPr>
              <w:rPr>
                <w:rFonts w:ascii="Arial" w:hAnsi="Arial" w:cs="Arial"/>
                <w:color w:val="000000" w:themeColor="text1"/>
                <w:sz w:val="24"/>
                <w:szCs w:val="24"/>
              </w:rPr>
            </w:pPr>
          </w:p>
          <w:p w14:paraId="1D9A2CEF" w14:textId="77777777" w:rsidR="002F45CC" w:rsidRPr="000A0C99" w:rsidRDefault="002F45CC" w:rsidP="002151CC">
            <w:pPr>
              <w:rPr>
                <w:rFonts w:ascii="Arial" w:eastAsia="Arial" w:hAnsi="Arial" w:cs="Arial"/>
                <w:color w:val="000000" w:themeColor="text1"/>
                <w:sz w:val="24"/>
                <w:szCs w:val="24"/>
              </w:rPr>
            </w:pPr>
          </w:p>
          <w:p w14:paraId="754E7CBF" w14:textId="77777777" w:rsidR="002151CC" w:rsidRPr="00C4563F" w:rsidRDefault="002151CC" w:rsidP="515A1CF8">
            <w:pPr>
              <w:rPr>
                <w:rFonts w:ascii="Arial" w:eastAsia="Arial" w:hAnsi="Arial" w:cs="Arial"/>
                <w:b/>
                <w:bCs/>
                <w:color w:val="000000" w:themeColor="text1"/>
                <w:sz w:val="24"/>
                <w:szCs w:val="24"/>
              </w:rPr>
            </w:pPr>
          </w:p>
          <w:p w14:paraId="1D905E98" w14:textId="477F651F" w:rsidR="2F17ACDD" w:rsidRDefault="2F17ACDD" w:rsidP="2F17ACDD">
            <w:pPr>
              <w:rPr>
                <w:rFonts w:ascii="Arial" w:eastAsia="Arial" w:hAnsi="Arial" w:cs="Arial"/>
                <w:color w:val="000000" w:themeColor="text1"/>
                <w:sz w:val="24"/>
                <w:szCs w:val="24"/>
              </w:rPr>
            </w:pPr>
          </w:p>
          <w:p w14:paraId="3D7DFF00" w14:textId="438686A8" w:rsidR="7336895D" w:rsidRDefault="69D1D01D" w:rsidP="2F17ACDD">
            <w:pPr>
              <w:rPr>
                <w:rFonts w:ascii="Arial" w:eastAsia="Arial" w:hAnsi="Arial" w:cs="Arial"/>
                <w:sz w:val="24"/>
                <w:szCs w:val="24"/>
              </w:rPr>
            </w:pPr>
            <w:r w:rsidRPr="2F17ACDD">
              <w:rPr>
                <w:rFonts w:ascii="Arial" w:eastAsia="Arial" w:hAnsi="Arial" w:cs="Arial"/>
                <w:b/>
                <w:bCs/>
                <w:color w:val="000000" w:themeColor="text1"/>
                <w:sz w:val="24"/>
                <w:szCs w:val="24"/>
              </w:rPr>
              <w:t xml:space="preserve">2000 words </w:t>
            </w:r>
            <w:r w:rsidRPr="2F17ACDD">
              <w:rPr>
                <w:rFonts w:ascii="Arial" w:eastAsia="Arial" w:hAnsi="Arial" w:cs="Arial"/>
                <w:i/>
                <w:iCs/>
                <w:color w:val="000000" w:themeColor="text1"/>
                <w:sz w:val="24"/>
                <w:szCs w:val="24"/>
              </w:rPr>
              <w:t>(+/- 10%: include your actual word count at the end of each section)</w:t>
            </w:r>
          </w:p>
        </w:tc>
      </w:tr>
    </w:tbl>
    <w:p w14:paraId="3654981D" w14:textId="160C180F" w:rsidR="7336895D" w:rsidRDefault="7336895D" w:rsidP="7336895D">
      <w:pPr>
        <w:ind w:left="3600" w:right="107" w:firstLine="720"/>
        <w:jc w:val="both"/>
        <w:rPr>
          <w:rFonts w:ascii="Arial" w:eastAsia="Arial" w:hAnsi="Arial" w:cs="Arial"/>
          <w:b/>
          <w:bCs/>
          <w:color w:val="000000" w:themeColor="text1"/>
          <w:sz w:val="24"/>
          <w:szCs w:val="24"/>
        </w:rPr>
      </w:pPr>
    </w:p>
    <w:p w14:paraId="5F6C8741" w14:textId="44EBBCF3" w:rsidR="2F17ACDD" w:rsidRDefault="2F17ACDD" w:rsidP="2F17ACDD">
      <w:pPr>
        <w:ind w:right="237"/>
        <w:jc w:val="both"/>
        <w:rPr>
          <w:rFonts w:ascii="Arial" w:eastAsia="Arial" w:hAnsi="Arial" w:cs="Arial"/>
          <w:color w:val="000000" w:themeColor="text1"/>
          <w:sz w:val="24"/>
          <w:szCs w:val="24"/>
        </w:rPr>
      </w:pPr>
    </w:p>
    <w:p w14:paraId="3999A614" w14:textId="62EAC357" w:rsidR="00965385" w:rsidRDefault="00965385" w:rsidP="2F17ACDD">
      <w:pPr>
        <w:ind w:right="237"/>
        <w:jc w:val="both"/>
        <w:rPr>
          <w:rFonts w:ascii="Arial" w:eastAsia="Arial" w:hAnsi="Arial" w:cs="Arial"/>
          <w:color w:val="000000" w:themeColor="text1"/>
          <w:sz w:val="24"/>
          <w:szCs w:val="24"/>
        </w:rPr>
      </w:pPr>
    </w:p>
    <w:p w14:paraId="0A253E2D" w14:textId="2E959DF1" w:rsidR="7336895D" w:rsidRDefault="3A5EB7B5" w:rsidP="2F17ACDD">
      <w:pPr>
        <w:ind w:right="107"/>
        <w:jc w:val="both"/>
        <w:rPr>
          <w:rFonts w:ascii="Arial" w:eastAsia="Arial" w:hAnsi="Arial" w:cs="Arial"/>
          <w:i/>
          <w:iCs/>
          <w:color w:val="000000" w:themeColor="text1"/>
          <w:sz w:val="24"/>
          <w:szCs w:val="24"/>
        </w:rPr>
      </w:pPr>
      <w:r w:rsidRPr="2F17ACDD">
        <w:rPr>
          <w:rFonts w:ascii="Arial" w:eastAsia="Arial" w:hAnsi="Arial" w:cs="Arial"/>
          <w:b/>
          <w:bCs/>
          <w:i/>
          <w:iCs/>
          <w:color w:val="000000" w:themeColor="text1"/>
          <w:sz w:val="24"/>
          <w:szCs w:val="24"/>
        </w:rPr>
        <w:t>Task 5</w:t>
      </w:r>
      <w:r w:rsidR="4C6CB4DE" w:rsidRPr="2F17ACDD">
        <w:rPr>
          <w:rFonts w:ascii="Arial" w:eastAsia="Arial" w:hAnsi="Arial" w:cs="Arial"/>
          <w:b/>
          <w:bCs/>
          <w:i/>
          <w:iCs/>
          <w:color w:val="000000" w:themeColor="text1"/>
          <w:sz w:val="24"/>
          <w:szCs w:val="24"/>
        </w:rPr>
        <w:t xml:space="preserve">: </w:t>
      </w:r>
      <w:r w:rsidRPr="2F17ACDD">
        <w:rPr>
          <w:rFonts w:ascii="Arial" w:eastAsia="Arial" w:hAnsi="Arial" w:cs="Arial"/>
          <w:b/>
          <w:bCs/>
          <w:i/>
          <w:iCs/>
          <w:color w:val="000000" w:themeColor="text1"/>
          <w:sz w:val="24"/>
          <w:szCs w:val="24"/>
        </w:rPr>
        <w:t>Personal Development Plan (PDP)</w:t>
      </w:r>
    </w:p>
    <w:p w14:paraId="24ED1ABE" w14:textId="30C130EE" w:rsidR="69B3A30A" w:rsidRDefault="3A5EB7B5" w:rsidP="69B3A30A">
      <w:pPr>
        <w:ind w:right="10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 xml:space="preserve">As part of your reflective process, please use this table to aid you in identifying the next steps for development. </w:t>
      </w:r>
    </w:p>
    <w:p w14:paraId="233F7648" w14:textId="2581BFB6" w:rsidR="3A5EB7B5" w:rsidRDefault="49E3DD73" w:rsidP="2F17ACDD">
      <w:pPr>
        <w:ind w:right="10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F</w:t>
      </w:r>
      <w:r w:rsidR="3C41B539" w:rsidRPr="2F17ACDD">
        <w:rPr>
          <w:rFonts w:ascii="Arial" w:eastAsia="Arial" w:hAnsi="Arial" w:cs="Arial"/>
          <w:color w:val="000000" w:themeColor="text1"/>
          <w:sz w:val="24"/>
          <w:szCs w:val="24"/>
        </w:rPr>
        <w:t>ormulate and implement a personal study programme to further enhance the development of your professional police practice. A template has been added for an ‘Individual Learning Plan’ that you can use for this task.  </w:t>
      </w:r>
    </w:p>
    <w:p w14:paraId="1D9B8E8A" w14:textId="695C877C" w:rsidR="3A5EB7B5" w:rsidRDefault="3C41B539" w:rsidP="69B3A30A">
      <w:pPr>
        <w:ind w:right="225"/>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This should then be used to target future development need. </w:t>
      </w:r>
    </w:p>
    <w:p w14:paraId="1C5A6F35" w14:textId="0FE940AF" w:rsidR="00965385" w:rsidRDefault="3A5EB7B5" w:rsidP="2F17ACDD">
      <w:pPr>
        <w:ind w:right="10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u w:val="single"/>
        </w:rPr>
        <w:t>This is equivalent to 2000 words</w:t>
      </w:r>
      <w:r w:rsidRPr="2F17ACDD">
        <w:rPr>
          <w:rFonts w:ascii="Arial" w:eastAsia="Arial" w:hAnsi="Arial" w:cs="Arial"/>
          <w:color w:val="000000" w:themeColor="text1"/>
          <w:sz w:val="24"/>
          <w:szCs w:val="24"/>
        </w:rPr>
        <w:t xml:space="preserve"> towards the overall wordcount, please note this is not the actual number of words used in completing the table, the count reflects the thought and research behind it</w:t>
      </w:r>
    </w:p>
    <w:p w14:paraId="556BDB18" w14:textId="44991FC0" w:rsidR="2F17ACDD" w:rsidRDefault="2F17ACDD" w:rsidP="2F17ACDD">
      <w:pPr>
        <w:jc w:val="center"/>
        <w:rPr>
          <w:rFonts w:ascii="Arial" w:eastAsia="Arial" w:hAnsi="Arial" w:cs="Arial"/>
          <w:b/>
          <w:bCs/>
          <w:color w:val="000000" w:themeColor="text1"/>
          <w:u w:val="single"/>
        </w:rPr>
      </w:pPr>
    </w:p>
    <w:p w14:paraId="3C8AF230" w14:textId="4EE02922" w:rsidR="7336895D" w:rsidRDefault="4E6D1421" w:rsidP="2F17ACDD">
      <w:pPr>
        <w:jc w:val="center"/>
        <w:rPr>
          <w:rFonts w:ascii="Arial" w:eastAsia="Arial" w:hAnsi="Arial" w:cs="Arial"/>
          <w:sz w:val="24"/>
          <w:szCs w:val="24"/>
          <w:u w:val="single"/>
        </w:rPr>
      </w:pPr>
      <w:r w:rsidRPr="2F17ACDD">
        <w:rPr>
          <w:rFonts w:ascii="Arial" w:eastAsia="Arial" w:hAnsi="Arial" w:cs="Arial"/>
          <w:b/>
          <w:bCs/>
          <w:color w:val="000000" w:themeColor="text1"/>
          <w:u w:val="single"/>
        </w:rPr>
        <w:lastRenderedPageBreak/>
        <w:t>Knowledge, Skills and Experience Assessment</w:t>
      </w:r>
      <w:r w:rsidRPr="2F17ACDD">
        <w:rPr>
          <w:rFonts w:ascii="Arial" w:eastAsia="Arial" w:hAnsi="Arial" w:cs="Arial"/>
          <w:color w:val="000000" w:themeColor="text1"/>
          <w:u w:val="single"/>
        </w:rPr>
        <w:t> </w:t>
      </w:r>
    </w:p>
    <w:p w14:paraId="71960A1E" w14:textId="3DCF88C8" w:rsidR="7336895D" w:rsidRDefault="7336895D" w:rsidP="69B3A30A">
      <w:pPr>
        <w:ind w:right="107"/>
        <w:jc w:val="both"/>
        <w:rPr>
          <w:rFonts w:ascii="Arial" w:eastAsia="Arial" w:hAnsi="Arial" w:cs="Arial"/>
          <w:color w:val="000000" w:themeColor="text1"/>
          <w:sz w:val="24"/>
          <w:szCs w:val="24"/>
        </w:rPr>
      </w:pPr>
    </w:p>
    <w:tbl>
      <w:tblPr>
        <w:tblW w:w="8923" w:type="dxa"/>
        <w:tblLayout w:type="fixed"/>
        <w:tblLook w:val="04A0" w:firstRow="1" w:lastRow="0" w:firstColumn="1" w:lastColumn="0" w:noHBand="0" w:noVBand="1"/>
      </w:tblPr>
      <w:tblGrid>
        <w:gridCol w:w="2544"/>
        <w:gridCol w:w="1134"/>
        <w:gridCol w:w="1417"/>
        <w:gridCol w:w="3785"/>
        <w:gridCol w:w="43"/>
      </w:tblGrid>
      <w:tr w:rsidR="69B3A30A" w14:paraId="500F4D86" w14:textId="77777777" w:rsidTr="003E0504">
        <w:trPr>
          <w:gridAfter w:val="1"/>
          <w:wAfter w:w="43" w:type="dxa"/>
        </w:trPr>
        <w:tc>
          <w:tcPr>
            <w:tcW w:w="2544" w:type="dxa"/>
            <w:tcBorders>
              <w:top w:val="single" w:sz="6" w:space="0" w:color="auto"/>
              <w:left w:val="single" w:sz="6" w:space="0" w:color="auto"/>
              <w:bottom w:val="single" w:sz="6" w:space="0" w:color="auto"/>
              <w:right w:val="single" w:sz="6" w:space="0" w:color="auto"/>
            </w:tcBorders>
            <w:shd w:val="clear" w:color="auto" w:fill="5B9BD5" w:themeFill="accent5"/>
          </w:tcPr>
          <w:p w14:paraId="02D0D3FB" w14:textId="0154C997" w:rsidR="69B3A30A" w:rsidRDefault="69B3A30A" w:rsidP="69B3A30A">
            <w:pPr>
              <w:rPr>
                <w:rFonts w:ascii="Arial" w:eastAsia="Arial" w:hAnsi="Arial" w:cs="Arial"/>
                <w:color w:val="000000" w:themeColor="text1"/>
              </w:rPr>
            </w:pPr>
            <w:r w:rsidRPr="69B3A30A">
              <w:rPr>
                <w:rFonts w:ascii="Arial" w:eastAsia="Arial" w:hAnsi="Arial" w:cs="Arial"/>
                <w:color w:val="000000" w:themeColor="text1"/>
              </w:rPr>
              <w:t> </w:t>
            </w:r>
          </w:p>
        </w:tc>
        <w:tc>
          <w:tcPr>
            <w:tcW w:w="1134" w:type="dxa"/>
            <w:tcBorders>
              <w:top w:val="single" w:sz="6" w:space="0" w:color="auto"/>
              <w:left w:val="single" w:sz="6" w:space="0" w:color="auto"/>
              <w:bottom w:val="single" w:sz="6" w:space="0" w:color="auto"/>
              <w:right w:val="single" w:sz="6" w:space="0" w:color="auto"/>
            </w:tcBorders>
            <w:shd w:val="clear" w:color="auto" w:fill="5B9BD5" w:themeFill="accent5"/>
          </w:tcPr>
          <w:p w14:paraId="46F4249D" w14:textId="750A60F9" w:rsidR="69B3A30A" w:rsidRDefault="3A7D7E73" w:rsidP="1359001D">
            <w:pPr>
              <w:rPr>
                <w:rFonts w:ascii="Arial" w:eastAsia="Arial" w:hAnsi="Arial" w:cs="Arial"/>
                <w:b/>
                <w:bCs/>
                <w:color w:val="000000" w:themeColor="text1"/>
              </w:rPr>
            </w:pPr>
            <w:r w:rsidRPr="1359001D">
              <w:rPr>
                <w:rFonts w:ascii="Arial" w:eastAsia="Arial" w:hAnsi="Arial" w:cs="Arial"/>
                <w:b/>
                <w:bCs/>
                <w:color w:val="000000" w:themeColor="text1"/>
              </w:rPr>
              <w:t>Current level</w:t>
            </w:r>
          </w:p>
        </w:tc>
        <w:tc>
          <w:tcPr>
            <w:tcW w:w="1417" w:type="dxa"/>
            <w:tcBorders>
              <w:top w:val="single" w:sz="6" w:space="0" w:color="auto"/>
              <w:left w:val="nil"/>
              <w:bottom w:val="single" w:sz="6" w:space="0" w:color="auto"/>
              <w:right w:val="single" w:sz="6" w:space="0" w:color="auto"/>
            </w:tcBorders>
            <w:shd w:val="clear" w:color="auto" w:fill="5B9BD5" w:themeFill="accent5"/>
          </w:tcPr>
          <w:p w14:paraId="27848548" w14:textId="27B16091" w:rsidR="69B3A30A" w:rsidRDefault="0DFF38BA" w:rsidP="1359001D">
            <w:pPr>
              <w:rPr>
                <w:rFonts w:ascii="Arial" w:eastAsia="Arial" w:hAnsi="Arial" w:cs="Arial"/>
                <w:b/>
                <w:bCs/>
                <w:color w:val="000000" w:themeColor="text1"/>
              </w:rPr>
            </w:pPr>
            <w:r w:rsidRPr="1359001D">
              <w:rPr>
                <w:rFonts w:ascii="Arial" w:eastAsia="Arial" w:hAnsi="Arial" w:cs="Arial"/>
                <w:b/>
                <w:bCs/>
                <w:color w:val="000000" w:themeColor="text1"/>
              </w:rPr>
              <w:t>RATING </w:t>
            </w:r>
            <w:r w:rsidR="63FA7F95" w:rsidRPr="1359001D">
              <w:rPr>
                <w:rFonts w:ascii="Arial" w:eastAsia="Arial" w:hAnsi="Arial" w:cs="Arial"/>
                <w:b/>
                <w:bCs/>
                <w:color w:val="000000" w:themeColor="text1"/>
              </w:rPr>
              <w:t>- next 6</w:t>
            </w:r>
            <w:r w:rsidR="0136CB53" w:rsidRPr="1359001D">
              <w:rPr>
                <w:rFonts w:ascii="Arial" w:eastAsia="Arial" w:hAnsi="Arial" w:cs="Arial"/>
                <w:b/>
                <w:bCs/>
                <w:color w:val="000000" w:themeColor="text1"/>
              </w:rPr>
              <w:t xml:space="preserve"> to </w:t>
            </w:r>
            <w:r w:rsidR="63FA7F95" w:rsidRPr="1359001D">
              <w:rPr>
                <w:rFonts w:ascii="Arial" w:eastAsia="Arial" w:hAnsi="Arial" w:cs="Arial"/>
                <w:b/>
                <w:bCs/>
                <w:color w:val="000000" w:themeColor="text1"/>
              </w:rPr>
              <w:t>12mths</w:t>
            </w:r>
          </w:p>
        </w:tc>
        <w:tc>
          <w:tcPr>
            <w:tcW w:w="3785" w:type="dxa"/>
            <w:tcBorders>
              <w:top w:val="single" w:sz="6" w:space="0" w:color="auto"/>
              <w:left w:val="nil"/>
              <w:bottom w:val="single" w:sz="6" w:space="0" w:color="auto"/>
              <w:right w:val="single" w:sz="6" w:space="0" w:color="auto"/>
            </w:tcBorders>
            <w:shd w:val="clear" w:color="auto" w:fill="5B9BD5" w:themeFill="accent5"/>
          </w:tcPr>
          <w:p w14:paraId="2BE8FF50" w14:textId="36D6ED8A" w:rsidR="69B3A30A" w:rsidRDefault="4D6E6E2B" w:rsidP="69B3A30A">
            <w:pPr>
              <w:rPr>
                <w:rFonts w:ascii="Arial" w:eastAsia="Arial" w:hAnsi="Arial" w:cs="Arial"/>
                <w:color w:val="000000" w:themeColor="text1"/>
              </w:rPr>
            </w:pPr>
            <w:r w:rsidRPr="2F17ACDD">
              <w:rPr>
                <w:rFonts w:ascii="Arial" w:eastAsia="Arial" w:hAnsi="Arial" w:cs="Arial"/>
                <w:b/>
                <w:bCs/>
                <w:color w:val="000000" w:themeColor="text1"/>
              </w:rPr>
              <w:t>DEVELOPMENT NEED</w:t>
            </w:r>
            <w:r w:rsidRPr="2F17ACDD">
              <w:rPr>
                <w:rFonts w:ascii="Arial" w:eastAsia="Arial" w:hAnsi="Arial" w:cs="Arial"/>
                <w:color w:val="000000" w:themeColor="text1"/>
              </w:rPr>
              <w:t> </w:t>
            </w:r>
            <w:r w:rsidR="6ACDE762" w:rsidRPr="2F17ACDD">
              <w:rPr>
                <w:rFonts w:ascii="Arial" w:eastAsia="Arial" w:hAnsi="Arial" w:cs="Arial"/>
                <w:b/>
                <w:bCs/>
                <w:color w:val="000000" w:themeColor="text1"/>
              </w:rPr>
              <w:t>IDENTIFIED</w:t>
            </w:r>
          </w:p>
          <w:p w14:paraId="66D1EB09" w14:textId="36C58A06" w:rsidR="69B3A30A" w:rsidRDefault="69B3A30A" w:rsidP="69B3A30A">
            <w:pPr>
              <w:rPr>
                <w:rFonts w:ascii="Arial" w:eastAsia="Arial" w:hAnsi="Arial" w:cs="Arial"/>
                <w:color w:val="000000" w:themeColor="text1"/>
              </w:rPr>
            </w:pPr>
            <w:r w:rsidRPr="69B3A30A">
              <w:rPr>
                <w:rFonts w:ascii="Arial" w:eastAsia="Arial" w:hAnsi="Arial" w:cs="Arial"/>
                <w:color w:val="000000" w:themeColor="text1"/>
              </w:rPr>
              <w:t> </w:t>
            </w:r>
          </w:p>
        </w:tc>
      </w:tr>
      <w:tr w:rsidR="009425AE" w14:paraId="1D5C4F5E" w14:textId="77777777" w:rsidTr="003E0504">
        <w:trPr>
          <w:trHeight w:val="915"/>
        </w:trPr>
        <w:tc>
          <w:tcPr>
            <w:tcW w:w="2544" w:type="dxa"/>
            <w:tcBorders>
              <w:top w:val="single" w:sz="6" w:space="0" w:color="auto"/>
              <w:left w:val="single" w:sz="6" w:space="0" w:color="auto"/>
              <w:bottom w:val="single" w:sz="6" w:space="0" w:color="auto"/>
              <w:right w:val="single" w:sz="6" w:space="0" w:color="auto"/>
            </w:tcBorders>
          </w:tcPr>
          <w:p w14:paraId="5848E3B1" w14:textId="77777777" w:rsidR="009425AE" w:rsidRDefault="009425AE" w:rsidP="69B3A30A">
            <w:pPr>
              <w:rPr>
                <w:rFonts w:ascii="Arial" w:eastAsia="Arial" w:hAnsi="Arial" w:cs="Arial"/>
                <w:color w:val="000000" w:themeColor="text1"/>
              </w:rPr>
            </w:pPr>
            <w:r w:rsidRPr="2F17ACDD">
              <w:rPr>
                <w:rFonts w:ascii="Arial" w:eastAsia="Arial" w:hAnsi="Arial" w:cs="Arial"/>
                <w:b/>
                <w:bCs/>
                <w:color w:val="000000" w:themeColor="text1"/>
              </w:rPr>
              <w:t>KNOWLEDGE</w:t>
            </w:r>
            <w:r w:rsidRPr="2F17ACDD">
              <w:rPr>
                <w:rFonts w:ascii="Arial" w:eastAsia="Arial" w:hAnsi="Arial" w:cs="Arial"/>
                <w:color w:val="000000" w:themeColor="text1"/>
              </w:rPr>
              <w:t> </w:t>
            </w:r>
          </w:p>
          <w:p w14:paraId="48F613F4" w14:textId="5F388E5A" w:rsidR="009425AE" w:rsidRDefault="009425AE" w:rsidP="69B3A30A">
            <w:pPr>
              <w:rPr>
                <w:rFonts w:ascii="Arial" w:eastAsia="Arial" w:hAnsi="Arial" w:cs="Arial"/>
                <w:color w:val="000000" w:themeColor="text1"/>
              </w:rPr>
            </w:pPr>
            <w:r>
              <w:rPr>
                <w:rFonts w:ascii="Arial" w:eastAsia="Arial" w:hAnsi="Arial" w:cs="Arial"/>
                <w:color w:val="000000" w:themeColor="text1"/>
              </w:rPr>
              <w:t>My knowledge of the process of conducting criminal and civil fraud investigations is at present at a lower level</w:t>
            </w:r>
            <w:r w:rsidR="007F4ED0">
              <w:rPr>
                <w:rFonts w:ascii="Arial" w:eastAsia="Arial" w:hAnsi="Arial" w:cs="Arial"/>
                <w:color w:val="000000" w:themeColor="text1"/>
              </w:rPr>
              <w:t xml:space="preserve"> (approximately 3/10) and requires development.</w:t>
            </w:r>
            <w:r>
              <w:rPr>
                <w:rFonts w:ascii="Arial" w:eastAsia="Arial" w:hAnsi="Arial" w:cs="Arial"/>
                <w:color w:val="000000" w:themeColor="text1"/>
              </w:rPr>
              <w:t xml:space="preserve"> Whilst I have completed a Specialist Fraud Investigator course which has provided me with a good base knowledge of </w:t>
            </w:r>
            <w:r w:rsidR="007F4ED0">
              <w:rPr>
                <w:rFonts w:ascii="Arial" w:eastAsia="Arial" w:hAnsi="Arial" w:cs="Arial"/>
                <w:color w:val="000000" w:themeColor="text1"/>
              </w:rPr>
              <w:t>how these investigations are conducted, as well as of the College of Policing’s Fraud Investigation Model, I would like to increase through exposure to live investigations my knowledge of the Fraud Investigation Model and its practicalities so that I can confidently and professionally manage complex financial investigations.</w:t>
            </w:r>
          </w:p>
        </w:tc>
        <w:tc>
          <w:tcPr>
            <w:tcW w:w="1134" w:type="dxa"/>
            <w:tcBorders>
              <w:top w:val="single" w:sz="6" w:space="0" w:color="auto"/>
              <w:left w:val="single" w:sz="6" w:space="0" w:color="auto"/>
              <w:bottom w:val="single" w:sz="6" w:space="0" w:color="auto"/>
              <w:right w:val="single" w:sz="6" w:space="0" w:color="auto"/>
            </w:tcBorders>
          </w:tcPr>
          <w:p w14:paraId="59159199" w14:textId="3E1B8AE0" w:rsidR="009425AE" w:rsidRPr="00965385" w:rsidRDefault="009425AE"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Low </w:t>
            </w:r>
          </w:p>
          <w:p w14:paraId="448D47A9" w14:textId="19807F21" w:rsidR="009425AE" w:rsidRPr="00965385" w:rsidRDefault="009425AE"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X</w:t>
            </w:r>
            <w:r w:rsidRPr="00965385">
              <w:rPr>
                <w:rFonts w:ascii="Arial" w:eastAsia="Arial" w:hAnsi="Arial" w:cs="Arial"/>
                <w:color w:val="000000" w:themeColor="text1"/>
                <w:sz w:val="20"/>
                <w:szCs w:val="20"/>
              </w:rPr>
              <w:t> </w:t>
            </w:r>
          </w:p>
        </w:tc>
        <w:tc>
          <w:tcPr>
            <w:tcW w:w="1417" w:type="dxa"/>
            <w:tcBorders>
              <w:top w:val="nil"/>
              <w:left w:val="single" w:sz="6" w:space="0" w:color="auto"/>
              <w:bottom w:val="single" w:sz="6" w:space="0" w:color="auto"/>
              <w:right w:val="single" w:sz="6" w:space="0" w:color="auto"/>
            </w:tcBorders>
          </w:tcPr>
          <w:p w14:paraId="6D0C49D5" w14:textId="7EBE074F" w:rsidR="009425AE" w:rsidRPr="00965385" w:rsidRDefault="009425AE"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Med </w:t>
            </w:r>
          </w:p>
          <w:p w14:paraId="393E2C5C" w14:textId="024D3F8E" w:rsidR="009425AE" w:rsidRPr="00965385" w:rsidRDefault="009425AE"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X</w:t>
            </w:r>
          </w:p>
        </w:tc>
        <w:tc>
          <w:tcPr>
            <w:tcW w:w="3828" w:type="dxa"/>
            <w:gridSpan w:val="2"/>
            <w:tcBorders>
              <w:top w:val="single" w:sz="6" w:space="0" w:color="auto"/>
              <w:left w:val="single" w:sz="6" w:space="0" w:color="auto"/>
              <w:bottom w:val="single" w:sz="6" w:space="0" w:color="auto"/>
              <w:right w:val="single" w:sz="6" w:space="0" w:color="auto"/>
            </w:tcBorders>
          </w:tcPr>
          <w:p w14:paraId="45568F6D" w14:textId="5DA99C6F" w:rsidR="009425AE" w:rsidRDefault="007F4ED0" w:rsidP="69B3A30A">
            <w:pPr>
              <w:rPr>
                <w:rFonts w:ascii="Arial" w:eastAsia="Arial" w:hAnsi="Arial" w:cs="Arial"/>
                <w:color w:val="000000" w:themeColor="text1"/>
              </w:rPr>
            </w:pPr>
            <w:r>
              <w:rPr>
                <w:rFonts w:ascii="Arial" w:eastAsia="Arial" w:hAnsi="Arial" w:cs="Arial"/>
                <w:color w:val="000000" w:themeColor="text1"/>
              </w:rPr>
              <w:t xml:space="preserve">I have selected </w:t>
            </w:r>
            <w:r w:rsidR="000B585F">
              <w:rPr>
                <w:rFonts w:ascii="Arial" w:eastAsia="Arial" w:hAnsi="Arial" w:cs="Arial"/>
                <w:color w:val="000000" w:themeColor="text1"/>
              </w:rPr>
              <w:t>the medium score range and I would like to aim for a score of 6 to 7/10 in the next 6 to 12 months.</w:t>
            </w:r>
          </w:p>
          <w:p w14:paraId="51CB7373" w14:textId="77777777" w:rsidR="000B585F" w:rsidRDefault="000B585F" w:rsidP="69B3A30A">
            <w:pPr>
              <w:rPr>
                <w:rFonts w:ascii="Arial" w:eastAsia="Arial" w:hAnsi="Arial" w:cs="Arial"/>
                <w:color w:val="000000" w:themeColor="text1"/>
              </w:rPr>
            </w:pPr>
            <w:r>
              <w:rPr>
                <w:rFonts w:ascii="Arial" w:eastAsia="Arial" w:hAnsi="Arial" w:cs="Arial"/>
                <w:color w:val="000000" w:themeColor="text1"/>
              </w:rPr>
              <w:t>I am fully appreciative of the depth of information and knowledge surrounding financial crime and accept the fact that as I have only recently entered this field of policing, a score of 6 to 7/10 is I believe reasonable and realistic.</w:t>
            </w:r>
          </w:p>
          <w:p w14:paraId="159AF661" w14:textId="77777777" w:rsidR="000B585F" w:rsidRDefault="000B585F" w:rsidP="69B3A30A">
            <w:pPr>
              <w:rPr>
                <w:rFonts w:ascii="Arial" w:eastAsia="Arial" w:hAnsi="Arial" w:cs="Arial"/>
                <w:color w:val="000000" w:themeColor="text1"/>
              </w:rPr>
            </w:pPr>
            <w:r>
              <w:rPr>
                <w:rFonts w:ascii="Arial" w:eastAsia="Arial" w:hAnsi="Arial" w:cs="Arial"/>
                <w:color w:val="000000" w:themeColor="text1"/>
              </w:rPr>
              <w:t>Improving my knowledge of the investigation of fraud and economic crime in general will assist me in successfully carrying out my role as an economic crime officer so that the matters that are assigned to me are investigated professionally. I will seek to enhance my knowledge by taking the following actions:</w:t>
            </w:r>
          </w:p>
          <w:p w14:paraId="52F8BA0C" w14:textId="77777777" w:rsidR="000B585F" w:rsidRDefault="000B585F" w:rsidP="000B585F">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Completing my Specialist Fraud Investigator portfolio in order to become accredited. The timeframe for completion of this for myself is within the next 6 months.</w:t>
            </w:r>
          </w:p>
          <w:p w14:paraId="1FA50AF7" w14:textId="77777777" w:rsidR="00EE42FA" w:rsidRDefault="000B585F" w:rsidP="00EE42FA">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 xml:space="preserve">Continuing my background reading of the Blackstone’s Investigation of Fraud and Economic Crime </w:t>
            </w:r>
            <w:r w:rsidR="00EE42FA">
              <w:rPr>
                <w:rFonts w:ascii="Arial" w:eastAsia="Arial" w:hAnsi="Arial" w:cs="Arial"/>
                <w:color w:val="000000" w:themeColor="text1"/>
              </w:rPr>
              <w:t>by Michael J Betts, which includes detailed guidance on the implementation of the Fraud Investigation Model.</w:t>
            </w:r>
          </w:p>
          <w:p w14:paraId="35A4E54C" w14:textId="77777777" w:rsidR="00EE42FA" w:rsidRDefault="00EE42FA" w:rsidP="00EE42FA">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Seeking to apply already attained knowledge to practical investigations.</w:t>
            </w:r>
          </w:p>
          <w:p w14:paraId="1E2D2696" w14:textId="5D6E1583" w:rsidR="00EE42FA" w:rsidRPr="00EE42FA" w:rsidRDefault="00EE42FA" w:rsidP="00EE42FA">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 xml:space="preserve">Seek guidance from more experienced members of my team including police officers and financial investigators, </w:t>
            </w:r>
            <w:r>
              <w:rPr>
                <w:rFonts w:ascii="Arial" w:eastAsia="Arial" w:hAnsi="Arial" w:cs="Arial"/>
                <w:color w:val="000000" w:themeColor="text1"/>
              </w:rPr>
              <w:lastRenderedPageBreak/>
              <w:t>and obtain knowledge from their experience.</w:t>
            </w:r>
          </w:p>
        </w:tc>
      </w:tr>
      <w:tr w:rsidR="007F4ED0" w14:paraId="2D764C6B" w14:textId="77777777" w:rsidTr="003E0504">
        <w:trPr>
          <w:trHeight w:val="1095"/>
        </w:trPr>
        <w:tc>
          <w:tcPr>
            <w:tcW w:w="2544" w:type="dxa"/>
            <w:tcBorders>
              <w:top w:val="single" w:sz="6" w:space="0" w:color="auto"/>
              <w:left w:val="single" w:sz="6" w:space="0" w:color="auto"/>
              <w:bottom w:val="single" w:sz="6" w:space="0" w:color="auto"/>
              <w:right w:val="single" w:sz="6" w:space="0" w:color="auto"/>
            </w:tcBorders>
          </w:tcPr>
          <w:p w14:paraId="5092EBD0" w14:textId="0990B359" w:rsidR="007F4ED0" w:rsidRDefault="007F4ED0" w:rsidP="69B3A30A">
            <w:pPr>
              <w:rPr>
                <w:rFonts w:ascii="Arial" w:eastAsia="Arial" w:hAnsi="Arial" w:cs="Arial"/>
                <w:b/>
                <w:bCs/>
                <w:color w:val="000000" w:themeColor="text1"/>
              </w:rPr>
            </w:pPr>
            <w:r w:rsidRPr="69B3A30A">
              <w:rPr>
                <w:rFonts w:ascii="Arial" w:eastAsia="Arial" w:hAnsi="Arial" w:cs="Arial"/>
                <w:b/>
                <w:bCs/>
                <w:color w:val="000000" w:themeColor="text1"/>
              </w:rPr>
              <w:lastRenderedPageBreak/>
              <w:t>SKILLS </w:t>
            </w:r>
          </w:p>
          <w:p w14:paraId="623FE762" w14:textId="1465C0AC" w:rsidR="00FF25A6" w:rsidRDefault="006B3A81" w:rsidP="69B3A30A">
            <w:pPr>
              <w:rPr>
                <w:rFonts w:ascii="Arial" w:eastAsia="Arial" w:hAnsi="Arial" w:cs="Arial"/>
                <w:color w:val="000000" w:themeColor="text1"/>
              </w:rPr>
            </w:pPr>
            <w:r>
              <w:rPr>
                <w:rFonts w:ascii="Arial" w:eastAsia="Arial" w:hAnsi="Arial" w:cs="Arial"/>
                <w:color w:val="000000" w:themeColor="text1"/>
              </w:rPr>
              <w:t>My skills in relation to financial crime are at present I would say towards the low end of the medium level. The investigation of financial crime involves the use of many skills, and whilst</w:t>
            </w:r>
            <w:r w:rsidR="00FF25A6">
              <w:rPr>
                <w:rFonts w:ascii="Arial" w:eastAsia="Arial" w:hAnsi="Arial" w:cs="Arial"/>
                <w:color w:val="000000" w:themeColor="text1"/>
              </w:rPr>
              <w:t xml:space="preserve"> many of those skills are financial crime specific, some also are not specific to financial crime and I have been able to transfer them over from previous areas of policing, which is why I have graded myself as medium as opposed to low.</w:t>
            </w:r>
          </w:p>
          <w:p w14:paraId="5594B732" w14:textId="591C9351" w:rsidR="00FF25A6" w:rsidRPr="006B3A81" w:rsidRDefault="00FF25A6" w:rsidP="69B3A30A">
            <w:pPr>
              <w:rPr>
                <w:rFonts w:ascii="Arial" w:eastAsia="Arial" w:hAnsi="Arial" w:cs="Arial"/>
                <w:color w:val="000000" w:themeColor="text1"/>
              </w:rPr>
            </w:pPr>
            <w:r>
              <w:rPr>
                <w:rFonts w:ascii="Arial" w:eastAsia="Arial" w:hAnsi="Arial" w:cs="Arial"/>
                <w:color w:val="000000" w:themeColor="text1"/>
              </w:rPr>
              <w:t>However, financial crime investigations also involve numerous skills that I do not</w:t>
            </w:r>
            <w:r w:rsidR="000C25BA">
              <w:rPr>
                <w:rFonts w:ascii="Arial" w:eastAsia="Arial" w:hAnsi="Arial" w:cs="Arial"/>
                <w:color w:val="000000" w:themeColor="text1"/>
              </w:rPr>
              <w:t>,</w:t>
            </w:r>
            <w:r>
              <w:rPr>
                <w:rFonts w:ascii="Arial" w:eastAsia="Arial" w:hAnsi="Arial" w:cs="Arial"/>
                <w:color w:val="000000" w:themeColor="text1"/>
              </w:rPr>
              <w:t xml:space="preserve"> as of yet</w:t>
            </w:r>
            <w:r w:rsidR="000C25BA">
              <w:rPr>
                <w:rFonts w:ascii="Arial" w:eastAsia="Arial" w:hAnsi="Arial" w:cs="Arial"/>
                <w:color w:val="000000" w:themeColor="text1"/>
              </w:rPr>
              <w:t>,</w:t>
            </w:r>
            <w:r>
              <w:rPr>
                <w:rFonts w:ascii="Arial" w:eastAsia="Arial" w:hAnsi="Arial" w:cs="Arial"/>
                <w:color w:val="000000" w:themeColor="text1"/>
              </w:rPr>
              <w:t xml:space="preserve"> possess, for example skills in compiling financial applications such as production orders. These are an essential tool in effectively investigating financial crime, and I would like to be in a position to be able to competently compile these applications.</w:t>
            </w:r>
          </w:p>
          <w:p w14:paraId="296A7BD7" w14:textId="5F3790A2" w:rsidR="007F4ED0" w:rsidRDefault="007F4ED0" w:rsidP="2F17ACDD">
            <w:pPr>
              <w:rPr>
                <w:rFonts w:ascii="Arial" w:eastAsia="Arial" w:hAnsi="Arial" w:cs="Arial"/>
                <w:b/>
                <w:bCs/>
                <w:color w:val="000000" w:themeColor="text1"/>
              </w:rPr>
            </w:pPr>
          </w:p>
        </w:tc>
        <w:tc>
          <w:tcPr>
            <w:tcW w:w="1134" w:type="dxa"/>
            <w:tcBorders>
              <w:top w:val="single" w:sz="6" w:space="0" w:color="auto"/>
              <w:left w:val="single" w:sz="6" w:space="0" w:color="auto"/>
              <w:bottom w:val="single" w:sz="6" w:space="0" w:color="auto"/>
              <w:right w:val="single" w:sz="6" w:space="0" w:color="auto"/>
            </w:tcBorders>
          </w:tcPr>
          <w:p w14:paraId="20BCFD79" w14:textId="2A18574E" w:rsidR="007F4ED0" w:rsidRPr="00965385" w:rsidRDefault="006B3A81"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Med</w:t>
            </w:r>
            <w:r w:rsidR="007F4ED0" w:rsidRPr="00965385">
              <w:rPr>
                <w:rFonts w:ascii="Arial" w:eastAsia="Arial" w:hAnsi="Arial" w:cs="Arial"/>
                <w:color w:val="000000" w:themeColor="text1"/>
                <w:sz w:val="20"/>
                <w:szCs w:val="20"/>
              </w:rPr>
              <w:t> </w:t>
            </w:r>
          </w:p>
          <w:p w14:paraId="6822E41D" w14:textId="02DA1E4A" w:rsidR="007F4ED0" w:rsidRPr="00965385" w:rsidRDefault="007F4ED0"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t> </w:t>
            </w:r>
            <w:r w:rsidR="006B3A81">
              <w:rPr>
                <w:rFonts w:ascii="Arial" w:eastAsia="Arial" w:hAnsi="Arial" w:cs="Arial"/>
                <w:color w:val="000000" w:themeColor="text1"/>
                <w:sz w:val="20"/>
                <w:szCs w:val="20"/>
              </w:rPr>
              <w:t>X</w:t>
            </w:r>
          </w:p>
        </w:tc>
        <w:tc>
          <w:tcPr>
            <w:tcW w:w="1417" w:type="dxa"/>
            <w:tcBorders>
              <w:top w:val="single" w:sz="6" w:space="0" w:color="auto"/>
              <w:left w:val="single" w:sz="6" w:space="0" w:color="auto"/>
              <w:bottom w:val="single" w:sz="6" w:space="0" w:color="auto"/>
              <w:right w:val="single" w:sz="6" w:space="0" w:color="auto"/>
            </w:tcBorders>
          </w:tcPr>
          <w:p w14:paraId="19FD361F" w14:textId="2C35AB80" w:rsidR="007F4ED0" w:rsidRPr="00965385" w:rsidRDefault="006B3A81"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High</w:t>
            </w:r>
          </w:p>
          <w:p w14:paraId="442E6BEE" w14:textId="4FDD030C" w:rsidR="007F4ED0" w:rsidRPr="00965385" w:rsidRDefault="006B3A81"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X</w:t>
            </w:r>
          </w:p>
        </w:tc>
        <w:tc>
          <w:tcPr>
            <w:tcW w:w="3828" w:type="dxa"/>
            <w:gridSpan w:val="2"/>
            <w:tcBorders>
              <w:top w:val="single" w:sz="6" w:space="0" w:color="auto"/>
              <w:left w:val="single" w:sz="6" w:space="0" w:color="auto"/>
              <w:bottom w:val="single" w:sz="6" w:space="0" w:color="auto"/>
              <w:right w:val="single" w:sz="6" w:space="0" w:color="auto"/>
            </w:tcBorders>
          </w:tcPr>
          <w:p w14:paraId="680D71FE" w14:textId="384C79D8" w:rsidR="007F4ED0" w:rsidRDefault="00FF25A6" w:rsidP="69B3A30A">
            <w:pPr>
              <w:rPr>
                <w:rFonts w:ascii="Arial" w:eastAsia="Arial" w:hAnsi="Arial" w:cs="Arial"/>
                <w:color w:val="000000" w:themeColor="text1"/>
              </w:rPr>
            </w:pPr>
            <w:r>
              <w:rPr>
                <w:rFonts w:ascii="Arial" w:eastAsia="Arial" w:hAnsi="Arial" w:cs="Arial"/>
                <w:color w:val="000000" w:themeColor="text1"/>
              </w:rPr>
              <w:t>Improving my skills in the form of learning how to compile good quality production order applications for presentation to the court is an essential aspect of financial crime, which is why I have stated that I would like to attain a high rating in this area.</w:t>
            </w:r>
          </w:p>
          <w:p w14:paraId="7F03A0B4" w14:textId="77777777" w:rsidR="00FF25A6" w:rsidRDefault="00FF25A6" w:rsidP="69B3A30A">
            <w:pPr>
              <w:rPr>
                <w:rFonts w:ascii="Arial" w:eastAsia="Arial" w:hAnsi="Arial" w:cs="Arial"/>
                <w:color w:val="000000" w:themeColor="text1"/>
              </w:rPr>
            </w:pPr>
            <w:r>
              <w:rPr>
                <w:rFonts w:ascii="Arial" w:eastAsia="Arial" w:hAnsi="Arial" w:cs="Arial"/>
                <w:color w:val="000000" w:themeColor="text1"/>
              </w:rPr>
              <w:t>I will seek to work towards attaining this level in the following ways:</w:t>
            </w:r>
          </w:p>
          <w:p w14:paraId="28400DCB" w14:textId="47CAD4DE" w:rsidR="00FF25A6" w:rsidRDefault="00FF25A6" w:rsidP="00FF25A6">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Continue to work towards the Financial Intelligence Officer accreditation process that I am currently undertaking with the National Crime Agency. This will assist me in gaining both</w:t>
            </w:r>
            <w:r w:rsidR="002D6857">
              <w:rPr>
                <w:rFonts w:ascii="Arial" w:eastAsia="Arial" w:hAnsi="Arial" w:cs="Arial"/>
                <w:color w:val="000000" w:themeColor="text1"/>
              </w:rPr>
              <w:t xml:space="preserve"> th</w:t>
            </w:r>
            <w:r>
              <w:rPr>
                <w:rFonts w:ascii="Arial" w:eastAsia="Arial" w:hAnsi="Arial" w:cs="Arial"/>
                <w:color w:val="000000" w:themeColor="text1"/>
              </w:rPr>
              <w:t xml:space="preserve">e knowledge and skills </w:t>
            </w:r>
            <w:r w:rsidR="002D6857">
              <w:rPr>
                <w:rFonts w:ascii="Arial" w:eastAsia="Arial" w:hAnsi="Arial" w:cs="Arial"/>
                <w:color w:val="000000" w:themeColor="text1"/>
              </w:rPr>
              <w:t>to start working on financial production orders. I hope to undertake the examination for this within the next 6 months.</w:t>
            </w:r>
          </w:p>
          <w:p w14:paraId="128CD485" w14:textId="68EB3120" w:rsidR="002D6857" w:rsidRDefault="002D6857" w:rsidP="00FF25A6">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Seek assistance and guidance from my team’s financial investigator</w:t>
            </w:r>
            <w:r w:rsidR="000C25BA">
              <w:rPr>
                <w:rFonts w:ascii="Arial" w:eastAsia="Arial" w:hAnsi="Arial" w:cs="Arial"/>
                <w:color w:val="000000" w:themeColor="text1"/>
              </w:rPr>
              <w:t>s</w:t>
            </w:r>
            <w:r>
              <w:rPr>
                <w:rFonts w:ascii="Arial" w:eastAsia="Arial" w:hAnsi="Arial" w:cs="Arial"/>
                <w:color w:val="000000" w:themeColor="text1"/>
              </w:rPr>
              <w:t>, who are adept at producing high quality applications that are successful in their objective.</w:t>
            </w:r>
          </w:p>
          <w:p w14:paraId="02BD4685" w14:textId="60E60453" w:rsidR="002D6857" w:rsidRPr="00FF25A6" w:rsidRDefault="002D6857" w:rsidP="00FF25A6">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Eventually I would like to embark on the financial investigator accreditation process, which would equip me with the skills to compile complex applications confidently. I will look to start on this process in approximately 12 months.</w:t>
            </w:r>
          </w:p>
        </w:tc>
      </w:tr>
      <w:tr w:rsidR="007F4ED0" w14:paraId="1602AB4D" w14:textId="77777777" w:rsidTr="003E0504">
        <w:tc>
          <w:tcPr>
            <w:tcW w:w="2544" w:type="dxa"/>
            <w:tcBorders>
              <w:top w:val="single" w:sz="6" w:space="0" w:color="auto"/>
              <w:left w:val="single" w:sz="6" w:space="0" w:color="auto"/>
              <w:bottom w:val="single" w:sz="6" w:space="0" w:color="auto"/>
              <w:right w:val="single" w:sz="6" w:space="0" w:color="auto"/>
            </w:tcBorders>
          </w:tcPr>
          <w:p w14:paraId="16961DB5" w14:textId="16915CCF" w:rsidR="007F4ED0" w:rsidRDefault="007F4ED0" w:rsidP="69B3A30A">
            <w:pPr>
              <w:rPr>
                <w:rFonts w:ascii="Arial" w:eastAsia="Arial" w:hAnsi="Arial" w:cs="Arial"/>
                <w:b/>
                <w:bCs/>
                <w:color w:val="000000" w:themeColor="text1"/>
              </w:rPr>
            </w:pPr>
            <w:r w:rsidRPr="69B3A30A">
              <w:rPr>
                <w:rFonts w:ascii="Arial" w:eastAsia="Arial" w:hAnsi="Arial" w:cs="Arial"/>
                <w:b/>
                <w:bCs/>
                <w:color w:val="000000" w:themeColor="text1"/>
              </w:rPr>
              <w:t>EXPERIENCE </w:t>
            </w:r>
          </w:p>
          <w:p w14:paraId="1A041A10" w14:textId="1BE903EE" w:rsidR="002D6857" w:rsidRDefault="002D6857" w:rsidP="69B3A30A">
            <w:pPr>
              <w:rPr>
                <w:rFonts w:ascii="Arial" w:eastAsia="Arial" w:hAnsi="Arial" w:cs="Arial"/>
                <w:color w:val="000000" w:themeColor="text1"/>
              </w:rPr>
            </w:pPr>
            <w:r>
              <w:rPr>
                <w:rFonts w:ascii="Arial" w:eastAsia="Arial" w:hAnsi="Arial" w:cs="Arial"/>
                <w:color w:val="000000" w:themeColor="text1"/>
              </w:rPr>
              <w:t>In relation</w:t>
            </w:r>
            <w:r w:rsidR="003E0504">
              <w:rPr>
                <w:rFonts w:ascii="Arial" w:eastAsia="Arial" w:hAnsi="Arial" w:cs="Arial"/>
                <w:color w:val="000000" w:themeColor="text1"/>
              </w:rPr>
              <w:t xml:space="preserve"> to my experience of the role in which I am currently working (fraud and </w:t>
            </w:r>
            <w:r w:rsidR="003E0504">
              <w:rPr>
                <w:rFonts w:ascii="Arial" w:eastAsia="Arial" w:hAnsi="Arial" w:cs="Arial"/>
                <w:color w:val="000000" w:themeColor="text1"/>
              </w:rPr>
              <w:lastRenderedPageBreak/>
              <w:t xml:space="preserve">economic crime), I am relatively inexperienced, therefore I have given myself a low score. I have only recently moved from a different area of policing to this area, and find myself in a position where I am very much learning how a new team works, as well as the way the investigations it conducts work as well. </w:t>
            </w:r>
          </w:p>
          <w:p w14:paraId="07F3A307" w14:textId="21C89AC7" w:rsidR="003E0504" w:rsidRDefault="003E0504" w:rsidP="69B3A30A">
            <w:pPr>
              <w:rPr>
                <w:rFonts w:ascii="Arial" w:eastAsia="Arial" w:hAnsi="Arial" w:cs="Arial"/>
                <w:color w:val="000000" w:themeColor="text1"/>
              </w:rPr>
            </w:pPr>
            <w:r>
              <w:rPr>
                <w:rFonts w:ascii="Arial" w:eastAsia="Arial" w:hAnsi="Arial" w:cs="Arial"/>
                <w:color w:val="000000" w:themeColor="text1"/>
              </w:rPr>
              <w:t>I have come into this department with a small amount of exposure to fraud and economic crime investigation, and I would like to be in a position in 6 to 12 months where I have undertaken complex investigations to a professional standard, and have experienced a wide array of investigations of this type</w:t>
            </w:r>
            <w:r w:rsidR="000C25BA">
              <w:rPr>
                <w:rFonts w:ascii="Arial" w:eastAsia="Arial" w:hAnsi="Arial" w:cs="Arial"/>
                <w:color w:val="000000" w:themeColor="text1"/>
              </w:rPr>
              <w:t>.</w:t>
            </w:r>
          </w:p>
          <w:p w14:paraId="3EEF2DD1" w14:textId="5A216897" w:rsidR="007F4ED0" w:rsidRDefault="007F4ED0" w:rsidP="2F17ACDD">
            <w:pPr>
              <w:rPr>
                <w:rFonts w:ascii="Arial" w:eastAsia="Arial" w:hAnsi="Arial" w:cs="Arial"/>
                <w:b/>
                <w:bCs/>
                <w:color w:val="000000" w:themeColor="text1"/>
              </w:rPr>
            </w:pPr>
          </w:p>
          <w:p w14:paraId="19DEF14E" w14:textId="5BD8FF7A" w:rsidR="007F4ED0" w:rsidRDefault="007F4ED0" w:rsidP="69B3A30A">
            <w:pPr>
              <w:rPr>
                <w:rFonts w:ascii="Arial" w:eastAsia="Arial" w:hAnsi="Arial" w:cs="Arial"/>
                <w:color w:val="000000" w:themeColor="text1"/>
              </w:rPr>
            </w:pPr>
          </w:p>
        </w:tc>
        <w:tc>
          <w:tcPr>
            <w:tcW w:w="1134" w:type="dxa"/>
            <w:tcBorders>
              <w:top w:val="single" w:sz="6" w:space="0" w:color="auto"/>
              <w:left w:val="single" w:sz="6" w:space="0" w:color="auto"/>
              <w:bottom w:val="single" w:sz="6" w:space="0" w:color="auto"/>
              <w:right w:val="single" w:sz="6" w:space="0" w:color="auto"/>
            </w:tcBorders>
          </w:tcPr>
          <w:p w14:paraId="7CC02F10" w14:textId="3FF9E308" w:rsidR="007F4ED0" w:rsidRPr="00965385" w:rsidRDefault="007F4ED0" w:rsidP="69B3A30A">
            <w:pPr>
              <w:rPr>
                <w:rFonts w:ascii="Arial" w:eastAsia="Arial" w:hAnsi="Arial" w:cs="Arial"/>
                <w:color w:val="000000" w:themeColor="text1"/>
                <w:sz w:val="20"/>
                <w:szCs w:val="20"/>
              </w:rPr>
            </w:pPr>
            <w:r w:rsidRPr="00965385">
              <w:rPr>
                <w:rFonts w:ascii="Arial" w:eastAsia="Arial" w:hAnsi="Arial" w:cs="Arial"/>
                <w:color w:val="000000" w:themeColor="text1"/>
                <w:sz w:val="20"/>
                <w:szCs w:val="20"/>
              </w:rPr>
              <w:lastRenderedPageBreak/>
              <w:t>Low </w:t>
            </w:r>
          </w:p>
          <w:p w14:paraId="7F980E03" w14:textId="611DB06F" w:rsidR="007F4ED0" w:rsidRPr="00965385" w:rsidRDefault="002D6857"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X</w:t>
            </w:r>
          </w:p>
        </w:tc>
        <w:tc>
          <w:tcPr>
            <w:tcW w:w="1417" w:type="dxa"/>
            <w:tcBorders>
              <w:top w:val="single" w:sz="6" w:space="0" w:color="auto"/>
              <w:left w:val="single" w:sz="6" w:space="0" w:color="auto"/>
              <w:bottom w:val="single" w:sz="6" w:space="0" w:color="auto"/>
              <w:right w:val="single" w:sz="6" w:space="0" w:color="auto"/>
            </w:tcBorders>
          </w:tcPr>
          <w:p w14:paraId="55DA1534" w14:textId="71567215" w:rsidR="007F4ED0" w:rsidRPr="00965385" w:rsidRDefault="002D6857"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High</w:t>
            </w:r>
          </w:p>
          <w:p w14:paraId="2D218451" w14:textId="5289E0BF" w:rsidR="007F4ED0" w:rsidRPr="00965385" w:rsidRDefault="002D6857" w:rsidP="69B3A30A">
            <w:pPr>
              <w:rPr>
                <w:rFonts w:ascii="Arial" w:eastAsia="Arial" w:hAnsi="Arial" w:cs="Arial"/>
                <w:color w:val="000000" w:themeColor="text1"/>
                <w:sz w:val="20"/>
                <w:szCs w:val="20"/>
              </w:rPr>
            </w:pPr>
            <w:r>
              <w:rPr>
                <w:rFonts w:ascii="Arial" w:eastAsia="Arial" w:hAnsi="Arial" w:cs="Arial"/>
                <w:color w:val="000000" w:themeColor="text1"/>
                <w:sz w:val="20"/>
                <w:szCs w:val="20"/>
              </w:rPr>
              <w:t>X</w:t>
            </w:r>
            <w:r w:rsidR="007F4ED0" w:rsidRPr="00965385">
              <w:rPr>
                <w:rFonts w:ascii="Arial" w:eastAsia="Arial" w:hAnsi="Arial" w:cs="Arial"/>
                <w:color w:val="000000" w:themeColor="text1"/>
                <w:sz w:val="20"/>
                <w:szCs w:val="20"/>
              </w:rPr>
              <w:t> </w:t>
            </w:r>
          </w:p>
        </w:tc>
        <w:tc>
          <w:tcPr>
            <w:tcW w:w="3828" w:type="dxa"/>
            <w:gridSpan w:val="2"/>
            <w:tcBorders>
              <w:top w:val="single" w:sz="6" w:space="0" w:color="auto"/>
              <w:left w:val="single" w:sz="6" w:space="0" w:color="auto"/>
              <w:bottom w:val="single" w:sz="6" w:space="0" w:color="auto"/>
              <w:right w:val="single" w:sz="6" w:space="0" w:color="auto"/>
            </w:tcBorders>
          </w:tcPr>
          <w:p w14:paraId="0C11CAA5" w14:textId="5A8463C0" w:rsidR="007F4ED0" w:rsidRDefault="003E0504" w:rsidP="69B3A30A">
            <w:pPr>
              <w:rPr>
                <w:rFonts w:ascii="Arial" w:eastAsia="Arial" w:hAnsi="Arial" w:cs="Arial"/>
                <w:color w:val="000000" w:themeColor="text1"/>
              </w:rPr>
            </w:pPr>
            <w:r>
              <w:rPr>
                <w:rFonts w:ascii="Arial" w:eastAsia="Arial" w:hAnsi="Arial" w:cs="Arial"/>
                <w:color w:val="000000" w:themeColor="text1"/>
              </w:rPr>
              <w:t xml:space="preserve">I am thoroughly interested in the fraud and economic crime area of policing, and I believe that this enthusiasm will assist me in moving </w:t>
            </w:r>
            <w:r>
              <w:rPr>
                <w:rFonts w:ascii="Arial" w:eastAsia="Arial" w:hAnsi="Arial" w:cs="Arial"/>
                <w:color w:val="000000" w:themeColor="text1"/>
              </w:rPr>
              <w:lastRenderedPageBreak/>
              <w:t>my experience rating to high over the next 6 to 12 months.</w:t>
            </w:r>
          </w:p>
          <w:p w14:paraId="02963825" w14:textId="77777777" w:rsidR="003E0504" w:rsidRDefault="003E0504" w:rsidP="69B3A30A">
            <w:pPr>
              <w:rPr>
                <w:rFonts w:ascii="Arial" w:eastAsia="Arial" w:hAnsi="Arial" w:cs="Arial"/>
                <w:color w:val="000000" w:themeColor="text1"/>
              </w:rPr>
            </w:pPr>
            <w:r>
              <w:rPr>
                <w:rFonts w:ascii="Arial" w:eastAsia="Arial" w:hAnsi="Arial" w:cs="Arial"/>
                <w:color w:val="000000" w:themeColor="text1"/>
              </w:rPr>
              <w:t>Whilst experience is partially governed by time within a role, and potentially even luck with what investigations you are exposed to, I will seek to enhance and expedite my experience gaining process by doing the following:</w:t>
            </w:r>
          </w:p>
          <w:p w14:paraId="602DD72A" w14:textId="77777777" w:rsidR="003E0504" w:rsidRDefault="003E0504" w:rsidP="003E0504">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 xml:space="preserve">Being proactive in volunteering to take the lead on a wide variety of </w:t>
            </w:r>
            <w:r w:rsidR="001A22FD">
              <w:rPr>
                <w:rFonts w:ascii="Arial" w:eastAsia="Arial" w:hAnsi="Arial" w:cs="Arial"/>
                <w:color w:val="000000" w:themeColor="text1"/>
              </w:rPr>
              <w:t xml:space="preserve">complex </w:t>
            </w:r>
            <w:r>
              <w:rPr>
                <w:rFonts w:ascii="Arial" w:eastAsia="Arial" w:hAnsi="Arial" w:cs="Arial"/>
                <w:color w:val="000000" w:themeColor="text1"/>
              </w:rPr>
              <w:t>investigations</w:t>
            </w:r>
            <w:r w:rsidR="001A22FD">
              <w:rPr>
                <w:rFonts w:ascii="Arial" w:eastAsia="Arial" w:hAnsi="Arial" w:cs="Arial"/>
                <w:color w:val="000000" w:themeColor="text1"/>
              </w:rPr>
              <w:t>.</w:t>
            </w:r>
          </w:p>
          <w:p w14:paraId="2AB48ADB" w14:textId="77777777" w:rsidR="001A22FD" w:rsidRDefault="001A22FD" w:rsidP="003E0504">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Ensuring I conduct all available enquiries and means of intelligence and evidence gathering using all systems that are available to me, to build up my experience of utilising them.</w:t>
            </w:r>
          </w:p>
          <w:p w14:paraId="53CF83C8" w14:textId="77777777" w:rsidR="001A22FD" w:rsidRDefault="001A22FD" w:rsidP="003E0504">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Drawing on the experiences of my colleagues, many of which have worked within this field for some time</w:t>
            </w:r>
            <w:r w:rsidR="00775AD7">
              <w:rPr>
                <w:rFonts w:ascii="Arial" w:eastAsia="Arial" w:hAnsi="Arial" w:cs="Arial"/>
                <w:color w:val="000000" w:themeColor="text1"/>
              </w:rPr>
              <w:t>. I will ensure that I actively seek their help and guidance.</w:t>
            </w:r>
          </w:p>
          <w:p w14:paraId="00FC4667" w14:textId="16EC5DC7" w:rsidR="00775AD7" w:rsidRPr="003E0504" w:rsidRDefault="00775AD7" w:rsidP="003E0504">
            <w:pPr>
              <w:pStyle w:val="ListParagraph"/>
              <w:numPr>
                <w:ilvl w:val="0"/>
                <w:numId w:val="8"/>
              </w:numPr>
              <w:rPr>
                <w:rFonts w:ascii="Arial" w:eastAsia="Arial" w:hAnsi="Arial" w:cs="Arial"/>
                <w:color w:val="000000" w:themeColor="text1"/>
              </w:rPr>
            </w:pPr>
            <w:r>
              <w:rPr>
                <w:rFonts w:ascii="Arial" w:eastAsia="Arial" w:hAnsi="Arial" w:cs="Arial"/>
                <w:color w:val="000000" w:themeColor="text1"/>
              </w:rPr>
              <w:t>Reflecting on the experience I obtain to ensure that I learn from it</w:t>
            </w:r>
            <w:r w:rsidR="00790D1D">
              <w:rPr>
                <w:rFonts w:ascii="Arial" w:eastAsia="Arial" w:hAnsi="Arial" w:cs="Arial"/>
                <w:color w:val="000000" w:themeColor="text1"/>
              </w:rPr>
              <w:t>,</w:t>
            </w:r>
            <w:r>
              <w:rPr>
                <w:rFonts w:ascii="Arial" w:eastAsia="Arial" w:hAnsi="Arial" w:cs="Arial"/>
                <w:color w:val="000000" w:themeColor="text1"/>
              </w:rPr>
              <w:t xml:space="preserve"> and </w:t>
            </w:r>
            <w:r w:rsidR="00790D1D">
              <w:rPr>
                <w:rFonts w:ascii="Arial" w:eastAsia="Arial" w:hAnsi="Arial" w:cs="Arial"/>
                <w:color w:val="000000" w:themeColor="text1"/>
              </w:rPr>
              <w:t xml:space="preserve">I </w:t>
            </w:r>
            <w:r>
              <w:rPr>
                <w:rFonts w:ascii="Arial" w:eastAsia="Arial" w:hAnsi="Arial" w:cs="Arial"/>
                <w:color w:val="000000" w:themeColor="text1"/>
              </w:rPr>
              <w:t>am able to utilise it positively in future.</w:t>
            </w:r>
          </w:p>
        </w:tc>
      </w:tr>
    </w:tbl>
    <w:p w14:paraId="722E34CD" w14:textId="0FE593C5" w:rsidR="2F17ACDD" w:rsidRDefault="2F17ACDD" w:rsidP="57DF25C0">
      <w:pPr>
        <w:spacing w:before="240" w:after="60"/>
        <w:rPr>
          <w:rFonts w:ascii="Arial" w:eastAsia="Arial" w:hAnsi="Arial" w:cs="Arial"/>
          <w:b/>
          <w:bCs/>
          <w:sz w:val="28"/>
          <w:szCs w:val="28"/>
        </w:rPr>
      </w:pPr>
    </w:p>
    <w:p w14:paraId="22AE2DA1" w14:textId="021FD5BB" w:rsidR="57DF25C0" w:rsidRDefault="57DF25C0" w:rsidP="57DF25C0">
      <w:pPr>
        <w:rPr>
          <w:rFonts w:ascii="Arial" w:eastAsia="Arial" w:hAnsi="Arial" w:cs="Arial"/>
          <w:b/>
          <w:bCs/>
          <w:sz w:val="28"/>
          <w:szCs w:val="28"/>
        </w:rPr>
      </w:pPr>
    </w:p>
    <w:p w14:paraId="1770A56F" w14:textId="4E9E441D" w:rsidR="57DF25C0" w:rsidRDefault="57DF25C0" w:rsidP="57DF25C0">
      <w:pPr>
        <w:rPr>
          <w:rFonts w:ascii="Arial" w:eastAsia="Arial" w:hAnsi="Arial" w:cs="Arial"/>
          <w:b/>
          <w:bCs/>
          <w:sz w:val="28"/>
          <w:szCs w:val="28"/>
        </w:rPr>
      </w:pPr>
    </w:p>
    <w:p w14:paraId="3B3F085B" w14:textId="760C5B55" w:rsidR="57DF25C0" w:rsidRDefault="57DF25C0" w:rsidP="57DF25C0">
      <w:pPr>
        <w:rPr>
          <w:rFonts w:ascii="Arial" w:eastAsia="Arial" w:hAnsi="Arial" w:cs="Arial"/>
          <w:b/>
          <w:bCs/>
          <w:sz w:val="28"/>
          <w:szCs w:val="28"/>
        </w:rPr>
      </w:pPr>
    </w:p>
    <w:p w14:paraId="053211CB" w14:textId="13B12109" w:rsidR="1F9D89F6" w:rsidRDefault="1F9D89F6" w:rsidP="7336895D">
      <w:pPr>
        <w:spacing w:before="240" w:after="60"/>
        <w:ind w:right="23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Bibliography</w:t>
      </w:r>
      <w:r w:rsidR="00F41D52">
        <w:rPr>
          <w:rFonts w:ascii="Arial" w:eastAsia="Arial" w:hAnsi="Arial" w:cs="Arial"/>
          <w:b/>
          <w:bCs/>
          <w:color w:val="000000" w:themeColor="text1"/>
          <w:sz w:val="24"/>
          <w:szCs w:val="24"/>
        </w:rPr>
        <w:t xml:space="preserve"> </w:t>
      </w:r>
    </w:p>
    <w:p w14:paraId="5F30F96B" w14:textId="1845C85F" w:rsidR="00112257" w:rsidRPr="00112257" w:rsidRDefault="00112257" w:rsidP="7336895D">
      <w:pPr>
        <w:spacing w:before="240" w:after="60"/>
        <w:ind w:right="237"/>
        <w:jc w:val="both"/>
        <w:rPr>
          <w:rFonts w:ascii="Arial" w:eastAsia="Arial" w:hAnsi="Arial" w:cs="Arial"/>
          <w:color w:val="000000" w:themeColor="text1"/>
          <w:sz w:val="24"/>
          <w:szCs w:val="24"/>
        </w:rPr>
      </w:pPr>
      <w:r w:rsidRPr="00112257">
        <w:rPr>
          <w:rFonts w:ascii="Arial" w:eastAsia="Arial" w:hAnsi="Arial" w:cs="Arial"/>
          <w:color w:val="000000" w:themeColor="text1"/>
          <w:sz w:val="24"/>
          <w:szCs w:val="24"/>
        </w:rPr>
        <w:t>All references</w:t>
      </w:r>
      <w:r>
        <w:rPr>
          <w:rFonts w:ascii="Arial" w:eastAsia="Arial" w:hAnsi="Arial" w:cs="Arial"/>
          <w:color w:val="000000" w:themeColor="text1"/>
          <w:sz w:val="24"/>
          <w:szCs w:val="24"/>
        </w:rPr>
        <w:t xml:space="preserve"> are</w:t>
      </w:r>
      <w:r w:rsidRPr="00112257">
        <w:rPr>
          <w:rFonts w:ascii="Arial" w:eastAsia="Arial" w:hAnsi="Arial" w:cs="Arial"/>
          <w:color w:val="000000" w:themeColor="text1"/>
          <w:sz w:val="24"/>
          <w:szCs w:val="24"/>
        </w:rPr>
        <w:t xml:space="preserve"> included at the end of each respective task</w:t>
      </w:r>
      <w:r>
        <w:rPr>
          <w:rFonts w:ascii="Arial" w:eastAsia="Arial" w:hAnsi="Arial" w:cs="Arial"/>
          <w:color w:val="000000" w:themeColor="text1"/>
          <w:sz w:val="24"/>
          <w:szCs w:val="24"/>
        </w:rPr>
        <w:t>.</w:t>
      </w:r>
    </w:p>
    <w:p w14:paraId="3D3A3146" w14:textId="58A1E893" w:rsidR="1F9D89F6" w:rsidRDefault="1F9D89F6" w:rsidP="7336895D">
      <w:pPr>
        <w:spacing w:before="240" w:after="60"/>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The bibliography should only include sources referenced within the workbook using the Harvard referencing system. Information about referencing in written assignments and how to avoid plagiarism can be found on Moodle</w:t>
      </w:r>
      <w:r w:rsidR="79E7F474" w:rsidRPr="2F17ACDD">
        <w:rPr>
          <w:rFonts w:ascii="Arial" w:eastAsia="Arial" w:hAnsi="Arial" w:cs="Arial"/>
          <w:color w:val="000000" w:themeColor="text1"/>
          <w:sz w:val="24"/>
          <w:szCs w:val="24"/>
        </w:rPr>
        <w:t xml:space="preserve"> and will be </w:t>
      </w:r>
      <w:r w:rsidR="79E7F474" w:rsidRPr="2F17ACDD">
        <w:rPr>
          <w:rFonts w:ascii="Arial" w:eastAsia="Arial" w:hAnsi="Arial" w:cs="Arial"/>
          <w:color w:val="000000" w:themeColor="text1"/>
          <w:sz w:val="24"/>
          <w:szCs w:val="24"/>
        </w:rPr>
        <w:lastRenderedPageBreak/>
        <w:t>provided within your lesson</w:t>
      </w:r>
      <w:r w:rsidRPr="2F17ACDD">
        <w:rPr>
          <w:rFonts w:ascii="Arial" w:eastAsia="Arial" w:hAnsi="Arial" w:cs="Arial"/>
          <w:color w:val="000000" w:themeColor="text1"/>
          <w:sz w:val="24"/>
          <w:szCs w:val="24"/>
        </w:rPr>
        <w:t>. It is important that you are aware of the importance of ensuring that the work submitted is your original work.</w:t>
      </w:r>
    </w:p>
    <w:p w14:paraId="145AB031" w14:textId="6D8EFCEF" w:rsidR="7336895D" w:rsidRDefault="3C360A0F" w:rsidP="7336895D">
      <w:pPr>
        <w:spacing w:before="240" w:after="60"/>
        <w:ind w:right="237"/>
        <w:jc w:val="both"/>
        <w:rPr>
          <w:rFonts w:ascii="Arial" w:eastAsia="Arial" w:hAnsi="Arial" w:cs="Arial"/>
          <w:color w:val="000000" w:themeColor="text1"/>
          <w:sz w:val="24"/>
          <w:szCs w:val="24"/>
        </w:rPr>
      </w:pPr>
      <w:r w:rsidRPr="1359001D">
        <w:rPr>
          <w:rFonts w:ascii="Arial" w:eastAsia="Arial" w:hAnsi="Arial" w:cs="Arial"/>
          <w:color w:val="000000" w:themeColor="text1"/>
          <w:sz w:val="24"/>
          <w:szCs w:val="24"/>
        </w:rPr>
        <w:t>If you are unsure</w:t>
      </w:r>
      <w:r w:rsidR="2F0A9433" w:rsidRPr="1359001D">
        <w:rPr>
          <w:rFonts w:ascii="Arial" w:eastAsia="Arial" w:hAnsi="Arial" w:cs="Arial"/>
          <w:color w:val="000000" w:themeColor="text1"/>
          <w:sz w:val="24"/>
          <w:szCs w:val="24"/>
        </w:rPr>
        <w:t>,</w:t>
      </w:r>
      <w:r w:rsidRPr="1359001D">
        <w:rPr>
          <w:rFonts w:ascii="Arial" w:eastAsia="Arial" w:hAnsi="Arial" w:cs="Arial"/>
          <w:color w:val="000000" w:themeColor="text1"/>
          <w:sz w:val="24"/>
          <w:szCs w:val="24"/>
        </w:rPr>
        <w:t xml:space="preserve"> it is important that you seek guidance.</w:t>
      </w:r>
    </w:p>
    <w:p w14:paraId="105B141E" w14:textId="771B07D7" w:rsidR="2723F8F5" w:rsidRDefault="2723F8F5" w:rsidP="7336895D">
      <w:pPr>
        <w:spacing w:before="240" w:after="60"/>
        <w:ind w:right="23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 xml:space="preserve">Harvard Refencing Guide Link: </w:t>
      </w:r>
    </w:p>
    <w:p w14:paraId="14E5F5D8" w14:textId="54D5563E" w:rsidR="7336895D" w:rsidRDefault="00790D1D" w:rsidP="57DF25C0">
      <w:pPr>
        <w:spacing w:before="240" w:after="60"/>
        <w:ind w:right="237"/>
        <w:jc w:val="both"/>
        <w:rPr>
          <w:rFonts w:ascii="Calibri" w:eastAsia="Calibri" w:hAnsi="Calibri" w:cs="Calibri"/>
          <w:sz w:val="24"/>
          <w:szCs w:val="24"/>
        </w:rPr>
      </w:pPr>
      <w:hyperlink r:id="rId64" w:history="1">
        <w:r w:rsidRPr="00BD5DC6">
          <w:rPr>
            <w:rStyle w:val="Hyperlink"/>
            <w:rFonts w:ascii="Calibri" w:eastAsia="Calibri" w:hAnsi="Calibri" w:cs="Calibri"/>
            <w:sz w:val="24"/>
            <w:szCs w:val="24"/>
          </w:rPr>
          <w:t>https://moodle.uwtsd.ac.uk/pluginfile.php/324905/mod_resource/content/1/Harvard%20Referencing%20GUide.pdf</w:t>
        </w:r>
      </w:hyperlink>
    </w:p>
    <w:p w14:paraId="2F840B9D" w14:textId="77777777" w:rsidR="00790D1D" w:rsidRDefault="00790D1D" w:rsidP="57DF25C0">
      <w:pPr>
        <w:spacing w:before="240" w:after="60"/>
        <w:ind w:right="237"/>
        <w:jc w:val="both"/>
        <w:rPr>
          <w:rFonts w:ascii="Arial" w:eastAsia="Arial" w:hAnsi="Arial" w:cs="Arial"/>
          <w:sz w:val="24"/>
          <w:szCs w:val="24"/>
        </w:rPr>
      </w:pPr>
    </w:p>
    <w:p w14:paraId="322F025C" w14:textId="3A54397A" w:rsidR="79039CE6" w:rsidRDefault="79039CE6" w:rsidP="7336895D">
      <w:pPr>
        <w:jc w:val="both"/>
        <w:rPr>
          <w:rFonts w:ascii="Arial" w:eastAsia="Arial" w:hAnsi="Arial" w:cs="Arial"/>
          <w:color w:val="000000" w:themeColor="text1"/>
          <w:sz w:val="24"/>
          <w:szCs w:val="24"/>
        </w:rPr>
      </w:pPr>
      <w:r w:rsidRPr="57DF25C0">
        <w:rPr>
          <w:rFonts w:ascii="Arial" w:eastAsia="Arial" w:hAnsi="Arial" w:cs="Arial"/>
          <w:color w:val="000000" w:themeColor="text1"/>
          <w:sz w:val="24"/>
          <w:szCs w:val="24"/>
        </w:rPr>
        <w:t xml:space="preserve">Signed:  </w:t>
      </w:r>
      <w:r w:rsidR="00790D1D">
        <w:rPr>
          <w:rFonts w:ascii="Arial" w:eastAsia="Arial" w:hAnsi="Arial" w:cs="Arial"/>
          <w:color w:val="000000" w:themeColor="text1"/>
          <w:sz w:val="24"/>
          <w:szCs w:val="24"/>
        </w:rPr>
        <w:t>Thomas Connick 2318699</w:t>
      </w:r>
      <w:r w:rsidRPr="57DF25C0">
        <w:rPr>
          <w:rFonts w:ascii="Arial" w:eastAsia="Arial" w:hAnsi="Arial" w:cs="Arial"/>
          <w:color w:val="000000" w:themeColor="text1"/>
          <w:sz w:val="24"/>
          <w:szCs w:val="24"/>
        </w:rPr>
        <w:t xml:space="preserve"> (</w:t>
      </w:r>
      <w:r w:rsidR="3E38363E" w:rsidRPr="57DF25C0">
        <w:rPr>
          <w:rFonts w:ascii="Arial" w:eastAsia="Arial" w:hAnsi="Arial" w:cs="Arial"/>
          <w:color w:val="000000" w:themeColor="text1"/>
          <w:sz w:val="24"/>
          <w:szCs w:val="24"/>
        </w:rPr>
        <w:t>Student</w:t>
      </w:r>
      <w:r w:rsidRPr="57DF25C0">
        <w:rPr>
          <w:rFonts w:ascii="Arial" w:eastAsia="Arial" w:hAnsi="Arial" w:cs="Arial"/>
          <w:color w:val="000000" w:themeColor="text1"/>
          <w:sz w:val="24"/>
          <w:szCs w:val="24"/>
        </w:rPr>
        <w:t xml:space="preserve">, </w:t>
      </w:r>
      <w:r w:rsidRPr="57DF25C0">
        <w:rPr>
          <w:rFonts w:ascii="Arial" w:eastAsia="Arial" w:hAnsi="Arial" w:cs="Arial"/>
          <w:i/>
          <w:iCs/>
          <w:color w:val="000000" w:themeColor="text1"/>
          <w:sz w:val="20"/>
          <w:szCs w:val="20"/>
        </w:rPr>
        <w:t>Electronic signature or type name</w:t>
      </w:r>
      <w:r w:rsidRPr="57DF25C0">
        <w:rPr>
          <w:rFonts w:ascii="Arial" w:eastAsia="Arial" w:hAnsi="Arial" w:cs="Arial"/>
          <w:color w:val="000000" w:themeColor="text1"/>
          <w:sz w:val="24"/>
          <w:szCs w:val="24"/>
        </w:rPr>
        <w:t>)</w:t>
      </w:r>
    </w:p>
    <w:p w14:paraId="6A357483" w14:textId="202905C1"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Date: </w:t>
      </w:r>
      <w:r w:rsidR="00DF48BA">
        <w:rPr>
          <w:rFonts w:ascii="Arial" w:eastAsia="Arial" w:hAnsi="Arial" w:cs="Arial"/>
          <w:color w:val="000000" w:themeColor="text1"/>
          <w:sz w:val="24"/>
          <w:szCs w:val="24"/>
        </w:rPr>
        <w:t>10/05/2024</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p w14:paraId="61D357BB" w14:textId="2C0401C6" w:rsidR="7336895D" w:rsidRDefault="7336895D" w:rsidP="7336895D">
      <w:pPr>
        <w:rPr>
          <w:rFonts w:ascii="Arial" w:eastAsia="Arial" w:hAnsi="Arial" w:cs="Arial"/>
          <w:b/>
          <w:bCs/>
          <w:sz w:val="28"/>
          <w:szCs w:val="28"/>
        </w:rPr>
      </w:pPr>
    </w:p>
    <w:sectPr w:rsidR="7336895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54B40"/>
    <w:multiLevelType w:val="hybridMultilevel"/>
    <w:tmpl w:val="1E502670"/>
    <w:lvl w:ilvl="0" w:tplc="EC02ADA2">
      <w:start w:val="1"/>
      <w:numFmt w:val="bullet"/>
      <w:lvlText w:val=""/>
      <w:lvlJc w:val="left"/>
      <w:pPr>
        <w:ind w:left="720" w:hanging="360"/>
      </w:pPr>
      <w:rPr>
        <w:rFonts w:ascii="Symbol" w:hAnsi="Symbol" w:hint="default"/>
      </w:rPr>
    </w:lvl>
    <w:lvl w:ilvl="1" w:tplc="D5E6908E">
      <w:start w:val="1"/>
      <w:numFmt w:val="bullet"/>
      <w:lvlText w:val="o"/>
      <w:lvlJc w:val="left"/>
      <w:pPr>
        <w:ind w:left="1440" w:hanging="360"/>
      </w:pPr>
      <w:rPr>
        <w:rFonts w:ascii="Courier New" w:hAnsi="Courier New" w:hint="default"/>
      </w:rPr>
    </w:lvl>
    <w:lvl w:ilvl="2" w:tplc="32987B3A">
      <w:start w:val="1"/>
      <w:numFmt w:val="bullet"/>
      <w:lvlText w:val=""/>
      <w:lvlJc w:val="left"/>
      <w:pPr>
        <w:ind w:left="2160" w:hanging="360"/>
      </w:pPr>
      <w:rPr>
        <w:rFonts w:ascii="Wingdings" w:hAnsi="Wingdings" w:hint="default"/>
      </w:rPr>
    </w:lvl>
    <w:lvl w:ilvl="3" w:tplc="D1380B62">
      <w:start w:val="1"/>
      <w:numFmt w:val="bullet"/>
      <w:lvlText w:val=""/>
      <w:lvlJc w:val="left"/>
      <w:pPr>
        <w:ind w:left="2880" w:hanging="360"/>
      </w:pPr>
      <w:rPr>
        <w:rFonts w:ascii="Symbol" w:hAnsi="Symbol" w:hint="default"/>
      </w:rPr>
    </w:lvl>
    <w:lvl w:ilvl="4" w:tplc="FD6A8D76">
      <w:start w:val="1"/>
      <w:numFmt w:val="bullet"/>
      <w:lvlText w:val="o"/>
      <w:lvlJc w:val="left"/>
      <w:pPr>
        <w:ind w:left="3600" w:hanging="360"/>
      </w:pPr>
      <w:rPr>
        <w:rFonts w:ascii="Courier New" w:hAnsi="Courier New" w:hint="default"/>
      </w:rPr>
    </w:lvl>
    <w:lvl w:ilvl="5" w:tplc="4F5845FE">
      <w:start w:val="1"/>
      <w:numFmt w:val="bullet"/>
      <w:lvlText w:val=""/>
      <w:lvlJc w:val="left"/>
      <w:pPr>
        <w:ind w:left="4320" w:hanging="360"/>
      </w:pPr>
      <w:rPr>
        <w:rFonts w:ascii="Wingdings" w:hAnsi="Wingdings" w:hint="default"/>
      </w:rPr>
    </w:lvl>
    <w:lvl w:ilvl="6" w:tplc="6F4C4ACE">
      <w:start w:val="1"/>
      <w:numFmt w:val="bullet"/>
      <w:lvlText w:val=""/>
      <w:lvlJc w:val="left"/>
      <w:pPr>
        <w:ind w:left="5040" w:hanging="360"/>
      </w:pPr>
      <w:rPr>
        <w:rFonts w:ascii="Symbol" w:hAnsi="Symbol" w:hint="default"/>
      </w:rPr>
    </w:lvl>
    <w:lvl w:ilvl="7" w:tplc="56B602C6">
      <w:start w:val="1"/>
      <w:numFmt w:val="bullet"/>
      <w:lvlText w:val="o"/>
      <w:lvlJc w:val="left"/>
      <w:pPr>
        <w:ind w:left="5760" w:hanging="360"/>
      </w:pPr>
      <w:rPr>
        <w:rFonts w:ascii="Courier New" w:hAnsi="Courier New" w:hint="default"/>
      </w:rPr>
    </w:lvl>
    <w:lvl w:ilvl="8" w:tplc="C2B2D3A2">
      <w:start w:val="1"/>
      <w:numFmt w:val="bullet"/>
      <w:lvlText w:val=""/>
      <w:lvlJc w:val="left"/>
      <w:pPr>
        <w:ind w:left="6480" w:hanging="360"/>
      </w:pPr>
      <w:rPr>
        <w:rFonts w:ascii="Wingdings" w:hAnsi="Wingdings" w:hint="default"/>
      </w:rPr>
    </w:lvl>
  </w:abstractNum>
  <w:abstractNum w:abstractNumId="1" w15:restartNumberingAfterBreak="0">
    <w:nsid w:val="1CFC33CB"/>
    <w:multiLevelType w:val="hybridMultilevel"/>
    <w:tmpl w:val="5A68D282"/>
    <w:lvl w:ilvl="0" w:tplc="74AC65C6">
      <w:start w:val="1"/>
      <w:numFmt w:val="decimal"/>
      <w:lvlText w:val="%1."/>
      <w:lvlJc w:val="left"/>
      <w:pPr>
        <w:ind w:left="720" w:hanging="360"/>
      </w:pPr>
    </w:lvl>
    <w:lvl w:ilvl="1" w:tplc="BB16C16E">
      <w:start w:val="1"/>
      <w:numFmt w:val="lowerLetter"/>
      <w:lvlText w:val="%2."/>
      <w:lvlJc w:val="left"/>
      <w:pPr>
        <w:ind w:left="1440" w:hanging="360"/>
      </w:pPr>
    </w:lvl>
    <w:lvl w:ilvl="2" w:tplc="1BFAC68A">
      <w:start w:val="1"/>
      <w:numFmt w:val="lowerRoman"/>
      <w:lvlText w:val="%3."/>
      <w:lvlJc w:val="right"/>
      <w:pPr>
        <w:ind w:left="2160" w:hanging="180"/>
      </w:pPr>
    </w:lvl>
    <w:lvl w:ilvl="3" w:tplc="4FB09A50">
      <w:start w:val="1"/>
      <w:numFmt w:val="decimal"/>
      <w:lvlText w:val="%4."/>
      <w:lvlJc w:val="left"/>
      <w:pPr>
        <w:ind w:left="2880" w:hanging="360"/>
      </w:pPr>
    </w:lvl>
    <w:lvl w:ilvl="4" w:tplc="553EAE7E">
      <w:start w:val="1"/>
      <w:numFmt w:val="lowerLetter"/>
      <w:lvlText w:val="%5."/>
      <w:lvlJc w:val="left"/>
      <w:pPr>
        <w:ind w:left="3600" w:hanging="360"/>
      </w:pPr>
    </w:lvl>
    <w:lvl w:ilvl="5" w:tplc="86249820">
      <w:start w:val="1"/>
      <w:numFmt w:val="lowerRoman"/>
      <w:lvlText w:val="%6."/>
      <w:lvlJc w:val="right"/>
      <w:pPr>
        <w:ind w:left="4320" w:hanging="180"/>
      </w:pPr>
    </w:lvl>
    <w:lvl w:ilvl="6" w:tplc="B3FA0E74">
      <w:start w:val="1"/>
      <w:numFmt w:val="decimal"/>
      <w:lvlText w:val="%7."/>
      <w:lvlJc w:val="left"/>
      <w:pPr>
        <w:ind w:left="5040" w:hanging="360"/>
      </w:pPr>
    </w:lvl>
    <w:lvl w:ilvl="7" w:tplc="C74A086C">
      <w:start w:val="1"/>
      <w:numFmt w:val="lowerLetter"/>
      <w:lvlText w:val="%8."/>
      <w:lvlJc w:val="left"/>
      <w:pPr>
        <w:ind w:left="5760" w:hanging="360"/>
      </w:pPr>
    </w:lvl>
    <w:lvl w:ilvl="8" w:tplc="6D5C0176">
      <w:start w:val="1"/>
      <w:numFmt w:val="lowerRoman"/>
      <w:lvlText w:val="%9."/>
      <w:lvlJc w:val="right"/>
      <w:pPr>
        <w:ind w:left="6480" w:hanging="180"/>
      </w:pPr>
    </w:lvl>
  </w:abstractNum>
  <w:abstractNum w:abstractNumId="2" w15:restartNumberingAfterBreak="0">
    <w:nsid w:val="31E84B44"/>
    <w:multiLevelType w:val="hybridMultilevel"/>
    <w:tmpl w:val="F6CA65EC"/>
    <w:lvl w:ilvl="0" w:tplc="BCAA476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01E6C"/>
    <w:multiLevelType w:val="hybridMultilevel"/>
    <w:tmpl w:val="BBBE0406"/>
    <w:lvl w:ilvl="0" w:tplc="A99C661C">
      <w:start w:val="1"/>
      <w:numFmt w:val="bullet"/>
      <w:lvlText w:val=""/>
      <w:lvlJc w:val="left"/>
      <w:pPr>
        <w:ind w:left="720" w:hanging="360"/>
      </w:pPr>
      <w:rPr>
        <w:rFonts w:ascii="Symbol" w:hAnsi="Symbol" w:hint="default"/>
      </w:rPr>
    </w:lvl>
    <w:lvl w:ilvl="1" w:tplc="A996777E">
      <w:start w:val="1"/>
      <w:numFmt w:val="bullet"/>
      <w:lvlText w:val="o"/>
      <w:lvlJc w:val="left"/>
      <w:pPr>
        <w:ind w:left="1440" w:hanging="360"/>
      </w:pPr>
      <w:rPr>
        <w:rFonts w:ascii="Courier New" w:hAnsi="Courier New" w:hint="default"/>
      </w:rPr>
    </w:lvl>
    <w:lvl w:ilvl="2" w:tplc="7EDA0B1E">
      <w:start w:val="1"/>
      <w:numFmt w:val="bullet"/>
      <w:lvlText w:val=""/>
      <w:lvlJc w:val="left"/>
      <w:pPr>
        <w:ind w:left="2160" w:hanging="360"/>
      </w:pPr>
      <w:rPr>
        <w:rFonts w:ascii="Wingdings" w:hAnsi="Wingdings" w:hint="default"/>
      </w:rPr>
    </w:lvl>
    <w:lvl w:ilvl="3" w:tplc="FFEA6F6E">
      <w:start w:val="1"/>
      <w:numFmt w:val="bullet"/>
      <w:lvlText w:val=""/>
      <w:lvlJc w:val="left"/>
      <w:pPr>
        <w:ind w:left="2880" w:hanging="360"/>
      </w:pPr>
      <w:rPr>
        <w:rFonts w:ascii="Symbol" w:hAnsi="Symbol" w:hint="default"/>
      </w:rPr>
    </w:lvl>
    <w:lvl w:ilvl="4" w:tplc="5AC4A364">
      <w:start w:val="1"/>
      <w:numFmt w:val="bullet"/>
      <w:lvlText w:val="o"/>
      <w:lvlJc w:val="left"/>
      <w:pPr>
        <w:ind w:left="3600" w:hanging="360"/>
      </w:pPr>
      <w:rPr>
        <w:rFonts w:ascii="Courier New" w:hAnsi="Courier New" w:hint="default"/>
      </w:rPr>
    </w:lvl>
    <w:lvl w:ilvl="5" w:tplc="AC605BF0">
      <w:start w:val="1"/>
      <w:numFmt w:val="bullet"/>
      <w:lvlText w:val=""/>
      <w:lvlJc w:val="left"/>
      <w:pPr>
        <w:ind w:left="4320" w:hanging="360"/>
      </w:pPr>
      <w:rPr>
        <w:rFonts w:ascii="Wingdings" w:hAnsi="Wingdings" w:hint="default"/>
      </w:rPr>
    </w:lvl>
    <w:lvl w:ilvl="6" w:tplc="995022AC">
      <w:start w:val="1"/>
      <w:numFmt w:val="bullet"/>
      <w:lvlText w:val=""/>
      <w:lvlJc w:val="left"/>
      <w:pPr>
        <w:ind w:left="5040" w:hanging="360"/>
      </w:pPr>
      <w:rPr>
        <w:rFonts w:ascii="Symbol" w:hAnsi="Symbol" w:hint="default"/>
      </w:rPr>
    </w:lvl>
    <w:lvl w:ilvl="7" w:tplc="62224DE4">
      <w:start w:val="1"/>
      <w:numFmt w:val="bullet"/>
      <w:lvlText w:val="o"/>
      <w:lvlJc w:val="left"/>
      <w:pPr>
        <w:ind w:left="5760" w:hanging="360"/>
      </w:pPr>
      <w:rPr>
        <w:rFonts w:ascii="Courier New" w:hAnsi="Courier New" w:hint="default"/>
      </w:rPr>
    </w:lvl>
    <w:lvl w:ilvl="8" w:tplc="AB3C9300">
      <w:start w:val="1"/>
      <w:numFmt w:val="bullet"/>
      <w:lvlText w:val=""/>
      <w:lvlJc w:val="left"/>
      <w:pPr>
        <w:ind w:left="6480" w:hanging="360"/>
      </w:pPr>
      <w:rPr>
        <w:rFonts w:ascii="Wingdings" w:hAnsi="Wingdings" w:hint="default"/>
      </w:rPr>
    </w:lvl>
  </w:abstractNum>
  <w:abstractNum w:abstractNumId="4" w15:restartNumberingAfterBreak="0">
    <w:nsid w:val="41761BC1"/>
    <w:multiLevelType w:val="hybridMultilevel"/>
    <w:tmpl w:val="F2426236"/>
    <w:lvl w:ilvl="0" w:tplc="20328062">
      <w:start w:val="1"/>
      <w:numFmt w:val="bullet"/>
      <w:lvlText w:val=""/>
      <w:lvlJc w:val="left"/>
      <w:pPr>
        <w:ind w:left="720" w:hanging="360"/>
      </w:pPr>
      <w:rPr>
        <w:rFonts w:ascii="Symbol" w:hAnsi="Symbol" w:hint="default"/>
      </w:rPr>
    </w:lvl>
    <w:lvl w:ilvl="1" w:tplc="9796BF00">
      <w:start w:val="1"/>
      <w:numFmt w:val="bullet"/>
      <w:lvlText w:val="o"/>
      <w:lvlJc w:val="left"/>
      <w:pPr>
        <w:ind w:left="1440" w:hanging="360"/>
      </w:pPr>
      <w:rPr>
        <w:rFonts w:ascii="Courier New" w:hAnsi="Courier New" w:hint="default"/>
      </w:rPr>
    </w:lvl>
    <w:lvl w:ilvl="2" w:tplc="E3FE30C0">
      <w:start w:val="1"/>
      <w:numFmt w:val="bullet"/>
      <w:lvlText w:val=""/>
      <w:lvlJc w:val="left"/>
      <w:pPr>
        <w:ind w:left="2160" w:hanging="360"/>
      </w:pPr>
      <w:rPr>
        <w:rFonts w:ascii="Wingdings" w:hAnsi="Wingdings" w:hint="default"/>
      </w:rPr>
    </w:lvl>
    <w:lvl w:ilvl="3" w:tplc="88B8715A">
      <w:start w:val="1"/>
      <w:numFmt w:val="bullet"/>
      <w:lvlText w:val=""/>
      <w:lvlJc w:val="left"/>
      <w:pPr>
        <w:ind w:left="2880" w:hanging="360"/>
      </w:pPr>
      <w:rPr>
        <w:rFonts w:ascii="Symbol" w:hAnsi="Symbol" w:hint="default"/>
      </w:rPr>
    </w:lvl>
    <w:lvl w:ilvl="4" w:tplc="150CDA48">
      <w:start w:val="1"/>
      <w:numFmt w:val="bullet"/>
      <w:lvlText w:val="o"/>
      <w:lvlJc w:val="left"/>
      <w:pPr>
        <w:ind w:left="3600" w:hanging="360"/>
      </w:pPr>
      <w:rPr>
        <w:rFonts w:ascii="Courier New" w:hAnsi="Courier New" w:hint="default"/>
      </w:rPr>
    </w:lvl>
    <w:lvl w:ilvl="5" w:tplc="AA983038">
      <w:start w:val="1"/>
      <w:numFmt w:val="bullet"/>
      <w:lvlText w:val=""/>
      <w:lvlJc w:val="left"/>
      <w:pPr>
        <w:ind w:left="4320" w:hanging="360"/>
      </w:pPr>
      <w:rPr>
        <w:rFonts w:ascii="Wingdings" w:hAnsi="Wingdings" w:hint="default"/>
      </w:rPr>
    </w:lvl>
    <w:lvl w:ilvl="6" w:tplc="35FC761A">
      <w:start w:val="1"/>
      <w:numFmt w:val="bullet"/>
      <w:lvlText w:val=""/>
      <w:lvlJc w:val="left"/>
      <w:pPr>
        <w:ind w:left="5040" w:hanging="360"/>
      </w:pPr>
      <w:rPr>
        <w:rFonts w:ascii="Symbol" w:hAnsi="Symbol" w:hint="default"/>
      </w:rPr>
    </w:lvl>
    <w:lvl w:ilvl="7" w:tplc="6722E56E">
      <w:start w:val="1"/>
      <w:numFmt w:val="bullet"/>
      <w:lvlText w:val="o"/>
      <w:lvlJc w:val="left"/>
      <w:pPr>
        <w:ind w:left="5760" w:hanging="360"/>
      </w:pPr>
      <w:rPr>
        <w:rFonts w:ascii="Courier New" w:hAnsi="Courier New" w:hint="default"/>
      </w:rPr>
    </w:lvl>
    <w:lvl w:ilvl="8" w:tplc="2CE2291A">
      <w:start w:val="1"/>
      <w:numFmt w:val="bullet"/>
      <w:lvlText w:val=""/>
      <w:lvlJc w:val="left"/>
      <w:pPr>
        <w:ind w:left="6480" w:hanging="360"/>
      </w:pPr>
      <w:rPr>
        <w:rFonts w:ascii="Wingdings" w:hAnsi="Wingdings" w:hint="default"/>
      </w:rPr>
    </w:lvl>
  </w:abstractNum>
  <w:abstractNum w:abstractNumId="5" w15:restartNumberingAfterBreak="0">
    <w:nsid w:val="4B1D4E0A"/>
    <w:multiLevelType w:val="hybridMultilevel"/>
    <w:tmpl w:val="51F812FC"/>
    <w:lvl w:ilvl="0" w:tplc="ABB84964">
      <w:start w:val="1"/>
      <w:numFmt w:val="bullet"/>
      <w:lvlText w:val=""/>
      <w:lvlJc w:val="left"/>
      <w:pPr>
        <w:ind w:left="720" w:hanging="360"/>
      </w:pPr>
      <w:rPr>
        <w:rFonts w:ascii="Symbol" w:hAnsi="Symbol" w:hint="default"/>
      </w:rPr>
    </w:lvl>
    <w:lvl w:ilvl="1" w:tplc="F4169BC0">
      <w:start w:val="1"/>
      <w:numFmt w:val="bullet"/>
      <w:lvlText w:val="o"/>
      <w:lvlJc w:val="left"/>
      <w:pPr>
        <w:ind w:left="1440" w:hanging="360"/>
      </w:pPr>
      <w:rPr>
        <w:rFonts w:ascii="Courier New" w:hAnsi="Courier New" w:hint="default"/>
      </w:rPr>
    </w:lvl>
    <w:lvl w:ilvl="2" w:tplc="9E5A485C">
      <w:start w:val="1"/>
      <w:numFmt w:val="bullet"/>
      <w:lvlText w:val=""/>
      <w:lvlJc w:val="left"/>
      <w:pPr>
        <w:ind w:left="2160" w:hanging="360"/>
      </w:pPr>
      <w:rPr>
        <w:rFonts w:ascii="Wingdings" w:hAnsi="Wingdings" w:hint="default"/>
      </w:rPr>
    </w:lvl>
    <w:lvl w:ilvl="3" w:tplc="55EE0194">
      <w:start w:val="1"/>
      <w:numFmt w:val="bullet"/>
      <w:lvlText w:val=""/>
      <w:lvlJc w:val="left"/>
      <w:pPr>
        <w:ind w:left="2880" w:hanging="360"/>
      </w:pPr>
      <w:rPr>
        <w:rFonts w:ascii="Symbol" w:hAnsi="Symbol" w:hint="default"/>
      </w:rPr>
    </w:lvl>
    <w:lvl w:ilvl="4" w:tplc="C1AC993E">
      <w:start w:val="1"/>
      <w:numFmt w:val="bullet"/>
      <w:lvlText w:val="o"/>
      <w:lvlJc w:val="left"/>
      <w:pPr>
        <w:ind w:left="3600" w:hanging="360"/>
      </w:pPr>
      <w:rPr>
        <w:rFonts w:ascii="Courier New" w:hAnsi="Courier New" w:hint="default"/>
      </w:rPr>
    </w:lvl>
    <w:lvl w:ilvl="5" w:tplc="5F8CF5A4">
      <w:start w:val="1"/>
      <w:numFmt w:val="bullet"/>
      <w:lvlText w:val=""/>
      <w:lvlJc w:val="left"/>
      <w:pPr>
        <w:ind w:left="4320" w:hanging="360"/>
      </w:pPr>
      <w:rPr>
        <w:rFonts w:ascii="Wingdings" w:hAnsi="Wingdings" w:hint="default"/>
      </w:rPr>
    </w:lvl>
    <w:lvl w:ilvl="6" w:tplc="358466B4">
      <w:start w:val="1"/>
      <w:numFmt w:val="bullet"/>
      <w:lvlText w:val=""/>
      <w:lvlJc w:val="left"/>
      <w:pPr>
        <w:ind w:left="5040" w:hanging="360"/>
      </w:pPr>
      <w:rPr>
        <w:rFonts w:ascii="Symbol" w:hAnsi="Symbol" w:hint="default"/>
      </w:rPr>
    </w:lvl>
    <w:lvl w:ilvl="7" w:tplc="92A40ED6">
      <w:start w:val="1"/>
      <w:numFmt w:val="bullet"/>
      <w:lvlText w:val="o"/>
      <w:lvlJc w:val="left"/>
      <w:pPr>
        <w:ind w:left="5760" w:hanging="360"/>
      </w:pPr>
      <w:rPr>
        <w:rFonts w:ascii="Courier New" w:hAnsi="Courier New" w:hint="default"/>
      </w:rPr>
    </w:lvl>
    <w:lvl w:ilvl="8" w:tplc="99FE3D0C">
      <w:start w:val="1"/>
      <w:numFmt w:val="bullet"/>
      <w:lvlText w:val=""/>
      <w:lvlJc w:val="left"/>
      <w:pPr>
        <w:ind w:left="6480" w:hanging="360"/>
      </w:pPr>
      <w:rPr>
        <w:rFonts w:ascii="Wingdings" w:hAnsi="Wingdings" w:hint="default"/>
      </w:rPr>
    </w:lvl>
  </w:abstractNum>
  <w:abstractNum w:abstractNumId="6" w15:restartNumberingAfterBreak="0">
    <w:nsid w:val="55293EAD"/>
    <w:multiLevelType w:val="hybridMultilevel"/>
    <w:tmpl w:val="7A7A218E"/>
    <w:lvl w:ilvl="0" w:tplc="B06C9410">
      <w:start w:val="1"/>
      <w:numFmt w:val="bullet"/>
      <w:lvlText w:val=""/>
      <w:lvlJc w:val="left"/>
      <w:pPr>
        <w:ind w:left="720" w:hanging="360"/>
      </w:pPr>
      <w:rPr>
        <w:rFonts w:ascii="Symbol" w:hAnsi="Symbol" w:hint="default"/>
      </w:rPr>
    </w:lvl>
    <w:lvl w:ilvl="1" w:tplc="9DBEF7D6">
      <w:start w:val="1"/>
      <w:numFmt w:val="bullet"/>
      <w:lvlText w:val="o"/>
      <w:lvlJc w:val="left"/>
      <w:pPr>
        <w:ind w:left="1440" w:hanging="360"/>
      </w:pPr>
      <w:rPr>
        <w:rFonts w:ascii="Courier New" w:hAnsi="Courier New" w:hint="default"/>
      </w:rPr>
    </w:lvl>
    <w:lvl w:ilvl="2" w:tplc="6E729404">
      <w:start w:val="1"/>
      <w:numFmt w:val="bullet"/>
      <w:lvlText w:val=""/>
      <w:lvlJc w:val="left"/>
      <w:pPr>
        <w:ind w:left="2160" w:hanging="360"/>
      </w:pPr>
      <w:rPr>
        <w:rFonts w:ascii="Wingdings" w:hAnsi="Wingdings" w:hint="default"/>
      </w:rPr>
    </w:lvl>
    <w:lvl w:ilvl="3" w:tplc="E9C246CE">
      <w:start w:val="1"/>
      <w:numFmt w:val="bullet"/>
      <w:lvlText w:val=""/>
      <w:lvlJc w:val="left"/>
      <w:pPr>
        <w:ind w:left="2880" w:hanging="360"/>
      </w:pPr>
      <w:rPr>
        <w:rFonts w:ascii="Symbol" w:hAnsi="Symbol" w:hint="default"/>
      </w:rPr>
    </w:lvl>
    <w:lvl w:ilvl="4" w:tplc="B0D67076">
      <w:start w:val="1"/>
      <w:numFmt w:val="bullet"/>
      <w:lvlText w:val="o"/>
      <w:lvlJc w:val="left"/>
      <w:pPr>
        <w:ind w:left="3600" w:hanging="360"/>
      </w:pPr>
      <w:rPr>
        <w:rFonts w:ascii="Courier New" w:hAnsi="Courier New" w:hint="default"/>
      </w:rPr>
    </w:lvl>
    <w:lvl w:ilvl="5" w:tplc="FDCE8B32">
      <w:start w:val="1"/>
      <w:numFmt w:val="bullet"/>
      <w:lvlText w:val=""/>
      <w:lvlJc w:val="left"/>
      <w:pPr>
        <w:ind w:left="4320" w:hanging="360"/>
      </w:pPr>
      <w:rPr>
        <w:rFonts w:ascii="Wingdings" w:hAnsi="Wingdings" w:hint="default"/>
      </w:rPr>
    </w:lvl>
    <w:lvl w:ilvl="6" w:tplc="974CD5E4">
      <w:start w:val="1"/>
      <w:numFmt w:val="bullet"/>
      <w:lvlText w:val=""/>
      <w:lvlJc w:val="left"/>
      <w:pPr>
        <w:ind w:left="5040" w:hanging="360"/>
      </w:pPr>
      <w:rPr>
        <w:rFonts w:ascii="Symbol" w:hAnsi="Symbol" w:hint="default"/>
      </w:rPr>
    </w:lvl>
    <w:lvl w:ilvl="7" w:tplc="24542340">
      <w:start w:val="1"/>
      <w:numFmt w:val="bullet"/>
      <w:lvlText w:val="o"/>
      <w:lvlJc w:val="left"/>
      <w:pPr>
        <w:ind w:left="5760" w:hanging="360"/>
      </w:pPr>
      <w:rPr>
        <w:rFonts w:ascii="Courier New" w:hAnsi="Courier New" w:hint="default"/>
      </w:rPr>
    </w:lvl>
    <w:lvl w:ilvl="8" w:tplc="A71C8B78">
      <w:start w:val="1"/>
      <w:numFmt w:val="bullet"/>
      <w:lvlText w:val=""/>
      <w:lvlJc w:val="left"/>
      <w:pPr>
        <w:ind w:left="6480" w:hanging="360"/>
      </w:pPr>
      <w:rPr>
        <w:rFonts w:ascii="Wingdings" w:hAnsi="Wingdings" w:hint="default"/>
      </w:rPr>
    </w:lvl>
  </w:abstractNum>
  <w:abstractNum w:abstractNumId="7" w15:restartNumberingAfterBreak="0">
    <w:nsid w:val="7E043FF5"/>
    <w:multiLevelType w:val="hybridMultilevel"/>
    <w:tmpl w:val="C3C8677C"/>
    <w:lvl w:ilvl="0" w:tplc="57EA2F0A">
      <w:start w:val="1"/>
      <w:numFmt w:val="bullet"/>
      <w:lvlText w:val="●"/>
      <w:lvlJc w:val="left"/>
      <w:pPr>
        <w:ind w:left="720" w:hanging="360"/>
      </w:pPr>
      <w:rPr>
        <w:rFonts w:ascii="Noto Sans Symbols" w:hAnsi="Noto Sans Symbols" w:hint="default"/>
      </w:rPr>
    </w:lvl>
    <w:lvl w:ilvl="1" w:tplc="0C4889B4">
      <w:start w:val="1"/>
      <w:numFmt w:val="bullet"/>
      <w:lvlText w:val="o"/>
      <w:lvlJc w:val="left"/>
      <w:pPr>
        <w:ind w:left="1440" w:hanging="360"/>
      </w:pPr>
      <w:rPr>
        <w:rFonts w:ascii="Courier New" w:hAnsi="Courier New" w:hint="default"/>
      </w:rPr>
    </w:lvl>
    <w:lvl w:ilvl="2" w:tplc="4B903C62">
      <w:start w:val="1"/>
      <w:numFmt w:val="bullet"/>
      <w:lvlText w:val=""/>
      <w:lvlJc w:val="left"/>
      <w:pPr>
        <w:ind w:left="2160" w:hanging="360"/>
      </w:pPr>
      <w:rPr>
        <w:rFonts w:ascii="Wingdings" w:hAnsi="Wingdings" w:hint="default"/>
      </w:rPr>
    </w:lvl>
    <w:lvl w:ilvl="3" w:tplc="D7F0A6F8">
      <w:start w:val="1"/>
      <w:numFmt w:val="bullet"/>
      <w:lvlText w:val=""/>
      <w:lvlJc w:val="left"/>
      <w:pPr>
        <w:ind w:left="2880" w:hanging="360"/>
      </w:pPr>
      <w:rPr>
        <w:rFonts w:ascii="Symbol" w:hAnsi="Symbol" w:hint="default"/>
      </w:rPr>
    </w:lvl>
    <w:lvl w:ilvl="4" w:tplc="1E586918">
      <w:start w:val="1"/>
      <w:numFmt w:val="bullet"/>
      <w:lvlText w:val="o"/>
      <w:lvlJc w:val="left"/>
      <w:pPr>
        <w:ind w:left="3600" w:hanging="360"/>
      </w:pPr>
      <w:rPr>
        <w:rFonts w:ascii="Courier New" w:hAnsi="Courier New" w:hint="default"/>
      </w:rPr>
    </w:lvl>
    <w:lvl w:ilvl="5" w:tplc="30FA3322">
      <w:start w:val="1"/>
      <w:numFmt w:val="bullet"/>
      <w:lvlText w:val=""/>
      <w:lvlJc w:val="left"/>
      <w:pPr>
        <w:ind w:left="4320" w:hanging="360"/>
      </w:pPr>
      <w:rPr>
        <w:rFonts w:ascii="Wingdings" w:hAnsi="Wingdings" w:hint="default"/>
      </w:rPr>
    </w:lvl>
    <w:lvl w:ilvl="6" w:tplc="EA4E363A">
      <w:start w:val="1"/>
      <w:numFmt w:val="bullet"/>
      <w:lvlText w:val=""/>
      <w:lvlJc w:val="left"/>
      <w:pPr>
        <w:ind w:left="5040" w:hanging="360"/>
      </w:pPr>
      <w:rPr>
        <w:rFonts w:ascii="Symbol" w:hAnsi="Symbol" w:hint="default"/>
      </w:rPr>
    </w:lvl>
    <w:lvl w:ilvl="7" w:tplc="DFCC3B8C">
      <w:start w:val="1"/>
      <w:numFmt w:val="bullet"/>
      <w:lvlText w:val="o"/>
      <w:lvlJc w:val="left"/>
      <w:pPr>
        <w:ind w:left="5760" w:hanging="360"/>
      </w:pPr>
      <w:rPr>
        <w:rFonts w:ascii="Courier New" w:hAnsi="Courier New" w:hint="default"/>
      </w:rPr>
    </w:lvl>
    <w:lvl w:ilvl="8" w:tplc="EFBE1096">
      <w:start w:val="1"/>
      <w:numFmt w:val="bullet"/>
      <w:lvlText w:val=""/>
      <w:lvlJc w:val="left"/>
      <w:pPr>
        <w:ind w:left="6480" w:hanging="360"/>
      </w:pPr>
      <w:rPr>
        <w:rFonts w:ascii="Wingdings" w:hAnsi="Wingdings" w:hint="default"/>
      </w:rPr>
    </w:lvl>
  </w:abstractNum>
  <w:num w:numId="1" w16cid:durableId="411238756">
    <w:abstractNumId w:val="5"/>
  </w:num>
  <w:num w:numId="2" w16cid:durableId="2038044158">
    <w:abstractNumId w:val="3"/>
  </w:num>
  <w:num w:numId="3" w16cid:durableId="971597885">
    <w:abstractNumId w:val="7"/>
  </w:num>
  <w:num w:numId="4" w16cid:durableId="1141730004">
    <w:abstractNumId w:val="6"/>
  </w:num>
  <w:num w:numId="5" w16cid:durableId="1892689379">
    <w:abstractNumId w:val="0"/>
  </w:num>
  <w:num w:numId="6" w16cid:durableId="361250123">
    <w:abstractNumId w:val="4"/>
  </w:num>
  <w:num w:numId="7" w16cid:durableId="1070735814">
    <w:abstractNumId w:val="1"/>
  </w:num>
  <w:num w:numId="8" w16cid:durableId="864828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9556E"/>
    <w:rsid w:val="000A574C"/>
    <w:rsid w:val="000B4C10"/>
    <w:rsid w:val="000B585F"/>
    <w:rsid w:val="000C25BA"/>
    <w:rsid w:val="00112257"/>
    <w:rsid w:val="00167B9D"/>
    <w:rsid w:val="001A22FD"/>
    <w:rsid w:val="002151CC"/>
    <w:rsid w:val="002B6F3F"/>
    <w:rsid w:val="002C1C65"/>
    <w:rsid w:val="002D6857"/>
    <w:rsid w:val="002F0F9A"/>
    <w:rsid w:val="002F45CC"/>
    <w:rsid w:val="00343B1C"/>
    <w:rsid w:val="00372DB8"/>
    <w:rsid w:val="003E0504"/>
    <w:rsid w:val="00430717"/>
    <w:rsid w:val="00475151"/>
    <w:rsid w:val="0063491E"/>
    <w:rsid w:val="00670F3F"/>
    <w:rsid w:val="006B3A81"/>
    <w:rsid w:val="006F227D"/>
    <w:rsid w:val="007414A3"/>
    <w:rsid w:val="0074732D"/>
    <w:rsid w:val="00764A2D"/>
    <w:rsid w:val="00774B72"/>
    <w:rsid w:val="00775AD7"/>
    <w:rsid w:val="00790D1D"/>
    <w:rsid w:val="007F0651"/>
    <w:rsid w:val="007F4ED0"/>
    <w:rsid w:val="00831A92"/>
    <w:rsid w:val="0084440B"/>
    <w:rsid w:val="008C6D51"/>
    <w:rsid w:val="00922739"/>
    <w:rsid w:val="009371F0"/>
    <w:rsid w:val="009425AE"/>
    <w:rsid w:val="00965385"/>
    <w:rsid w:val="009838BF"/>
    <w:rsid w:val="009F12F0"/>
    <w:rsid w:val="00A1496E"/>
    <w:rsid w:val="00A610F0"/>
    <w:rsid w:val="00B476D2"/>
    <w:rsid w:val="00B93B44"/>
    <w:rsid w:val="00BB6FBC"/>
    <w:rsid w:val="00C24E89"/>
    <w:rsid w:val="00C4563F"/>
    <w:rsid w:val="00C66CD0"/>
    <w:rsid w:val="00D04DED"/>
    <w:rsid w:val="00D0550D"/>
    <w:rsid w:val="00D24695"/>
    <w:rsid w:val="00D439C6"/>
    <w:rsid w:val="00D8137B"/>
    <w:rsid w:val="00D90BEF"/>
    <w:rsid w:val="00DB31DF"/>
    <w:rsid w:val="00DF48BA"/>
    <w:rsid w:val="00E9152C"/>
    <w:rsid w:val="00EA0B07"/>
    <w:rsid w:val="00EB2251"/>
    <w:rsid w:val="00EC7044"/>
    <w:rsid w:val="00EE42FA"/>
    <w:rsid w:val="00F41D52"/>
    <w:rsid w:val="00FC6D5C"/>
    <w:rsid w:val="00FF25A6"/>
    <w:rsid w:val="010A2EC9"/>
    <w:rsid w:val="0136CB53"/>
    <w:rsid w:val="01533711"/>
    <w:rsid w:val="0164F6A5"/>
    <w:rsid w:val="01A923D8"/>
    <w:rsid w:val="01B3FCC5"/>
    <w:rsid w:val="01CB2635"/>
    <w:rsid w:val="021C0392"/>
    <w:rsid w:val="0234B5BF"/>
    <w:rsid w:val="0282740F"/>
    <w:rsid w:val="02F7C53E"/>
    <w:rsid w:val="0361198B"/>
    <w:rsid w:val="03F28E3E"/>
    <w:rsid w:val="044F70D2"/>
    <w:rsid w:val="04898A5B"/>
    <w:rsid w:val="05278E14"/>
    <w:rsid w:val="06BF2D3F"/>
    <w:rsid w:val="06D6C6C7"/>
    <w:rsid w:val="0720D680"/>
    <w:rsid w:val="072EA6D4"/>
    <w:rsid w:val="07A0291E"/>
    <w:rsid w:val="07AC996B"/>
    <w:rsid w:val="07B3E417"/>
    <w:rsid w:val="07B8FE6B"/>
    <w:rsid w:val="07BFD4EB"/>
    <w:rsid w:val="07F1D9CE"/>
    <w:rsid w:val="083FF0AB"/>
    <w:rsid w:val="0919B4C8"/>
    <w:rsid w:val="09514B01"/>
    <w:rsid w:val="0981EBD8"/>
    <w:rsid w:val="0984B8F7"/>
    <w:rsid w:val="09D70C1D"/>
    <w:rsid w:val="0A027A66"/>
    <w:rsid w:val="0A04C9C0"/>
    <w:rsid w:val="0A18EE86"/>
    <w:rsid w:val="0A772BB1"/>
    <w:rsid w:val="0A7F7C2A"/>
    <w:rsid w:val="0AAAFA2B"/>
    <w:rsid w:val="0ADE4D50"/>
    <w:rsid w:val="0B281E6C"/>
    <w:rsid w:val="0B71B5B3"/>
    <w:rsid w:val="0C3EB9E8"/>
    <w:rsid w:val="0C51558A"/>
    <w:rsid w:val="0C5C9C3E"/>
    <w:rsid w:val="0C8C6F8E"/>
    <w:rsid w:val="0CAA7532"/>
    <w:rsid w:val="0D2E6EC3"/>
    <w:rsid w:val="0DD3FD8E"/>
    <w:rsid w:val="0DFF38BA"/>
    <w:rsid w:val="0E25CFC3"/>
    <w:rsid w:val="0E2F166F"/>
    <w:rsid w:val="0E8B2F99"/>
    <w:rsid w:val="0EC9CDDE"/>
    <w:rsid w:val="0ECA3F24"/>
    <w:rsid w:val="0F5177FA"/>
    <w:rsid w:val="0F88331D"/>
    <w:rsid w:val="103F1B9A"/>
    <w:rsid w:val="10812014"/>
    <w:rsid w:val="109CCF78"/>
    <w:rsid w:val="10F2D127"/>
    <w:rsid w:val="11059299"/>
    <w:rsid w:val="1131B43F"/>
    <w:rsid w:val="11557C5A"/>
    <w:rsid w:val="115D7085"/>
    <w:rsid w:val="1161A79E"/>
    <w:rsid w:val="1166B731"/>
    <w:rsid w:val="11893571"/>
    <w:rsid w:val="12084B12"/>
    <w:rsid w:val="12F55137"/>
    <w:rsid w:val="1307522D"/>
    <w:rsid w:val="131353C9"/>
    <w:rsid w:val="131953EB"/>
    <w:rsid w:val="1359001D"/>
    <w:rsid w:val="13BA565E"/>
    <w:rsid w:val="141362C1"/>
    <w:rsid w:val="149FDD07"/>
    <w:rsid w:val="14A065ED"/>
    <w:rsid w:val="14C76B9E"/>
    <w:rsid w:val="150D59F0"/>
    <w:rsid w:val="15A75648"/>
    <w:rsid w:val="15C742EA"/>
    <w:rsid w:val="16052562"/>
    <w:rsid w:val="165D14E1"/>
    <w:rsid w:val="165D77C9"/>
    <w:rsid w:val="16633BFF"/>
    <w:rsid w:val="16A5B1FE"/>
    <w:rsid w:val="174F78FE"/>
    <w:rsid w:val="17DF5312"/>
    <w:rsid w:val="17E316E4"/>
    <w:rsid w:val="17E92F93"/>
    <w:rsid w:val="181D3C55"/>
    <w:rsid w:val="18332301"/>
    <w:rsid w:val="18AD1EC8"/>
    <w:rsid w:val="19A118D1"/>
    <w:rsid w:val="19A4CD8C"/>
    <w:rsid w:val="1A56100D"/>
    <w:rsid w:val="1A74271E"/>
    <w:rsid w:val="1A7CC191"/>
    <w:rsid w:val="1AEF81B5"/>
    <w:rsid w:val="1B0A8F4D"/>
    <w:rsid w:val="1B19800C"/>
    <w:rsid w:val="1B1D84C5"/>
    <w:rsid w:val="1B3FFD0B"/>
    <w:rsid w:val="1BAF70B6"/>
    <w:rsid w:val="1BCE5E2F"/>
    <w:rsid w:val="1BF96E37"/>
    <w:rsid w:val="1C8B2FA4"/>
    <w:rsid w:val="1CD88FC1"/>
    <w:rsid w:val="1CDF7B3F"/>
    <w:rsid w:val="1D389B3A"/>
    <w:rsid w:val="1E060C39"/>
    <w:rsid w:val="1E611AAB"/>
    <w:rsid w:val="1EA4B145"/>
    <w:rsid w:val="1EBEE606"/>
    <w:rsid w:val="1EC85EE7"/>
    <w:rsid w:val="1ECDA5BD"/>
    <w:rsid w:val="1EDDE44B"/>
    <w:rsid w:val="1EE71178"/>
    <w:rsid w:val="1F18DDCE"/>
    <w:rsid w:val="1F8731CE"/>
    <w:rsid w:val="1F9D89F6"/>
    <w:rsid w:val="1FD2736D"/>
    <w:rsid w:val="2003F727"/>
    <w:rsid w:val="200B16CF"/>
    <w:rsid w:val="20387707"/>
    <w:rsid w:val="204F25C1"/>
    <w:rsid w:val="20571347"/>
    <w:rsid w:val="2064BCDF"/>
    <w:rsid w:val="20A6415A"/>
    <w:rsid w:val="216BA024"/>
    <w:rsid w:val="2173DA8E"/>
    <w:rsid w:val="217741BD"/>
    <w:rsid w:val="21E64008"/>
    <w:rsid w:val="2228C033"/>
    <w:rsid w:val="223C72C6"/>
    <w:rsid w:val="2258075B"/>
    <w:rsid w:val="22989878"/>
    <w:rsid w:val="229AB46F"/>
    <w:rsid w:val="232D13EF"/>
    <w:rsid w:val="233552EC"/>
    <w:rsid w:val="23733B1E"/>
    <w:rsid w:val="23895639"/>
    <w:rsid w:val="23CC4803"/>
    <w:rsid w:val="23DBD5C3"/>
    <w:rsid w:val="24035274"/>
    <w:rsid w:val="241B4BAD"/>
    <w:rsid w:val="2430E229"/>
    <w:rsid w:val="2464EBBD"/>
    <w:rsid w:val="246D6816"/>
    <w:rsid w:val="2493FC28"/>
    <w:rsid w:val="24C4670B"/>
    <w:rsid w:val="25B7CE95"/>
    <w:rsid w:val="26A2D76F"/>
    <w:rsid w:val="26AADBE0"/>
    <w:rsid w:val="2723F8F5"/>
    <w:rsid w:val="2765B99A"/>
    <w:rsid w:val="2779F53D"/>
    <w:rsid w:val="2793C622"/>
    <w:rsid w:val="27CB5295"/>
    <w:rsid w:val="27E11FF8"/>
    <w:rsid w:val="287F9B8F"/>
    <w:rsid w:val="28AD8EB8"/>
    <w:rsid w:val="28C5F2AD"/>
    <w:rsid w:val="298DE12D"/>
    <w:rsid w:val="2A3F2DD6"/>
    <w:rsid w:val="2A40186D"/>
    <w:rsid w:val="2A9E9C60"/>
    <w:rsid w:val="2AFF0D61"/>
    <w:rsid w:val="2B494B0C"/>
    <w:rsid w:val="2BD1B6F3"/>
    <w:rsid w:val="2C079DB7"/>
    <w:rsid w:val="2C28128D"/>
    <w:rsid w:val="2C446312"/>
    <w:rsid w:val="2C4EA49A"/>
    <w:rsid w:val="2C817043"/>
    <w:rsid w:val="2CC49DA2"/>
    <w:rsid w:val="2D77689E"/>
    <w:rsid w:val="2D77B92F"/>
    <w:rsid w:val="2D7CBB53"/>
    <w:rsid w:val="2DDDA3BD"/>
    <w:rsid w:val="2E0DA12F"/>
    <w:rsid w:val="2F0A9433"/>
    <w:rsid w:val="2F17ACDD"/>
    <w:rsid w:val="2F24BDC2"/>
    <w:rsid w:val="2F670A26"/>
    <w:rsid w:val="2FAF6BDD"/>
    <w:rsid w:val="300B6FD0"/>
    <w:rsid w:val="304A670B"/>
    <w:rsid w:val="30540EB4"/>
    <w:rsid w:val="310F6DD3"/>
    <w:rsid w:val="31143131"/>
    <w:rsid w:val="318CC896"/>
    <w:rsid w:val="31EFDF15"/>
    <w:rsid w:val="320B9728"/>
    <w:rsid w:val="32433627"/>
    <w:rsid w:val="3246B245"/>
    <w:rsid w:val="338C23AF"/>
    <w:rsid w:val="33DF0688"/>
    <w:rsid w:val="33F0415F"/>
    <w:rsid w:val="34327D67"/>
    <w:rsid w:val="34D73CD2"/>
    <w:rsid w:val="3522A4A6"/>
    <w:rsid w:val="3539A481"/>
    <w:rsid w:val="360EEAD4"/>
    <w:rsid w:val="364F99E9"/>
    <w:rsid w:val="36799ADB"/>
    <w:rsid w:val="36A04A2A"/>
    <w:rsid w:val="36CADCB7"/>
    <w:rsid w:val="36ED0FD5"/>
    <w:rsid w:val="36F6C8F2"/>
    <w:rsid w:val="3715F650"/>
    <w:rsid w:val="374C56F6"/>
    <w:rsid w:val="376F5DDD"/>
    <w:rsid w:val="378EC49D"/>
    <w:rsid w:val="3801623A"/>
    <w:rsid w:val="381A191D"/>
    <w:rsid w:val="387848F6"/>
    <w:rsid w:val="38929953"/>
    <w:rsid w:val="389DACDF"/>
    <w:rsid w:val="38B277AB"/>
    <w:rsid w:val="38C67CA9"/>
    <w:rsid w:val="39AE2EC9"/>
    <w:rsid w:val="39B0FD09"/>
    <w:rsid w:val="3A008DF2"/>
    <w:rsid w:val="3A0E2F25"/>
    <w:rsid w:val="3A5EB7B5"/>
    <w:rsid w:val="3A7D7E73"/>
    <w:rsid w:val="3A8DA724"/>
    <w:rsid w:val="3AA9AC71"/>
    <w:rsid w:val="3B430F43"/>
    <w:rsid w:val="3B7DE923"/>
    <w:rsid w:val="3B87AB52"/>
    <w:rsid w:val="3BC963D9"/>
    <w:rsid w:val="3BD54DA1"/>
    <w:rsid w:val="3BEA186D"/>
    <w:rsid w:val="3C0340CA"/>
    <w:rsid w:val="3C066E21"/>
    <w:rsid w:val="3C2C005B"/>
    <w:rsid w:val="3C360A0F"/>
    <w:rsid w:val="3C41B539"/>
    <w:rsid w:val="3CC35C0F"/>
    <w:rsid w:val="3D95CA7F"/>
    <w:rsid w:val="3E2D6ABE"/>
    <w:rsid w:val="3E38363E"/>
    <w:rsid w:val="3EBD2789"/>
    <w:rsid w:val="3F637696"/>
    <w:rsid w:val="3FD20A6C"/>
    <w:rsid w:val="4064BF3B"/>
    <w:rsid w:val="408C7892"/>
    <w:rsid w:val="40BD8990"/>
    <w:rsid w:val="41186E84"/>
    <w:rsid w:val="4118EDF5"/>
    <w:rsid w:val="414D9CBA"/>
    <w:rsid w:val="4186055D"/>
    <w:rsid w:val="41A9A5A7"/>
    <w:rsid w:val="41B31C81"/>
    <w:rsid w:val="41C55181"/>
    <w:rsid w:val="420602DF"/>
    <w:rsid w:val="42895FE0"/>
    <w:rsid w:val="42A23346"/>
    <w:rsid w:val="43AD6644"/>
    <w:rsid w:val="43BA3C9D"/>
    <w:rsid w:val="43D73861"/>
    <w:rsid w:val="43DD8830"/>
    <w:rsid w:val="440D8E47"/>
    <w:rsid w:val="4529D914"/>
    <w:rsid w:val="45E69AE2"/>
    <w:rsid w:val="45F832B6"/>
    <w:rsid w:val="4633F64A"/>
    <w:rsid w:val="46F6B78B"/>
    <w:rsid w:val="47AD346D"/>
    <w:rsid w:val="47C3B256"/>
    <w:rsid w:val="47D29FAA"/>
    <w:rsid w:val="4872B6C5"/>
    <w:rsid w:val="48754463"/>
    <w:rsid w:val="487939DB"/>
    <w:rsid w:val="487D31E9"/>
    <w:rsid w:val="48A186CC"/>
    <w:rsid w:val="48E74597"/>
    <w:rsid w:val="48EFF644"/>
    <w:rsid w:val="48F98F71"/>
    <w:rsid w:val="493C9ADF"/>
    <w:rsid w:val="4953F3A6"/>
    <w:rsid w:val="498DEB93"/>
    <w:rsid w:val="49C54495"/>
    <w:rsid w:val="49E3DD73"/>
    <w:rsid w:val="49E421DA"/>
    <w:rsid w:val="4A6B6A86"/>
    <w:rsid w:val="4AF6DABA"/>
    <w:rsid w:val="4B2F66A2"/>
    <w:rsid w:val="4B6B79B8"/>
    <w:rsid w:val="4C55797E"/>
    <w:rsid w:val="4C6CB4DE"/>
    <w:rsid w:val="4C7DB9DB"/>
    <w:rsid w:val="4CA337CE"/>
    <w:rsid w:val="4CAD43B7"/>
    <w:rsid w:val="4CCE85BA"/>
    <w:rsid w:val="4CE3309A"/>
    <w:rsid w:val="4D1E61E7"/>
    <w:rsid w:val="4D50A30C"/>
    <w:rsid w:val="4D6E6E2B"/>
    <w:rsid w:val="4E184253"/>
    <w:rsid w:val="4E28ED14"/>
    <w:rsid w:val="4E56C8D6"/>
    <w:rsid w:val="4E6D1421"/>
    <w:rsid w:val="4E703491"/>
    <w:rsid w:val="4E806944"/>
    <w:rsid w:val="4E99B54F"/>
    <w:rsid w:val="4EB2EBD6"/>
    <w:rsid w:val="4EB5FE6F"/>
    <w:rsid w:val="4EC2FFF9"/>
    <w:rsid w:val="4F8D1A40"/>
    <w:rsid w:val="503DF1C9"/>
    <w:rsid w:val="508843CE"/>
    <w:rsid w:val="510FC244"/>
    <w:rsid w:val="513C9229"/>
    <w:rsid w:val="515A1CF8"/>
    <w:rsid w:val="51A77BE0"/>
    <w:rsid w:val="51CBC66B"/>
    <w:rsid w:val="51D3E347"/>
    <w:rsid w:val="522A5F24"/>
    <w:rsid w:val="525605B4"/>
    <w:rsid w:val="525CCFD5"/>
    <w:rsid w:val="5267DC2E"/>
    <w:rsid w:val="52849861"/>
    <w:rsid w:val="52AB92A5"/>
    <w:rsid w:val="52F08452"/>
    <w:rsid w:val="53354D85"/>
    <w:rsid w:val="53548F4B"/>
    <w:rsid w:val="53CB7794"/>
    <w:rsid w:val="54212D63"/>
    <w:rsid w:val="5432A24F"/>
    <w:rsid w:val="54342F8B"/>
    <w:rsid w:val="5439B245"/>
    <w:rsid w:val="544C3B79"/>
    <w:rsid w:val="54552390"/>
    <w:rsid w:val="546C361F"/>
    <w:rsid w:val="54FD727C"/>
    <w:rsid w:val="55676C9F"/>
    <w:rsid w:val="55913D77"/>
    <w:rsid w:val="559F7691"/>
    <w:rsid w:val="55B9A6C8"/>
    <w:rsid w:val="55CF82B9"/>
    <w:rsid w:val="567D5FFD"/>
    <w:rsid w:val="5680BDF0"/>
    <w:rsid w:val="56CF73C9"/>
    <w:rsid w:val="57031856"/>
    <w:rsid w:val="571AFF25"/>
    <w:rsid w:val="57715307"/>
    <w:rsid w:val="577D7031"/>
    <w:rsid w:val="57CA3262"/>
    <w:rsid w:val="57DF25C0"/>
    <w:rsid w:val="582FDB51"/>
    <w:rsid w:val="585E7543"/>
    <w:rsid w:val="587461C1"/>
    <w:rsid w:val="58E32A6B"/>
    <w:rsid w:val="58F07DB9"/>
    <w:rsid w:val="5921A6C2"/>
    <w:rsid w:val="59255165"/>
    <w:rsid w:val="59B60E66"/>
    <w:rsid w:val="5A18F88D"/>
    <w:rsid w:val="5A230DF6"/>
    <w:rsid w:val="5AD504FB"/>
    <w:rsid w:val="5B2B94AB"/>
    <w:rsid w:val="5B3306FD"/>
    <w:rsid w:val="5CACBAB9"/>
    <w:rsid w:val="5CF57445"/>
    <w:rsid w:val="5D0A22F4"/>
    <w:rsid w:val="5D33369F"/>
    <w:rsid w:val="5DECB1B5"/>
    <w:rsid w:val="5E6D5126"/>
    <w:rsid w:val="5E96BD51"/>
    <w:rsid w:val="5F12441E"/>
    <w:rsid w:val="5FC6C293"/>
    <w:rsid w:val="5FDD7E47"/>
    <w:rsid w:val="603AFBA3"/>
    <w:rsid w:val="606AD761"/>
    <w:rsid w:val="60C9073A"/>
    <w:rsid w:val="613E6880"/>
    <w:rsid w:val="6211F24A"/>
    <w:rsid w:val="62B30B4E"/>
    <w:rsid w:val="62C030DE"/>
    <w:rsid w:val="62C9EDBC"/>
    <w:rsid w:val="62F55F56"/>
    <w:rsid w:val="63AFFE02"/>
    <w:rsid w:val="63BD137B"/>
    <w:rsid w:val="63CCC5AE"/>
    <w:rsid w:val="63FA7F95"/>
    <w:rsid w:val="6400A7FC"/>
    <w:rsid w:val="644F48EE"/>
    <w:rsid w:val="6494EADD"/>
    <w:rsid w:val="64E031E7"/>
    <w:rsid w:val="6503FA02"/>
    <w:rsid w:val="65DB04A3"/>
    <w:rsid w:val="66A7BE8E"/>
    <w:rsid w:val="66ED9369"/>
    <w:rsid w:val="6808E2AE"/>
    <w:rsid w:val="6812DDAA"/>
    <w:rsid w:val="683F5C35"/>
    <w:rsid w:val="68438EEF"/>
    <w:rsid w:val="689A1BFD"/>
    <w:rsid w:val="68DC06A5"/>
    <w:rsid w:val="6907D537"/>
    <w:rsid w:val="69394861"/>
    <w:rsid w:val="69A3C906"/>
    <w:rsid w:val="69B3A30A"/>
    <w:rsid w:val="69D1D01D"/>
    <w:rsid w:val="69EB98EF"/>
    <w:rsid w:val="6A77D706"/>
    <w:rsid w:val="6ACDE762"/>
    <w:rsid w:val="6B858D63"/>
    <w:rsid w:val="6C21A084"/>
    <w:rsid w:val="6D0F0BE7"/>
    <w:rsid w:val="6DA71254"/>
    <w:rsid w:val="6DCD363F"/>
    <w:rsid w:val="6DDB465A"/>
    <w:rsid w:val="6E27A6BC"/>
    <w:rsid w:val="6E2CCFAB"/>
    <w:rsid w:val="6E5A9DBE"/>
    <w:rsid w:val="7046ACA9"/>
    <w:rsid w:val="70ADF34D"/>
    <w:rsid w:val="70CB6077"/>
    <w:rsid w:val="7195713B"/>
    <w:rsid w:val="71E6567F"/>
    <w:rsid w:val="71F4CEE7"/>
    <w:rsid w:val="727E3A7D"/>
    <w:rsid w:val="728C61F3"/>
    <w:rsid w:val="72D45FEC"/>
    <w:rsid w:val="7314DBE2"/>
    <w:rsid w:val="7336895D"/>
    <w:rsid w:val="73697B2C"/>
    <w:rsid w:val="74C7EEBA"/>
    <w:rsid w:val="74F38385"/>
    <w:rsid w:val="75054B8D"/>
    <w:rsid w:val="757097C1"/>
    <w:rsid w:val="75C402B5"/>
    <w:rsid w:val="75DFBB0C"/>
    <w:rsid w:val="75F08F63"/>
    <w:rsid w:val="75F82496"/>
    <w:rsid w:val="75FCAC8D"/>
    <w:rsid w:val="7635A431"/>
    <w:rsid w:val="7692D3B5"/>
    <w:rsid w:val="76A11BEE"/>
    <w:rsid w:val="76EFEBAD"/>
    <w:rsid w:val="77459558"/>
    <w:rsid w:val="77690043"/>
    <w:rsid w:val="77C57D27"/>
    <w:rsid w:val="77EF1F52"/>
    <w:rsid w:val="78354AC2"/>
    <w:rsid w:val="7851BE8E"/>
    <w:rsid w:val="78979F44"/>
    <w:rsid w:val="790095D8"/>
    <w:rsid w:val="79039CE6"/>
    <w:rsid w:val="79283025"/>
    <w:rsid w:val="7964D7A3"/>
    <w:rsid w:val="796C5F38"/>
    <w:rsid w:val="79C6599A"/>
    <w:rsid w:val="79E7F474"/>
    <w:rsid w:val="79F85039"/>
    <w:rsid w:val="7A04BE13"/>
    <w:rsid w:val="7A7659B0"/>
    <w:rsid w:val="7AA3C833"/>
    <w:rsid w:val="7AB9772B"/>
    <w:rsid w:val="7AD01DB0"/>
    <w:rsid w:val="7B11F144"/>
    <w:rsid w:val="7B648FD0"/>
    <w:rsid w:val="7B6605B0"/>
    <w:rsid w:val="7B6D84BB"/>
    <w:rsid w:val="7B895F50"/>
    <w:rsid w:val="7C0879D3"/>
    <w:rsid w:val="7C10A2D4"/>
    <w:rsid w:val="7C23475F"/>
    <w:rsid w:val="7C2C5AE7"/>
    <w:rsid w:val="7C3FC7FE"/>
    <w:rsid w:val="7C77FEE4"/>
    <w:rsid w:val="7CC9909C"/>
    <w:rsid w:val="7D1ED19F"/>
    <w:rsid w:val="7D3C5ED5"/>
    <w:rsid w:val="7D495CB6"/>
    <w:rsid w:val="7D6F839B"/>
    <w:rsid w:val="7DB115CD"/>
    <w:rsid w:val="7E4CFF6C"/>
    <w:rsid w:val="7EAEC107"/>
    <w:rsid w:val="7F1D0A5F"/>
    <w:rsid w:val="7F89359F"/>
    <w:rsid w:val="7FF28B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qFormat/>
    <w:pPr>
      <w:ind w:left="720"/>
      <w:contextualSpacing/>
    </w:pPr>
  </w:style>
  <w:style w:type="paragraph" w:customStyle="1" w:styleId="dx-doi">
    <w:name w:val="dx-doi"/>
    <w:basedOn w:val="Normal"/>
    <w:rsid w:val="000B4C10"/>
    <w:pPr>
      <w:autoSpaceDN w:val="0"/>
      <w:spacing w:before="100" w:after="10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A574C"/>
    <w:pPr>
      <w:spacing w:after="0" w:line="240" w:lineRule="auto"/>
    </w:pPr>
  </w:style>
  <w:style w:type="character" w:styleId="UnresolvedMention">
    <w:name w:val="Unresolved Mention"/>
    <w:basedOn w:val="DefaultParagraphFont"/>
    <w:uiPriority w:val="99"/>
    <w:semiHidden/>
    <w:unhideWhenUsed/>
    <w:rsid w:val="00790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justiceinspectorates.gov.uk/cjji/wp-content/uploads/sites/2/2020/01/Joint-Inspection-Evidence-Led-Domestic-Abuse-Jan19-rpt.pdf" TargetMode="External"/><Relationship Id="rId21" Type="http://schemas.openxmlformats.org/officeDocument/2006/relationships/hyperlink" Target="https://www.tandfonline.com/doi/full/10.1080/15614263.2020.1759059" TargetMode="External"/><Relationship Id="rId34" Type="http://schemas.openxmlformats.org/officeDocument/2006/relationships/hyperlink" Target="https://www.handbook.fca.org.uk/handbook/DEPP/6A.pdf" TargetMode="External"/><Relationship Id="rId42" Type="http://schemas.openxmlformats.org/officeDocument/2006/relationships/hyperlink" Target="https://assets.publishing.service.gov.uk/media/5a8092dbe5274a2e87dba95d/52344_00_Pace_Code_E_Accessible_v0.3.pdf" TargetMode="External"/><Relationship Id="rId47" Type="http://schemas.openxmlformats.org/officeDocument/2006/relationships/image" Target="media/image2.png"/><Relationship Id="rId50" Type="http://schemas.openxmlformats.org/officeDocument/2006/relationships/hyperlink" Target="https://www.college.police.uk/app/investigation/managing-effective-investigations" TargetMode="External"/><Relationship Id="rId55" Type="http://schemas.openxmlformats.org/officeDocument/2006/relationships/hyperlink" Target="https://www.cps.gov.uk/legal-guidance/disclosure-manual-chapter-30-digital-material" TargetMode="External"/><Relationship Id="rId63" Type="http://schemas.openxmlformats.org/officeDocument/2006/relationships/hyperlink" Target="https://www-jstor-org.ezproxy.uwtsd.ac.uk/stable/48568428?seq=4" TargetMode="External"/><Relationship Id="rId7" Type="http://schemas.openxmlformats.org/officeDocument/2006/relationships/hyperlink" Target="https://moodle.uwtsd.ac.uk/pluginfile.php/298870/mod_resource/content/1/Reflective%20Practice%20for%20Policing%20Students%20-%20Selina%20Copley%20Chapter5.pdf" TargetMode="External"/><Relationship Id="rId2" Type="http://schemas.openxmlformats.org/officeDocument/2006/relationships/styles" Target="styles.xml"/><Relationship Id="rId16" Type="http://schemas.openxmlformats.org/officeDocument/2006/relationships/hyperlink" Target="https://www.legislation.gov.uk/ukpga/2008/4/part/5/crossheading/pornography-etc" TargetMode="External"/><Relationship Id="rId29" Type="http://schemas.openxmlformats.org/officeDocument/2006/relationships/hyperlink" Target="https://www.legislation.gov.uk/ukpga/1984/60/section/17" TargetMode="External"/><Relationship Id="rId11" Type="http://schemas.openxmlformats.org/officeDocument/2006/relationships/hyperlink" Target="https://www.college.police.uk/app/investigation/investigative-strategies/intelligence-strategy" TargetMode="External"/><Relationship Id="rId24" Type="http://schemas.openxmlformats.org/officeDocument/2006/relationships/hyperlink" Target="https://assets.production.copweb.aws.college.police.uk/s3fs-public/2021-11/Recognising-responding-vulnerability-related-risks-guidelines.pdf" TargetMode="External"/><Relationship Id="rId32" Type="http://schemas.openxmlformats.org/officeDocument/2006/relationships/hyperlink" Target="https://www.learn.college.pnn.police.uk/CL/Content/Launch/35313" TargetMode="External"/><Relationship Id="rId37" Type="http://schemas.openxmlformats.org/officeDocument/2006/relationships/hyperlink" Target="https://www.gov.uk/government/publications/public-perceptions-of-policing-a-review-of-research-and-literature/public-perceptions-of-policing-a-review-of-research-and-literature" TargetMode="External"/><Relationship Id="rId40" Type="http://schemas.openxmlformats.org/officeDocument/2006/relationships/hyperlink" Target="https://www.bbc.co.uk/news/uk-england-london-66842521" TargetMode="External"/><Relationship Id="rId45" Type="http://schemas.openxmlformats.org/officeDocument/2006/relationships/hyperlink" Target="https://www.legislation.gov.uk/ukpga/1984/60/section/18" TargetMode="External"/><Relationship Id="rId53" Type="http://schemas.openxmlformats.org/officeDocument/2006/relationships/hyperlink" Target="https://assets.publishing.service.gov.uk/media/5a80d491e5274a2e8ab5267c/code-of-practice-approved.pdf" TargetMode="External"/><Relationship Id="rId58" Type="http://schemas.openxmlformats.org/officeDocument/2006/relationships/hyperlink" Target="https://assets.publishing.service.gov.uk/government/uploads/system/uploads/attachment_data/file/903811/pace-code-b-2013.pdf" TargetMode="External"/><Relationship Id="rId66"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www.theguardian.com/law/2021/oct/31/courts-are-close-to-collapse-over-police-disclosure-failures" TargetMode="External"/><Relationship Id="rId19" Type="http://schemas.openxmlformats.org/officeDocument/2006/relationships/hyperlink" Target="https://www.legislation.gov.uk/ukpga/1978/37/section/1" TargetMode="External"/><Relationship Id="rId14" Type="http://schemas.openxmlformats.org/officeDocument/2006/relationships/hyperlink" Target="https://www.college.police.uk/app/investigation/working-suspects" TargetMode="External"/><Relationship Id="rId22" Type="http://schemas.openxmlformats.org/officeDocument/2006/relationships/hyperlink" Target="https://www.college.police.uk/app/risk/risk" TargetMode="External"/><Relationship Id="rId27" Type="http://schemas.openxmlformats.org/officeDocument/2006/relationships/hyperlink" Target="https://assets-hmicfrs.justiceinspectorates.gov.uk/uploads/review-of-policing-domestic-abuse-during-the-pandemic-2021.pdf" TargetMode="External"/><Relationship Id="rId30" Type="http://schemas.openxmlformats.org/officeDocument/2006/relationships/hyperlink" Target="https://assets.publishing.service.gov.uk/government/uploads/system/uploads/attachment_data/file/1166544/guidance-about-independent-advisors-isvas-and-idvas-fact-sheet.pdf" TargetMode="External"/><Relationship Id="rId35" Type="http://schemas.openxmlformats.org/officeDocument/2006/relationships/hyperlink" Target="https://www.legislation.gov.uk/ukpga/2006/35/contents" TargetMode="External"/><Relationship Id="rId43" Type="http://schemas.openxmlformats.org/officeDocument/2006/relationships/hyperlink" Target="https://www.gov.uk/government/publications/pace-code-g-2012/pace-code-g-2012-accessible" TargetMode="External"/><Relationship Id="rId48" Type="http://schemas.openxmlformats.org/officeDocument/2006/relationships/hyperlink" Target="https://www.bbc.co.uk/news/uk-42795058" TargetMode="External"/><Relationship Id="rId56" Type="http://schemas.openxmlformats.org/officeDocument/2006/relationships/hyperlink" Target="https://www.proquest.com/docview/204167663?parentSessionId=3k10SIfxFK7ldzhLvYrk%2BUp9VHNjC29rk1H1Q9RpLb0%3D&amp;pq-origsite=primo&amp;accountid=130472&amp;sourcetype=Scholarly%20Journals" TargetMode="External"/><Relationship Id="rId64" Type="http://schemas.openxmlformats.org/officeDocument/2006/relationships/hyperlink" Target="https://moodle.uwtsd.ac.uk/pluginfile.php/324905/mod_resource/content/1/Harvard%20Referencing%20GUide.pdf" TargetMode="External"/><Relationship Id="rId8" Type="http://schemas.openxmlformats.org/officeDocument/2006/relationships/hyperlink" Target="https://web-p-ebscohost-com.ezproxy.uwtsd.ac.uk/ehost/pdfviewer/pdfviewer?vid=0&amp;sid=1fc54ed6-e608-42ee-8c86-085f87a891fb%40redis" TargetMode="External"/><Relationship Id="rId51" Type="http://schemas.openxmlformats.org/officeDocument/2006/relationships/hyperlink" Target="https://s3-eu-west-2.amazonaws.com/cloud-platform-e218f50a4812967ba1215eaecede923f/uploads/sites/5/2021/04/CCRC-Annual-Report-and-Accounts-2015-16-HC244-Web-Accessible-v0.2-2.pdf" TargetMode="External"/><Relationship Id="rId3" Type="http://schemas.openxmlformats.org/officeDocument/2006/relationships/settings" Target="settings.xml"/><Relationship Id="rId12" Type="http://schemas.openxmlformats.org/officeDocument/2006/relationships/hyperlink" Target="https://www.college.police.uk/app/operations/briefing-and-debriefing" TargetMode="External"/><Relationship Id="rId17" Type="http://schemas.openxmlformats.org/officeDocument/2006/relationships/hyperlink" Target="https://www-jstor-org.ezproxy.uwtsd.ac.uk/stable/1123113?sid=primo&amp;seq=2" TargetMode="External"/><Relationship Id="rId25" Type="http://schemas.openxmlformats.org/officeDocument/2006/relationships/hyperlink" Target="https://www.college.police.uk/app/major-investigation-and-public-protection/domestic-abuse/understanding-risk-and-vulnerability-context-domestic-abuse" TargetMode="External"/><Relationship Id="rId33" Type="http://schemas.openxmlformats.org/officeDocument/2006/relationships/hyperlink" Target="https://www.college.police.uk/app/investigation/investigative-interviewing/investigative-interviewing" TargetMode="External"/><Relationship Id="rId38" Type="http://schemas.openxmlformats.org/officeDocument/2006/relationships/hyperlink" Target="https://www.harewoodlaw.com/news/ive-been-asked-to-attend-a-voluntary-policeinterview-do-i-need-a-solicitor" TargetMode="External"/><Relationship Id="rId46" Type="http://schemas.openxmlformats.org/officeDocument/2006/relationships/hyperlink" Target="https://www.tandfonline.com/doi/abs/10.1080/09585189708412005" TargetMode="External"/><Relationship Id="rId59" Type="http://schemas.openxmlformats.org/officeDocument/2006/relationships/hyperlink" Target="https://assets.publishing.service.gov.uk/government/uploads/system/uploads/attachment_data/file/903812/pace-code-d-2017.pdf" TargetMode="External"/><Relationship Id="rId20" Type="http://schemas.openxmlformats.org/officeDocument/2006/relationships/hyperlink" Target="https://safelives.org.uk/practice_blog/role-social-workers-responding-effectively-domestic-abuse" TargetMode="External"/><Relationship Id="rId41" Type="http://schemas.openxmlformats.org/officeDocument/2006/relationships/hyperlink" Target="https://www.gov.uk/government/publications/pace-code-c-2023/pace-code-c-2023-accessible" TargetMode="External"/><Relationship Id="rId54" Type="http://schemas.openxmlformats.org/officeDocument/2006/relationships/hyperlink" Target="https://www.cps.gov.uk/legal-guidance/disclosure-manual-chapter-1-introduction" TargetMode="External"/><Relationship Id="rId62" Type="http://schemas.openxmlformats.org/officeDocument/2006/relationships/hyperlink" Target="https://www-jstor-org.ezproxy.uwtsd.ac.uk/stable/48568430?seq=1" TargetMode="Externa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15" Type="http://schemas.openxmlformats.org/officeDocument/2006/relationships/hyperlink" Target="https://www.legislation.gov.uk/ukpga/1988/33/section/160/enacted"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bjgp.org/content/bjgp/60/574/e201.full.pdf" TargetMode="External"/><Relationship Id="rId36" Type="http://schemas.openxmlformats.org/officeDocument/2006/relationships/hyperlink" Target="https://www.legislation.gov.uk/ukpga/2006/35/contents" TargetMode="External"/><Relationship Id="rId49" Type="http://schemas.openxmlformats.org/officeDocument/2006/relationships/hyperlink" Target="https://www.apa.org/about/offices/ogc/amicus/gomes-johnson.pdf" TargetMode="External"/><Relationship Id="rId57" Type="http://schemas.openxmlformats.org/officeDocument/2006/relationships/hyperlink" Target="https://www.cps.gov.uk/sites/default/files/documents/publications/National-Disclosure-Improvement-Plan-May-2018.pdf" TargetMode="External"/><Relationship Id="rId10" Type="http://schemas.openxmlformats.org/officeDocument/2006/relationships/hyperlink" Target="https://link.springer.com/article/10.1007/s10609-008-9062-0" TargetMode="External"/><Relationship Id="rId31" Type="http://schemas.openxmlformats.org/officeDocument/2006/relationships/hyperlink" Target="https://www.tandfonline.com/doi/full/10.1080/1068316X.2022.2139829" TargetMode="External"/><Relationship Id="rId44" Type="http://schemas.openxmlformats.org/officeDocument/2006/relationships/hyperlink" Target="https://www.legislation.gov.uk/ukpga/1984/60/section/32" TargetMode="External"/><Relationship Id="rId52" Type="http://schemas.openxmlformats.org/officeDocument/2006/relationships/hyperlink" Target="https://www.legislation.gov.uk/ukpga/2001/16/section/50" TargetMode="External"/><Relationship Id="rId60" Type="http://schemas.openxmlformats.org/officeDocument/2006/relationships/hyperlink" Target="https://journals.sagepub.com/doi/10.1177/1037969X20987009"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o.ecu.edu.au/cgi/viewcontent.cgi?article=1040&amp;context=adf" TargetMode="External"/><Relationship Id="rId13" Type="http://schemas.openxmlformats.org/officeDocument/2006/relationships/hyperlink" Target="https://www.college.police.uk/app/intelligence-management/intelligence-report" TargetMode="External"/><Relationship Id="rId18" Type="http://schemas.openxmlformats.org/officeDocument/2006/relationships/hyperlink" Target="https://www.researchgate.net/profile/Noura-Hamad-3/publication/360463703_Digital_Forensics_Tools_Used_in_Cybercrime_Investigation_-Comparative_Analysis/links/6278d313b1ad9f66c8ad136b/Digital-Forensics-Tools-Used-in-Cybercrime-Investigation-Comparative-Analysis.pdf" TargetMode="External"/><Relationship Id="rId39" Type="http://schemas.openxmlformats.org/officeDocument/2006/relationships/hyperlink" Target="https://www.policeconduct.gov.uk/news/iopc-publishes-figures-police-complaints-made-20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33</Pages>
  <Words>13409</Words>
  <Characters>76434</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Connick,Thomas swp5917</cp:lastModifiedBy>
  <cp:revision>53</cp:revision>
  <cp:lastPrinted>2021-10-05T11:09:00Z</cp:lastPrinted>
  <dcterms:created xsi:type="dcterms:W3CDTF">2024-04-08T20:43:00Z</dcterms:created>
  <dcterms:modified xsi:type="dcterms:W3CDTF">2024-05-10T17:53:00Z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2024-04-08T20:43:52Z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22baab82-9d4b-45e1-a114-3f68595c548b</vt:lpwstr>
  </property>
  <property fmtid="{D5CDD505-2E9C-101B-9397-08002B2CF9AE}" pid="8" name="MSIP_Label_66cf8fe5-b7b7-4df7-b38d-1c61ac2f6639_ContentBits">
    <vt:lpwstr>0</vt:lpwstr>
  </property>
</Properties>
</file>