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5C0D7A" w14:textId="77777777" w:rsidR="00C52452" w:rsidRDefault="00C52452"/>
    <w:p w14:paraId="5B4CCB67" w14:textId="0B208061" w:rsidR="00F558FF" w:rsidRDefault="00F558FF" w:rsidP="00F558FF">
      <w:pPr>
        <w:rPr>
          <w:b/>
          <w:bCs/>
        </w:rPr>
      </w:pPr>
      <w:r w:rsidRPr="00F558FF">
        <w:rPr>
          <w:b/>
          <w:bCs/>
        </w:rPr>
        <w:t>Student Name</w:t>
      </w:r>
      <w:r w:rsidRPr="00F558FF">
        <w:t xml:space="preserve">: Mikey </w:t>
      </w:r>
      <w:r>
        <w:t>Scourfield</w:t>
      </w:r>
      <w:r w:rsidRPr="00F558FF">
        <w:br/>
      </w:r>
      <w:r w:rsidRPr="00F558FF">
        <w:rPr>
          <w:b/>
          <w:bCs/>
        </w:rPr>
        <w:t>Student ID</w:t>
      </w:r>
      <w:r w:rsidRPr="00F558FF">
        <w:t xml:space="preserve">: </w:t>
      </w:r>
      <w:r>
        <w:t>2410362</w:t>
      </w:r>
      <w:r w:rsidRPr="00F558FF">
        <w:br/>
      </w:r>
      <w:r w:rsidRPr="00F558FF">
        <w:rPr>
          <w:b/>
          <w:bCs/>
        </w:rPr>
        <w:t>Lecturer</w:t>
      </w:r>
      <w:r w:rsidRPr="00F558FF">
        <w:t>: Steve Tindall</w:t>
      </w:r>
      <w:r w:rsidRPr="00F558FF">
        <w:br/>
      </w:r>
      <w:r w:rsidRPr="00F558FF">
        <w:rPr>
          <w:b/>
          <w:bCs/>
        </w:rPr>
        <w:t>Internal Verifier</w:t>
      </w:r>
      <w:r w:rsidRPr="00F558FF">
        <w:t>: Dr. D Hughes</w:t>
      </w:r>
      <w:r w:rsidRPr="00F558FF">
        <w:br/>
      </w:r>
      <w:r w:rsidRPr="00F558FF">
        <w:rPr>
          <w:b/>
          <w:bCs/>
        </w:rPr>
        <w:t>Submission Deadline</w:t>
      </w:r>
      <w:r w:rsidRPr="00F558FF">
        <w:t>: 08/05/2025</w:t>
      </w:r>
      <w:r w:rsidRPr="00F558FF">
        <w:br/>
      </w:r>
    </w:p>
    <w:p w14:paraId="78E9C0C2" w14:textId="77777777" w:rsidR="00F558FF" w:rsidRDefault="00F558FF">
      <w:pPr>
        <w:rPr>
          <w:b/>
          <w:bCs/>
        </w:rPr>
      </w:pPr>
      <w:r>
        <w:rPr>
          <w:b/>
          <w:bCs/>
        </w:rPr>
        <w:br w:type="page"/>
      </w:r>
    </w:p>
    <w:sdt>
      <w:sdtPr>
        <w:rPr>
          <w:rFonts w:eastAsiaTheme="minorHAnsi" w:cstheme="minorBidi"/>
          <w:b w:val="0"/>
          <w:sz w:val="22"/>
          <w:szCs w:val="22"/>
          <w:lang w:eastAsia="en-US"/>
        </w:rPr>
        <w:id w:val="-1780097468"/>
        <w:docPartObj>
          <w:docPartGallery w:val="Table of Contents"/>
          <w:docPartUnique/>
        </w:docPartObj>
      </w:sdtPr>
      <w:sdtEndPr>
        <w:rPr>
          <w:bCs/>
        </w:rPr>
      </w:sdtEndPr>
      <w:sdtContent>
        <w:p w14:paraId="372F39C7" w14:textId="30A1D19D" w:rsidR="00F558FF" w:rsidRDefault="00F558FF">
          <w:pPr>
            <w:pStyle w:val="TOCHeading"/>
          </w:pPr>
          <w:r>
            <w:t>Contents</w:t>
          </w:r>
        </w:p>
        <w:p w14:paraId="09787D47" w14:textId="06BACEA8" w:rsidR="00270223" w:rsidRDefault="00F558FF">
          <w:pPr>
            <w:pStyle w:val="TOC1"/>
            <w:tabs>
              <w:tab w:val="left" w:pos="480"/>
              <w:tab w:val="right" w:leader="dot" w:pos="9016"/>
            </w:tabs>
            <w:rPr>
              <w:rFonts w:asciiTheme="minorHAnsi" w:eastAsiaTheme="minorEastAsia" w:hAnsiTheme="minorHAnsi"/>
              <w:noProof/>
              <w:kern w:val="2"/>
              <w:sz w:val="24"/>
              <w:szCs w:val="24"/>
              <w:lang w:eastAsia="en-GB"/>
              <w14:ligatures w14:val="standardContextual"/>
            </w:rPr>
          </w:pPr>
          <w:r>
            <w:fldChar w:fldCharType="begin"/>
          </w:r>
          <w:r>
            <w:instrText xml:space="preserve"> TOC \o "1-3" \h \z \u </w:instrText>
          </w:r>
          <w:r>
            <w:fldChar w:fldCharType="separate"/>
          </w:r>
          <w:hyperlink w:anchor="_Toc197980138" w:history="1">
            <w:r w:rsidR="00270223" w:rsidRPr="009D5381">
              <w:rPr>
                <w:rStyle w:val="Hyperlink"/>
                <w:noProof/>
              </w:rPr>
              <w:t>1.</w:t>
            </w:r>
            <w:r w:rsidR="00270223">
              <w:rPr>
                <w:rFonts w:asciiTheme="minorHAnsi" w:eastAsiaTheme="minorEastAsia" w:hAnsiTheme="minorHAnsi"/>
                <w:noProof/>
                <w:kern w:val="2"/>
                <w:sz w:val="24"/>
                <w:szCs w:val="24"/>
                <w:lang w:eastAsia="en-GB"/>
                <w14:ligatures w14:val="standardContextual"/>
              </w:rPr>
              <w:tab/>
            </w:r>
            <w:r w:rsidR="00270223" w:rsidRPr="009D5381">
              <w:rPr>
                <w:rStyle w:val="Hyperlink"/>
                <w:noProof/>
              </w:rPr>
              <w:t>Introduction</w:t>
            </w:r>
            <w:r w:rsidR="00270223">
              <w:rPr>
                <w:noProof/>
                <w:webHidden/>
              </w:rPr>
              <w:tab/>
            </w:r>
            <w:r w:rsidR="00270223">
              <w:rPr>
                <w:noProof/>
                <w:webHidden/>
              </w:rPr>
              <w:fldChar w:fldCharType="begin"/>
            </w:r>
            <w:r w:rsidR="00270223">
              <w:rPr>
                <w:noProof/>
                <w:webHidden/>
              </w:rPr>
              <w:instrText xml:space="preserve"> PAGEREF _Toc197980138 \h </w:instrText>
            </w:r>
            <w:r w:rsidR="00270223">
              <w:rPr>
                <w:noProof/>
                <w:webHidden/>
              </w:rPr>
            </w:r>
            <w:r w:rsidR="00270223">
              <w:rPr>
                <w:noProof/>
                <w:webHidden/>
              </w:rPr>
              <w:fldChar w:fldCharType="separate"/>
            </w:r>
            <w:r w:rsidR="00270223">
              <w:rPr>
                <w:noProof/>
                <w:webHidden/>
              </w:rPr>
              <w:t>3</w:t>
            </w:r>
            <w:r w:rsidR="00270223">
              <w:rPr>
                <w:noProof/>
                <w:webHidden/>
              </w:rPr>
              <w:fldChar w:fldCharType="end"/>
            </w:r>
          </w:hyperlink>
        </w:p>
        <w:p w14:paraId="6E6AC789" w14:textId="7E2910C5" w:rsidR="00270223" w:rsidRDefault="00270223">
          <w:pPr>
            <w:pStyle w:val="TOC1"/>
            <w:tabs>
              <w:tab w:val="left" w:pos="480"/>
              <w:tab w:val="right" w:leader="dot" w:pos="9016"/>
            </w:tabs>
            <w:rPr>
              <w:rFonts w:asciiTheme="minorHAnsi" w:eastAsiaTheme="minorEastAsia" w:hAnsiTheme="minorHAnsi"/>
              <w:noProof/>
              <w:kern w:val="2"/>
              <w:sz w:val="24"/>
              <w:szCs w:val="24"/>
              <w:lang w:eastAsia="en-GB"/>
              <w14:ligatures w14:val="standardContextual"/>
            </w:rPr>
          </w:pPr>
          <w:hyperlink w:anchor="_Toc197980139" w:history="1">
            <w:r w:rsidRPr="009D5381">
              <w:rPr>
                <w:rStyle w:val="Hyperlink"/>
                <w:noProof/>
              </w:rPr>
              <w:t>2.</w:t>
            </w:r>
            <w:r>
              <w:rPr>
                <w:rFonts w:asciiTheme="minorHAnsi" w:eastAsiaTheme="minorEastAsia" w:hAnsiTheme="minorHAnsi"/>
                <w:noProof/>
                <w:kern w:val="2"/>
                <w:sz w:val="24"/>
                <w:szCs w:val="24"/>
                <w:lang w:eastAsia="en-GB"/>
                <w14:ligatures w14:val="standardContextual"/>
              </w:rPr>
              <w:tab/>
            </w:r>
            <w:r w:rsidRPr="009D5381">
              <w:rPr>
                <w:rStyle w:val="Hyperlink"/>
                <w:noProof/>
              </w:rPr>
              <w:t>Section 1 – Procurement Route Evaluation &amp; Recommendation</w:t>
            </w:r>
            <w:r>
              <w:rPr>
                <w:noProof/>
                <w:webHidden/>
              </w:rPr>
              <w:tab/>
            </w:r>
            <w:r>
              <w:rPr>
                <w:noProof/>
                <w:webHidden/>
              </w:rPr>
              <w:fldChar w:fldCharType="begin"/>
            </w:r>
            <w:r>
              <w:rPr>
                <w:noProof/>
                <w:webHidden/>
              </w:rPr>
              <w:instrText xml:space="preserve"> PAGEREF _Toc197980139 \h </w:instrText>
            </w:r>
            <w:r>
              <w:rPr>
                <w:noProof/>
                <w:webHidden/>
              </w:rPr>
            </w:r>
            <w:r>
              <w:rPr>
                <w:noProof/>
                <w:webHidden/>
              </w:rPr>
              <w:fldChar w:fldCharType="separate"/>
            </w:r>
            <w:r>
              <w:rPr>
                <w:noProof/>
                <w:webHidden/>
              </w:rPr>
              <w:t>3</w:t>
            </w:r>
            <w:r>
              <w:rPr>
                <w:noProof/>
                <w:webHidden/>
              </w:rPr>
              <w:fldChar w:fldCharType="end"/>
            </w:r>
          </w:hyperlink>
        </w:p>
        <w:p w14:paraId="1175BC32" w14:textId="1A11A52D" w:rsidR="00270223" w:rsidRDefault="00270223">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97980140" w:history="1">
            <w:r w:rsidRPr="009D5381">
              <w:rPr>
                <w:rStyle w:val="Hyperlink"/>
                <w:noProof/>
              </w:rPr>
              <w:t>2.1.</w:t>
            </w:r>
            <w:r>
              <w:rPr>
                <w:rFonts w:asciiTheme="minorHAnsi" w:eastAsiaTheme="minorEastAsia" w:hAnsiTheme="minorHAnsi"/>
                <w:noProof/>
                <w:kern w:val="2"/>
                <w:sz w:val="24"/>
                <w:szCs w:val="24"/>
                <w:lang w:eastAsia="en-GB"/>
                <w14:ligatures w14:val="standardContextual"/>
              </w:rPr>
              <w:tab/>
            </w:r>
            <w:r w:rsidRPr="009D5381">
              <w:rPr>
                <w:rStyle w:val="Hyperlink"/>
                <w:noProof/>
              </w:rPr>
              <w:t>Overview of the Procurement in UK residential projects</w:t>
            </w:r>
            <w:r>
              <w:rPr>
                <w:noProof/>
                <w:webHidden/>
              </w:rPr>
              <w:tab/>
            </w:r>
            <w:r>
              <w:rPr>
                <w:noProof/>
                <w:webHidden/>
              </w:rPr>
              <w:fldChar w:fldCharType="begin"/>
            </w:r>
            <w:r>
              <w:rPr>
                <w:noProof/>
                <w:webHidden/>
              </w:rPr>
              <w:instrText xml:space="preserve"> PAGEREF _Toc197980140 \h </w:instrText>
            </w:r>
            <w:r>
              <w:rPr>
                <w:noProof/>
                <w:webHidden/>
              </w:rPr>
            </w:r>
            <w:r>
              <w:rPr>
                <w:noProof/>
                <w:webHidden/>
              </w:rPr>
              <w:fldChar w:fldCharType="separate"/>
            </w:r>
            <w:r>
              <w:rPr>
                <w:noProof/>
                <w:webHidden/>
              </w:rPr>
              <w:t>3</w:t>
            </w:r>
            <w:r>
              <w:rPr>
                <w:noProof/>
                <w:webHidden/>
              </w:rPr>
              <w:fldChar w:fldCharType="end"/>
            </w:r>
          </w:hyperlink>
        </w:p>
        <w:p w14:paraId="6CC19384" w14:textId="6F3D9858" w:rsidR="00270223" w:rsidRDefault="00270223">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97980141" w:history="1">
            <w:r w:rsidRPr="009D5381">
              <w:rPr>
                <w:rStyle w:val="Hyperlink"/>
                <w:noProof/>
              </w:rPr>
              <w:t>2.2.</w:t>
            </w:r>
            <w:r>
              <w:rPr>
                <w:rFonts w:asciiTheme="minorHAnsi" w:eastAsiaTheme="minorEastAsia" w:hAnsiTheme="minorHAnsi"/>
                <w:noProof/>
                <w:kern w:val="2"/>
                <w:sz w:val="24"/>
                <w:szCs w:val="24"/>
                <w:lang w:eastAsia="en-GB"/>
                <w14:ligatures w14:val="standardContextual"/>
              </w:rPr>
              <w:tab/>
            </w:r>
            <w:r w:rsidRPr="009D5381">
              <w:rPr>
                <w:rStyle w:val="Hyperlink"/>
                <w:noProof/>
              </w:rPr>
              <w:t>Evaluation of the 3 Routes</w:t>
            </w:r>
            <w:r>
              <w:rPr>
                <w:noProof/>
                <w:webHidden/>
              </w:rPr>
              <w:tab/>
            </w:r>
            <w:r>
              <w:rPr>
                <w:noProof/>
                <w:webHidden/>
              </w:rPr>
              <w:fldChar w:fldCharType="begin"/>
            </w:r>
            <w:r>
              <w:rPr>
                <w:noProof/>
                <w:webHidden/>
              </w:rPr>
              <w:instrText xml:space="preserve"> PAGEREF _Toc197980141 \h </w:instrText>
            </w:r>
            <w:r>
              <w:rPr>
                <w:noProof/>
                <w:webHidden/>
              </w:rPr>
            </w:r>
            <w:r>
              <w:rPr>
                <w:noProof/>
                <w:webHidden/>
              </w:rPr>
              <w:fldChar w:fldCharType="separate"/>
            </w:r>
            <w:r>
              <w:rPr>
                <w:noProof/>
                <w:webHidden/>
              </w:rPr>
              <w:t>3</w:t>
            </w:r>
            <w:r>
              <w:rPr>
                <w:noProof/>
                <w:webHidden/>
              </w:rPr>
              <w:fldChar w:fldCharType="end"/>
            </w:r>
          </w:hyperlink>
        </w:p>
        <w:p w14:paraId="5945287C" w14:textId="0F9E8DE9" w:rsidR="00270223" w:rsidRDefault="00270223">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97980142" w:history="1">
            <w:r w:rsidRPr="009D5381">
              <w:rPr>
                <w:rStyle w:val="Hyperlink"/>
                <w:noProof/>
              </w:rPr>
              <w:t>2.3.</w:t>
            </w:r>
            <w:r>
              <w:rPr>
                <w:rFonts w:asciiTheme="minorHAnsi" w:eastAsiaTheme="minorEastAsia" w:hAnsiTheme="minorHAnsi"/>
                <w:noProof/>
                <w:kern w:val="2"/>
                <w:sz w:val="24"/>
                <w:szCs w:val="24"/>
                <w:lang w:eastAsia="en-GB"/>
                <w14:ligatures w14:val="standardContextual"/>
              </w:rPr>
              <w:tab/>
            </w:r>
            <w:r w:rsidRPr="009D5381">
              <w:rPr>
                <w:rStyle w:val="Hyperlink"/>
                <w:noProof/>
              </w:rPr>
              <w:t>Comparison of Procurement Routes</w:t>
            </w:r>
            <w:r>
              <w:rPr>
                <w:noProof/>
                <w:webHidden/>
              </w:rPr>
              <w:tab/>
            </w:r>
            <w:r>
              <w:rPr>
                <w:noProof/>
                <w:webHidden/>
              </w:rPr>
              <w:fldChar w:fldCharType="begin"/>
            </w:r>
            <w:r>
              <w:rPr>
                <w:noProof/>
                <w:webHidden/>
              </w:rPr>
              <w:instrText xml:space="preserve"> PAGEREF _Toc197980142 \h </w:instrText>
            </w:r>
            <w:r>
              <w:rPr>
                <w:noProof/>
                <w:webHidden/>
              </w:rPr>
            </w:r>
            <w:r>
              <w:rPr>
                <w:noProof/>
                <w:webHidden/>
              </w:rPr>
              <w:fldChar w:fldCharType="separate"/>
            </w:r>
            <w:r>
              <w:rPr>
                <w:noProof/>
                <w:webHidden/>
              </w:rPr>
              <w:t>4</w:t>
            </w:r>
            <w:r>
              <w:rPr>
                <w:noProof/>
                <w:webHidden/>
              </w:rPr>
              <w:fldChar w:fldCharType="end"/>
            </w:r>
          </w:hyperlink>
        </w:p>
        <w:p w14:paraId="4D2F0EDD" w14:textId="10ACBA58" w:rsidR="00270223" w:rsidRDefault="00270223">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97980143" w:history="1">
            <w:r w:rsidRPr="009D5381">
              <w:rPr>
                <w:rStyle w:val="Hyperlink"/>
                <w:noProof/>
              </w:rPr>
              <w:t>2.4.</w:t>
            </w:r>
            <w:r>
              <w:rPr>
                <w:rFonts w:asciiTheme="minorHAnsi" w:eastAsiaTheme="minorEastAsia" w:hAnsiTheme="minorHAnsi"/>
                <w:noProof/>
                <w:kern w:val="2"/>
                <w:sz w:val="24"/>
                <w:szCs w:val="24"/>
                <w:lang w:eastAsia="en-GB"/>
                <w14:ligatures w14:val="standardContextual"/>
              </w:rPr>
              <w:tab/>
            </w:r>
            <w:r w:rsidRPr="009D5381">
              <w:rPr>
                <w:rStyle w:val="Hyperlink"/>
                <w:noProof/>
              </w:rPr>
              <w:t>Final Recommendation</w:t>
            </w:r>
            <w:r>
              <w:rPr>
                <w:noProof/>
                <w:webHidden/>
              </w:rPr>
              <w:tab/>
            </w:r>
            <w:r>
              <w:rPr>
                <w:noProof/>
                <w:webHidden/>
              </w:rPr>
              <w:fldChar w:fldCharType="begin"/>
            </w:r>
            <w:r>
              <w:rPr>
                <w:noProof/>
                <w:webHidden/>
              </w:rPr>
              <w:instrText xml:space="preserve"> PAGEREF _Toc197980143 \h </w:instrText>
            </w:r>
            <w:r>
              <w:rPr>
                <w:noProof/>
                <w:webHidden/>
              </w:rPr>
            </w:r>
            <w:r>
              <w:rPr>
                <w:noProof/>
                <w:webHidden/>
              </w:rPr>
              <w:fldChar w:fldCharType="separate"/>
            </w:r>
            <w:r>
              <w:rPr>
                <w:noProof/>
                <w:webHidden/>
              </w:rPr>
              <w:t>4</w:t>
            </w:r>
            <w:r>
              <w:rPr>
                <w:noProof/>
                <w:webHidden/>
              </w:rPr>
              <w:fldChar w:fldCharType="end"/>
            </w:r>
          </w:hyperlink>
        </w:p>
        <w:p w14:paraId="215A0AC1" w14:textId="2DFC4A07" w:rsidR="00270223" w:rsidRDefault="00270223">
          <w:pPr>
            <w:pStyle w:val="TOC1"/>
            <w:tabs>
              <w:tab w:val="left" w:pos="480"/>
              <w:tab w:val="right" w:leader="dot" w:pos="9016"/>
            </w:tabs>
            <w:rPr>
              <w:rFonts w:asciiTheme="minorHAnsi" w:eastAsiaTheme="minorEastAsia" w:hAnsiTheme="minorHAnsi"/>
              <w:noProof/>
              <w:kern w:val="2"/>
              <w:sz w:val="24"/>
              <w:szCs w:val="24"/>
              <w:lang w:eastAsia="en-GB"/>
              <w14:ligatures w14:val="standardContextual"/>
            </w:rPr>
          </w:pPr>
          <w:hyperlink w:anchor="_Toc197980144" w:history="1">
            <w:r w:rsidRPr="009D5381">
              <w:rPr>
                <w:rStyle w:val="Hyperlink"/>
                <w:noProof/>
              </w:rPr>
              <w:t>3.</w:t>
            </w:r>
            <w:r>
              <w:rPr>
                <w:rFonts w:asciiTheme="minorHAnsi" w:eastAsiaTheme="minorEastAsia" w:hAnsiTheme="minorHAnsi"/>
                <w:noProof/>
                <w:kern w:val="2"/>
                <w:sz w:val="24"/>
                <w:szCs w:val="24"/>
                <w:lang w:eastAsia="en-GB"/>
                <w14:ligatures w14:val="standardContextual"/>
              </w:rPr>
              <w:tab/>
            </w:r>
            <w:r w:rsidRPr="009D5381">
              <w:rPr>
                <w:rStyle w:val="Hyperlink"/>
                <w:noProof/>
              </w:rPr>
              <w:t>Section 2 – JCT vs NEC Contract Comparison</w:t>
            </w:r>
            <w:r>
              <w:rPr>
                <w:noProof/>
                <w:webHidden/>
              </w:rPr>
              <w:tab/>
            </w:r>
            <w:r>
              <w:rPr>
                <w:noProof/>
                <w:webHidden/>
              </w:rPr>
              <w:fldChar w:fldCharType="begin"/>
            </w:r>
            <w:r>
              <w:rPr>
                <w:noProof/>
                <w:webHidden/>
              </w:rPr>
              <w:instrText xml:space="preserve"> PAGEREF _Toc197980144 \h </w:instrText>
            </w:r>
            <w:r>
              <w:rPr>
                <w:noProof/>
                <w:webHidden/>
              </w:rPr>
            </w:r>
            <w:r>
              <w:rPr>
                <w:noProof/>
                <w:webHidden/>
              </w:rPr>
              <w:fldChar w:fldCharType="separate"/>
            </w:r>
            <w:r>
              <w:rPr>
                <w:noProof/>
                <w:webHidden/>
              </w:rPr>
              <w:t>5</w:t>
            </w:r>
            <w:r>
              <w:rPr>
                <w:noProof/>
                <w:webHidden/>
              </w:rPr>
              <w:fldChar w:fldCharType="end"/>
            </w:r>
          </w:hyperlink>
        </w:p>
        <w:p w14:paraId="165B591F" w14:textId="10B6E3CA" w:rsidR="00270223" w:rsidRDefault="00270223">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97980145" w:history="1">
            <w:r w:rsidRPr="009D5381">
              <w:rPr>
                <w:rStyle w:val="Hyperlink"/>
                <w:noProof/>
              </w:rPr>
              <w:t>3.1.</w:t>
            </w:r>
            <w:r>
              <w:rPr>
                <w:rFonts w:asciiTheme="minorHAnsi" w:eastAsiaTheme="minorEastAsia" w:hAnsiTheme="minorHAnsi"/>
                <w:noProof/>
                <w:kern w:val="2"/>
                <w:sz w:val="24"/>
                <w:szCs w:val="24"/>
                <w:lang w:eastAsia="en-GB"/>
                <w14:ligatures w14:val="standardContextual"/>
              </w:rPr>
              <w:tab/>
            </w:r>
            <w:r w:rsidRPr="009D5381">
              <w:rPr>
                <w:rStyle w:val="Hyperlink"/>
                <w:noProof/>
              </w:rPr>
              <w:t>Overview of JCT and NEC Contracts</w:t>
            </w:r>
            <w:r>
              <w:rPr>
                <w:noProof/>
                <w:webHidden/>
              </w:rPr>
              <w:tab/>
            </w:r>
            <w:r>
              <w:rPr>
                <w:noProof/>
                <w:webHidden/>
              </w:rPr>
              <w:fldChar w:fldCharType="begin"/>
            </w:r>
            <w:r>
              <w:rPr>
                <w:noProof/>
                <w:webHidden/>
              </w:rPr>
              <w:instrText xml:space="preserve"> PAGEREF _Toc197980145 \h </w:instrText>
            </w:r>
            <w:r>
              <w:rPr>
                <w:noProof/>
                <w:webHidden/>
              </w:rPr>
            </w:r>
            <w:r>
              <w:rPr>
                <w:noProof/>
                <w:webHidden/>
              </w:rPr>
              <w:fldChar w:fldCharType="separate"/>
            </w:r>
            <w:r>
              <w:rPr>
                <w:noProof/>
                <w:webHidden/>
              </w:rPr>
              <w:t>5</w:t>
            </w:r>
            <w:r>
              <w:rPr>
                <w:noProof/>
                <w:webHidden/>
              </w:rPr>
              <w:fldChar w:fldCharType="end"/>
            </w:r>
          </w:hyperlink>
        </w:p>
        <w:p w14:paraId="4976A6EB" w14:textId="5CD77BF2" w:rsidR="00270223" w:rsidRDefault="00270223">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97980146" w:history="1">
            <w:r w:rsidRPr="009D5381">
              <w:rPr>
                <w:rStyle w:val="Hyperlink"/>
                <w:noProof/>
              </w:rPr>
              <w:t>3.2.</w:t>
            </w:r>
            <w:r>
              <w:rPr>
                <w:rFonts w:asciiTheme="minorHAnsi" w:eastAsiaTheme="minorEastAsia" w:hAnsiTheme="minorHAnsi"/>
                <w:noProof/>
                <w:kern w:val="2"/>
                <w:sz w:val="24"/>
                <w:szCs w:val="24"/>
                <w:lang w:eastAsia="en-GB"/>
                <w14:ligatures w14:val="standardContextual"/>
              </w:rPr>
              <w:tab/>
            </w:r>
            <w:r w:rsidRPr="009D5381">
              <w:rPr>
                <w:rStyle w:val="Hyperlink"/>
                <w:noProof/>
              </w:rPr>
              <w:t>Comparison</w:t>
            </w:r>
            <w:r>
              <w:rPr>
                <w:noProof/>
                <w:webHidden/>
              </w:rPr>
              <w:tab/>
            </w:r>
            <w:r>
              <w:rPr>
                <w:noProof/>
                <w:webHidden/>
              </w:rPr>
              <w:fldChar w:fldCharType="begin"/>
            </w:r>
            <w:r>
              <w:rPr>
                <w:noProof/>
                <w:webHidden/>
              </w:rPr>
              <w:instrText xml:space="preserve"> PAGEREF _Toc197980146 \h </w:instrText>
            </w:r>
            <w:r>
              <w:rPr>
                <w:noProof/>
                <w:webHidden/>
              </w:rPr>
            </w:r>
            <w:r>
              <w:rPr>
                <w:noProof/>
                <w:webHidden/>
              </w:rPr>
              <w:fldChar w:fldCharType="separate"/>
            </w:r>
            <w:r>
              <w:rPr>
                <w:noProof/>
                <w:webHidden/>
              </w:rPr>
              <w:t>5</w:t>
            </w:r>
            <w:r>
              <w:rPr>
                <w:noProof/>
                <w:webHidden/>
              </w:rPr>
              <w:fldChar w:fldCharType="end"/>
            </w:r>
          </w:hyperlink>
        </w:p>
        <w:p w14:paraId="67EE6919" w14:textId="08E5DBEA" w:rsidR="00270223" w:rsidRDefault="00270223">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97980147" w:history="1">
            <w:r w:rsidRPr="009D5381">
              <w:rPr>
                <w:rStyle w:val="Hyperlink"/>
                <w:noProof/>
              </w:rPr>
              <w:t>3.3.</w:t>
            </w:r>
            <w:r>
              <w:rPr>
                <w:rFonts w:asciiTheme="minorHAnsi" w:eastAsiaTheme="minorEastAsia" w:hAnsiTheme="minorHAnsi"/>
                <w:noProof/>
                <w:kern w:val="2"/>
                <w:sz w:val="24"/>
                <w:szCs w:val="24"/>
                <w:lang w:eastAsia="en-GB"/>
                <w14:ligatures w14:val="standardContextual"/>
              </w:rPr>
              <w:tab/>
            </w:r>
            <w:r w:rsidRPr="009D5381">
              <w:rPr>
                <w:rStyle w:val="Hyperlink"/>
                <w:noProof/>
              </w:rPr>
              <w:t>Recommendation</w:t>
            </w:r>
            <w:r>
              <w:rPr>
                <w:noProof/>
                <w:webHidden/>
              </w:rPr>
              <w:tab/>
            </w:r>
            <w:r>
              <w:rPr>
                <w:noProof/>
                <w:webHidden/>
              </w:rPr>
              <w:fldChar w:fldCharType="begin"/>
            </w:r>
            <w:r>
              <w:rPr>
                <w:noProof/>
                <w:webHidden/>
              </w:rPr>
              <w:instrText xml:space="preserve"> PAGEREF _Toc197980147 \h </w:instrText>
            </w:r>
            <w:r>
              <w:rPr>
                <w:noProof/>
                <w:webHidden/>
              </w:rPr>
            </w:r>
            <w:r>
              <w:rPr>
                <w:noProof/>
                <w:webHidden/>
              </w:rPr>
              <w:fldChar w:fldCharType="separate"/>
            </w:r>
            <w:r>
              <w:rPr>
                <w:noProof/>
                <w:webHidden/>
              </w:rPr>
              <w:t>7</w:t>
            </w:r>
            <w:r>
              <w:rPr>
                <w:noProof/>
                <w:webHidden/>
              </w:rPr>
              <w:fldChar w:fldCharType="end"/>
            </w:r>
          </w:hyperlink>
        </w:p>
        <w:p w14:paraId="4042DB38" w14:textId="27B96236" w:rsidR="00270223" w:rsidRDefault="00270223">
          <w:pPr>
            <w:pStyle w:val="TOC1"/>
            <w:tabs>
              <w:tab w:val="left" w:pos="480"/>
              <w:tab w:val="right" w:leader="dot" w:pos="9016"/>
            </w:tabs>
            <w:rPr>
              <w:rFonts w:asciiTheme="minorHAnsi" w:eastAsiaTheme="minorEastAsia" w:hAnsiTheme="minorHAnsi"/>
              <w:noProof/>
              <w:kern w:val="2"/>
              <w:sz w:val="24"/>
              <w:szCs w:val="24"/>
              <w:lang w:eastAsia="en-GB"/>
              <w14:ligatures w14:val="standardContextual"/>
            </w:rPr>
          </w:pPr>
          <w:hyperlink w:anchor="_Toc197980148" w:history="1">
            <w:r w:rsidRPr="009D5381">
              <w:rPr>
                <w:rStyle w:val="Hyperlink"/>
                <w:noProof/>
              </w:rPr>
              <w:t>4.</w:t>
            </w:r>
            <w:r>
              <w:rPr>
                <w:rFonts w:asciiTheme="minorHAnsi" w:eastAsiaTheme="minorEastAsia" w:hAnsiTheme="minorHAnsi"/>
                <w:noProof/>
                <w:kern w:val="2"/>
                <w:sz w:val="24"/>
                <w:szCs w:val="24"/>
                <w:lang w:eastAsia="en-GB"/>
                <w14:ligatures w14:val="standardContextual"/>
              </w:rPr>
              <w:tab/>
            </w:r>
            <w:r w:rsidRPr="009D5381">
              <w:rPr>
                <w:rStyle w:val="Hyperlink"/>
                <w:noProof/>
              </w:rPr>
              <w:t>Conclusion</w:t>
            </w:r>
            <w:r>
              <w:rPr>
                <w:noProof/>
                <w:webHidden/>
              </w:rPr>
              <w:tab/>
            </w:r>
            <w:r>
              <w:rPr>
                <w:noProof/>
                <w:webHidden/>
              </w:rPr>
              <w:fldChar w:fldCharType="begin"/>
            </w:r>
            <w:r>
              <w:rPr>
                <w:noProof/>
                <w:webHidden/>
              </w:rPr>
              <w:instrText xml:space="preserve"> PAGEREF _Toc197980148 \h </w:instrText>
            </w:r>
            <w:r>
              <w:rPr>
                <w:noProof/>
                <w:webHidden/>
              </w:rPr>
            </w:r>
            <w:r>
              <w:rPr>
                <w:noProof/>
                <w:webHidden/>
              </w:rPr>
              <w:fldChar w:fldCharType="separate"/>
            </w:r>
            <w:r>
              <w:rPr>
                <w:noProof/>
                <w:webHidden/>
              </w:rPr>
              <w:t>7</w:t>
            </w:r>
            <w:r>
              <w:rPr>
                <w:noProof/>
                <w:webHidden/>
              </w:rPr>
              <w:fldChar w:fldCharType="end"/>
            </w:r>
          </w:hyperlink>
        </w:p>
        <w:p w14:paraId="5FE0C5D7" w14:textId="36207EF1" w:rsidR="00270223" w:rsidRDefault="00270223">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97980149" w:history="1">
            <w:r w:rsidRPr="009D5381">
              <w:rPr>
                <w:rStyle w:val="Hyperlink"/>
                <w:noProof/>
              </w:rPr>
              <w:t>Reference List</w:t>
            </w:r>
            <w:r>
              <w:rPr>
                <w:noProof/>
                <w:webHidden/>
              </w:rPr>
              <w:tab/>
            </w:r>
            <w:r>
              <w:rPr>
                <w:noProof/>
                <w:webHidden/>
              </w:rPr>
              <w:fldChar w:fldCharType="begin"/>
            </w:r>
            <w:r>
              <w:rPr>
                <w:noProof/>
                <w:webHidden/>
              </w:rPr>
              <w:instrText xml:space="preserve"> PAGEREF _Toc197980149 \h </w:instrText>
            </w:r>
            <w:r>
              <w:rPr>
                <w:noProof/>
                <w:webHidden/>
              </w:rPr>
            </w:r>
            <w:r>
              <w:rPr>
                <w:noProof/>
                <w:webHidden/>
              </w:rPr>
              <w:fldChar w:fldCharType="separate"/>
            </w:r>
            <w:r>
              <w:rPr>
                <w:noProof/>
                <w:webHidden/>
              </w:rPr>
              <w:t>8</w:t>
            </w:r>
            <w:r>
              <w:rPr>
                <w:noProof/>
                <w:webHidden/>
              </w:rPr>
              <w:fldChar w:fldCharType="end"/>
            </w:r>
          </w:hyperlink>
        </w:p>
        <w:p w14:paraId="29C845DC" w14:textId="4D12A26B" w:rsidR="00F558FF" w:rsidRDefault="00F558FF">
          <w:r>
            <w:rPr>
              <w:b/>
              <w:bCs/>
            </w:rPr>
            <w:fldChar w:fldCharType="end"/>
          </w:r>
        </w:p>
      </w:sdtContent>
    </w:sdt>
    <w:p w14:paraId="66B00E46" w14:textId="41A5BE44" w:rsidR="00F558FF" w:rsidRDefault="00F558FF">
      <w:r>
        <w:br w:type="page"/>
      </w:r>
    </w:p>
    <w:p w14:paraId="32E4DC8C" w14:textId="725E8F74" w:rsidR="003C474E" w:rsidRDefault="00952A6B" w:rsidP="0013529C">
      <w:pPr>
        <w:pStyle w:val="Heading1"/>
        <w:numPr>
          <w:ilvl w:val="0"/>
          <w:numId w:val="3"/>
        </w:numPr>
      </w:pPr>
      <w:bookmarkStart w:id="0" w:name="_Toc197980138"/>
      <w:r w:rsidRPr="0013529C">
        <w:lastRenderedPageBreak/>
        <w:t>Introduction</w:t>
      </w:r>
      <w:bookmarkEnd w:id="0"/>
    </w:p>
    <w:p w14:paraId="1E8584BA" w14:textId="77777777" w:rsidR="00D7039E" w:rsidRDefault="00D7039E" w:rsidP="00D7039E">
      <w:r w:rsidRPr="00D7039E">
        <w:t>The success of a construction project often depends on selecting a procurement strategy and contract type that align with the client’s goals, risk tolerance, and experience level (Morledge and Smith, 2013; RICS, 2023). In this case, the developer plans to build 25 mid-specification apartments in Swansea SA1, with planning approval already secured. The client’s priorities are rapid completion combined with a low-risk and straightforward delivery approach due to their limited experience.</w:t>
      </w:r>
    </w:p>
    <w:p w14:paraId="15423633" w14:textId="77777777" w:rsidR="00D7039E" w:rsidRDefault="00D7039E" w:rsidP="00D7039E">
      <w:r w:rsidRPr="00D7039E">
        <w:t>This report evaluates three common procurement routes in UK construction—Traditional, Design and Build, and Management Contracting—focusing on speed, cost control, and client involvement. A recommendation is provided on the most suitable route, supported by industry and academic sources.</w:t>
      </w:r>
    </w:p>
    <w:p w14:paraId="5AADB067" w14:textId="0C723AB0" w:rsidR="00BE12B3" w:rsidRPr="00D7039E" w:rsidRDefault="00D7039E" w:rsidP="00D7039E">
      <w:r w:rsidRPr="00D7039E">
        <w:t>Additionally, the report compares two standard form contracts—JCT Design and Build 2016 and the NEC4 Engineering and Construction Contract—to identify the most suitable option for managing risk and simplicity in fast-track residential developments. The recommendations reflect best practices and are tailored to inexperienced clients in small-to-medium-sized private projects.</w:t>
      </w:r>
    </w:p>
    <w:p w14:paraId="21E67575" w14:textId="16EEA5EC" w:rsidR="00BA14FB" w:rsidRPr="000561A8" w:rsidRDefault="00761305" w:rsidP="0013529C">
      <w:pPr>
        <w:pStyle w:val="Heading1"/>
        <w:numPr>
          <w:ilvl w:val="0"/>
          <w:numId w:val="3"/>
        </w:numPr>
      </w:pPr>
      <w:bookmarkStart w:id="1" w:name="_Toc197980139"/>
      <w:r w:rsidRPr="000561A8">
        <w:t>Section 1 – Procurement Route Evaluation &amp; Recommendation</w:t>
      </w:r>
      <w:bookmarkEnd w:id="1"/>
    </w:p>
    <w:p w14:paraId="2BE8E734" w14:textId="05CC180A" w:rsidR="00761305" w:rsidRDefault="00DB286E" w:rsidP="009B52F2">
      <w:pPr>
        <w:pStyle w:val="Heading2"/>
        <w:numPr>
          <w:ilvl w:val="1"/>
          <w:numId w:val="3"/>
        </w:numPr>
      </w:pPr>
      <w:bookmarkStart w:id="2" w:name="_Toc197980140"/>
      <w:r>
        <w:t xml:space="preserve">Overview </w:t>
      </w:r>
      <w:r w:rsidRPr="0013529C">
        <w:t>of</w:t>
      </w:r>
      <w:r>
        <w:t xml:space="preserve"> the Procurement in UK residential projects</w:t>
      </w:r>
      <w:bookmarkEnd w:id="2"/>
    </w:p>
    <w:p w14:paraId="7CA04434" w14:textId="1B8BBD6A" w:rsidR="00C736DD" w:rsidRDefault="00C736DD" w:rsidP="00C736DD">
      <w:r>
        <w:t>In UK construction, procurement defines the method by which a client organises and contracts the design, supply, and construction processes to deliver a project. It plays a crucial role in determining how risk, responsibility, and control are distributed between the client, contractor, and consultants (CIOB, 2010). The selection of a procurement strategy influences project outcomes such as cost certainty, build quality, delivery speed, and contractual complexity.</w:t>
      </w:r>
    </w:p>
    <w:p w14:paraId="7056670D" w14:textId="0AD2AA41" w:rsidR="00C736DD" w:rsidRDefault="00C736DD" w:rsidP="00C736DD">
      <w:r>
        <w:t>The most widely adopted procurement routes in residential development include Traditional, Design and Build, and Management Contracting. Each approach reflects differing priorities and requires varying levels of client involvement. As noted by Designing Buildings Wiki (2023), these methods dominate UK project delivery due to their flexibility and alignment with project size, complexity, and client experience.</w:t>
      </w:r>
    </w:p>
    <w:p w14:paraId="7003E1FA" w14:textId="3DBC535C" w:rsidR="00C736DD" w:rsidRPr="00C736DD" w:rsidRDefault="00C736DD" w:rsidP="00C736DD">
      <w:r>
        <w:t>For a developer with limited construction experience and an urgent requirement for speed—as in this case—procurement must not only enable fast-track delivery but also minimise management burden and risk exposure. Industry guidance stresses that aligning procurement strategy with client capability is essential, particularly in private residential development (</w:t>
      </w:r>
      <w:proofErr w:type="spellStart"/>
      <w:r>
        <w:t>Bolomope</w:t>
      </w:r>
      <w:proofErr w:type="spellEnd"/>
      <w:r>
        <w:t xml:space="preserve"> et al., 2022). This section evaluates the three most relevant routes, leading to a recommendation tailored to the Swansea SA1 apartment scheme.</w:t>
      </w:r>
    </w:p>
    <w:p w14:paraId="266D2CC5" w14:textId="227A6B8B" w:rsidR="0013529C" w:rsidRDefault="001B1F02" w:rsidP="001B1F02">
      <w:pPr>
        <w:pStyle w:val="Heading2"/>
        <w:numPr>
          <w:ilvl w:val="1"/>
          <w:numId w:val="3"/>
        </w:numPr>
      </w:pPr>
      <w:bookmarkStart w:id="3" w:name="_Toc197980141"/>
      <w:r>
        <w:t>Evaluation of the 3 Routes</w:t>
      </w:r>
      <w:bookmarkEnd w:id="3"/>
    </w:p>
    <w:p w14:paraId="0A0F0D47" w14:textId="77777777" w:rsidR="007E5089" w:rsidRDefault="007E5089" w:rsidP="007E5089">
      <w:r w:rsidRPr="007E5089">
        <w:t>The Design and Build (D&amp;B) procurement route involves a single contractor overseeing both design and construction, based on the client’s outline brief or Employer’s Requirements (Designing Buildings Wiki, 2023). This integrated approach allows design and construction phases to overlap, expediting delivery—a critical factor for the Swansea apartment project. RIBA (2020) highlights D&amp;B’s programme certainty, making it popular in speculative residential development. Additionally, the single point of responsibility reduces management complexity and disputes, which is particularly helpful for inexperienced clients (</w:t>
      </w:r>
      <w:proofErr w:type="spellStart"/>
      <w:r w:rsidRPr="007E5089">
        <w:t>Bolomope</w:t>
      </w:r>
      <w:proofErr w:type="spellEnd"/>
      <w:r w:rsidRPr="007E5089">
        <w:t xml:space="preserve"> et al., 2022).</w:t>
      </w:r>
    </w:p>
    <w:p w14:paraId="121A9745" w14:textId="77777777" w:rsidR="007E5089" w:rsidRDefault="007E5089" w:rsidP="007E5089">
      <w:r w:rsidRPr="007E5089">
        <w:lastRenderedPageBreak/>
        <w:t>D&amp;B enables early cost certainty, with contractors agreeing on a lump-sum price before construction begins, mitigating financial risk. However, clients may sacrifice control over design quality if contractors prioritise cost-saving measures (CIOB, 2014). Engaging an Employer’s Agent can help preserve key design elements. Overall, D&amp;B aligns well with this project: it supports rapid delivery, offers budget clarity, and relieves the client’s management burden.</w:t>
      </w:r>
    </w:p>
    <w:p w14:paraId="386419A6" w14:textId="77777777" w:rsidR="007E5089" w:rsidRDefault="007E5089" w:rsidP="007E5089">
      <w:r w:rsidRPr="007E5089">
        <w:t>Management Contracting, conversely, involves appointing a management contractor to coordinate works while trade contractors undertake construction, allowing for early site commencement and mid-project design adjustments (Designing Buildings Wiki, 2023). Though this approach offers flexibility, it places greater administrative responsibility and financial risk on the client. Cost certainty is limited until later stages, leaving inexperienced clients vulnerable to overruns (RICS, 2023). While suitable for complex builds managed by experienced teams, it is ill-suited to the Swansea development due to the client’s limited expertise and need for speed (</w:t>
      </w:r>
      <w:proofErr w:type="spellStart"/>
      <w:r w:rsidRPr="007E5089">
        <w:t>Bolomope</w:t>
      </w:r>
      <w:proofErr w:type="spellEnd"/>
      <w:r w:rsidRPr="007E5089">
        <w:t xml:space="preserve"> et al., 2022).</w:t>
      </w:r>
    </w:p>
    <w:p w14:paraId="3C865F53" w14:textId="23D1883C" w:rsidR="009628E9" w:rsidRPr="007E5089" w:rsidRDefault="007E5089" w:rsidP="007E5089">
      <w:r w:rsidRPr="007E5089">
        <w:t>Given the project’s scope and client profile, Design and Build remains the most suitable procurement route, delivering efficiency, reducing risks, and simplifying delivery.</w:t>
      </w:r>
    </w:p>
    <w:p w14:paraId="3C42E531" w14:textId="5A8EFB3B" w:rsidR="000B5FA7" w:rsidRDefault="005E4466" w:rsidP="000B5FA7">
      <w:pPr>
        <w:pStyle w:val="Heading2"/>
        <w:numPr>
          <w:ilvl w:val="1"/>
          <w:numId w:val="3"/>
        </w:numPr>
      </w:pPr>
      <w:bookmarkStart w:id="4" w:name="_Toc197980142"/>
      <w:r>
        <w:t xml:space="preserve">Comparison </w:t>
      </w:r>
      <w:r w:rsidR="00FE6841" w:rsidRPr="00FE6841">
        <w:t>of Procurement Routes</w:t>
      </w:r>
      <w:bookmarkEnd w:id="4"/>
    </w:p>
    <w:tbl>
      <w:tblPr>
        <w:tblStyle w:val="PlainTable1"/>
        <w:tblW w:w="0" w:type="auto"/>
        <w:tblLook w:val="0420" w:firstRow="1" w:lastRow="0" w:firstColumn="0" w:lastColumn="0" w:noHBand="0" w:noVBand="1"/>
      </w:tblPr>
      <w:tblGrid>
        <w:gridCol w:w="1502"/>
        <w:gridCol w:w="1502"/>
        <w:gridCol w:w="1503"/>
        <w:gridCol w:w="1503"/>
        <w:gridCol w:w="1503"/>
        <w:gridCol w:w="1503"/>
      </w:tblGrid>
      <w:tr w:rsidR="000B5FA7" w:rsidRPr="000B5FA7" w14:paraId="58A95F76" w14:textId="77777777" w:rsidTr="00FE6841">
        <w:trPr>
          <w:cnfStyle w:val="100000000000" w:firstRow="1" w:lastRow="0" w:firstColumn="0" w:lastColumn="0" w:oddVBand="0" w:evenVBand="0" w:oddHBand="0" w:evenHBand="0" w:firstRowFirstColumn="0" w:firstRowLastColumn="0" w:lastRowFirstColumn="0" w:lastRowLastColumn="0"/>
        </w:trPr>
        <w:tc>
          <w:tcPr>
            <w:tcW w:w="1502" w:type="dxa"/>
          </w:tcPr>
          <w:p w14:paraId="284BD433" w14:textId="74C0051C" w:rsidR="000B5FA7" w:rsidRPr="000B5FA7" w:rsidRDefault="000B5FA7" w:rsidP="000B5FA7">
            <w:r>
              <w:t>Procurement Route</w:t>
            </w:r>
          </w:p>
        </w:tc>
        <w:tc>
          <w:tcPr>
            <w:tcW w:w="1502" w:type="dxa"/>
          </w:tcPr>
          <w:p w14:paraId="00187149" w14:textId="0590FBCF" w:rsidR="000B5FA7" w:rsidRPr="000B5FA7" w:rsidRDefault="000B5FA7" w:rsidP="000B5FA7">
            <w:r>
              <w:t>Speed</w:t>
            </w:r>
          </w:p>
        </w:tc>
        <w:tc>
          <w:tcPr>
            <w:tcW w:w="1503" w:type="dxa"/>
          </w:tcPr>
          <w:p w14:paraId="44BEBF4E" w14:textId="2618F8C3" w:rsidR="000B5FA7" w:rsidRPr="000B5FA7" w:rsidRDefault="000B5FA7" w:rsidP="000B5FA7">
            <w:r>
              <w:t>Cost Control</w:t>
            </w:r>
          </w:p>
        </w:tc>
        <w:tc>
          <w:tcPr>
            <w:tcW w:w="1503" w:type="dxa"/>
          </w:tcPr>
          <w:p w14:paraId="64BDFF9B" w14:textId="270C0C09" w:rsidR="000B5FA7" w:rsidRPr="000B5FA7" w:rsidRDefault="000B5FA7" w:rsidP="000B5FA7">
            <w:r>
              <w:t>Risk Allocation</w:t>
            </w:r>
          </w:p>
        </w:tc>
        <w:tc>
          <w:tcPr>
            <w:tcW w:w="1503" w:type="dxa"/>
          </w:tcPr>
          <w:p w14:paraId="6803D6D7" w14:textId="14367BC8" w:rsidR="000B5FA7" w:rsidRPr="000B5FA7" w:rsidRDefault="000B5FA7" w:rsidP="000B5FA7">
            <w:r>
              <w:t>Client Expertise Required</w:t>
            </w:r>
          </w:p>
        </w:tc>
        <w:tc>
          <w:tcPr>
            <w:tcW w:w="1503" w:type="dxa"/>
          </w:tcPr>
          <w:p w14:paraId="7655E7C5" w14:textId="09375837" w:rsidR="000B5FA7" w:rsidRPr="000B5FA7" w:rsidRDefault="000B5FA7" w:rsidP="000B5FA7">
            <w:r>
              <w:t>Suitability for Swansea SA1</w:t>
            </w:r>
          </w:p>
        </w:tc>
      </w:tr>
      <w:tr w:rsidR="000B5FA7" w:rsidRPr="000B5FA7" w14:paraId="5043D311" w14:textId="77777777" w:rsidTr="00FE6841">
        <w:trPr>
          <w:cnfStyle w:val="000000100000" w:firstRow="0" w:lastRow="0" w:firstColumn="0" w:lastColumn="0" w:oddVBand="0" w:evenVBand="0" w:oddHBand="1" w:evenHBand="0" w:firstRowFirstColumn="0" w:firstRowLastColumn="0" w:lastRowFirstColumn="0" w:lastRowLastColumn="0"/>
        </w:trPr>
        <w:tc>
          <w:tcPr>
            <w:tcW w:w="1502" w:type="dxa"/>
          </w:tcPr>
          <w:p w14:paraId="556A25F8" w14:textId="550525D1" w:rsidR="000B5FA7" w:rsidRDefault="000B5FA7" w:rsidP="000B5FA7">
            <w:r>
              <w:t>Design and Build (D&amp;B)</w:t>
            </w:r>
          </w:p>
        </w:tc>
        <w:tc>
          <w:tcPr>
            <w:tcW w:w="1502" w:type="dxa"/>
          </w:tcPr>
          <w:p w14:paraId="643F6FC3" w14:textId="41889951" w:rsidR="000B5FA7" w:rsidRDefault="000B5FA7" w:rsidP="000B5FA7">
            <w:r>
              <w:t>Fast</w:t>
            </w:r>
          </w:p>
        </w:tc>
        <w:tc>
          <w:tcPr>
            <w:tcW w:w="1503" w:type="dxa"/>
          </w:tcPr>
          <w:p w14:paraId="70AF7AE2" w14:textId="306EA2D3" w:rsidR="000B5FA7" w:rsidRDefault="000B5FA7" w:rsidP="000B5FA7">
            <w:r>
              <w:t>Early cost certainty</w:t>
            </w:r>
          </w:p>
        </w:tc>
        <w:tc>
          <w:tcPr>
            <w:tcW w:w="1503" w:type="dxa"/>
          </w:tcPr>
          <w:p w14:paraId="170A1149" w14:textId="1F694FCC" w:rsidR="000B5FA7" w:rsidRDefault="000B5FA7" w:rsidP="000B5FA7">
            <w:r>
              <w:t>Single contractor</w:t>
            </w:r>
          </w:p>
        </w:tc>
        <w:tc>
          <w:tcPr>
            <w:tcW w:w="1503" w:type="dxa"/>
          </w:tcPr>
          <w:p w14:paraId="7845E79F" w14:textId="2627021A" w:rsidR="000B5FA7" w:rsidRDefault="000B5FA7" w:rsidP="000B5FA7">
            <w:r>
              <w:t>Low</w:t>
            </w:r>
          </w:p>
        </w:tc>
        <w:tc>
          <w:tcPr>
            <w:tcW w:w="1503" w:type="dxa"/>
          </w:tcPr>
          <w:p w14:paraId="2CD3B141" w14:textId="418873BD" w:rsidR="000B5FA7" w:rsidRDefault="000B5FA7" w:rsidP="000B5FA7">
            <w:r>
              <w:t>Most appropriate</w:t>
            </w:r>
          </w:p>
        </w:tc>
      </w:tr>
      <w:tr w:rsidR="000B5FA7" w:rsidRPr="000B5FA7" w14:paraId="45D5F713" w14:textId="77777777" w:rsidTr="00FE6841">
        <w:tc>
          <w:tcPr>
            <w:tcW w:w="1502" w:type="dxa"/>
          </w:tcPr>
          <w:p w14:paraId="559B282D" w14:textId="3C7476F5" w:rsidR="000B5FA7" w:rsidRDefault="000B5FA7" w:rsidP="000B5FA7">
            <w:r>
              <w:t>Traditional</w:t>
            </w:r>
          </w:p>
        </w:tc>
        <w:tc>
          <w:tcPr>
            <w:tcW w:w="1502" w:type="dxa"/>
          </w:tcPr>
          <w:p w14:paraId="3C611D31" w14:textId="5B0473C9" w:rsidR="000B5FA7" w:rsidRDefault="000B5FA7" w:rsidP="000B5FA7">
            <w:r>
              <w:t>Slower</w:t>
            </w:r>
          </w:p>
        </w:tc>
        <w:tc>
          <w:tcPr>
            <w:tcW w:w="1503" w:type="dxa"/>
          </w:tcPr>
          <w:p w14:paraId="74A9A848" w14:textId="54DADD9B" w:rsidR="000B5FA7" w:rsidRDefault="000B5FA7" w:rsidP="000B5FA7">
            <w:r>
              <w:t>High design control, cost certainty at tender</w:t>
            </w:r>
          </w:p>
        </w:tc>
        <w:tc>
          <w:tcPr>
            <w:tcW w:w="1503" w:type="dxa"/>
          </w:tcPr>
          <w:p w14:paraId="2BA9B6F0" w14:textId="6B745940" w:rsidR="000B5FA7" w:rsidRDefault="000B5FA7" w:rsidP="000B5FA7">
            <w:r>
              <w:t>Separate contracts</w:t>
            </w:r>
          </w:p>
        </w:tc>
        <w:tc>
          <w:tcPr>
            <w:tcW w:w="1503" w:type="dxa"/>
          </w:tcPr>
          <w:p w14:paraId="28DBD481" w14:textId="6990D333" w:rsidR="000B5FA7" w:rsidRDefault="000B5FA7" w:rsidP="000B5FA7">
            <w:r>
              <w:t>High</w:t>
            </w:r>
          </w:p>
        </w:tc>
        <w:tc>
          <w:tcPr>
            <w:tcW w:w="1503" w:type="dxa"/>
          </w:tcPr>
          <w:p w14:paraId="14741F00" w14:textId="74033B8B" w:rsidR="000B5FA7" w:rsidRDefault="000B5FA7" w:rsidP="000B5FA7">
            <w:r>
              <w:t>Less suitable</w:t>
            </w:r>
          </w:p>
        </w:tc>
      </w:tr>
      <w:tr w:rsidR="000B5FA7" w:rsidRPr="000B5FA7" w14:paraId="15FD1C9C" w14:textId="77777777" w:rsidTr="00FE6841">
        <w:trPr>
          <w:cnfStyle w:val="000000100000" w:firstRow="0" w:lastRow="0" w:firstColumn="0" w:lastColumn="0" w:oddVBand="0" w:evenVBand="0" w:oddHBand="1" w:evenHBand="0" w:firstRowFirstColumn="0" w:firstRowLastColumn="0" w:lastRowFirstColumn="0" w:lastRowLastColumn="0"/>
        </w:trPr>
        <w:tc>
          <w:tcPr>
            <w:tcW w:w="1502" w:type="dxa"/>
          </w:tcPr>
          <w:p w14:paraId="36A25EF8" w14:textId="2A3F3B94" w:rsidR="000B5FA7" w:rsidRDefault="000B5FA7" w:rsidP="000B5FA7">
            <w:r>
              <w:t>Management Contracting</w:t>
            </w:r>
          </w:p>
        </w:tc>
        <w:tc>
          <w:tcPr>
            <w:tcW w:w="1502" w:type="dxa"/>
          </w:tcPr>
          <w:p w14:paraId="0E222F55" w14:textId="56DD6B5D" w:rsidR="000B5FA7" w:rsidRDefault="000B5FA7" w:rsidP="000B5FA7">
            <w:r>
              <w:t>Fast mobilisation</w:t>
            </w:r>
          </w:p>
        </w:tc>
        <w:tc>
          <w:tcPr>
            <w:tcW w:w="1503" w:type="dxa"/>
          </w:tcPr>
          <w:p w14:paraId="507E7E2F" w14:textId="076CBD62" w:rsidR="000B5FA7" w:rsidRDefault="000B5FA7" w:rsidP="000B5FA7">
            <w:r>
              <w:t>Low upfront price certainty</w:t>
            </w:r>
          </w:p>
        </w:tc>
        <w:tc>
          <w:tcPr>
            <w:tcW w:w="1503" w:type="dxa"/>
          </w:tcPr>
          <w:p w14:paraId="1FBBB4A8" w14:textId="71AA0FF9" w:rsidR="000B5FA7" w:rsidRDefault="000B5FA7" w:rsidP="000B5FA7">
            <w:r>
              <w:t>Client responsible for trade contracts</w:t>
            </w:r>
          </w:p>
        </w:tc>
        <w:tc>
          <w:tcPr>
            <w:tcW w:w="1503" w:type="dxa"/>
          </w:tcPr>
          <w:p w14:paraId="7F0E53DD" w14:textId="2433A637" w:rsidR="000B5FA7" w:rsidRDefault="000B5FA7" w:rsidP="000B5FA7">
            <w:r>
              <w:t>High</w:t>
            </w:r>
          </w:p>
        </w:tc>
        <w:tc>
          <w:tcPr>
            <w:tcW w:w="1503" w:type="dxa"/>
          </w:tcPr>
          <w:p w14:paraId="63B44662" w14:textId="6C7C4F0A" w:rsidR="000B5FA7" w:rsidRDefault="000B5FA7" w:rsidP="000B5FA7">
            <w:r>
              <w:t>Unsuitable</w:t>
            </w:r>
          </w:p>
        </w:tc>
      </w:tr>
    </w:tbl>
    <w:p w14:paraId="508F8DD4" w14:textId="5B24F37B" w:rsidR="000B5FA7" w:rsidRPr="000B5FA7" w:rsidRDefault="000B5FA7" w:rsidP="000B5FA7"/>
    <w:p w14:paraId="2F535418" w14:textId="47E83D2A" w:rsidR="00023908" w:rsidRDefault="00023908" w:rsidP="00023908">
      <w:pPr>
        <w:pStyle w:val="Heading2"/>
        <w:numPr>
          <w:ilvl w:val="1"/>
          <w:numId w:val="3"/>
        </w:numPr>
      </w:pPr>
      <w:bookmarkStart w:id="5" w:name="_Toc197980143"/>
      <w:r>
        <w:t>Final Recommendation</w:t>
      </w:r>
      <w:bookmarkEnd w:id="5"/>
    </w:p>
    <w:p w14:paraId="7B65958A" w14:textId="77777777" w:rsidR="00B30F42" w:rsidRDefault="00B30F42" w:rsidP="00B30F42">
      <w:r w:rsidRPr="00B30F42">
        <w:t>Following the evaluation of procurement options, Design and Build (D&amp;B) is recommended as the most suitable route for the Swansea SA1 residential development. This approach aligns closely with the client’s priorities of fast delivery and managing the project with limited construction experience.</w:t>
      </w:r>
    </w:p>
    <w:p w14:paraId="4BB40DAA" w14:textId="77777777" w:rsidR="00B30F42" w:rsidRDefault="00B30F42" w:rsidP="00B30F42">
      <w:r w:rsidRPr="00B30F42">
        <w:t>D&amp;B enables overlapping of design and construction activities, reducing project timelines compared to Traditional procurement, which demands full design completion before site works commence (RIBA, 2020). It also provides early cost certainty through a lump sum price, aiding risk management and budget planning (Designing Buildings Wiki, 2023). Additionally, D&amp;B offers a single point of responsibility, simplifying administration and reducing disputes—ideal for an inexperienced client (</w:t>
      </w:r>
      <w:proofErr w:type="spellStart"/>
      <w:r w:rsidRPr="00B30F42">
        <w:t>Bolomope</w:t>
      </w:r>
      <w:proofErr w:type="spellEnd"/>
      <w:r w:rsidRPr="00B30F42">
        <w:t xml:space="preserve"> et al., 2022).</w:t>
      </w:r>
    </w:p>
    <w:p w14:paraId="458E38FD" w14:textId="77777777" w:rsidR="00B30F42" w:rsidRDefault="00B30F42" w:rsidP="00B30F42">
      <w:r w:rsidRPr="00B30F42">
        <w:t>To mitigate limited control over detailed design, appointing an Employer’s Agent or retaining a design consultant to monitor the process can preserve design intent and quality (Ashworth and Perera, 2018). In contrast, Traditional procurement delays project start and requires separate management of design and construction teams, while Management Contracting places heavy coordination and financial risk burdens on the client, making it unsuitable here (RICS, 2024).</w:t>
      </w:r>
    </w:p>
    <w:p w14:paraId="4252A708" w14:textId="7C18269C" w:rsidR="00A95029" w:rsidRPr="00B30F42" w:rsidRDefault="00B30F42" w:rsidP="00B30F42">
      <w:r w:rsidRPr="00B30F42">
        <w:lastRenderedPageBreak/>
        <w:t>In summary, Design and Build strikes the best balance of speed, simplicity, and risk transfer, enabling fast-track delivery and fixed-cost contracting for a first-time private developer.</w:t>
      </w:r>
    </w:p>
    <w:p w14:paraId="6795FD26" w14:textId="685BF1F6" w:rsidR="000561A8" w:rsidRDefault="000561A8" w:rsidP="0013529C">
      <w:pPr>
        <w:pStyle w:val="Heading1"/>
        <w:numPr>
          <w:ilvl w:val="0"/>
          <w:numId w:val="3"/>
        </w:numPr>
      </w:pPr>
      <w:bookmarkStart w:id="6" w:name="_Toc197980144"/>
      <w:r w:rsidRPr="000561A8">
        <w:t>Section 2 – JCT vs NEC Contract Comparison</w:t>
      </w:r>
      <w:bookmarkEnd w:id="6"/>
    </w:p>
    <w:p w14:paraId="4AD36047" w14:textId="23E7958A" w:rsidR="00063C8B" w:rsidRDefault="00063C8B" w:rsidP="00063C8B">
      <w:pPr>
        <w:pStyle w:val="Heading2"/>
        <w:numPr>
          <w:ilvl w:val="1"/>
          <w:numId w:val="3"/>
        </w:numPr>
      </w:pPr>
      <w:bookmarkStart w:id="7" w:name="_Toc197980145"/>
      <w:r>
        <w:t>Overview of JCT and NEC Contracts</w:t>
      </w:r>
      <w:bookmarkEnd w:id="7"/>
    </w:p>
    <w:p w14:paraId="155E2C09" w14:textId="0863A1AB" w:rsidR="000E5054" w:rsidRDefault="000E5054" w:rsidP="000E5054">
      <w:r>
        <w:t>In the UK construction industry, the two most widely adopted standard forms of contract are published by the Joint Contracts Tribunal (JCT) and the New Engineering Contract (NEC) suite. While both contract families are suitable for a range of project types and procurement routes, they differ significantly in language, structure, risk allocation, and how project processes are managed (Designing Buildings Wiki, 2023a).</w:t>
      </w:r>
    </w:p>
    <w:p w14:paraId="262ABC8D" w14:textId="520530EC" w:rsidR="000E5054" w:rsidRDefault="000E5054" w:rsidP="000E5054">
      <w:r>
        <w:t>The JCT Design and Build Contract (2016) is commonly used in the private residential sector. It sets out clearly defined roles and responsibilities under a lump-sum, single-point responsibility structure, where the contractor is accountable for both design and construction. JCT contracts follow a more traditional legal format and are known for being detailed but legalistic, which can make them less approachable for clients without legal or construction experience (RICS, 2023a). However, they are deeply embedded in UK practice, and most consultants, funders, and contractors are familiar with their terms.</w:t>
      </w:r>
    </w:p>
    <w:p w14:paraId="495F29DB" w14:textId="748D1404" w:rsidR="000E5054" w:rsidRDefault="000E5054" w:rsidP="000E5054">
      <w:r>
        <w:t>By contrast, the NEC4 Engineering and Construction Contract (ECC) is structured to promote collaboration, flexibility, and proactive risk management. It uses plain English, avoids legal jargon, and includes tools such as early warning notices and compensation events to encourage real-time decision-making (</w:t>
      </w:r>
      <w:proofErr w:type="spellStart"/>
      <w:r>
        <w:t>Sypro</w:t>
      </w:r>
      <w:proofErr w:type="spellEnd"/>
      <w:r>
        <w:t>, 2023). NEC contracts are often preferred in public sector projects, infrastructure, and fast-paced environments where adaptability is key.</w:t>
      </w:r>
    </w:p>
    <w:p w14:paraId="4B4A1B96" w14:textId="62D594AB" w:rsidR="000E5054" w:rsidRPr="000E5054" w:rsidRDefault="000E5054" w:rsidP="000E5054">
      <w:r>
        <w:t>While both contracts support the Design and Build procurement route, their usability for a first-time private developer hinges on factors such as administrative simplicity, contract clarity, and the level of ongoing management required—as examined in the next section.</w:t>
      </w:r>
    </w:p>
    <w:p w14:paraId="33BAC5F9" w14:textId="3B81BC04" w:rsidR="00063C8B" w:rsidRDefault="00063C8B" w:rsidP="00063C8B">
      <w:pPr>
        <w:pStyle w:val="Heading2"/>
        <w:numPr>
          <w:ilvl w:val="1"/>
          <w:numId w:val="3"/>
        </w:numPr>
      </w:pPr>
      <w:bookmarkStart w:id="8" w:name="_Toc197980146"/>
      <w:r>
        <w:t>Comparison</w:t>
      </w:r>
      <w:bookmarkEnd w:id="8"/>
    </w:p>
    <w:p w14:paraId="0DD4F30E" w14:textId="77777777" w:rsidR="007C72BE" w:rsidRPr="007C72BE" w:rsidRDefault="007C72BE" w:rsidP="007C72BE">
      <w:pPr>
        <w:rPr>
          <w:b/>
          <w:bCs/>
        </w:rPr>
      </w:pPr>
      <w:r w:rsidRPr="007C72BE">
        <w:rPr>
          <w:b/>
          <w:bCs/>
        </w:rPr>
        <w:t>Language and Clarity</w:t>
      </w:r>
    </w:p>
    <w:p w14:paraId="048C3428" w14:textId="3ACCBC9C" w:rsidR="007C72BE" w:rsidRDefault="007C72BE" w:rsidP="007C72BE">
      <w:r>
        <w:t>One of the most noticeable differences between JCT and NEC contracts lies in the language used. JCT contracts, while widely understood by construction professionals, are written in formal legal language and can be difficult for inexperienced clients to interpret (</w:t>
      </w:r>
      <w:proofErr w:type="spellStart"/>
      <w:r>
        <w:t>Sypro</w:t>
      </w:r>
      <w:proofErr w:type="spellEnd"/>
      <w:r>
        <w:t>, 2023). In contrast, NEC contracts are drafted in plain English, aiming for clarity and accessibility. The intention is to reduce ambiguity and disputes by making obligations easily understandable for all parties, including those without legal expertise (Designing Buildings Wiki, 2023b).</w:t>
      </w:r>
    </w:p>
    <w:p w14:paraId="19D34459" w14:textId="32DF8649" w:rsidR="007C72BE" w:rsidRDefault="007C72BE" w:rsidP="007C72BE">
      <w:r>
        <w:t>For a first-time developer, this clarity is beneficial. However, it is important to note that clarity in language does not eliminate the need for active contract management, especially under NEC, which relies heavily on procedural compliance.</w:t>
      </w:r>
    </w:p>
    <w:p w14:paraId="58F1BE1B" w14:textId="77777777" w:rsidR="007C72BE" w:rsidRPr="007C72BE" w:rsidRDefault="007C72BE" w:rsidP="007C72BE">
      <w:pPr>
        <w:rPr>
          <w:b/>
          <w:bCs/>
        </w:rPr>
      </w:pPr>
      <w:r w:rsidRPr="007C72BE">
        <w:rPr>
          <w:b/>
          <w:bCs/>
        </w:rPr>
        <w:t>Flexibility and Change Management</w:t>
      </w:r>
    </w:p>
    <w:p w14:paraId="064F0EF8" w14:textId="57A29254" w:rsidR="007C72BE" w:rsidRDefault="007C72BE" w:rsidP="007C72BE">
      <w:r>
        <w:t>NEC contracts are designed to encourage real-time project management and adaptation. Through mechanisms such as early warning notices and compensation events, NEC enables parties to respond to risks and changes as they emerge. This promotes greater transparency and helps avoid disputes (</w:t>
      </w:r>
      <w:proofErr w:type="spellStart"/>
      <w:r>
        <w:t>Sypro</w:t>
      </w:r>
      <w:proofErr w:type="spellEnd"/>
      <w:r>
        <w:t xml:space="preserve">, 2023). JCT, by contrast, tends to follow a more reactive structure, where changes </w:t>
      </w:r>
      <w:r>
        <w:lastRenderedPageBreak/>
        <w:t>are formally instructed and processed separately, often leading to slower responses and administrative backlog (Designing Buildings Wiki, 2023b).</w:t>
      </w:r>
    </w:p>
    <w:p w14:paraId="24F1EB2C" w14:textId="6716DE44" w:rsidR="007C72BE" w:rsidRDefault="007C72BE" w:rsidP="007C72BE">
      <w:r>
        <w:t>For projects with high uncertainty or changing scopes, NEC provides more flexibility. However, that same flexibility places a greater administrative burden on the client’s project team.</w:t>
      </w:r>
    </w:p>
    <w:p w14:paraId="6FD7BD44" w14:textId="77777777" w:rsidR="007C72BE" w:rsidRPr="007C72BE" w:rsidRDefault="007C72BE" w:rsidP="007C72BE">
      <w:pPr>
        <w:rPr>
          <w:b/>
          <w:bCs/>
        </w:rPr>
      </w:pPr>
      <w:r w:rsidRPr="007C72BE">
        <w:rPr>
          <w:b/>
          <w:bCs/>
        </w:rPr>
        <w:t>Risk Allocation</w:t>
      </w:r>
    </w:p>
    <w:p w14:paraId="7A165427" w14:textId="2B4F58FD" w:rsidR="007C72BE" w:rsidRDefault="007C72BE" w:rsidP="007C72BE">
      <w:r>
        <w:t>JCT contracts follow a traditional risk allocation model, where risks are assigned clearly between client and contractor based on established norms. This familiarity is often preferred in private sector projects and by funders (RICS, 2023a). NEC, however, promotes shared risk management through collaborative tools. Although this can result in better outcomes when all parties engage actively, the model demands a higher level of contract understanding and project management capability, particularly from the client’s representative (</w:t>
      </w:r>
      <w:proofErr w:type="spellStart"/>
      <w:r>
        <w:t>Sypro</w:t>
      </w:r>
      <w:proofErr w:type="spellEnd"/>
      <w:r>
        <w:t>, 2023).</w:t>
      </w:r>
    </w:p>
    <w:p w14:paraId="3CB5868B" w14:textId="72969A3B" w:rsidR="007C72BE" w:rsidRDefault="007C72BE" w:rsidP="007C72BE">
      <w:r>
        <w:t>In a project such as the Swansea development, where the client is inexperienced, JCT’s clearer and more conventional approach to risk may offer greater predictability and comfort.</w:t>
      </w:r>
    </w:p>
    <w:p w14:paraId="1AF755F8" w14:textId="77777777" w:rsidR="007C72BE" w:rsidRPr="007C72BE" w:rsidRDefault="007C72BE" w:rsidP="007C72BE">
      <w:pPr>
        <w:rPr>
          <w:b/>
          <w:bCs/>
        </w:rPr>
      </w:pPr>
      <w:r w:rsidRPr="007C72BE">
        <w:rPr>
          <w:b/>
          <w:bCs/>
        </w:rPr>
        <w:t>Collaboration and Programme Management</w:t>
      </w:r>
    </w:p>
    <w:p w14:paraId="160061B2" w14:textId="6A3A5408" w:rsidR="007C72BE" w:rsidRDefault="007C72BE" w:rsidP="007C72BE">
      <w:r>
        <w:t>NEC promotes a collaborative working culture. It requires the contractor to submit and update a programme regularly and mandates early discussions about risks. This is aimed at improving delivery outcomes and minimising claims (NEC, 2023). JCT contracts, while not anti-collaborative, do not structurally embed collaboration into the process. As a result, projects using JCT may depend more on the attitude and competence of the individual parties to foster a team approach.</w:t>
      </w:r>
    </w:p>
    <w:p w14:paraId="3CC5C88B" w14:textId="4F944258" w:rsidR="007C72BE" w:rsidRDefault="007C72BE" w:rsidP="007C72BE">
      <w:r>
        <w:t>From a delivery perspective, NEC can drive better coordination and faster resolution of issues. However, this depends on the client’s ability to engage a highly capable project manager who can actively oversee the process.</w:t>
      </w:r>
    </w:p>
    <w:p w14:paraId="0AAB6194" w14:textId="77777777" w:rsidR="007C72BE" w:rsidRPr="007C72BE" w:rsidRDefault="007C72BE" w:rsidP="007C72BE">
      <w:pPr>
        <w:rPr>
          <w:b/>
          <w:bCs/>
        </w:rPr>
      </w:pPr>
      <w:r w:rsidRPr="007C72BE">
        <w:rPr>
          <w:b/>
          <w:bCs/>
        </w:rPr>
        <w:t>Client Suitability</w:t>
      </w:r>
    </w:p>
    <w:p w14:paraId="6A84DFFF" w14:textId="3195D196" w:rsidR="007C72BE" w:rsidRDefault="007C72BE" w:rsidP="007C72BE">
      <w:r>
        <w:t>The key differentiator in this project is the developer’s inexperience. JCT contracts are more familiar across the private residential market, and their established use means that funders, insurers, and consultants often have standard procedures for working with them (RICS, 2023a). The client can appoint an Employer’s Agent to administer the JCT contract, reducing personal involvement in technical and procedural matters.</w:t>
      </w:r>
    </w:p>
    <w:p w14:paraId="3B24A4C6" w14:textId="069219C6" w:rsidR="007C72BE" w:rsidRPr="007C72BE" w:rsidRDefault="007C72BE" w:rsidP="007C72BE">
      <w:r>
        <w:t>NEC, though written in plain language, requires rigorous procedural compliance and a proactive role from the Project Manager, which may be overwhelming or error-prone for a novice client without experienced support. This makes JCT the safer and more manageable option for this development.</w:t>
      </w:r>
    </w:p>
    <w:p w14:paraId="3181DFC2" w14:textId="28D2A298" w:rsidR="00063C8B" w:rsidRDefault="00E93F26" w:rsidP="00063C8B">
      <w:pPr>
        <w:pStyle w:val="Heading2"/>
        <w:numPr>
          <w:ilvl w:val="1"/>
          <w:numId w:val="3"/>
        </w:numPr>
      </w:pPr>
      <w:bookmarkStart w:id="9" w:name="_Toc197980147"/>
      <w:r>
        <w:t>Recommendation</w:t>
      </w:r>
      <w:bookmarkEnd w:id="9"/>
    </w:p>
    <w:p w14:paraId="4242B7D7" w14:textId="3E02A61E" w:rsidR="00792594" w:rsidRDefault="00792594" w:rsidP="00792594">
      <w:r>
        <w:t>For the Swansea SA1 apartment development, the recommended form of contract is the JCT Design and Build Contract (2016). This recommendation is made based on the client’s limited experience, need for early cost and time certainty, and the overall suitability of this contract within the selected Design and Build procurement route.</w:t>
      </w:r>
    </w:p>
    <w:p w14:paraId="799BE837" w14:textId="15B8A327" w:rsidR="00792594" w:rsidRDefault="00792594" w:rsidP="00792594">
      <w:r>
        <w:t>The JCT D&amp;B contract offers a clear, structured, and familiar approach that aligns closely with private residential developments across the UK. Its widespread use means that contractors, consultants, and funders are already familiar with the document’s format and expectations (RICS, 2023a). This helps reduce delays, legal confusion, and risks associated with misinterpretation—especially important for a first-time developer.</w:t>
      </w:r>
    </w:p>
    <w:p w14:paraId="457738FE" w14:textId="5A1D7AC0" w:rsidR="00792594" w:rsidRDefault="00792594" w:rsidP="00792594">
      <w:r>
        <w:lastRenderedPageBreak/>
        <w:t>Unlike NEC4 ECC, which requires active and ongoing contract management, JCT allows the client to appoint an Employer’s Agent to oversee the project on their behalf. This feature reduces the day-to-day burden on the client while still maintaining quality and cost control. The single-point responsibility structure ensures that the contractor remains accountable for both design and construction, simplifying project delivery.</w:t>
      </w:r>
    </w:p>
    <w:p w14:paraId="629B2011" w14:textId="3AEED107" w:rsidR="00792594" w:rsidRDefault="00792594" w:rsidP="00792594">
      <w:r>
        <w:t>While NEC offers stronger collaboration tools and clearer language, it is more commonly used in complex or public projects and assumes a project team that is comfortable with its real-time risk and programme management processes (</w:t>
      </w:r>
      <w:proofErr w:type="spellStart"/>
      <w:r>
        <w:t>Sypro</w:t>
      </w:r>
      <w:proofErr w:type="spellEnd"/>
      <w:r>
        <w:t>, 2023). In contrast, JCT provides a more stable and predictable process, which is essential for a client seeking a straightforward path to completion with minimal administrative pressure.</w:t>
      </w:r>
    </w:p>
    <w:p w14:paraId="1F9E9283" w14:textId="742A1B24" w:rsidR="00592DBC" w:rsidRPr="00592DBC" w:rsidRDefault="00792594" w:rsidP="00792594">
      <w:r>
        <w:t>Overall, the JCT Design and Build Contract delivers a strong balance of control, clarity, and risk allocation that matches the client’s needs and complements the chosen procurement route. It is widely trusted in the residential sector and gives the developer the best chance of completing the project efficiently and with confidence.</w:t>
      </w:r>
    </w:p>
    <w:p w14:paraId="2EA548C4" w14:textId="6CD8F365" w:rsidR="00551038" w:rsidRDefault="00551038" w:rsidP="0013529C">
      <w:pPr>
        <w:pStyle w:val="Heading1"/>
        <w:numPr>
          <w:ilvl w:val="0"/>
          <w:numId w:val="3"/>
        </w:numPr>
      </w:pPr>
      <w:bookmarkStart w:id="10" w:name="_Toc197980148"/>
      <w:r>
        <w:t>Conclusion</w:t>
      </w:r>
      <w:bookmarkEnd w:id="10"/>
    </w:p>
    <w:p w14:paraId="258E3D64" w14:textId="6E793481" w:rsidR="00FC16D8" w:rsidRDefault="00FC16D8" w:rsidP="00FC16D8">
      <w:r>
        <w:t>This report has evaluated three primary procurement routes—Design and Build, Traditional, and Management Contracting—in the context of a 25-unit residential apartment development in Swansea SA1. Based on the client's priorities of fast-track delivery and their status as a first-time developer, the Design and Build (D&amp;B) route was identified as the most appropriate. It offers speed, early cost certainty, and reduced client management responsibility through single-point contracting.</w:t>
      </w:r>
    </w:p>
    <w:p w14:paraId="16522153" w14:textId="1E4E29D8" w:rsidR="00FC16D8" w:rsidRDefault="00FC16D8" w:rsidP="00FC16D8">
      <w:r>
        <w:t>A comparison of the JCT Design and Build Contract (2016) and the NEC4 Engineering and Construction Contract was then conducted to determine the most suitable standard form. The JCT form was found to be more appropriate due to its widespread use in private residential development, its structured risk allocation, and the ability to appoint an Employer’s Agent to manage the process on the client’s behalf.</w:t>
      </w:r>
    </w:p>
    <w:p w14:paraId="3525B56D" w14:textId="67D5317C" w:rsidR="00BA14FB" w:rsidRPr="00BA14FB" w:rsidRDefault="00FC16D8" w:rsidP="00FC16D8">
      <w:r>
        <w:t>Together, the recommended procurement route and contract provide a clear, efficient, and low-risk pathway for delivering the project successfully. They are well aligned to the needs of a developer seeking to complete a high-quality scheme quickly and with minimal complexity.</w:t>
      </w:r>
    </w:p>
    <w:p w14:paraId="36AC8B7F" w14:textId="77777777" w:rsidR="00BA14FB" w:rsidRDefault="00BA14FB">
      <w:pPr>
        <w:rPr>
          <w:rFonts w:eastAsiaTheme="majorEastAsia" w:cstheme="majorBidi"/>
          <w:b/>
          <w:sz w:val="24"/>
          <w:szCs w:val="40"/>
        </w:rPr>
      </w:pPr>
      <w:r>
        <w:br w:type="page"/>
      </w:r>
    </w:p>
    <w:p w14:paraId="07465892" w14:textId="2554862F" w:rsidR="00F558FF" w:rsidRDefault="00BA14FB" w:rsidP="00BA14FB">
      <w:pPr>
        <w:pStyle w:val="Heading1"/>
      </w:pPr>
      <w:bookmarkStart w:id="11" w:name="_Toc197980149"/>
      <w:r>
        <w:lastRenderedPageBreak/>
        <w:t>Reference List</w:t>
      </w:r>
      <w:bookmarkEnd w:id="11"/>
    </w:p>
    <w:p w14:paraId="7F4DADC2" w14:textId="77777777" w:rsidR="007E5089" w:rsidRDefault="007E5089" w:rsidP="007E5089">
      <w:pPr>
        <w:pStyle w:val="ListParagraph"/>
        <w:numPr>
          <w:ilvl w:val="0"/>
          <w:numId w:val="5"/>
        </w:numPr>
      </w:pPr>
      <w:r w:rsidRPr="007E5089">
        <w:t xml:space="preserve">Morledge, R. and Smith, A. (2013) Building Procurement. 2nd </w:t>
      </w:r>
      <w:proofErr w:type="spellStart"/>
      <w:r w:rsidRPr="007E5089">
        <w:t>edn</w:t>
      </w:r>
      <w:proofErr w:type="spellEnd"/>
      <w:r w:rsidRPr="007E5089">
        <w:t>. Chichester: Wiley-Blackwell.</w:t>
      </w:r>
    </w:p>
    <w:p w14:paraId="2A796291" w14:textId="77777777" w:rsidR="007E5089" w:rsidRDefault="007E5089" w:rsidP="007E5089">
      <w:pPr>
        <w:pStyle w:val="ListParagraph"/>
        <w:numPr>
          <w:ilvl w:val="0"/>
          <w:numId w:val="5"/>
        </w:numPr>
      </w:pPr>
      <w:r w:rsidRPr="007E5089">
        <w:t xml:space="preserve">Royal Institution of Chartered Surveyors (RICS) (2023) Developing a construction procurement strategy and selecting an appropriate route. 2nd </w:t>
      </w:r>
      <w:proofErr w:type="spellStart"/>
      <w:r w:rsidRPr="007E5089">
        <w:t>edn</w:t>
      </w:r>
      <w:proofErr w:type="spellEnd"/>
      <w:r w:rsidRPr="007E5089">
        <w:t>. London: RICS. Available at: https://www.rics.org/content/dam/ricsglobal/documents/standards/Developing-a-construction-procurement-strategy.pdf (Accessed: 22 April 2025).</w:t>
      </w:r>
    </w:p>
    <w:p w14:paraId="5253F148" w14:textId="77777777" w:rsidR="007E5089" w:rsidRDefault="007E5089" w:rsidP="007E5089">
      <w:pPr>
        <w:pStyle w:val="ListParagraph"/>
        <w:numPr>
          <w:ilvl w:val="0"/>
          <w:numId w:val="5"/>
        </w:numPr>
      </w:pPr>
      <w:r w:rsidRPr="007E5089">
        <w:t xml:space="preserve">CIOB (2010) Code of Practice for Project Management for Construction and Development. 4th </w:t>
      </w:r>
      <w:proofErr w:type="spellStart"/>
      <w:r w:rsidRPr="007E5089">
        <w:t>edn</w:t>
      </w:r>
      <w:proofErr w:type="spellEnd"/>
      <w:r w:rsidRPr="007E5089">
        <w:t>. Chichester: Wiley-Blackwell.</w:t>
      </w:r>
    </w:p>
    <w:p w14:paraId="6EFAD818" w14:textId="77777777" w:rsidR="007E5089" w:rsidRDefault="007E5089" w:rsidP="007E5089">
      <w:pPr>
        <w:pStyle w:val="ListParagraph"/>
        <w:numPr>
          <w:ilvl w:val="0"/>
          <w:numId w:val="5"/>
        </w:numPr>
      </w:pPr>
      <w:r w:rsidRPr="007E5089">
        <w:t>Designing Buildings Wiki (2023) Procurement route options – pros and cons. Available at: https://www.designingbuildings.co.uk/wiki/Procurement_route_options_-_pros_and_cons (Accessed: 23 April 2025).</w:t>
      </w:r>
    </w:p>
    <w:p w14:paraId="45AF846F" w14:textId="77777777" w:rsidR="007E5089" w:rsidRDefault="007E5089" w:rsidP="007E5089">
      <w:pPr>
        <w:pStyle w:val="ListParagraph"/>
        <w:numPr>
          <w:ilvl w:val="0"/>
          <w:numId w:val="5"/>
        </w:numPr>
      </w:pPr>
      <w:proofErr w:type="spellStart"/>
      <w:r w:rsidRPr="007E5089">
        <w:t>Bolomope</w:t>
      </w:r>
      <w:proofErr w:type="spellEnd"/>
      <w:r w:rsidRPr="007E5089">
        <w:t>, M., Amidu, A.-R., Ajayi, S. and Javed, A. (2022) 'Decision-making framework for construction clients in selecting appropriate procurement route', Buildings, 12(12), 2192. Available at: https://www.mdpi.com/2075-5309/12/12/2192 (Accessed: 23 April 2025).</w:t>
      </w:r>
    </w:p>
    <w:p w14:paraId="700C256D" w14:textId="77777777" w:rsidR="007E5089" w:rsidRDefault="007E5089" w:rsidP="007E5089">
      <w:pPr>
        <w:pStyle w:val="ListParagraph"/>
        <w:numPr>
          <w:ilvl w:val="0"/>
          <w:numId w:val="5"/>
        </w:numPr>
      </w:pPr>
      <w:r w:rsidRPr="007E5089">
        <w:t>RIBA (2020) Procurement strategies: a client guide for engaging an architect. London: Royal Institute of British Architects. Available at: https://www.architecture.com/knowledge-and-resources/resources-landing-page/procurement-strategies (Accessed: 23 April 2025).</w:t>
      </w:r>
    </w:p>
    <w:p w14:paraId="51F7C118" w14:textId="77777777" w:rsidR="007E5089" w:rsidRDefault="007E5089" w:rsidP="007E5089">
      <w:pPr>
        <w:pStyle w:val="ListParagraph"/>
        <w:numPr>
          <w:ilvl w:val="0"/>
          <w:numId w:val="5"/>
        </w:numPr>
      </w:pPr>
      <w:r w:rsidRPr="007E5089">
        <w:t xml:space="preserve">Ashworth, A. and Perera, S. (2018) Contractual Procedures in the Construction Industry. 7th </w:t>
      </w:r>
      <w:proofErr w:type="spellStart"/>
      <w:r w:rsidRPr="007E5089">
        <w:t>edn</w:t>
      </w:r>
      <w:proofErr w:type="spellEnd"/>
      <w:r w:rsidRPr="007E5089">
        <w:t>. London: Routledge.</w:t>
      </w:r>
    </w:p>
    <w:p w14:paraId="364E2F47" w14:textId="77777777" w:rsidR="007E5089" w:rsidRDefault="007E5089" w:rsidP="007E5089">
      <w:pPr>
        <w:pStyle w:val="ListParagraph"/>
        <w:numPr>
          <w:ilvl w:val="0"/>
          <w:numId w:val="5"/>
        </w:numPr>
      </w:pPr>
      <w:r w:rsidRPr="007E5089">
        <w:t>Designing Buildings Wiki (2023) Design and build procurement. Available at: https://www.designingbuildings.co.uk/wiki/Design_and_build_procurement (Accessed: 24 April 2025).</w:t>
      </w:r>
    </w:p>
    <w:p w14:paraId="3ADCC559" w14:textId="77777777" w:rsidR="007E5089" w:rsidRDefault="007E5089" w:rsidP="007E5089">
      <w:pPr>
        <w:pStyle w:val="ListParagraph"/>
        <w:numPr>
          <w:ilvl w:val="0"/>
          <w:numId w:val="5"/>
        </w:numPr>
      </w:pPr>
      <w:r w:rsidRPr="007E5089">
        <w:t>Royal Institution of Chartered Surveyors (RICS) (2023) JCT contracts: an introduction. Available at: https://www.rics.org/news-insights/jct-contracts-an-introduction (Accessed: 24 April 2025).</w:t>
      </w:r>
    </w:p>
    <w:p w14:paraId="30AF378B" w14:textId="77777777" w:rsidR="007E5089" w:rsidRDefault="007E5089" w:rsidP="007E5089">
      <w:pPr>
        <w:pStyle w:val="ListParagraph"/>
        <w:numPr>
          <w:ilvl w:val="0"/>
          <w:numId w:val="5"/>
        </w:numPr>
      </w:pPr>
      <w:r w:rsidRPr="007E5089">
        <w:t>NEC (2023) NEC Contracts Overview. Available at: https://www.neccontract.com/About-NEC/NEC-Contracts (Accessed: 24 April 2025).</w:t>
      </w:r>
    </w:p>
    <w:p w14:paraId="20F63D52" w14:textId="77777777" w:rsidR="007E5089" w:rsidRDefault="007E5089" w:rsidP="007E5089">
      <w:pPr>
        <w:pStyle w:val="ListParagraph"/>
        <w:numPr>
          <w:ilvl w:val="0"/>
          <w:numId w:val="5"/>
        </w:numPr>
      </w:pPr>
      <w:r w:rsidRPr="007E5089">
        <w:t>Designing Buildings Wiki (2023) Standard forms of contract. Available at: https://www.designingbuildings.co.uk/wiki/Standard_forms_of_contract (Accessed: 24 April 2025).</w:t>
      </w:r>
    </w:p>
    <w:p w14:paraId="6CBA41B2" w14:textId="77777777" w:rsidR="007E5089" w:rsidRDefault="007E5089" w:rsidP="007E5089">
      <w:pPr>
        <w:pStyle w:val="ListParagraph"/>
        <w:numPr>
          <w:ilvl w:val="0"/>
          <w:numId w:val="5"/>
        </w:numPr>
      </w:pPr>
      <w:proofErr w:type="spellStart"/>
      <w:r w:rsidRPr="007E5089">
        <w:t>Sypro</w:t>
      </w:r>
      <w:proofErr w:type="spellEnd"/>
      <w:r w:rsidRPr="007E5089">
        <w:t xml:space="preserve"> (2023) JCT vs NEC contracts: the key differences. Available at: https://www.sypro.co.uk/blog/jct-vs-nec-contracts-the-key-differences/ (Accessed: 24 April 2025).</w:t>
      </w:r>
    </w:p>
    <w:p w14:paraId="45523B1E" w14:textId="7772086D" w:rsidR="003D7615" w:rsidRPr="007E5089" w:rsidRDefault="007E5089" w:rsidP="007E5089">
      <w:pPr>
        <w:pStyle w:val="ListParagraph"/>
        <w:numPr>
          <w:ilvl w:val="0"/>
          <w:numId w:val="5"/>
        </w:numPr>
      </w:pPr>
      <w:r w:rsidRPr="007E5089">
        <w:t>Designing Buildings Wiki (2023) NEC vs JCT contracts. Available at: https://www.designingbuildings.co.uk/wiki/NEC_vs_JCT_contracts (Accessed: 24 April 2025).</w:t>
      </w:r>
    </w:p>
    <w:sectPr w:rsidR="003D7615" w:rsidRPr="007E5089" w:rsidSect="00F558FF">
      <w:headerReference w:type="first" r:id="rId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C1C180" w14:textId="77777777" w:rsidR="009C6EC0" w:rsidRDefault="009C6EC0" w:rsidP="00F558FF">
      <w:pPr>
        <w:spacing w:after="0" w:line="240" w:lineRule="auto"/>
      </w:pPr>
      <w:r>
        <w:separator/>
      </w:r>
    </w:p>
  </w:endnote>
  <w:endnote w:type="continuationSeparator" w:id="0">
    <w:p w14:paraId="281D6837" w14:textId="77777777" w:rsidR="009C6EC0" w:rsidRDefault="009C6EC0" w:rsidP="00F558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1D22D3" w14:textId="77777777" w:rsidR="009C6EC0" w:rsidRDefault="009C6EC0" w:rsidP="00F558FF">
      <w:pPr>
        <w:spacing w:after="0" w:line="240" w:lineRule="auto"/>
      </w:pPr>
      <w:r>
        <w:separator/>
      </w:r>
    </w:p>
  </w:footnote>
  <w:footnote w:type="continuationSeparator" w:id="0">
    <w:p w14:paraId="6028AA73" w14:textId="77777777" w:rsidR="009C6EC0" w:rsidRDefault="009C6EC0" w:rsidP="00F558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B5BB9E" w14:textId="77777777" w:rsidR="00F558FF" w:rsidRDefault="00F558FF" w:rsidP="00F558FF">
    <w:pPr>
      <w:pStyle w:val="Header"/>
    </w:pPr>
    <w:r w:rsidRPr="00F558FF">
      <w:rPr>
        <w:b/>
        <w:bCs/>
      </w:rPr>
      <w:t>Procurement &amp; Contract Selection</w:t>
    </w:r>
    <w:r w:rsidRPr="00F558FF">
      <w:br/>
    </w:r>
    <w:r w:rsidRPr="00F558FF">
      <w:rPr>
        <w:b/>
        <w:bCs/>
      </w:rPr>
      <w:t>Module Code</w:t>
    </w:r>
    <w:r w:rsidRPr="00F558FF">
      <w:t>: ACBA4026 – Procurement Process</w:t>
    </w:r>
    <w:r w:rsidRPr="00F558FF">
      <w:br/>
    </w:r>
    <w:r w:rsidRPr="00F558FF">
      <w:rPr>
        <w:b/>
        <w:bCs/>
      </w:rPr>
      <w:t>Programme</w:t>
    </w:r>
    <w:r w:rsidRPr="00F558FF">
      <w:t>: HNC, HND, BSc Quantity Surveying &amp; Construction Management</w:t>
    </w:r>
  </w:p>
  <w:p w14:paraId="25C0E335" w14:textId="77777777" w:rsidR="00F558FF" w:rsidRDefault="00F558F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9558C"/>
    <w:multiLevelType w:val="hybridMultilevel"/>
    <w:tmpl w:val="34201C30"/>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F6D3D5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3A1D1D9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5983514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7EEC791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491600604">
    <w:abstractNumId w:val="3"/>
  </w:num>
  <w:num w:numId="2" w16cid:durableId="613633594">
    <w:abstractNumId w:val="2"/>
  </w:num>
  <w:num w:numId="3" w16cid:durableId="292249722">
    <w:abstractNumId w:val="4"/>
  </w:num>
  <w:num w:numId="4" w16cid:durableId="348877485">
    <w:abstractNumId w:val="1"/>
  </w:num>
  <w:num w:numId="5" w16cid:durableId="15768930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57A9"/>
    <w:rsid w:val="00020303"/>
    <w:rsid w:val="00023908"/>
    <w:rsid w:val="0004565C"/>
    <w:rsid w:val="000561A8"/>
    <w:rsid w:val="000601B7"/>
    <w:rsid w:val="00063C8B"/>
    <w:rsid w:val="00092323"/>
    <w:rsid w:val="000B5FA7"/>
    <w:rsid w:val="000E5054"/>
    <w:rsid w:val="0013529C"/>
    <w:rsid w:val="00135C52"/>
    <w:rsid w:val="001B1F02"/>
    <w:rsid w:val="001C5911"/>
    <w:rsid w:val="00270223"/>
    <w:rsid w:val="002C1F8F"/>
    <w:rsid w:val="002F04C8"/>
    <w:rsid w:val="00326748"/>
    <w:rsid w:val="003A7432"/>
    <w:rsid w:val="003B5B18"/>
    <w:rsid w:val="003C474E"/>
    <w:rsid w:val="003D7615"/>
    <w:rsid w:val="0044092D"/>
    <w:rsid w:val="00551038"/>
    <w:rsid w:val="005530CF"/>
    <w:rsid w:val="005534AF"/>
    <w:rsid w:val="00553D4A"/>
    <w:rsid w:val="005713A4"/>
    <w:rsid w:val="00592DBC"/>
    <w:rsid w:val="005E4466"/>
    <w:rsid w:val="0061502F"/>
    <w:rsid w:val="006345EA"/>
    <w:rsid w:val="006412C4"/>
    <w:rsid w:val="00662553"/>
    <w:rsid w:val="00673588"/>
    <w:rsid w:val="006C3284"/>
    <w:rsid w:val="006F11AF"/>
    <w:rsid w:val="00714478"/>
    <w:rsid w:val="007328C9"/>
    <w:rsid w:val="00761305"/>
    <w:rsid w:val="00792594"/>
    <w:rsid w:val="007B085F"/>
    <w:rsid w:val="007C36AD"/>
    <w:rsid w:val="007C72BE"/>
    <w:rsid w:val="007D57A9"/>
    <w:rsid w:val="007E5089"/>
    <w:rsid w:val="0083228F"/>
    <w:rsid w:val="00833AEE"/>
    <w:rsid w:val="008C1AD9"/>
    <w:rsid w:val="00952A6B"/>
    <w:rsid w:val="009628E9"/>
    <w:rsid w:val="009B52F2"/>
    <w:rsid w:val="009C6EC0"/>
    <w:rsid w:val="009D4C85"/>
    <w:rsid w:val="00A276BF"/>
    <w:rsid w:val="00A37861"/>
    <w:rsid w:val="00A95029"/>
    <w:rsid w:val="00B30F42"/>
    <w:rsid w:val="00B83A90"/>
    <w:rsid w:val="00B84F7B"/>
    <w:rsid w:val="00B977AA"/>
    <w:rsid w:val="00BA14FB"/>
    <w:rsid w:val="00BE12B3"/>
    <w:rsid w:val="00BF164D"/>
    <w:rsid w:val="00BF63C4"/>
    <w:rsid w:val="00C20385"/>
    <w:rsid w:val="00C20508"/>
    <w:rsid w:val="00C52452"/>
    <w:rsid w:val="00C736DD"/>
    <w:rsid w:val="00C756EF"/>
    <w:rsid w:val="00CA5779"/>
    <w:rsid w:val="00CD29BB"/>
    <w:rsid w:val="00CF208E"/>
    <w:rsid w:val="00D51D46"/>
    <w:rsid w:val="00D651B8"/>
    <w:rsid w:val="00D7039E"/>
    <w:rsid w:val="00D93979"/>
    <w:rsid w:val="00DB286E"/>
    <w:rsid w:val="00DE328E"/>
    <w:rsid w:val="00DE79CE"/>
    <w:rsid w:val="00E435CA"/>
    <w:rsid w:val="00E44168"/>
    <w:rsid w:val="00E44F49"/>
    <w:rsid w:val="00E93F26"/>
    <w:rsid w:val="00ED24EA"/>
    <w:rsid w:val="00F35F7A"/>
    <w:rsid w:val="00F558FF"/>
    <w:rsid w:val="00FC16D8"/>
    <w:rsid w:val="00FD7A6D"/>
    <w:rsid w:val="00FE68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7B66EE"/>
  <w15:chartTrackingRefBased/>
  <w15:docId w15:val="{CAE38886-D09E-4481-8DB9-FD964BB9A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12B3"/>
    <w:rPr>
      <w:rFonts w:ascii="Calibri" w:hAnsi="Calibri"/>
    </w:rPr>
  </w:style>
  <w:style w:type="paragraph" w:styleId="Heading1">
    <w:name w:val="heading 1"/>
    <w:basedOn w:val="Normal"/>
    <w:next w:val="Normal"/>
    <w:link w:val="Heading1Char"/>
    <w:uiPriority w:val="9"/>
    <w:qFormat/>
    <w:rsid w:val="003C474E"/>
    <w:pPr>
      <w:keepNext/>
      <w:keepLines/>
      <w:spacing w:before="360" w:after="80"/>
      <w:outlineLvl w:val="0"/>
    </w:pPr>
    <w:rPr>
      <w:rFonts w:eastAsiaTheme="majorEastAsia" w:cstheme="majorBidi"/>
      <w:b/>
      <w:sz w:val="24"/>
      <w:szCs w:val="40"/>
    </w:rPr>
  </w:style>
  <w:style w:type="paragraph" w:styleId="Heading2">
    <w:name w:val="heading 2"/>
    <w:basedOn w:val="Normal"/>
    <w:next w:val="Normal"/>
    <w:link w:val="Heading2Char"/>
    <w:uiPriority w:val="9"/>
    <w:unhideWhenUsed/>
    <w:qFormat/>
    <w:rsid w:val="00ED24EA"/>
    <w:pPr>
      <w:keepNext/>
      <w:keepLines/>
      <w:spacing w:before="160" w:after="80"/>
      <w:outlineLvl w:val="1"/>
    </w:pPr>
    <w:rPr>
      <w:rFonts w:eastAsiaTheme="majorEastAsia" w:cstheme="majorBidi"/>
      <w:sz w:val="24"/>
      <w:szCs w:val="32"/>
    </w:rPr>
  </w:style>
  <w:style w:type="paragraph" w:styleId="Heading3">
    <w:name w:val="heading 3"/>
    <w:basedOn w:val="Normal"/>
    <w:next w:val="Normal"/>
    <w:link w:val="Heading3Char"/>
    <w:uiPriority w:val="9"/>
    <w:semiHidden/>
    <w:unhideWhenUsed/>
    <w:qFormat/>
    <w:rsid w:val="007D57A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D57A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D57A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D57A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D57A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D57A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D57A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474E"/>
    <w:rPr>
      <w:rFonts w:ascii="Calibri" w:eastAsiaTheme="majorEastAsia" w:hAnsi="Calibri" w:cstheme="majorBidi"/>
      <w:b/>
      <w:sz w:val="24"/>
      <w:szCs w:val="40"/>
    </w:rPr>
  </w:style>
  <w:style w:type="character" w:customStyle="1" w:styleId="Heading2Char">
    <w:name w:val="Heading 2 Char"/>
    <w:basedOn w:val="DefaultParagraphFont"/>
    <w:link w:val="Heading2"/>
    <w:uiPriority w:val="9"/>
    <w:rsid w:val="00ED24EA"/>
    <w:rPr>
      <w:rFonts w:ascii="Calibri" w:eastAsiaTheme="majorEastAsia" w:hAnsi="Calibri" w:cstheme="majorBidi"/>
      <w:sz w:val="24"/>
      <w:szCs w:val="32"/>
    </w:rPr>
  </w:style>
  <w:style w:type="character" w:customStyle="1" w:styleId="Heading3Char">
    <w:name w:val="Heading 3 Char"/>
    <w:basedOn w:val="DefaultParagraphFont"/>
    <w:link w:val="Heading3"/>
    <w:uiPriority w:val="9"/>
    <w:semiHidden/>
    <w:rsid w:val="007D57A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D57A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D57A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D57A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D57A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D57A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D57A9"/>
    <w:rPr>
      <w:rFonts w:eastAsiaTheme="majorEastAsia" w:cstheme="majorBidi"/>
      <w:color w:val="272727" w:themeColor="text1" w:themeTint="D8"/>
    </w:rPr>
  </w:style>
  <w:style w:type="paragraph" w:styleId="Title">
    <w:name w:val="Title"/>
    <w:basedOn w:val="Normal"/>
    <w:next w:val="Normal"/>
    <w:link w:val="TitleChar"/>
    <w:uiPriority w:val="10"/>
    <w:qFormat/>
    <w:rsid w:val="007D57A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D57A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D57A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D57A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D57A9"/>
    <w:pPr>
      <w:spacing w:before="160"/>
      <w:jc w:val="center"/>
    </w:pPr>
    <w:rPr>
      <w:i/>
      <w:iCs/>
      <w:color w:val="404040" w:themeColor="text1" w:themeTint="BF"/>
    </w:rPr>
  </w:style>
  <w:style w:type="character" w:customStyle="1" w:styleId="QuoteChar">
    <w:name w:val="Quote Char"/>
    <w:basedOn w:val="DefaultParagraphFont"/>
    <w:link w:val="Quote"/>
    <w:uiPriority w:val="29"/>
    <w:rsid w:val="007D57A9"/>
    <w:rPr>
      <w:i/>
      <w:iCs/>
      <w:color w:val="404040" w:themeColor="text1" w:themeTint="BF"/>
    </w:rPr>
  </w:style>
  <w:style w:type="paragraph" w:styleId="ListParagraph">
    <w:name w:val="List Paragraph"/>
    <w:basedOn w:val="Normal"/>
    <w:uiPriority w:val="34"/>
    <w:qFormat/>
    <w:rsid w:val="007D57A9"/>
    <w:pPr>
      <w:ind w:left="720"/>
      <w:contextualSpacing/>
    </w:pPr>
  </w:style>
  <w:style w:type="character" w:styleId="IntenseEmphasis">
    <w:name w:val="Intense Emphasis"/>
    <w:basedOn w:val="DefaultParagraphFont"/>
    <w:uiPriority w:val="21"/>
    <w:qFormat/>
    <w:rsid w:val="007D57A9"/>
    <w:rPr>
      <w:i/>
      <w:iCs/>
      <w:color w:val="0F4761" w:themeColor="accent1" w:themeShade="BF"/>
    </w:rPr>
  </w:style>
  <w:style w:type="paragraph" w:styleId="IntenseQuote">
    <w:name w:val="Intense Quote"/>
    <w:basedOn w:val="Normal"/>
    <w:next w:val="Normal"/>
    <w:link w:val="IntenseQuoteChar"/>
    <w:uiPriority w:val="30"/>
    <w:qFormat/>
    <w:rsid w:val="007D57A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D57A9"/>
    <w:rPr>
      <w:i/>
      <w:iCs/>
      <w:color w:val="0F4761" w:themeColor="accent1" w:themeShade="BF"/>
    </w:rPr>
  </w:style>
  <w:style w:type="character" w:styleId="IntenseReference">
    <w:name w:val="Intense Reference"/>
    <w:basedOn w:val="DefaultParagraphFont"/>
    <w:uiPriority w:val="32"/>
    <w:qFormat/>
    <w:rsid w:val="007D57A9"/>
    <w:rPr>
      <w:b/>
      <w:bCs/>
      <w:smallCaps/>
      <w:color w:val="0F4761" w:themeColor="accent1" w:themeShade="BF"/>
      <w:spacing w:val="5"/>
    </w:rPr>
  </w:style>
  <w:style w:type="paragraph" w:styleId="Header">
    <w:name w:val="header"/>
    <w:basedOn w:val="Normal"/>
    <w:link w:val="HeaderChar"/>
    <w:uiPriority w:val="99"/>
    <w:unhideWhenUsed/>
    <w:rsid w:val="00F558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58FF"/>
  </w:style>
  <w:style w:type="paragraph" w:styleId="Footer">
    <w:name w:val="footer"/>
    <w:basedOn w:val="Normal"/>
    <w:link w:val="FooterChar"/>
    <w:uiPriority w:val="99"/>
    <w:unhideWhenUsed/>
    <w:rsid w:val="00F558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58FF"/>
  </w:style>
  <w:style w:type="paragraph" w:styleId="TOCHeading">
    <w:name w:val="TOC Heading"/>
    <w:basedOn w:val="Heading1"/>
    <w:next w:val="Normal"/>
    <w:uiPriority w:val="39"/>
    <w:unhideWhenUsed/>
    <w:qFormat/>
    <w:rsid w:val="00F558FF"/>
    <w:pPr>
      <w:spacing w:before="240" w:after="0"/>
      <w:outlineLvl w:val="9"/>
    </w:pPr>
    <w:rPr>
      <w:sz w:val="32"/>
      <w:szCs w:val="32"/>
      <w:lang w:eastAsia="en-GB"/>
    </w:rPr>
  </w:style>
  <w:style w:type="paragraph" w:styleId="TOC1">
    <w:name w:val="toc 1"/>
    <w:basedOn w:val="Normal"/>
    <w:next w:val="Normal"/>
    <w:autoRedefine/>
    <w:uiPriority w:val="39"/>
    <w:unhideWhenUsed/>
    <w:rsid w:val="006412C4"/>
    <w:pPr>
      <w:spacing w:after="100"/>
    </w:pPr>
  </w:style>
  <w:style w:type="paragraph" w:styleId="TOC2">
    <w:name w:val="toc 2"/>
    <w:basedOn w:val="Normal"/>
    <w:next w:val="Normal"/>
    <w:autoRedefine/>
    <w:uiPriority w:val="39"/>
    <w:unhideWhenUsed/>
    <w:rsid w:val="006412C4"/>
    <w:pPr>
      <w:spacing w:after="100"/>
      <w:ind w:left="220"/>
    </w:pPr>
  </w:style>
  <w:style w:type="character" w:styleId="Hyperlink">
    <w:name w:val="Hyperlink"/>
    <w:basedOn w:val="DefaultParagraphFont"/>
    <w:uiPriority w:val="99"/>
    <w:unhideWhenUsed/>
    <w:rsid w:val="006412C4"/>
    <w:rPr>
      <w:color w:val="467886" w:themeColor="hyperlink"/>
      <w:u w:val="single"/>
    </w:rPr>
  </w:style>
  <w:style w:type="table" w:styleId="TableGrid">
    <w:name w:val="Table Grid"/>
    <w:basedOn w:val="TableNormal"/>
    <w:uiPriority w:val="39"/>
    <w:rsid w:val="000B5F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0B5FA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8243015">
      <w:bodyDiv w:val="1"/>
      <w:marLeft w:val="0"/>
      <w:marRight w:val="0"/>
      <w:marTop w:val="0"/>
      <w:marBottom w:val="0"/>
      <w:divBdr>
        <w:top w:val="none" w:sz="0" w:space="0" w:color="auto"/>
        <w:left w:val="none" w:sz="0" w:space="0" w:color="auto"/>
        <w:bottom w:val="none" w:sz="0" w:space="0" w:color="auto"/>
        <w:right w:val="none" w:sz="0" w:space="0" w:color="auto"/>
      </w:divBdr>
    </w:div>
    <w:div w:id="649284522">
      <w:bodyDiv w:val="1"/>
      <w:marLeft w:val="0"/>
      <w:marRight w:val="0"/>
      <w:marTop w:val="0"/>
      <w:marBottom w:val="0"/>
      <w:divBdr>
        <w:top w:val="none" w:sz="0" w:space="0" w:color="auto"/>
        <w:left w:val="none" w:sz="0" w:space="0" w:color="auto"/>
        <w:bottom w:val="none" w:sz="0" w:space="0" w:color="auto"/>
        <w:right w:val="none" w:sz="0" w:space="0" w:color="auto"/>
      </w:divBdr>
    </w:div>
    <w:div w:id="827750147">
      <w:bodyDiv w:val="1"/>
      <w:marLeft w:val="0"/>
      <w:marRight w:val="0"/>
      <w:marTop w:val="0"/>
      <w:marBottom w:val="0"/>
      <w:divBdr>
        <w:top w:val="none" w:sz="0" w:space="0" w:color="auto"/>
        <w:left w:val="none" w:sz="0" w:space="0" w:color="auto"/>
        <w:bottom w:val="none" w:sz="0" w:space="0" w:color="auto"/>
        <w:right w:val="none" w:sz="0" w:space="0" w:color="auto"/>
      </w:divBdr>
    </w:div>
    <w:div w:id="858280256">
      <w:bodyDiv w:val="1"/>
      <w:marLeft w:val="0"/>
      <w:marRight w:val="0"/>
      <w:marTop w:val="0"/>
      <w:marBottom w:val="0"/>
      <w:divBdr>
        <w:top w:val="none" w:sz="0" w:space="0" w:color="auto"/>
        <w:left w:val="none" w:sz="0" w:space="0" w:color="auto"/>
        <w:bottom w:val="none" w:sz="0" w:space="0" w:color="auto"/>
        <w:right w:val="none" w:sz="0" w:space="0" w:color="auto"/>
      </w:divBdr>
    </w:div>
    <w:div w:id="944313048">
      <w:bodyDiv w:val="1"/>
      <w:marLeft w:val="0"/>
      <w:marRight w:val="0"/>
      <w:marTop w:val="0"/>
      <w:marBottom w:val="0"/>
      <w:divBdr>
        <w:top w:val="none" w:sz="0" w:space="0" w:color="auto"/>
        <w:left w:val="none" w:sz="0" w:space="0" w:color="auto"/>
        <w:bottom w:val="none" w:sz="0" w:space="0" w:color="auto"/>
        <w:right w:val="none" w:sz="0" w:space="0" w:color="auto"/>
      </w:divBdr>
    </w:div>
    <w:div w:id="980698426">
      <w:bodyDiv w:val="1"/>
      <w:marLeft w:val="0"/>
      <w:marRight w:val="0"/>
      <w:marTop w:val="0"/>
      <w:marBottom w:val="0"/>
      <w:divBdr>
        <w:top w:val="none" w:sz="0" w:space="0" w:color="auto"/>
        <w:left w:val="none" w:sz="0" w:space="0" w:color="auto"/>
        <w:bottom w:val="none" w:sz="0" w:space="0" w:color="auto"/>
        <w:right w:val="none" w:sz="0" w:space="0" w:color="auto"/>
      </w:divBdr>
    </w:div>
    <w:div w:id="1126896136">
      <w:bodyDiv w:val="1"/>
      <w:marLeft w:val="0"/>
      <w:marRight w:val="0"/>
      <w:marTop w:val="0"/>
      <w:marBottom w:val="0"/>
      <w:divBdr>
        <w:top w:val="none" w:sz="0" w:space="0" w:color="auto"/>
        <w:left w:val="none" w:sz="0" w:space="0" w:color="auto"/>
        <w:bottom w:val="none" w:sz="0" w:space="0" w:color="auto"/>
        <w:right w:val="none" w:sz="0" w:space="0" w:color="auto"/>
      </w:divBdr>
    </w:div>
    <w:div w:id="1158694939">
      <w:bodyDiv w:val="1"/>
      <w:marLeft w:val="0"/>
      <w:marRight w:val="0"/>
      <w:marTop w:val="0"/>
      <w:marBottom w:val="0"/>
      <w:divBdr>
        <w:top w:val="none" w:sz="0" w:space="0" w:color="auto"/>
        <w:left w:val="none" w:sz="0" w:space="0" w:color="auto"/>
        <w:bottom w:val="none" w:sz="0" w:space="0" w:color="auto"/>
        <w:right w:val="none" w:sz="0" w:space="0" w:color="auto"/>
      </w:divBdr>
    </w:div>
    <w:div w:id="1552303642">
      <w:bodyDiv w:val="1"/>
      <w:marLeft w:val="0"/>
      <w:marRight w:val="0"/>
      <w:marTop w:val="0"/>
      <w:marBottom w:val="0"/>
      <w:divBdr>
        <w:top w:val="none" w:sz="0" w:space="0" w:color="auto"/>
        <w:left w:val="none" w:sz="0" w:space="0" w:color="auto"/>
        <w:bottom w:val="none" w:sz="0" w:space="0" w:color="auto"/>
        <w:right w:val="none" w:sz="0" w:space="0" w:color="auto"/>
      </w:divBdr>
    </w:div>
    <w:div w:id="1614021981">
      <w:bodyDiv w:val="1"/>
      <w:marLeft w:val="0"/>
      <w:marRight w:val="0"/>
      <w:marTop w:val="0"/>
      <w:marBottom w:val="0"/>
      <w:divBdr>
        <w:top w:val="none" w:sz="0" w:space="0" w:color="auto"/>
        <w:left w:val="none" w:sz="0" w:space="0" w:color="auto"/>
        <w:bottom w:val="none" w:sz="0" w:space="0" w:color="auto"/>
        <w:right w:val="none" w:sz="0" w:space="0" w:color="auto"/>
      </w:divBdr>
    </w:div>
    <w:div w:id="1644650385">
      <w:bodyDiv w:val="1"/>
      <w:marLeft w:val="0"/>
      <w:marRight w:val="0"/>
      <w:marTop w:val="0"/>
      <w:marBottom w:val="0"/>
      <w:divBdr>
        <w:top w:val="none" w:sz="0" w:space="0" w:color="auto"/>
        <w:left w:val="none" w:sz="0" w:space="0" w:color="auto"/>
        <w:bottom w:val="none" w:sz="0" w:space="0" w:color="auto"/>
        <w:right w:val="none" w:sz="0" w:space="0" w:color="auto"/>
      </w:divBdr>
    </w:div>
    <w:div w:id="1708675886">
      <w:bodyDiv w:val="1"/>
      <w:marLeft w:val="0"/>
      <w:marRight w:val="0"/>
      <w:marTop w:val="0"/>
      <w:marBottom w:val="0"/>
      <w:divBdr>
        <w:top w:val="none" w:sz="0" w:space="0" w:color="auto"/>
        <w:left w:val="none" w:sz="0" w:space="0" w:color="auto"/>
        <w:bottom w:val="none" w:sz="0" w:space="0" w:color="auto"/>
        <w:right w:val="none" w:sz="0" w:space="0" w:color="auto"/>
      </w:divBdr>
    </w:div>
    <w:div w:id="1771314848">
      <w:bodyDiv w:val="1"/>
      <w:marLeft w:val="0"/>
      <w:marRight w:val="0"/>
      <w:marTop w:val="0"/>
      <w:marBottom w:val="0"/>
      <w:divBdr>
        <w:top w:val="none" w:sz="0" w:space="0" w:color="auto"/>
        <w:left w:val="none" w:sz="0" w:space="0" w:color="auto"/>
        <w:bottom w:val="none" w:sz="0" w:space="0" w:color="auto"/>
        <w:right w:val="none" w:sz="0" w:space="0" w:color="auto"/>
      </w:divBdr>
    </w:div>
    <w:div w:id="1784378525">
      <w:bodyDiv w:val="1"/>
      <w:marLeft w:val="0"/>
      <w:marRight w:val="0"/>
      <w:marTop w:val="0"/>
      <w:marBottom w:val="0"/>
      <w:divBdr>
        <w:top w:val="none" w:sz="0" w:space="0" w:color="auto"/>
        <w:left w:val="none" w:sz="0" w:space="0" w:color="auto"/>
        <w:bottom w:val="none" w:sz="0" w:space="0" w:color="auto"/>
        <w:right w:val="none" w:sz="0" w:space="0" w:color="auto"/>
      </w:divBdr>
    </w:div>
    <w:div w:id="1891308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1">
          <a:schemeClr val="accent1"/>
        </a:lnRef>
        <a:fillRef idx="0">
          <a:schemeClr val="accent1"/>
        </a:fillRef>
        <a:effectRef idx="0">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2849</Words>
  <Characters>16244</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Mikey Scourfield</dc:creator>
  <cp:keywords/>
  <dc:description/>
  <cp:lastModifiedBy>Mikey Scourfield</cp:lastModifiedBy>
  <cp:revision>85</cp:revision>
  <dcterms:created xsi:type="dcterms:W3CDTF">2025-05-09T09:29:00Z</dcterms:created>
  <dcterms:modified xsi:type="dcterms:W3CDTF">2025-05-12T21:18:00Z</dcterms:modified>
</cp:coreProperties>
</file>