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EC163" w14:textId="7F50E092" w:rsidR="00095432" w:rsidRPr="00E37900" w:rsidRDefault="00095432" w:rsidP="00095432">
      <w:pPr>
        <w:spacing w:line="360" w:lineRule="auto"/>
        <w:jc w:val="both"/>
        <w:rPr>
          <w:rFonts w:ascii="Arial" w:hAnsi="Arial" w:cs="Arial"/>
          <w:sz w:val="24"/>
          <w:szCs w:val="24"/>
        </w:rPr>
      </w:pPr>
      <w:r>
        <w:rPr>
          <w:b/>
          <w:bCs/>
          <w:noProof/>
          <w:sz w:val="40"/>
          <w:szCs w:val="44"/>
        </w:rPr>
        <w:drawing>
          <wp:anchor distT="0" distB="0" distL="114300" distR="114300" simplePos="0" relativeHeight="251659264" behindDoc="0" locked="0" layoutInCell="1" allowOverlap="1" wp14:anchorId="0D6C615E" wp14:editId="427D0F56">
            <wp:simplePos x="0" y="0"/>
            <wp:positionH relativeFrom="margin">
              <wp:posOffset>-861060</wp:posOffset>
            </wp:positionH>
            <wp:positionV relativeFrom="paragraph">
              <wp:posOffset>0</wp:posOffset>
            </wp:positionV>
            <wp:extent cx="7467600" cy="3086100"/>
            <wp:effectExtent l="0" t="0" r="0" b="0"/>
            <wp:wrapSquare wrapText="bothSides"/>
            <wp:docPr id="217501439" name="Picture 1" descr="A black and yellow logo with blue and yellow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501439" name="Picture 1" descr="A black and yellow logo with blue and yellow flowers&#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7467600" cy="3086100"/>
                    </a:xfrm>
                    <a:prstGeom prst="rect">
                      <a:avLst/>
                    </a:prstGeom>
                  </pic:spPr>
                </pic:pic>
              </a:graphicData>
            </a:graphic>
            <wp14:sizeRelH relativeFrom="margin">
              <wp14:pctWidth>0</wp14:pctWidth>
            </wp14:sizeRelH>
            <wp14:sizeRelV relativeFrom="margin">
              <wp14:pctHeight>0</wp14:pctHeight>
            </wp14:sizeRelV>
          </wp:anchor>
        </w:drawing>
      </w:r>
      <w:r w:rsidRPr="00E37900">
        <w:rPr>
          <w:rFonts w:ascii="Arial" w:hAnsi="Arial" w:cs="Arial"/>
          <w:sz w:val="24"/>
          <w:szCs w:val="24"/>
        </w:rPr>
        <w:t>Module Leader: Dr Patronella Ganza</w:t>
      </w:r>
    </w:p>
    <w:p w14:paraId="33FDB5BA" w14:textId="77777777" w:rsidR="00095432" w:rsidRDefault="00095432" w:rsidP="00095432">
      <w:pPr>
        <w:rPr>
          <w:b/>
          <w:bCs/>
          <w:sz w:val="40"/>
          <w:szCs w:val="44"/>
        </w:rPr>
      </w:pPr>
      <w:r w:rsidRPr="00E37900">
        <w:rPr>
          <w:rFonts w:ascii="Arial" w:hAnsi="Arial" w:cs="Arial"/>
          <w:sz w:val="24"/>
          <w:szCs w:val="24"/>
        </w:rPr>
        <w:t>Module Title: Introduction to Health and Social Care</w:t>
      </w:r>
    </w:p>
    <w:p w14:paraId="27317458" w14:textId="4F102E3A" w:rsidR="00095432" w:rsidRDefault="00095432" w:rsidP="00095432">
      <w:pPr>
        <w:rPr>
          <w:rFonts w:ascii="Arial" w:hAnsi="Arial" w:cs="Arial"/>
          <w:sz w:val="24"/>
          <w:szCs w:val="24"/>
        </w:rPr>
      </w:pPr>
      <w:r w:rsidRPr="00E37900">
        <w:rPr>
          <w:rFonts w:ascii="Arial" w:hAnsi="Arial" w:cs="Arial"/>
          <w:sz w:val="24"/>
          <w:szCs w:val="24"/>
        </w:rPr>
        <w:t xml:space="preserve">Topic: </w:t>
      </w:r>
      <w:r w:rsidR="00DC72E1">
        <w:rPr>
          <w:rFonts w:ascii="Arial" w:hAnsi="Arial" w:cs="Arial"/>
          <w:sz w:val="24"/>
          <w:szCs w:val="24"/>
        </w:rPr>
        <w:t>Case Study: Mrs Mann</w:t>
      </w:r>
    </w:p>
    <w:p w14:paraId="2F4915CB" w14:textId="6167B72E" w:rsidR="00095432" w:rsidRDefault="00095432" w:rsidP="00095432">
      <w:pPr>
        <w:rPr>
          <w:rFonts w:ascii="Arial" w:hAnsi="Arial" w:cs="Arial"/>
          <w:sz w:val="24"/>
          <w:szCs w:val="24"/>
        </w:rPr>
      </w:pPr>
      <w:r>
        <w:rPr>
          <w:rFonts w:ascii="Arial" w:hAnsi="Arial" w:cs="Arial"/>
          <w:sz w:val="24"/>
          <w:szCs w:val="24"/>
        </w:rPr>
        <w:t>Submission Deadline: 1</w:t>
      </w:r>
      <w:r w:rsidR="00603F5C">
        <w:rPr>
          <w:rFonts w:ascii="Arial" w:hAnsi="Arial" w:cs="Arial"/>
          <w:sz w:val="24"/>
          <w:szCs w:val="24"/>
        </w:rPr>
        <w:t>9</w:t>
      </w:r>
      <w:r>
        <w:rPr>
          <w:rFonts w:ascii="Arial" w:hAnsi="Arial" w:cs="Arial"/>
          <w:sz w:val="24"/>
          <w:szCs w:val="24"/>
        </w:rPr>
        <w:t xml:space="preserve"> December 2025</w:t>
      </w:r>
    </w:p>
    <w:p w14:paraId="21D5E952" w14:textId="76967319" w:rsidR="00095432" w:rsidRPr="004C672F" w:rsidRDefault="00095432" w:rsidP="00095432">
      <w:pPr>
        <w:rPr>
          <w:rFonts w:ascii="Arial" w:hAnsi="Arial" w:cs="Arial"/>
          <w:sz w:val="24"/>
          <w:szCs w:val="24"/>
        </w:rPr>
      </w:pPr>
      <w:r>
        <w:rPr>
          <w:rFonts w:ascii="Arial" w:hAnsi="Arial" w:cs="Arial"/>
          <w:sz w:val="24"/>
          <w:szCs w:val="24"/>
        </w:rPr>
        <w:t>Word Counts: 1500 + 10% (1650, excluding reference list)</w:t>
      </w:r>
    </w:p>
    <w:p w14:paraId="03672514" w14:textId="77777777" w:rsidR="00095432" w:rsidRDefault="00095432" w:rsidP="0008075F">
      <w:pPr>
        <w:spacing w:line="360" w:lineRule="auto"/>
        <w:jc w:val="both"/>
        <w:rPr>
          <w:rFonts w:ascii="Arial" w:hAnsi="Arial" w:cs="Arial"/>
          <w:sz w:val="24"/>
          <w:szCs w:val="24"/>
        </w:rPr>
      </w:pPr>
    </w:p>
    <w:p w14:paraId="30B8ABA8" w14:textId="77777777" w:rsidR="00095432" w:rsidRDefault="00095432" w:rsidP="0008075F">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921984228"/>
        <w:docPartObj>
          <w:docPartGallery w:val="Table of Contents"/>
          <w:docPartUnique/>
        </w:docPartObj>
      </w:sdtPr>
      <w:sdtEndPr>
        <w:rPr>
          <w:b/>
          <w:bCs/>
          <w:noProof/>
        </w:rPr>
      </w:sdtEndPr>
      <w:sdtContent>
        <w:p w14:paraId="3E4FFAE5" w14:textId="1FAE28E2" w:rsidR="00DC72E1" w:rsidRDefault="00DC72E1">
          <w:pPr>
            <w:pStyle w:val="TOCHeading"/>
          </w:pPr>
          <w:r>
            <w:t>Table of Contents</w:t>
          </w:r>
        </w:p>
        <w:p w14:paraId="341EDFC6" w14:textId="6C107A53" w:rsidR="00DC72E1" w:rsidRDefault="00DC72E1">
          <w:pPr>
            <w:pStyle w:val="TOC1"/>
            <w:tabs>
              <w:tab w:val="right" w:leader="dot" w:pos="9016"/>
            </w:tabs>
            <w:rPr>
              <w:noProof/>
            </w:rPr>
          </w:pPr>
          <w:r>
            <w:fldChar w:fldCharType="begin"/>
          </w:r>
          <w:r>
            <w:instrText xml:space="preserve"> TOC \o "1-3" \h \z \u </w:instrText>
          </w:r>
          <w:r>
            <w:fldChar w:fldCharType="separate"/>
          </w:r>
          <w:hyperlink w:anchor="_Toc216638162" w:history="1">
            <w:r w:rsidRPr="00EB61B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_Toc216638162 \h </w:instrText>
            </w:r>
            <w:r>
              <w:rPr>
                <w:noProof/>
                <w:webHidden/>
              </w:rPr>
            </w:r>
            <w:r>
              <w:rPr>
                <w:noProof/>
                <w:webHidden/>
              </w:rPr>
              <w:fldChar w:fldCharType="separate"/>
            </w:r>
            <w:r>
              <w:rPr>
                <w:noProof/>
                <w:webHidden/>
              </w:rPr>
              <w:t>2</w:t>
            </w:r>
            <w:r>
              <w:rPr>
                <w:noProof/>
                <w:webHidden/>
              </w:rPr>
              <w:fldChar w:fldCharType="end"/>
            </w:r>
          </w:hyperlink>
        </w:p>
        <w:p w14:paraId="1F7B88C5" w14:textId="41C93C84" w:rsidR="00DC72E1" w:rsidRDefault="00DC72E1">
          <w:pPr>
            <w:pStyle w:val="TOC1"/>
            <w:tabs>
              <w:tab w:val="right" w:leader="dot" w:pos="9016"/>
            </w:tabs>
            <w:rPr>
              <w:noProof/>
            </w:rPr>
          </w:pPr>
          <w:hyperlink w:anchor="_Toc216638163" w:history="1">
            <w:r w:rsidRPr="00EB61B0">
              <w:rPr>
                <w:rStyle w:val="Hyperlink"/>
                <w:rFonts w:ascii="Arial" w:hAnsi="Arial" w:cs="Arial"/>
                <w:noProof/>
              </w:rPr>
              <w:t>The importance of Effective Communication</w:t>
            </w:r>
            <w:r>
              <w:rPr>
                <w:noProof/>
                <w:webHidden/>
              </w:rPr>
              <w:tab/>
            </w:r>
            <w:r>
              <w:rPr>
                <w:noProof/>
                <w:webHidden/>
              </w:rPr>
              <w:fldChar w:fldCharType="begin"/>
            </w:r>
            <w:r>
              <w:rPr>
                <w:noProof/>
                <w:webHidden/>
              </w:rPr>
              <w:instrText xml:space="preserve"> PAGEREF _Toc216638163 \h </w:instrText>
            </w:r>
            <w:r>
              <w:rPr>
                <w:noProof/>
                <w:webHidden/>
              </w:rPr>
            </w:r>
            <w:r>
              <w:rPr>
                <w:noProof/>
                <w:webHidden/>
              </w:rPr>
              <w:fldChar w:fldCharType="separate"/>
            </w:r>
            <w:r>
              <w:rPr>
                <w:noProof/>
                <w:webHidden/>
              </w:rPr>
              <w:t>2</w:t>
            </w:r>
            <w:r>
              <w:rPr>
                <w:noProof/>
                <w:webHidden/>
              </w:rPr>
              <w:fldChar w:fldCharType="end"/>
            </w:r>
          </w:hyperlink>
        </w:p>
        <w:p w14:paraId="613ABF3D" w14:textId="47AB53C6" w:rsidR="00DC72E1" w:rsidRDefault="00DC72E1">
          <w:pPr>
            <w:pStyle w:val="TOC1"/>
            <w:tabs>
              <w:tab w:val="right" w:leader="dot" w:pos="9016"/>
            </w:tabs>
            <w:rPr>
              <w:noProof/>
            </w:rPr>
          </w:pPr>
          <w:hyperlink w:anchor="_Toc216638164" w:history="1">
            <w:r w:rsidRPr="00EB61B0">
              <w:rPr>
                <w:rStyle w:val="Hyperlink"/>
                <w:rFonts w:ascii="Arial" w:hAnsi="Arial" w:cs="Arial"/>
                <w:noProof/>
              </w:rPr>
              <w:t>Importance of Good Administrative Skills.</w:t>
            </w:r>
            <w:r>
              <w:rPr>
                <w:noProof/>
                <w:webHidden/>
              </w:rPr>
              <w:tab/>
            </w:r>
            <w:r>
              <w:rPr>
                <w:noProof/>
                <w:webHidden/>
              </w:rPr>
              <w:fldChar w:fldCharType="begin"/>
            </w:r>
            <w:r>
              <w:rPr>
                <w:noProof/>
                <w:webHidden/>
              </w:rPr>
              <w:instrText xml:space="preserve"> PAGEREF _Toc216638164 \h </w:instrText>
            </w:r>
            <w:r>
              <w:rPr>
                <w:noProof/>
                <w:webHidden/>
              </w:rPr>
            </w:r>
            <w:r>
              <w:rPr>
                <w:noProof/>
                <w:webHidden/>
              </w:rPr>
              <w:fldChar w:fldCharType="separate"/>
            </w:r>
            <w:r>
              <w:rPr>
                <w:noProof/>
                <w:webHidden/>
              </w:rPr>
              <w:t>4</w:t>
            </w:r>
            <w:r>
              <w:rPr>
                <w:noProof/>
                <w:webHidden/>
              </w:rPr>
              <w:fldChar w:fldCharType="end"/>
            </w:r>
          </w:hyperlink>
        </w:p>
        <w:p w14:paraId="25C7608D" w14:textId="7A4ADA89" w:rsidR="00DC72E1" w:rsidRDefault="00DC72E1">
          <w:pPr>
            <w:pStyle w:val="TOC1"/>
            <w:tabs>
              <w:tab w:val="right" w:leader="dot" w:pos="9016"/>
            </w:tabs>
            <w:rPr>
              <w:noProof/>
            </w:rPr>
          </w:pPr>
          <w:hyperlink w:anchor="_Toc216638165" w:history="1">
            <w:r w:rsidRPr="00EB61B0">
              <w:rPr>
                <w:rStyle w:val="Hyperlink"/>
                <w:rFonts w:ascii="Arial" w:hAnsi="Arial" w:cs="Arial"/>
                <w:noProof/>
              </w:rPr>
              <w:t>The Importance of Collaborative Working</w:t>
            </w:r>
            <w:r>
              <w:rPr>
                <w:noProof/>
                <w:webHidden/>
              </w:rPr>
              <w:tab/>
            </w:r>
            <w:r>
              <w:rPr>
                <w:noProof/>
                <w:webHidden/>
              </w:rPr>
              <w:fldChar w:fldCharType="begin"/>
            </w:r>
            <w:r>
              <w:rPr>
                <w:noProof/>
                <w:webHidden/>
              </w:rPr>
              <w:instrText xml:space="preserve"> PAGEREF _Toc216638165 \h </w:instrText>
            </w:r>
            <w:r>
              <w:rPr>
                <w:noProof/>
                <w:webHidden/>
              </w:rPr>
            </w:r>
            <w:r>
              <w:rPr>
                <w:noProof/>
                <w:webHidden/>
              </w:rPr>
              <w:fldChar w:fldCharType="separate"/>
            </w:r>
            <w:r>
              <w:rPr>
                <w:noProof/>
                <w:webHidden/>
              </w:rPr>
              <w:t>5</w:t>
            </w:r>
            <w:r>
              <w:rPr>
                <w:noProof/>
                <w:webHidden/>
              </w:rPr>
              <w:fldChar w:fldCharType="end"/>
            </w:r>
          </w:hyperlink>
        </w:p>
        <w:p w14:paraId="6CCFCF72" w14:textId="5B165A2D" w:rsidR="00DC72E1" w:rsidRDefault="00DC72E1">
          <w:pPr>
            <w:pStyle w:val="TOC1"/>
            <w:tabs>
              <w:tab w:val="right" w:leader="dot" w:pos="9016"/>
            </w:tabs>
            <w:rPr>
              <w:noProof/>
            </w:rPr>
          </w:pPr>
          <w:hyperlink w:anchor="_Toc216638166" w:history="1">
            <w:r w:rsidRPr="00EB61B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_Toc216638166 \h </w:instrText>
            </w:r>
            <w:r>
              <w:rPr>
                <w:noProof/>
                <w:webHidden/>
              </w:rPr>
            </w:r>
            <w:r>
              <w:rPr>
                <w:noProof/>
                <w:webHidden/>
              </w:rPr>
              <w:fldChar w:fldCharType="separate"/>
            </w:r>
            <w:r>
              <w:rPr>
                <w:noProof/>
                <w:webHidden/>
              </w:rPr>
              <w:t>7</w:t>
            </w:r>
            <w:r>
              <w:rPr>
                <w:noProof/>
                <w:webHidden/>
              </w:rPr>
              <w:fldChar w:fldCharType="end"/>
            </w:r>
          </w:hyperlink>
        </w:p>
        <w:p w14:paraId="7B563A87" w14:textId="05537E85" w:rsidR="00DC72E1" w:rsidRDefault="00DC72E1">
          <w:pPr>
            <w:pStyle w:val="TOC1"/>
            <w:tabs>
              <w:tab w:val="right" w:leader="dot" w:pos="9016"/>
            </w:tabs>
            <w:rPr>
              <w:noProof/>
            </w:rPr>
          </w:pPr>
          <w:hyperlink w:anchor="_Toc216638167" w:history="1">
            <w:r w:rsidRPr="00EB61B0">
              <w:rPr>
                <w:rStyle w:val="Hyperlink"/>
                <w:rFonts w:ascii="Arial" w:hAnsi="Arial" w:cs="Arial"/>
                <w:noProof/>
                <w:lang w:val="en-US"/>
              </w:rPr>
              <w:t>Reference list</w:t>
            </w:r>
            <w:r>
              <w:rPr>
                <w:noProof/>
                <w:webHidden/>
              </w:rPr>
              <w:tab/>
            </w:r>
            <w:r>
              <w:rPr>
                <w:noProof/>
                <w:webHidden/>
              </w:rPr>
              <w:fldChar w:fldCharType="begin"/>
            </w:r>
            <w:r>
              <w:rPr>
                <w:noProof/>
                <w:webHidden/>
              </w:rPr>
              <w:instrText xml:space="preserve"> PAGEREF _Toc216638167 \h </w:instrText>
            </w:r>
            <w:r>
              <w:rPr>
                <w:noProof/>
                <w:webHidden/>
              </w:rPr>
            </w:r>
            <w:r>
              <w:rPr>
                <w:noProof/>
                <w:webHidden/>
              </w:rPr>
              <w:fldChar w:fldCharType="separate"/>
            </w:r>
            <w:r>
              <w:rPr>
                <w:noProof/>
                <w:webHidden/>
              </w:rPr>
              <w:t>7</w:t>
            </w:r>
            <w:r>
              <w:rPr>
                <w:noProof/>
                <w:webHidden/>
              </w:rPr>
              <w:fldChar w:fldCharType="end"/>
            </w:r>
          </w:hyperlink>
        </w:p>
        <w:p w14:paraId="1D58F4F1" w14:textId="6F2954FC" w:rsidR="00DC72E1" w:rsidRDefault="00DC72E1">
          <w:r>
            <w:rPr>
              <w:b/>
              <w:bCs/>
              <w:noProof/>
            </w:rPr>
            <w:fldChar w:fldCharType="end"/>
          </w:r>
        </w:p>
      </w:sdtContent>
    </w:sdt>
    <w:p w14:paraId="7F8195C6" w14:textId="77777777" w:rsidR="00DC72E1" w:rsidRDefault="00DC72E1" w:rsidP="0008075F">
      <w:pPr>
        <w:spacing w:line="360" w:lineRule="auto"/>
        <w:jc w:val="both"/>
        <w:rPr>
          <w:rFonts w:ascii="Arial" w:hAnsi="Arial" w:cs="Arial"/>
          <w:sz w:val="24"/>
          <w:szCs w:val="24"/>
        </w:rPr>
      </w:pPr>
    </w:p>
    <w:p w14:paraId="4EF374B9" w14:textId="7887CDE9" w:rsidR="00DC72E1" w:rsidRDefault="00DC72E1" w:rsidP="0008075F">
      <w:pPr>
        <w:spacing w:line="360" w:lineRule="auto"/>
        <w:jc w:val="both"/>
        <w:rPr>
          <w:rFonts w:ascii="Arial" w:hAnsi="Arial" w:cs="Arial"/>
          <w:sz w:val="24"/>
          <w:szCs w:val="24"/>
        </w:rPr>
      </w:pPr>
    </w:p>
    <w:p w14:paraId="44DE3EB3" w14:textId="77777777" w:rsidR="00095432" w:rsidRDefault="00095432" w:rsidP="0008075F">
      <w:pPr>
        <w:spacing w:line="360" w:lineRule="auto"/>
        <w:jc w:val="both"/>
        <w:rPr>
          <w:rFonts w:ascii="Arial" w:hAnsi="Arial" w:cs="Arial"/>
          <w:sz w:val="24"/>
          <w:szCs w:val="24"/>
        </w:rPr>
      </w:pPr>
    </w:p>
    <w:p w14:paraId="45B19CF4" w14:textId="1731FBA5" w:rsidR="00C01F01" w:rsidRPr="00DC72E1" w:rsidRDefault="00FE79F2" w:rsidP="00DC72E1">
      <w:pPr>
        <w:pStyle w:val="Heading1"/>
        <w:rPr>
          <w:rFonts w:ascii="Arial" w:hAnsi="Arial" w:cs="Arial"/>
        </w:rPr>
      </w:pPr>
      <w:bookmarkStart w:id="0" w:name="_Toc216638162"/>
      <w:r w:rsidRPr="00DC72E1">
        <w:rPr>
          <w:rFonts w:ascii="Arial" w:hAnsi="Arial" w:cs="Arial"/>
          <w:color w:val="auto"/>
          <w:sz w:val="28"/>
          <w:szCs w:val="28"/>
        </w:rPr>
        <w:lastRenderedPageBreak/>
        <w:t>Introduction</w:t>
      </w:r>
      <w:bookmarkEnd w:id="0"/>
      <w:r w:rsidR="0034492E">
        <w:rPr>
          <w:rFonts w:ascii="Arial" w:hAnsi="Arial" w:cs="Arial"/>
          <w:color w:val="auto"/>
          <w:sz w:val="28"/>
          <w:szCs w:val="28"/>
        </w:rPr>
        <w:t xml:space="preserve"> </w:t>
      </w:r>
    </w:p>
    <w:p w14:paraId="63DE8064" w14:textId="778D8C03" w:rsidR="00580C51" w:rsidRDefault="006823CB" w:rsidP="0008075F">
      <w:pPr>
        <w:spacing w:line="360" w:lineRule="auto"/>
        <w:jc w:val="both"/>
        <w:rPr>
          <w:rFonts w:ascii="Arial" w:hAnsi="Arial" w:cs="Arial"/>
          <w:sz w:val="24"/>
          <w:szCs w:val="24"/>
        </w:rPr>
      </w:pPr>
      <w:r>
        <w:rPr>
          <w:rFonts w:ascii="Arial" w:hAnsi="Arial" w:cs="Arial"/>
          <w:sz w:val="24"/>
          <w:szCs w:val="24"/>
        </w:rPr>
        <w:t xml:space="preserve">In the </w:t>
      </w:r>
      <w:r w:rsidR="00BC6128">
        <w:rPr>
          <w:rFonts w:ascii="Arial" w:hAnsi="Arial" w:cs="Arial"/>
          <w:sz w:val="24"/>
          <w:szCs w:val="24"/>
        </w:rPr>
        <w:t>Health and socia</w:t>
      </w:r>
      <w:r w:rsidR="005D54C0">
        <w:rPr>
          <w:rFonts w:ascii="Arial" w:hAnsi="Arial" w:cs="Arial"/>
          <w:sz w:val="24"/>
          <w:szCs w:val="24"/>
        </w:rPr>
        <w:t xml:space="preserve">l </w:t>
      </w:r>
      <w:r w:rsidR="00BC6128">
        <w:rPr>
          <w:rFonts w:ascii="Arial" w:hAnsi="Arial" w:cs="Arial"/>
          <w:sz w:val="24"/>
          <w:szCs w:val="24"/>
        </w:rPr>
        <w:t xml:space="preserve">care </w:t>
      </w:r>
      <w:r w:rsidR="005D54C0">
        <w:rPr>
          <w:rFonts w:ascii="Arial" w:hAnsi="Arial" w:cs="Arial"/>
          <w:sz w:val="24"/>
          <w:szCs w:val="24"/>
        </w:rPr>
        <w:t>sector</w:t>
      </w:r>
      <w:r w:rsidR="0034492E">
        <w:rPr>
          <w:rFonts w:ascii="Arial" w:hAnsi="Arial" w:cs="Arial"/>
          <w:sz w:val="24"/>
          <w:szCs w:val="24"/>
        </w:rPr>
        <w:t xml:space="preserve">, providing </w:t>
      </w:r>
      <w:r w:rsidR="001C2D2A">
        <w:rPr>
          <w:rFonts w:ascii="Arial" w:hAnsi="Arial" w:cs="Arial"/>
          <w:sz w:val="24"/>
          <w:szCs w:val="24"/>
        </w:rPr>
        <w:t>safe and person</w:t>
      </w:r>
      <w:r w:rsidR="000B4801">
        <w:rPr>
          <w:rFonts w:ascii="Arial" w:hAnsi="Arial" w:cs="Arial"/>
          <w:sz w:val="24"/>
          <w:szCs w:val="24"/>
        </w:rPr>
        <w:t xml:space="preserve">-centred care requires </w:t>
      </w:r>
      <w:r w:rsidR="009E07E6">
        <w:rPr>
          <w:rFonts w:ascii="Arial" w:hAnsi="Arial" w:cs="Arial"/>
          <w:sz w:val="24"/>
          <w:szCs w:val="24"/>
        </w:rPr>
        <w:t>effective communication, accurate recor</w:t>
      </w:r>
      <w:r w:rsidR="00F1537C">
        <w:rPr>
          <w:rFonts w:ascii="Arial" w:hAnsi="Arial" w:cs="Arial"/>
          <w:sz w:val="24"/>
          <w:szCs w:val="24"/>
        </w:rPr>
        <w:t>d-</w:t>
      </w:r>
      <w:r w:rsidR="009E07E6">
        <w:rPr>
          <w:rFonts w:ascii="Arial" w:hAnsi="Arial" w:cs="Arial"/>
          <w:sz w:val="24"/>
          <w:szCs w:val="24"/>
        </w:rPr>
        <w:t xml:space="preserve">keeping and teamwork. When caring for </w:t>
      </w:r>
      <w:r w:rsidR="003767B9">
        <w:rPr>
          <w:rFonts w:ascii="Arial" w:hAnsi="Arial" w:cs="Arial"/>
          <w:sz w:val="24"/>
          <w:szCs w:val="24"/>
        </w:rPr>
        <w:t xml:space="preserve">an </w:t>
      </w:r>
      <w:r w:rsidR="009E07E6">
        <w:rPr>
          <w:rFonts w:ascii="Arial" w:hAnsi="Arial" w:cs="Arial"/>
          <w:sz w:val="24"/>
          <w:szCs w:val="24"/>
        </w:rPr>
        <w:t xml:space="preserve">elderly patient with urgent needs, certain </w:t>
      </w:r>
      <w:r w:rsidR="00F6152D">
        <w:rPr>
          <w:rFonts w:ascii="Arial" w:hAnsi="Arial" w:cs="Arial"/>
          <w:sz w:val="24"/>
          <w:szCs w:val="24"/>
        </w:rPr>
        <w:t>professional</w:t>
      </w:r>
      <w:r w:rsidR="009E07E6">
        <w:rPr>
          <w:rFonts w:ascii="Arial" w:hAnsi="Arial" w:cs="Arial"/>
          <w:sz w:val="24"/>
          <w:szCs w:val="24"/>
        </w:rPr>
        <w:t xml:space="preserve"> p</w:t>
      </w:r>
      <w:r w:rsidR="00F6152D">
        <w:rPr>
          <w:rFonts w:ascii="Arial" w:hAnsi="Arial" w:cs="Arial"/>
          <w:sz w:val="24"/>
          <w:szCs w:val="24"/>
        </w:rPr>
        <w:t xml:space="preserve">rocedures are crucial. </w:t>
      </w:r>
      <w:r w:rsidR="0065522D">
        <w:rPr>
          <w:rFonts w:ascii="Arial" w:hAnsi="Arial" w:cs="Arial"/>
          <w:sz w:val="24"/>
          <w:szCs w:val="24"/>
        </w:rPr>
        <w:t xml:space="preserve">This article will look at the circumstances surrounding Mrs Mann, a 72-year-old woman who recently left the hospital following a hip surgery. </w:t>
      </w:r>
      <w:r w:rsidR="00D519AA">
        <w:rPr>
          <w:rFonts w:ascii="Arial" w:hAnsi="Arial" w:cs="Arial"/>
          <w:sz w:val="24"/>
          <w:szCs w:val="24"/>
        </w:rPr>
        <w:t>In addition to advice f</w:t>
      </w:r>
      <w:r w:rsidR="00F1537C">
        <w:rPr>
          <w:rFonts w:ascii="Arial" w:hAnsi="Arial" w:cs="Arial"/>
          <w:sz w:val="24"/>
          <w:szCs w:val="24"/>
        </w:rPr>
        <w:t>ro</w:t>
      </w:r>
      <w:r w:rsidR="00D519AA">
        <w:rPr>
          <w:rFonts w:ascii="Arial" w:hAnsi="Arial" w:cs="Arial"/>
          <w:sz w:val="24"/>
          <w:szCs w:val="24"/>
        </w:rPr>
        <w:t>m her gen</w:t>
      </w:r>
      <w:r w:rsidR="00F1537C">
        <w:rPr>
          <w:rFonts w:ascii="Arial" w:hAnsi="Arial" w:cs="Arial"/>
          <w:sz w:val="24"/>
          <w:szCs w:val="24"/>
        </w:rPr>
        <w:t xml:space="preserve">eral </w:t>
      </w:r>
      <w:r w:rsidR="00F40CB3">
        <w:rPr>
          <w:rFonts w:ascii="Arial" w:hAnsi="Arial" w:cs="Arial"/>
          <w:sz w:val="24"/>
          <w:szCs w:val="24"/>
        </w:rPr>
        <w:t>practitioner (</w:t>
      </w:r>
      <w:r w:rsidR="00F86683">
        <w:rPr>
          <w:rFonts w:ascii="Arial" w:hAnsi="Arial" w:cs="Arial"/>
          <w:sz w:val="24"/>
          <w:szCs w:val="24"/>
        </w:rPr>
        <w:t>GP) and a community physiotherapist, Mrs Mann lives alone and is supported by a domicil</w:t>
      </w:r>
      <w:r w:rsidR="00F40CB3">
        <w:rPr>
          <w:rFonts w:ascii="Arial" w:hAnsi="Arial" w:cs="Arial"/>
          <w:sz w:val="24"/>
          <w:szCs w:val="24"/>
        </w:rPr>
        <w:t>i</w:t>
      </w:r>
      <w:r w:rsidR="00F86683">
        <w:rPr>
          <w:rFonts w:ascii="Arial" w:hAnsi="Arial" w:cs="Arial"/>
          <w:sz w:val="24"/>
          <w:szCs w:val="24"/>
        </w:rPr>
        <w:t>ary care service.</w:t>
      </w:r>
    </w:p>
    <w:p w14:paraId="4175A0A8" w14:textId="379E6505" w:rsidR="00F3148F" w:rsidRDefault="00FE79F2" w:rsidP="0008075F">
      <w:pPr>
        <w:spacing w:line="360" w:lineRule="auto"/>
        <w:jc w:val="both"/>
        <w:rPr>
          <w:rFonts w:ascii="Arial" w:hAnsi="Arial" w:cs="Arial"/>
          <w:sz w:val="24"/>
          <w:szCs w:val="24"/>
        </w:rPr>
      </w:pPr>
      <w:r w:rsidRPr="0008075F">
        <w:rPr>
          <w:rFonts w:ascii="Arial" w:hAnsi="Arial" w:cs="Arial"/>
          <w:sz w:val="24"/>
          <w:szCs w:val="24"/>
        </w:rPr>
        <w:t xml:space="preserve">Mrs Mann faces communication challenges due to her limited English proficiency, as Urdu is her first language. Recent concerns regarding inconsistent documentation and delayed medication adjustment have highlighted weaknesses in communication and administrative practice. </w:t>
      </w:r>
      <w:proofErr w:type="gramStart"/>
      <w:r w:rsidR="00811468">
        <w:rPr>
          <w:rFonts w:ascii="Arial" w:hAnsi="Arial" w:cs="Arial"/>
          <w:sz w:val="24"/>
          <w:szCs w:val="24"/>
        </w:rPr>
        <w:t>In regard to</w:t>
      </w:r>
      <w:proofErr w:type="gramEnd"/>
      <w:r w:rsidR="00811468">
        <w:rPr>
          <w:rFonts w:ascii="Arial" w:hAnsi="Arial" w:cs="Arial"/>
          <w:sz w:val="24"/>
          <w:szCs w:val="24"/>
        </w:rPr>
        <w:t xml:space="preserve"> </w:t>
      </w:r>
      <w:r w:rsidR="000B64CB">
        <w:rPr>
          <w:rFonts w:ascii="Arial" w:hAnsi="Arial" w:cs="Arial"/>
          <w:sz w:val="24"/>
          <w:szCs w:val="24"/>
        </w:rPr>
        <w:t>M</w:t>
      </w:r>
      <w:r w:rsidR="00811468">
        <w:rPr>
          <w:rFonts w:ascii="Arial" w:hAnsi="Arial" w:cs="Arial"/>
          <w:sz w:val="24"/>
          <w:szCs w:val="24"/>
        </w:rPr>
        <w:t>rs Mann’s care, th</w:t>
      </w:r>
      <w:r w:rsidR="000B64CB">
        <w:rPr>
          <w:rFonts w:ascii="Arial" w:hAnsi="Arial" w:cs="Arial"/>
          <w:sz w:val="24"/>
          <w:szCs w:val="24"/>
        </w:rPr>
        <w:t xml:space="preserve">is study </w:t>
      </w:r>
      <w:r w:rsidR="002A2A1E">
        <w:rPr>
          <w:rFonts w:ascii="Arial" w:hAnsi="Arial" w:cs="Arial"/>
          <w:sz w:val="24"/>
          <w:szCs w:val="24"/>
        </w:rPr>
        <w:t>looks at three important facts of professional practice</w:t>
      </w:r>
      <w:r w:rsidR="001A22CA">
        <w:rPr>
          <w:rFonts w:ascii="Arial" w:hAnsi="Arial" w:cs="Arial"/>
          <w:sz w:val="24"/>
          <w:szCs w:val="24"/>
        </w:rPr>
        <w:t>:</w:t>
      </w:r>
      <w:r w:rsidR="002A2A1E">
        <w:rPr>
          <w:rFonts w:ascii="Arial" w:hAnsi="Arial" w:cs="Arial"/>
          <w:sz w:val="24"/>
          <w:szCs w:val="24"/>
        </w:rPr>
        <w:t xml:space="preserve"> efficient </w:t>
      </w:r>
      <w:r w:rsidR="001A22CA">
        <w:rPr>
          <w:rFonts w:ascii="Arial" w:hAnsi="Arial" w:cs="Arial"/>
          <w:sz w:val="24"/>
          <w:szCs w:val="24"/>
        </w:rPr>
        <w:t>communication, strong admin</w:t>
      </w:r>
      <w:r w:rsidR="002041E3">
        <w:rPr>
          <w:rFonts w:ascii="Arial" w:hAnsi="Arial" w:cs="Arial"/>
          <w:sz w:val="24"/>
          <w:szCs w:val="24"/>
        </w:rPr>
        <w:t>istrati</w:t>
      </w:r>
      <w:r w:rsidR="001A22CA">
        <w:rPr>
          <w:rFonts w:ascii="Arial" w:hAnsi="Arial" w:cs="Arial"/>
          <w:sz w:val="24"/>
          <w:szCs w:val="24"/>
        </w:rPr>
        <w:t xml:space="preserve">ve and record-keeping abilities, and </w:t>
      </w:r>
      <w:r w:rsidR="005369EA">
        <w:rPr>
          <w:rFonts w:ascii="Arial" w:hAnsi="Arial" w:cs="Arial"/>
          <w:sz w:val="24"/>
          <w:szCs w:val="24"/>
        </w:rPr>
        <w:t xml:space="preserve">professional collaboration. </w:t>
      </w:r>
      <w:r w:rsidR="00F3148F">
        <w:rPr>
          <w:rFonts w:ascii="Arial" w:hAnsi="Arial" w:cs="Arial"/>
          <w:sz w:val="24"/>
          <w:szCs w:val="24"/>
        </w:rPr>
        <w:t>To demonstrate how coordinated, inclusive, and high-quality care can be delivered, pertinent laws, including the Equality Act of 2010 and the Data Protection Act of 2018, will be cited.</w:t>
      </w:r>
    </w:p>
    <w:p w14:paraId="75413AD8" w14:textId="6776249D" w:rsidR="00FE79F2" w:rsidRPr="00DC72E1" w:rsidRDefault="000553E8" w:rsidP="00DC72E1">
      <w:pPr>
        <w:pStyle w:val="Heading1"/>
        <w:rPr>
          <w:rFonts w:ascii="Arial" w:hAnsi="Arial" w:cs="Arial"/>
        </w:rPr>
      </w:pPr>
      <w:bookmarkStart w:id="1" w:name="_Toc216638163"/>
      <w:r w:rsidRPr="00DC72E1">
        <w:rPr>
          <w:rFonts w:ascii="Arial" w:hAnsi="Arial" w:cs="Arial"/>
          <w:color w:val="auto"/>
          <w:sz w:val="28"/>
          <w:szCs w:val="28"/>
        </w:rPr>
        <w:t>The importance of Effective Communication</w:t>
      </w:r>
      <w:bookmarkEnd w:id="1"/>
    </w:p>
    <w:p w14:paraId="3100C442" w14:textId="13B55F48" w:rsidR="000553E8" w:rsidRPr="0008075F" w:rsidRDefault="00036018" w:rsidP="0008075F">
      <w:pPr>
        <w:spacing w:line="360" w:lineRule="auto"/>
        <w:jc w:val="both"/>
        <w:rPr>
          <w:rFonts w:ascii="Arial" w:hAnsi="Arial" w:cs="Arial"/>
          <w:sz w:val="24"/>
          <w:szCs w:val="24"/>
        </w:rPr>
      </w:pPr>
      <w:r>
        <w:rPr>
          <w:rFonts w:ascii="Arial" w:hAnsi="Arial" w:cs="Arial"/>
          <w:sz w:val="24"/>
          <w:szCs w:val="24"/>
        </w:rPr>
        <w:t xml:space="preserve">Delivering </w:t>
      </w:r>
      <w:r w:rsidR="00894A9E">
        <w:rPr>
          <w:rFonts w:ascii="Arial" w:hAnsi="Arial" w:cs="Arial"/>
          <w:sz w:val="24"/>
          <w:szCs w:val="24"/>
        </w:rPr>
        <w:t>safe</w:t>
      </w:r>
      <w:r w:rsidR="000553E8" w:rsidRPr="0008075F">
        <w:rPr>
          <w:rFonts w:ascii="Arial" w:hAnsi="Arial" w:cs="Arial"/>
          <w:sz w:val="24"/>
          <w:szCs w:val="24"/>
        </w:rPr>
        <w:t>, person-centred care</w:t>
      </w:r>
      <w:r w:rsidR="00894A9E">
        <w:rPr>
          <w:rFonts w:ascii="Arial" w:hAnsi="Arial" w:cs="Arial"/>
          <w:sz w:val="24"/>
          <w:szCs w:val="24"/>
        </w:rPr>
        <w:t xml:space="preserve"> requires effective</w:t>
      </w:r>
      <w:r w:rsidR="009E1B2C">
        <w:rPr>
          <w:rFonts w:ascii="Arial" w:hAnsi="Arial" w:cs="Arial"/>
          <w:sz w:val="24"/>
          <w:szCs w:val="24"/>
        </w:rPr>
        <w:t xml:space="preserve"> communication</w:t>
      </w:r>
      <w:r w:rsidR="000553E8" w:rsidRPr="0008075F">
        <w:rPr>
          <w:rFonts w:ascii="Arial" w:hAnsi="Arial" w:cs="Arial"/>
          <w:sz w:val="24"/>
          <w:szCs w:val="24"/>
        </w:rPr>
        <w:t>,</w:t>
      </w:r>
      <w:r w:rsidR="009E1B2C">
        <w:rPr>
          <w:rFonts w:ascii="Arial" w:hAnsi="Arial" w:cs="Arial"/>
          <w:sz w:val="24"/>
          <w:szCs w:val="24"/>
        </w:rPr>
        <w:t xml:space="preserve"> especial</w:t>
      </w:r>
      <w:r w:rsidR="000553E8" w:rsidRPr="0008075F">
        <w:rPr>
          <w:rFonts w:ascii="Arial" w:hAnsi="Arial" w:cs="Arial"/>
          <w:sz w:val="24"/>
          <w:szCs w:val="24"/>
        </w:rPr>
        <w:t>ly when</w:t>
      </w:r>
      <w:r w:rsidR="00370409">
        <w:rPr>
          <w:rFonts w:ascii="Arial" w:hAnsi="Arial" w:cs="Arial"/>
          <w:sz w:val="24"/>
          <w:szCs w:val="24"/>
        </w:rPr>
        <w:t xml:space="preserve"> assisting people with special needs</w:t>
      </w:r>
      <w:r w:rsidR="009E77DF">
        <w:rPr>
          <w:rFonts w:ascii="Arial" w:hAnsi="Arial" w:cs="Arial"/>
          <w:sz w:val="24"/>
          <w:szCs w:val="24"/>
        </w:rPr>
        <w:t xml:space="preserve">. </w:t>
      </w:r>
      <w:r w:rsidR="00296188">
        <w:rPr>
          <w:rFonts w:ascii="Arial" w:hAnsi="Arial" w:cs="Arial"/>
          <w:sz w:val="24"/>
          <w:szCs w:val="24"/>
        </w:rPr>
        <w:t xml:space="preserve">Given </w:t>
      </w:r>
      <w:r w:rsidR="000553E8" w:rsidRPr="0008075F">
        <w:rPr>
          <w:rFonts w:ascii="Arial" w:hAnsi="Arial" w:cs="Arial"/>
          <w:sz w:val="24"/>
          <w:szCs w:val="24"/>
        </w:rPr>
        <w:t xml:space="preserve">Mrs Mann’s </w:t>
      </w:r>
      <w:r w:rsidR="00296188">
        <w:rPr>
          <w:rFonts w:ascii="Arial" w:hAnsi="Arial" w:cs="Arial"/>
          <w:sz w:val="24"/>
          <w:szCs w:val="24"/>
        </w:rPr>
        <w:t xml:space="preserve">poor English ability and </w:t>
      </w:r>
      <w:r w:rsidR="00664B09">
        <w:rPr>
          <w:rFonts w:ascii="Arial" w:hAnsi="Arial" w:cs="Arial"/>
          <w:sz w:val="24"/>
          <w:szCs w:val="24"/>
        </w:rPr>
        <w:t>cultural background, communication is a cru</w:t>
      </w:r>
      <w:r w:rsidR="007C4E9C">
        <w:rPr>
          <w:rFonts w:ascii="Arial" w:hAnsi="Arial" w:cs="Arial"/>
          <w:sz w:val="24"/>
          <w:szCs w:val="24"/>
        </w:rPr>
        <w:t>cial</w:t>
      </w:r>
      <w:r w:rsidR="00664B09">
        <w:rPr>
          <w:rFonts w:ascii="Arial" w:hAnsi="Arial" w:cs="Arial"/>
          <w:sz w:val="24"/>
          <w:szCs w:val="24"/>
        </w:rPr>
        <w:t xml:space="preserve"> component of her care.</w:t>
      </w:r>
      <w:r w:rsidR="007C4E9C">
        <w:rPr>
          <w:rFonts w:ascii="Arial" w:hAnsi="Arial" w:cs="Arial"/>
          <w:sz w:val="24"/>
          <w:szCs w:val="24"/>
        </w:rPr>
        <w:t xml:space="preserve"> </w:t>
      </w:r>
      <w:r w:rsidR="003F1C70">
        <w:rPr>
          <w:rFonts w:ascii="Arial" w:hAnsi="Arial" w:cs="Arial"/>
          <w:sz w:val="24"/>
          <w:szCs w:val="24"/>
        </w:rPr>
        <w:t>In</w:t>
      </w:r>
      <w:r w:rsidR="000553E8" w:rsidRPr="0008075F">
        <w:rPr>
          <w:rFonts w:ascii="Arial" w:hAnsi="Arial" w:cs="Arial"/>
          <w:sz w:val="24"/>
          <w:szCs w:val="24"/>
        </w:rPr>
        <w:t>effective communication</w:t>
      </w:r>
      <w:r w:rsidR="003F1C70">
        <w:rPr>
          <w:rFonts w:ascii="Arial" w:hAnsi="Arial" w:cs="Arial"/>
          <w:sz w:val="24"/>
          <w:szCs w:val="24"/>
        </w:rPr>
        <w:t xml:space="preserve"> </w:t>
      </w:r>
      <w:r w:rsidR="000553E8" w:rsidRPr="0008075F">
        <w:rPr>
          <w:rFonts w:ascii="Arial" w:hAnsi="Arial" w:cs="Arial"/>
          <w:sz w:val="24"/>
          <w:szCs w:val="24"/>
        </w:rPr>
        <w:t>increase</w:t>
      </w:r>
      <w:r w:rsidR="003F1C70">
        <w:rPr>
          <w:rFonts w:ascii="Arial" w:hAnsi="Arial" w:cs="Arial"/>
          <w:sz w:val="24"/>
          <w:szCs w:val="24"/>
        </w:rPr>
        <w:t>s the</w:t>
      </w:r>
      <w:r w:rsidR="000553E8" w:rsidRPr="0008075F">
        <w:rPr>
          <w:rFonts w:ascii="Arial" w:hAnsi="Arial" w:cs="Arial"/>
          <w:sz w:val="24"/>
          <w:szCs w:val="24"/>
        </w:rPr>
        <w:t xml:space="preserve"> risk of misunderstanding, reduced engagement in care decisions, and potential harm, as </w:t>
      </w:r>
      <w:r w:rsidR="003F1C70">
        <w:rPr>
          <w:rFonts w:ascii="Arial" w:hAnsi="Arial" w:cs="Arial"/>
          <w:sz w:val="24"/>
          <w:szCs w:val="24"/>
        </w:rPr>
        <w:t>evidenced</w:t>
      </w:r>
      <w:r w:rsidR="000553E8" w:rsidRPr="0008075F">
        <w:rPr>
          <w:rFonts w:ascii="Arial" w:hAnsi="Arial" w:cs="Arial"/>
          <w:sz w:val="24"/>
          <w:szCs w:val="24"/>
        </w:rPr>
        <w:t xml:space="preserve"> by the delayed medication adjustment</w:t>
      </w:r>
      <w:r w:rsidR="003F1C70">
        <w:rPr>
          <w:rFonts w:ascii="Arial" w:hAnsi="Arial" w:cs="Arial"/>
          <w:sz w:val="24"/>
          <w:szCs w:val="24"/>
        </w:rPr>
        <w:t xml:space="preserve"> following discharge</w:t>
      </w:r>
      <w:r w:rsidR="000553E8" w:rsidRPr="0008075F">
        <w:rPr>
          <w:rFonts w:ascii="Arial" w:hAnsi="Arial" w:cs="Arial"/>
          <w:sz w:val="24"/>
          <w:szCs w:val="24"/>
        </w:rPr>
        <w:t xml:space="preserve">. </w:t>
      </w:r>
      <w:r w:rsidR="005106B4" w:rsidRPr="003A40FF">
        <w:rPr>
          <w:rFonts w:ascii="Arial" w:hAnsi="Arial" w:cs="Arial"/>
          <w:sz w:val="24"/>
          <w:szCs w:val="24"/>
        </w:rPr>
        <w:t>NHS England (2022)</w:t>
      </w:r>
      <w:r w:rsidR="000553E8" w:rsidRPr="003A40FF">
        <w:rPr>
          <w:rFonts w:ascii="Arial" w:hAnsi="Arial" w:cs="Arial"/>
          <w:sz w:val="24"/>
          <w:szCs w:val="24"/>
        </w:rPr>
        <w:t xml:space="preserve"> </w:t>
      </w:r>
      <w:r w:rsidR="003F1C70">
        <w:rPr>
          <w:rFonts w:ascii="Arial" w:hAnsi="Arial" w:cs="Arial"/>
          <w:sz w:val="24"/>
          <w:szCs w:val="24"/>
        </w:rPr>
        <w:t>emphasises that clear,</w:t>
      </w:r>
      <w:r w:rsidR="000553E8" w:rsidRPr="0008075F">
        <w:rPr>
          <w:rFonts w:ascii="Arial" w:hAnsi="Arial" w:cs="Arial"/>
          <w:sz w:val="24"/>
          <w:szCs w:val="24"/>
        </w:rPr>
        <w:t xml:space="preserve"> timely communication is </w:t>
      </w:r>
      <w:r w:rsidR="003F1C70">
        <w:rPr>
          <w:rFonts w:ascii="Arial" w:hAnsi="Arial" w:cs="Arial"/>
          <w:sz w:val="24"/>
          <w:szCs w:val="24"/>
        </w:rPr>
        <w:t>fundamenta</w:t>
      </w:r>
      <w:r w:rsidR="000553E8" w:rsidRPr="0008075F">
        <w:rPr>
          <w:rFonts w:ascii="Arial" w:hAnsi="Arial" w:cs="Arial"/>
          <w:sz w:val="24"/>
          <w:szCs w:val="24"/>
        </w:rPr>
        <w:t xml:space="preserve">l </w:t>
      </w:r>
      <w:r w:rsidR="003F1C70">
        <w:rPr>
          <w:rFonts w:ascii="Arial" w:hAnsi="Arial" w:cs="Arial"/>
          <w:sz w:val="24"/>
          <w:szCs w:val="24"/>
        </w:rPr>
        <w:t>to</w:t>
      </w:r>
      <w:r w:rsidR="000553E8" w:rsidRPr="0008075F">
        <w:rPr>
          <w:rFonts w:ascii="Arial" w:hAnsi="Arial" w:cs="Arial"/>
          <w:sz w:val="24"/>
          <w:szCs w:val="24"/>
        </w:rPr>
        <w:t xml:space="preserve"> preventing errors and ensuring continuity of care across services. </w:t>
      </w:r>
    </w:p>
    <w:p w14:paraId="513A356B" w14:textId="0DC77F54" w:rsidR="000553E8" w:rsidRPr="0008075F" w:rsidRDefault="00C60A8A" w:rsidP="0008075F">
      <w:pPr>
        <w:spacing w:line="360" w:lineRule="auto"/>
        <w:jc w:val="both"/>
        <w:rPr>
          <w:rFonts w:ascii="Arial" w:hAnsi="Arial" w:cs="Arial"/>
          <w:sz w:val="24"/>
          <w:szCs w:val="24"/>
        </w:rPr>
      </w:pPr>
      <w:r>
        <w:rPr>
          <w:rFonts w:ascii="Arial" w:hAnsi="Arial" w:cs="Arial"/>
          <w:sz w:val="24"/>
          <w:szCs w:val="24"/>
        </w:rPr>
        <w:t xml:space="preserve">According to the Equality Act of 2010, the health and social care sector is legally obligated to end discrimination and provide reasonable accommodation for people with protected characteristics, such a race and language. </w:t>
      </w:r>
      <w:r w:rsidR="000553E8" w:rsidRPr="0008075F">
        <w:rPr>
          <w:rFonts w:ascii="Arial" w:hAnsi="Arial" w:cs="Arial"/>
          <w:sz w:val="24"/>
          <w:szCs w:val="24"/>
        </w:rPr>
        <w:t xml:space="preserve">In practice, this </w:t>
      </w:r>
      <w:r w:rsidR="003F1C70">
        <w:rPr>
          <w:rFonts w:ascii="Arial" w:hAnsi="Arial" w:cs="Arial"/>
          <w:sz w:val="24"/>
          <w:szCs w:val="24"/>
        </w:rPr>
        <w:t>require</w:t>
      </w:r>
      <w:r w:rsidR="000553E8" w:rsidRPr="0008075F">
        <w:rPr>
          <w:rFonts w:ascii="Arial" w:hAnsi="Arial" w:cs="Arial"/>
          <w:sz w:val="24"/>
          <w:szCs w:val="24"/>
        </w:rPr>
        <w:t xml:space="preserve">s adapting communication methods to ensure </w:t>
      </w:r>
      <w:r w:rsidR="003F1C70">
        <w:rPr>
          <w:rFonts w:ascii="Arial" w:hAnsi="Arial" w:cs="Arial"/>
          <w:sz w:val="24"/>
          <w:szCs w:val="24"/>
        </w:rPr>
        <w:t xml:space="preserve">that service users can </w:t>
      </w:r>
      <w:r w:rsidR="000553E8" w:rsidRPr="0008075F">
        <w:rPr>
          <w:rFonts w:ascii="Arial" w:hAnsi="Arial" w:cs="Arial"/>
          <w:sz w:val="24"/>
          <w:szCs w:val="24"/>
        </w:rPr>
        <w:t>access</w:t>
      </w:r>
      <w:r w:rsidR="003F1C70">
        <w:rPr>
          <w:rFonts w:ascii="Arial" w:hAnsi="Arial" w:cs="Arial"/>
          <w:sz w:val="24"/>
          <w:szCs w:val="24"/>
        </w:rPr>
        <w:t xml:space="preserve"> and understand</w:t>
      </w:r>
      <w:r w:rsidR="000553E8" w:rsidRPr="0008075F">
        <w:rPr>
          <w:rFonts w:ascii="Arial" w:hAnsi="Arial" w:cs="Arial"/>
          <w:sz w:val="24"/>
          <w:szCs w:val="24"/>
        </w:rPr>
        <w:t xml:space="preserve"> information. Reasonable adjustments may include the use of professional interpreters, translated written materials, or visual aids to support verbal explanations. </w:t>
      </w:r>
      <w:r w:rsidR="000553E8" w:rsidRPr="0008075F">
        <w:rPr>
          <w:rFonts w:ascii="Arial" w:hAnsi="Arial" w:cs="Arial"/>
          <w:sz w:val="24"/>
          <w:szCs w:val="24"/>
        </w:rPr>
        <w:lastRenderedPageBreak/>
        <w:t xml:space="preserve">These </w:t>
      </w:r>
      <w:r w:rsidR="003F1C70">
        <w:rPr>
          <w:rFonts w:ascii="Arial" w:hAnsi="Arial" w:cs="Arial"/>
          <w:sz w:val="24"/>
          <w:szCs w:val="24"/>
        </w:rPr>
        <w:t>measure</w:t>
      </w:r>
      <w:r w:rsidR="000553E8" w:rsidRPr="0008075F">
        <w:rPr>
          <w:rFonts w:ascii="Arial" w:hAnsi="Arial" w:cs="Arial"/>
          <w:sz w:val="24"/>
          <w:szCs w:val="24"/>
        </w:rPr>
        <w:t xml:space="preserve">s promote equality of access and enable Mrs Mann to participate actively in decisions about her care, </w:t>
      </w:r>
      <w:r w:rsidR="003F1C70">
        <w:rPr>
          <w:rFonts w:ascii="Arial" w:hAnsi="Arial" w:cs="Arial"/>
          <w:sz w:val="24"/>
          <w:szCs w:val="24"/>
        </w:rPr>
        <w:t xml:space="preserve">thereby </w:t>
      </w:r>
      <w:r w:rsidR="000553E8" w:rsidRPr="0008075F">
        <w:rPr>
          <w:rFonts w:ascii="Arial" w:hAnsi="Arial" w:cs="Arial"/>
          <w:sz w:val="24"/>
          <w:szCs w:val="24"/>
        </w:rPr>
        <w:t xml:space="preserve">supporting her </w:t>
      </w:r>
      <w:r w:rsidR="009219EA" w:rsidRPr="0008075F">
        <w:rPr>
          <w:rFonts w:ascii="Arial" w:hAnsi="Arial" w:cs="Arial"/>
          <w:sz w:val="24"/>
          <w:szCs w:val="24"/>
        </w:rPr>
        <w:t>independence</w:t>
      </w:r>
      <w:r w:rsidR="000553E8" w:rsidRPr="0008075F">
        <w:rPr>
          <w:rFonts w:ascii="Arial" w:hAnsi="Arial" w:cs="Arial"/>
          <w:sz w:val="24"/>
          <w:szCs w:val="24"/>
        </w:rPr>
        <w:t xml:space="preserve"> and dignity. </w:t>
      </w:r>
    </w:p>
    <w:p w14:paraId="7416A7DB" w14:textId="5B3523C2" w:rsidR="000553E8" w:rsidRPr="0008075F" w:rsidRDefault="000553E8" w:rsidP="0008075F">
      <w:pPr>
        <w:spacing w:line="360" w:lineRule="auto"/>
        <w:jc w:val="both"/>
        <w:rPr>
          <w:rFonts w:ascii="Arial" w:hAnsi="Arial" w:cs="Arial"/>
          <w:sz w:val="24"/>
          <w:szCs w:val="24"/>
        </w:rPr>
      </w:pPr>
      <w:r w:rsidRPr="0008075F">
        <w:rPr>
          <w:rFonts w:ascii="Arial" w:hAnsi="Arial" w:cs="Arial"/>
          <w:sz w:val="24"/>
          <w:szCs w:val="24"/>
        </w:rPr>
        <w:t xml:space="preserve">Communication with both the service user and their family members must be </w:t>
      </w:r>
      <w:r w:rsidR="003F1C70">
        <w:rPr>
          <w:rFonts w:ascii="Arial" w:hAnsi="Arial" w:cs="Arial"/>
          <w:sz w:val="24"/>
          <w:szCs w:val="24"/>
        </w:rPr>
        <w:t>managed</w:t>
      </w:r>
      <w:r w:rsidRPr="0008075F">
        <w:rPr>
          <w:rFonts w:ascii="Arial" w:hAnsi="Arial" w:cs="Arial"/>
          <w:sz w:val="24"/>
          <w:szCs w:val="24"/>
        </w:rPr>
        <w:t xml:space="preserve"> sensitively and professionally. </w:t>
      </w:r>
      <w:r w:rsidR="003F1C70">
        <w:rPr>
          <w:rFonts w:ascii="Arial" w:hAnsi="Arial" w:cs="Arial"/>
          <w:sz w:val="24"/>
          <w:szCs w:val="24"/>
        </w:rPr>
        <w:t xml:space="preserve">Although </w:t>
      </w:r>
      <w:r w:rsidRPr="0008075F">
        <w:rPr>
          <w:rFonts w:ascii="Arial" w:hAnsi="Arial" w:cs="Arial"/>
          <w:sz w:val="24"/>
          <w:szCs w:val="24"/>
        </w:rPr>
        <w:t>Mrs Mann’s daughter currently assists with interpretation</w:t>
      </w:r>
      <w:r w:rsidR="003F1C70">
        <w:rPr>
          <w:rFonts w:ascii="Arial" w:hAnsi="Arial" w:cs="Arial"/>
          <w:sz w:val="24"/>
          <w:szCs w:val="24"/>
        </w:rPr>
        <w:t>,</w:t>
      </w:r>
      <w:r w:rsidRPr="0008075F">
        <w:rPr>
          <w:rFonts w:ascii="Arial" w:hAnsi="Arial" w:cs="Arial"/>
          <w:sz w:val="24"/>
          <w:szCs w:val="24"/>
        </w:rPr>
        <w:t xml:space="preserve"> reliance on family members </w:t>
      </w:r>
      <w:r w:rsidR="003F1C70">
        <w:rPr>
          <w:rFonts w:ascii="Arial" w:hAnsi="Arial" w:cs="Arial"/>
          <w:sz w:val="24"/>
          <w:szCs w:val="24"/>
        </w:rPr>
        <w:t>presents significant risks relating to a</w:t>
      </w:r>
      <w:r w:rsidRPr="0008075F">
        <w:rPr>
          <w:rFonts w:ascii="Arial" w:hAnsi="Arial" w:cs="Arial"/>
          <w:sz w:val="24"/>
          <w:szCs w:val="24"/>
        </w:rPr>
        <w:t xml:space="preserve">ccuracy, confidentiality, and </w:t>
      </w:r>
      <w:r w:rsidR="003F1C70">
        <w:rPr>
          <w:rFonts w:ascii="Arial" w:hAnsi="Arial" w:cs="Arial"/>
          <w:sz w:val="24"/>
          <w:szCs w:val="24"/>
        </w:rPr>
        <w:t xml:space="preserve">informed </w:t>
      </w:r>
      <w:r w:rsidRPr="0008075F">
        <w:rPr>
          <w:rFonts w:ascii="Arial" w:hAnsi="Arial" w:cs="Arial"/>
          <w:sz w:val="24"/>
          <w:szCs w:val="24"/>
        </w:rPr>
        <w:t xml:space="preserve">consent. </w:t>
      </w:r>
      <w:r w:rsidR="002E12A3">
        <w:rPr>
          <w:rFonts w:ascii="Arial" w:hAnsi="Arial" w:cs="Arial"/>
          <w:sz w:val="24"/>
          <w:szCs w:val="24"/>
        </w:rPr>
        <w:t xml:space="preserve">Recent NHS England guidance </w:t>
      </w:r>
      <w:r w:rsidR="00FA573C">
        <w:rPr>
          <w:rFonts w:ascii="Arial" w:hAnsi="Arial" w:cs="Arial"/>
          <w:sz w:val="24"/>
          <w:szCs w:val="24"/>
        </w:rPr>
        <w:t>highlights</w:t>
      </w:r>
      <w:r w:rsidR="002E12A3">
        <w:rPr>
          <w:rFonts w:ascii="Arial" w:hAnsi="Arial" w:cs="Arial"/>
          <w:sz w:val="24"/>
          <w:szCs w:val="24"/>
        </w:rPr>
        <w:t xml:space="preserve"> that effective communication for </w:t>
      </w:r>
      <w:r w:rsidR="00266744">
        <w:rPr>
          <w:rFonts w:ascii="Arial" w:hAnsi="Arial" w:cs="Arial"/>
          <w:sz w:val="24"/>
          <w:szCs w:val="24"/>
        </w:rPr>
        <w:t>individuals</w:t>
      </w:r>
      <w:r w:rsidR="002E12A3">
        <w:rPr>
          <w:rFonts w:ascii="Arial" w:hAnsi="Arial" w:cs="Arial"/>
          <w:sz w:val="24"/>
          <w:szCs w:val="24"/>
        </w:rPr>
        <w:t xml:space="preserve"> with limited English proficiency </w:t>
      </w:r>
      <w:r w:rsidR="00FA573C">
        <w:rPr>
          <w:rFonts w:ascii="Arial" w:hAnsi="Arial" w:cs="Arial"/>
          <w:sz w:val="24"/>
          <w:szCs w:val="24"/>
        </w:rPr>
        <w:t>depends on the</w:t>
      </w:r>
      <w:r w:rsidR="002E12A3">
        <w:rPr>
          <w:rFonts w:ascii="Arial" w:hAnsi="Arial" w:cs="Arial"/>
          <w:sz w:val="24"/>
          <w:szCs w:val="24"/>
        </w:rPr>
        <w:t xml:space="preserve"> systematic identification, documentation and transfer of language needs across care settings, rather than reliance on </w:t>
      </w:r>
      <w:r w:rsidR="00FA573C">
        <w:rPr>
          <w:rFonts w:ascii="Arial" w:hAnsi="Arial" w:cs="Arial"/>
          <w:sz w:val="24"/>
          <w:szCs w:val="24"/>
        </w:rPr>
        <w:t xml:space="preserve">informal or </w:t>
      </w:r>
      <w:r w:rsidR="002E12A3">
        <w:rPr>
          <w:rFonts w:ascii="Arial" w:hAnsi="Arial" w:cs="Arial"/>
          <w:sz w:val="24"/>
          <w:szCs w:val="24"/>
        </w:rPr>
        <w:t>ad hoc solutions</w:t>
      </w:r>
      <w:r w:rsidR="00FA573C">
        <w:rPr>
          <w:rFonts w:ascii="Arial" w:hAnsi="Arial" w:cs="Arial"/>
          <w:sz w:val="24"/>
          <w:szCs w:val="24"/>
        </w:rPr>
        <w:t xml:space="preserve"> (NHS</w:t>
      </w:r>
      <w:r w:rsidR="002E12A3">
        <w:rPr>
          <w:rFonts w:ascii="Arial" w:hAnsi="Arial" w:cs="Arial"/>
          <w:sz w:val="24"/>
          <w:szCs w:val="24"/>
        </w:rPr>
        <w:t xml:space="preserve"> England</w:t>
      </w:r>
      <w:r w:rsidR="00FA573C">
        <w:rPr>
          <w:rFonts w:ascii="Arial" w:hAnsi="Arial" w:cs="Arial"/>
          <w:sz w:val="24"/>
          <w:szCs w:val="24"/>
        </w:rPr>
        <w:t xml:space="preserve">, </w:t>
      </w:r>
      <w:r w:rsidR="002E12A3">
        <w:rPr>
          <w:rFonts w:ascii="Arial" w:hAnsi="Arial" w:cs="Arial"/>
          <w:sz w:val="24"/>
          <w:szCs w:val="24"/>
        </w:rPr>
        <w:t>2025)</w:t>
      </w:r>
      <w:r w:rsidR="00FA573C">
        <w:rPr>
          <w:rFonts w:ascii="Arial" w:hAnsi="Arial" w:cs="Arial"/>
          <w:sz w:val="24"/>
          <w:szCs w:val="24"/>
        </w:rPr>
        <w:t>.</w:t>
      </w:r>
      <w:r w:rsidR="002E12A3">
        <w:rPr>
          <w:rFonts w:ascii="Arial" w:hAnsi="Arial" w:cs="Arial"/>
          <w:sz w:val="24"/>
          <w:szCs w:val="24"/>
        </w:rPr>
        <w:t xml:space="preserve"> </w:t>
      </w:r>
      <w:r w:rsidR="00FA573C">
        <w:rPr>
          <w:rFonts w:ascii="Arial" w:hAnsi="Arial" w:cs="Arial"/>
          <w:sz w:val="24"/>
          <w:szCs w:val="24"/>
        </w:rPr>
        <w:t>F</w:t>
      </w:r>
      <w:r w:rsidR="002E12A3">
        <w:rPr>
          <w:rFonts w:ascii="Arial" w:hAnsi="Arial" w:cs="Arial"/>
          <w:sz w:val="24"/>
          <w:szCs w:val="24"/>
        </w:rPr>
        <w:t>ailure to record language requirements within electronic patient records and referral documentation</w:t>
      </w:r>
      <w:r w:rsidR="00FA573C">
        <w:rPr>
          <w:rFonts w:ascii="Arial" w:hAnsi="Arial" w:cs="Arial"/>
          <w:sz w:val="24"/>
          <w:szCs w:val="24"/>
        </w:rPr>
        <w:t xml:space="preserve"> has been shown to </w:t>
      </w:r>
      <w:r w:rsidR="002E12A3">
        <w:rPr>
          <w:rFonts w:ascii="Arial" w:hAnsi="Arial" w:cs="Arial"/>
          <w:sz w:val="24"/>
          <w:szCs w:val="24"/>
        </w:rPr>
        <w:t xml:space="preserve">contribute to missed information, delayed treatment and patient safety incidents. In Mrs Mann’s case, inconsistent documentation of her communication needs may have contributed to the </w:t>
      </w:r>
      <w:r w:rsidR="00FA573C">
        <w:rPr>
          <w:rFonts w:ascii="Arial" w:hAnsi="Arial" w:cs="Arial"/>
          <w:sz w:val="24"/>
          <w:szCs w:val="24"/>
        </w:rPr>
        <w:t>delay in adjusting her</w:t>
      </w:r>
      <w:r w:rsidR="002E12A3">
        <w:rPr>
          <w:rFonts w:ascii="Arial" w:hAnsi="Arial" w:cs="Arial"/>
          <w:sz w:val="24"/>
          <w:szCs w:val="24"/>
        </w:rPr>
        <w:t xml:space="preserve"> medication following discharge. The framework further clarifies that access to professional interpreting services is a legal and ethical right, not an optional resource, and that </w:t>
      </w:r>
      <w:r w:rsidR="00FA573C">
        <w:rPr>
          <w:rFonts w:ascii="Arial" w:hAnsi="Arial" w:cs="Arial"/>
          <w:sz w:val="24"/>
          <w:szCs w:val="24"/>
        </w:rPr>
        <w:t xml:space="preserve">health and social care staff </w:t>
      </w:r>
      <w:r w:rsidR="002E12A3">
        <w:rPr>
          <w:rFonts w:ascii="Arial" w:hAnsi="Arial" w:cs="Arial"/>
          <w:sz w:val="24"/>
          <w:szCs w:val="24"/>
        </w:rPr>
        <w:t xml:space="preserve">have a responsibility to actively offer and arrange appropriate support. </w:t>
      </w:r>
      <w:r w:rsidR="008E55C6">
        <w:rPr>
          <w:rFonts w:ascii="Arial" w:hAnsi="Arial" w:cs="Arial"/>
          <w:sz w:val="24"/>
          <w:szCs w:val="24"/>
        </w:rPr>
        <w:t>Embedding</w:t>
      </w:r>
      <w:r w:rsidR="002E12A3">
        <w:rPr>
          <w:rFonts w:ascii="Arial" w:hAnsi="Arial" w:cs="Arial"/>
          <w:sz w:val="24"/>
          <w:szCs w:val="24"/>
        </w:rPr>
        <w:t xml:space="preserve"> language needs within routine administrative and clinical processes</w:t>
      </w:r>
      <w:r w:rsidR="00FA573C">
        <w:rPr>
          <w:rFonts w:ascii="Arial" w:hAnsi="Arial" w:cs="Arial"/>
          <w:sz w:val="24"/>
          <w:szCs w:val="24"/>
        </w:rPr>
        <w:t xml:space="preserve"> can reduce </w:t>
      </w:r>
      <w:r w:rsidR="002E12A3">
        <w:rPr>
          <w:rFonts w:ascii="Arial" w:hAnsi="Arial" w:cs="Arial"/>
          <w:sz w:val="24"/>
          <w:szCs w:val="24"/>
        </w:rPr>
        <w:t xml:space="preserve">communication breakdowns, improve continuity of care and ensure compliance with the Equality Act 2010. This system-level approach reinforces person-centred communication by ensuring that information is accessible, accurate and </w:t>
      </w:r>
      <w:r w:rsidR="00FA573C">
        <w:rPr>
          <w:rFonts w:ascii="Arial" w:hAnsi="Arial" w:cs="Arial"/>
          <w:sz w:val="24"/>
          <w:szCs w:val="24"/>
        </w:rPr>
        <w:t xml:space="preserve">consistently </w:t>
      </w:r>
      <w:r w:rsidR="002E12A3">
        <w:rPr>
          <w:rFonts w:ascii="Arial" w:hAnsi="Arial" w:cs="Arial"/>
          <w:sz w:val="24"/>
          <w:szCs w:val="24"/>
        </w:rPr>
        <w:t xml:space="preserve">shared between professionals involved in Mrs Mann’s care. </w:t>
      </w:r>
      <w:r w:rsidR="00266744">
        <w:rPr>
          <w:rFonts w:ascii="Arial" w:hAnsi="Arial" w:cs="Arial"/>
          <w:sz w:val="24"/>
          <w:szCs w:val="24"/>
        </w:rPr>
        <w:t xml:space="preserve">Similarly, </w:t>
      </w:r>
      <w:r w:rsidR="00FA573C">
        <w:rPr>
          <w:rFonts w:ascii="Arial" w:hAnsi="Arial" w:cs="Arial"/>
          <w:sz w:val="24"/>
          <w:szCs w:val="24"/>
        </w:rPr>
        <w:t xml:space="preserve">the study of </w:t>
      </w:r>
      <w:r w:rsidR="00951C4D">
        <w:rPr>
          <w:rFonts w:ascii="Arial" w:hAnsi="Arial" w:cs="Arial"/>
          <w:sz w:val="24"/>
          <w:szCs w:val="24"/>
        </w:rPr>
        <w:t>MacLellah et al</w:t>
      </w:r>
      <w:r w:rsidR="00FA573C">
        <w:rPr>
          <w:rFonts w:ascii="Arial" w:hAnsi="Arial" w:cs="Arial"/>
          <w:sz w:val="24"/>
          <w:szCs w:val="24"/>
        </w:rPr>
        <w:t xml:space="preserve">. </w:t>
      </w:r>
      <w:r w:rsidR="00951C4D">
        <w:rPr>
          <w:rFonts w:ascii="Arial" w:hAnsi="Arial" w:cs="Arial"/>
          <w:sz w:val="24"/>
          <w:szCs w:val="24"/>
        </w:rPr>
        <w:t xml:space="preserve">(2023) indicates that reliance on family members instead of professionally trained interpreters </w:t>
      </w:r>
      <w:r w:rsidR="00F606B9">
        <w:rPr>
          <w:rFonts w:ascii="Arial" w:hAnsi="Arial" w:cs="Arial"/>
          <w:sz w:val="24"/>
          <w:szCs w:val="24"/>
        </w:rPr>
        <w:t>remains</w:t>
      </w:r>
      <w:r w:rsidR="00951C4D">
        <w:rPr>
          <w:rFonts w:ascii="Arial" w:hAnsi="Arial" w:cs="Arial"/>
          <w:sz w:val="24"/>
          <w:szCs w:val="24"/>
        </w:rPr>
        <w:t xml:space="preserve"> common in practice and can compromise confidentiality, informed consent and the accuracy of clinical information,</w:t>
      </w:r>
      <w:r w:rsidR="00F606B9">
        <w:rPr>
          <w:rFonts w:ascii="Arial" w:hAnsi="Arial" w:cs="Arial"/>
          <w:sz w:val="24"/>
          <w:szCs w:val="24"/>
        </w:rPr>
        <w:t xml:space="preserve"> thereby</w:t>
      </w:r>
      <w:r w:rsidR="00951C4D">
        <w:rPr>
          <w:rFonts w:ascii="Arial" w:hAnsi="Arial" w:cs="Arial"/>
          <w:sz w:val="24"/>
          <w:szCs w:val="24"/>
        </w:rPr>
        <w:t xml:space="preserve"> increasing the risk of unsafe care. </w:t>
      </w:r>
    </w:p>
    <w:p w14:paraId="3D4CD1D4" w14:textId="1F45E896" w:rsidR="0008075F" w:rsidRDefault="0008075F" w:rsidP="0008075F">
      <w:pPr>
        <w:spacing w:after="0" w:line="360" w:lineRule="auto"/>
        <w:jc w:val="both"/>
        <w:rPr>
          <w:rFonts w:ascii="Arial" w:eastAsia="Times New Roman" w:hAnsi="Arial" w:cs="Arial"/>
          <w:kern w:val="0"/>
          <w:sz w:val="24"/>
          <w:szCs w:val="24"/>
          <w:lang w:eastAsia="en-GB"/>
          <w14:ligatures w14:val="none"/>
        </w:rPr>
      </w:pPr>
      <w:r w:rsidRPr="0008075F">
        <w:rPr>
          <w:rFonts w:ascii="Arial" w:eastAsia="Times New Roman" w:hAnsi="Arial" w:cs="Arial"/>
          <w:kern w:val="0"/>
          <w:sz w:val="24"/>
          <w:szCs w:val="24"/>
          <w:lang w:eastAsia="en-GB"/>
          <w14:ligatures w14:val="none"/>
        </w:rPr>
        <w:t xml:space="preserve">A patient-centred communication model emphasises the </w:t>
      </w:r>
      <w:r w:rsidR="00F606B9">
        <w:rPr>
          <w:rFonts w:ascii="Arial" w:eastAsia="Times New Roman" w:hAnsi="Arial" w:cs="Arial"/>
          <w:kern w:val="0"/>
          <w:sz w:val="24"/>
          <w:szCs w:val="24"/>
          <w:lang w:eastAsia="en-GB"/>
          <w14:ligatures w14:val="none"/>
        </w:rPr>
        <w:t xml:space="preserve">need to </w:t>
      </w:r>
      <w:r w:rsidRPr="0008075F">
        <w:rPr>
          <w:rFonts w:ascii="Arial" w:eastAsia="Times New Roman" w:hAnsi="Arial" w:cs="Arial"/>
          <w:kern w:val="0"/>
          <w:sz w:val="24"/>
          <w:szCs w:val="24"/>
          <w:lang w:eastAsia="en-GB"/>
          <w14:ligatures w14:val="none"/>
        </w:rPr>
        <w:t>adapt</w:t>
      </w:r>
      <w:r w:rsidR="00F606B9">
        <w:rPr>
          <w:rFonts w:ascii="Arial" w:eastAsia="Times New Roman" w:hAnsi="Arial" w:cs="Arial"/>
          <w:kern w:val="0"/>
          <w:sz w:val="24"/>
          <w:szCs w:val="24"/>
          <w:lang w:eastAsia="en-GB"/>
          <w14:ligatures w14:val="none"/>
        </w:rPr>
        <w:t xml:space="preserve"> </w:t>
      </w:r>
      <w:r w:rsidRPr="0008075F">
        <w:rPr>
          <w:rFonts w:ascii="Arial" w:eastAsia="Times New Roman" w:hAnsi="Arial" w:cs="Arial"/>
          <w:kern w:val="0"/>
          <w:sz w:val="24"/>
          <w:szCs w:val="24"/>
          <w:lang w:eastAsia="en-GB"/>
          <w14:ligatures w14:val="none"/>
        </w:rPr>
        <w:t xml:space="preserve">communication to the individual needs, abilities and circumstances of each service user. Ricci et al. (2021a) suggest that effective communication is </w:t>
      </w:r>
      <w:r w:rsidR="00F606B9">
        <w:rPr>
          <w:rFonts w:ascii="Arial" w:eastAsia="Times New Roman" w:hAnsi="Arial" w:cs="Arial"/>
          <w:kern w:val="0"/>
          <w:sz w:val="24"/>
          <w:szCs w:val="24"/>
          <w:lang w:eastAsia="en-GB"/>
          <w14:ligatures w14:val="none"/>
        </w:rPr>
        <w:t>grounded</w:t>
      </w:r>
      <w:r w:rsidRPr="0008075F">
        <w:rPr>
          <w:rFonts w:ascii="Arial" w:eastAsia="Times New Roman" w:hAnsi="Arial" w:cs="Arial"/>
          <w:kern w:val="0"/>
          <w:sz w:val="24"/>
          <w:szCs w:val="24"/>
          <w:lang w:eastAsia="en-GB"/>
          <w14:ligatures w14:val="none"/>
        </w:rPr>
        <w:t xml:space="preserve"> </w:t>
      </w:r>
      <w:r w:rsidR="00F606B9">
        <w:rPr>
          <w:rFonts w:ascii="Arial" w:eastAsia="Times New Roman" w:hAnsi="Arial" w:cs="Arial"/>
          <w:kern w:val="0"/>
          <w:sz w:val="24"/>
          <w:szCs w:val="24"/>
          <w:lang w:eastAsia="en-GB"/>
          <w14:ligatures w14:val="none"/>
        </w:rPr>
        <w:t>i</w:t>
      </w:r>
      <w:r w:rsidRPr="0008075F">
        <w:rPr>
          <w:rFonts w:ascii="Arial" w:eastAsia="Times New Roman" w:hAnsi="Arial" w:cs="Arial"/>
          <w:kern w:val="0"/>
          <w:sz w:val="24"/>
          <w:szCs w:val="24"/>
          <w:lang w:eastAsia="en-GB"/>
          <w14:ligatures w14:val="none"/>
        </w:rPr>
        <w:t xml:space="preserve">n understanding the person </w:t>
      </w:r>
      <w:r w:rsidR="00936AA5">
        <w:rPr>
          <w:rFonts w:ascii="Arial" w:eastAsia="Times New Roman" w:hAnsi="Arial" w:cs="Arial"/>
          <w:kern w:val="0"/>
          <w:sz w:val="24"/>
          <w:szCs w:val="24"/>
          <w:lang w:eastAsia="en-GB"/>
          <w14:ligatures w14:val="none"/>
        </w:rPr>
        <w:t>rather</w:t>
      </w:r>
      <w:r w:rsidRPr="0008075F">
        <w:rPr>
          <w:rFonts w:ascii="Arial" w:eastAsia="Times New Roman" w:hAnsi="Arial" w:cs="Arial"/>
          <w:kern w:val="0"/>
          <w:sz w:val="24"/>
          <w:szCs w:val="24"/>
          <w:lang w:eastAsia="en-GB"/>
          <w14:ligatures w14:val="none"/>
        </w:rPr>
        <w:t xml:space="preserve"> than focusing solely on their medical condition. This approach involves gathering information about the patient’s cognitive abilities, language needs, concerns, and preferences, and responding in a way that avoids an authoritative or one-sided communication style. Ricci et al. (2021b) </w:t>
      </w:r>
      <w:r w:rsidR="00F606B9">
        <w:rPr>
          <w:rFonts w:ascii="Arial" w:eastAsia="Times New Roman" w:hAnsi="Arial" w:cs="Arial"/>
          <w:kern w:val="0"/>
          <w:sz w:val="24"/>
          <w:szCs w:val="24"/>
          <w:lang w:eastAsia="en-GB"/>
          <w14:ligatures w14:val="none"/>
        </w:rPr>
        <w:t>further argue</w:t>
      </w:r>
      <w:r w:rsidRPr="0008075F">
        <w:rPr>
          <w:rFonts w:ascii="Arial" w:eastAsia="Times New Roman" w:hAnsi="Arial" w:cs="Arial"/>
          <w:kern w:val="0"/>
          <w:sz w:val="24"/>
          <w:szCs w:val="24"/>
          <w:lang w:eastAsia="en-GB"/>
          <w14:ligatures w14:val="none"/>
        </w:rPr>
        <w:t xml:space="preserve"> that </w:t>
      </w:r>
      <w:r w:rsidR="00F606B9">
        <w:rPr>
          <w:rFonts w:ascii="Arial" w:eastAsia="Times New Roman" w:hAnsi="Arial" w:cs="Arial"/>
          <w:kern w:val="0"/>
          <w:sz w:val="24"/>
          <w:szCs w:val="24"/>
          <w:lang w:eastAsia="en-GB"/>
          <w14:ligatures w14:val="none"/>
        </w:rPr>
        <w:t xml:space="preserve">effective </w:t>
      </w:r>
      <w:r w:rsidRPr="0008075F">
        <w:rPr>
          <w:rFonts w:ascii="Arial" w:eastAsia="Times New Roman" w:hAnsi="Arial" w:cs="Arial"/>
          <w:kern w:val="0"/>
          <w:sz w:val="24"/>
          <w:szCs w:val="24"/>
          <w:lang w:eastAsia="en-GB"/>
          <w14:ligatures w14:val="none"/>
        </w:rPr>
        <w:t xml:space="preserve">communication should encourage dialogue, shared decision-making, and </w:t>
      </w:r>
      <w:r w:rsidRPr="0008075F">
        <w:rPr>
          <w:rFonts w:ascii="Arial" w:eastAsia="Times New Roman" w:hAnsi="Arial" w:cs="Arial"/>
          <w:kern w:val="0"/>
          <w:sz w:val="24"/>
          <w:szCs w:val="24"/>
          <w:lang w:eastAsia="en-GB"/>
          <w14:ligatures w14:val="none"/>
        </w:rPr>
        <w:lastRenderedPageBreak/>
        <w:t xml:space="preserve">active involvement of the patient in their care. In Mrs Mann’s case, this model supports the use of clear, accessible language, culturally sensitive explanations, and regular checks for understanding. By promoting mutual respect and reducing power imbalances between professionals and service users, patient-centred communication improves understanding, engagement, and the </w:t>
      </w:r>
      <w:r w:rsidR="00F606B9">
        <w:rPr>
          <w:rFonts w:ascii="Arial" w:eastAsia="Times New Roman" w:hAnsi="Arial" w:cs="Arial"/>
          <w:kern w:val="0"/>
          <w:sz w:val="24"/>
          <w:szCs w:val="24"/>
          <w:lang w:eastAsia="en-GB"/>
          <w14:ligatures w14:val="none"/>
        </w:rPr>
        <w:t xml:space="preserve">overall </w:t>
      </w:r>
      <w:r w:rsidRPr="0008075F">
        <w:rPr>
          <w:rFonts w:ascii="Arial" w:eastAsia="Times New Roman" w:hAnsi="Arial" w:cs="Arial"/>
          <w:kern w:val="0"/>
          <w:sz w:val="24"/>
          <w:szCs w:val="24"/>
          <w:lang w:eastAsia="en-GB"/>
          <w14:ligatures w14:val="none"/>
        </w:rPr>
        <w:t xml:space="preserve">safety of care delivery. </w:t>
      </w:r>
      <w:r w:rsidR="00F606B9">
        <w:rPr>
          <w:rFonts w:ascii="Arial" w:eastAsia="Times New Roman" w:hAnsi="Arial" w:cs="Arial"/>
          <w:kern w:val="0"/>
          <w:sz w:val="24"/>
          <w:szCs w:val="24"/>
          <w:lang w:eastAsia="en-GB"/>
          <w14:ligatures w14:val="none"/>
        </w:rPr>
        <w:t xml:space="preserve">Supporting this view, </w:t>
      </w:r>
      <w:r w:rsidRPr="0008075F">
        <w:rPr>
          <w:rFonts w:ascii="Arial" w:eastAsia="Times New Roman" w:hAnsi="Arial" w:cs="Arial"/>
          <w:kern w:val="0"/>
          <w:sz w:val="24"/>
          <w:szCs w:val="24"/>
          <w:lang w:eastAsia="en-GB"/>
          <w14:ligatures w14:val="none"/>
        </w:rPr>
        <w:t xml:space="preserve">Kite et al. (2023) highlight that effective health communication is not a one-way process but relies on interaction and feedback, enabling individuals to better understand information and engage more actively in their care. </w:t>
      </w:r>
    </w:p>
    <w:p w14:paraId="75845335" w14:textId="77777777" w:rsidR="00475245" w:rsidRPr="0008075F" w:rsidRDefault="00475245" w:rsidP="0008075F">
      <w:pPr>
        <w:spacing w:after="0" w:line="360" w:lineRule="auto"/>
        <w:jc w:val="both"/>
        <w:rPr>
          <w:rFonts w:ascii="Arial" w:eastAsia="Times New Roman" w:hAnsi="Arial" w:cs="Arial"/>
          <w:kern w:val="0"/>
          <w:sz w:val="24"/>
          <w:szCs w:val="24"/>
          <w:lang w:eastAsia="en-GB"/>
          <w14:ligatures w14:val="none"/>
        </w:rPr>
      </w:pPr>
    </w:p>
    <w:p w14:paraId="463996E0" w14:textId="2B5C1C16" w:rsidR="008D08BD" w:rsidRDefault="00422663" w:rsidP="0008075F">
      <w:pPr>
        <w:spacing w:line="360" w:lineRule="auto"/>
        <w:jc w:val="both"/>
        <w:rPr>
          <w:rFonts w:ascii="Arial" w:hAnsi="Arial" w:cs="Arial"/>
          <w:sz w:val="24"/>
          <w:szCs w:val="24"/>
        </w:rPr>
      </w:pPr>
      <w:r>
        <w:rPr>
          <w:rFonts w:ascii="Arial" w:hAnsi="Arial" w:cs="Arial"/>
          <w:sz w:val="24"/>
          <w:szCs w:val="24"/>
        </w:rPr>
        <w:t>Nonverbal clues</w:t>
      </w:r>
      <w:r w:rsidR="00DE2913">
        <w:rPr>
          <w:rFonts w:ascii="Arial" w:hAnsi="Arial" w:cs="Arial"/>
          <w:sz w:val="24"/>
          <w:szCs w:val="24"/>
        </w:rPr>
        <w:t>,</w:t>
      </w:r>
      <w:r>
        <w:rPr>
          <w:rFonts w:ascii="Arial" w:hAnsi="Arial" w:cs="Arial"/>
          <w:sz w:val="24"/>
          <w:szCs w:val="24"/>
        </w:rPr>
        <w:t xml:space="preserve"> including tone of voice, gestures, eye cont</w:t>
      </w:r>
      <w:r w:rsidR="00DE2913">
        <w:rPr>
          <w:rFonts w:ascii="Arial" w:hAnsi="Arial" w:cs="Arial"/>
          <w:sz w:val="24"/>
          <w:szCs w:val="24"/>
        </w:rPr>
        <w:t>a</w:t>
      </w:r>
      <w:r>
        <w:rPr>
          <w:rFonts w:ascii="Arial" w:hAnsi="Arial" w:cs="Arial"/>
          <w:sz w:val="24"/>
          <w:szCs w:val="24"/>
        </w:rPr>
        <w:t>ct, and facial express</w:t>
      </w:r>
      <w:r w:rsidR="00DE2913">
        <w:rPr>
          <w:rFonts w:ascii="Arial" w:hAnsi="Arial" w:cs="Arial"/>
          <w:sz w:val="24"/>
          <w:szCs w:val="24"/>
        </w:rPr>
        <w:t>ion,</w:t>
      </w:r>
      <w:r>
        <w:rPr>
          <w:rFonts w:ascii="Arial" w:hAnsi="Arial" w:cs="Arial"/>
          <w:sz w:val="24"/>
          <w:szCs w:val="24"/>
        </w:rPr>
        <w:t xml:space="preserve"> are crucial for pro</w:t>
      </w:r>
      <w:r w:rsidR="00DE2913">
        <w:rPr>
          <w:rFonts w:ascii="Arial" w:hAnsi="Arial" w:cs="Arial"/>
          <w:sz w:val="24"/>
          <w:szCs w:val="24"/>
        </w:rPr>
        <w:t>m</w:t>
      </w:r>
      <w:r>
        <w:rPr>
          <w:rFonts w:ascii="Arial" w:hAnsi="Arial" w:cs="Arial"/>
          <w:sz w:val="24"/>
          <w:szCs w:val="24"/>
        </w:rPr>
        <w:t>oting understan</w:t>
      </w:r>
      <w:r w:rsidR="00DE2913">
        <w:rPr>
          <w:rFonts w:ascii="Arial" w:hAnsi="Arial" w:cs="Arial"/>
          <w:sz w:val="24"/>
          <w:szCs w:val="24"/>
        </w:rPr>
        <w:t>d</w:t>
      </w:r>
      <w:r>
        <w:rPr>
          <w:rFonts w:ascii="Arial" w:hAnsi="Arial" w:cs="Arial"/>
          <w:sz w:val="24"/>
          <w:szCs w:val="24"/>
        </w:rPr>
        <w:t>ing in addition to spoken communication, especially in sit</w:t>
      </w:r>
      <w:r w:rsidR="00DE2913">
        <w:rPr>
          <w:rFonts w:ascii="Arial" w:hAnsi="Arial" w:cs="Arial"/>
          <w:sz w:val="24"/>
          <w:szCs w:val="24"/>
        </w:rPr>
        <w:t>uations where there are language limitations.</w:t>
      </w:r>
      <w:r w:rsidR="003C4588">
        <w:rPr>
          <w:rFonts w:ascii="Arial" w:hAnsi="Arial" w:cs="Arial"/>
          <w:sz w:val="24"/>
          <w:szCs w:val="24"/>
        </w:rPr>
        <w:t xml:space="preserve"> </w:t>
      </w:r>
      <w:proofErr w:type="gramStart"/>
      <w:r w:rsidR="008D08BD">
        <w:rPr>
          <w:rFonts w:ascii="Arial" w:hAnsi="Arial" w:cs="Arial"/>
          <w:sz w:val="24"/>
          <w:szCs w:val="24"/>
        </w:rPr>
        <w:t>In order to</w:t>
      </w:r>
      <w:proofErr w:type="gramEnd"/>
      <w:r w:rsidR="008D08BD">
        <w:rPr>
          <w:rFonts w:ascii="Arial" w:hAnsi="Arial" w:cs="Arial"/>
          <w:sz w:val="24"/>
          <w:szCs w:val="24"/>
        </w:rPr>
        <w:t xml:space="preserve"> foster trust between experts </w:t>
      </w:r>
      <w:r w:rsidR="008B4261">
        <w:rPr>
          <w:rFonts w:ascii="Arial" w:hAnsi="Arial" w:cs="Arial"/>
          <w:sz w:val="24"/>
          <w:szCs w:val="24"/>
        </w:rPr>
        <w:t>an</w:t>
      </w:r>
      <w:r w:rsidR="008D08BD">
        <w:rPr>
          <w:rFonts w:ascii="Arial" w:hAnsi="Arial" w:cs="Arial"/>
          <w:sz w:val="24"/>
          <w:szCs w:val="24"/>
        </w:rPr>
        <w:t>d service users, these cues aid in communicating empathy, r</w:t>
      </w:r>
      <w:r w:rsidR="008B4261">
        <w:rPr>
          <w:rFonts w:ascii="Arial" w:hAnsi="Arial" w:cs="Arial"/>
          <w:sz w:val="24"/>
          <w:szCs w:val="24"/>
        </w:rPr>
        <w:t>esp</w:t>
      </w:r>
      <w:r w:rsidR="008D08BD">
        <w:rPr>
          <w:rFonts w:ascii="Arial" w:hAnsi="Arial" w:cs="Arial"/>
          <w:sz w:val="24"/>
          <w:szCs w:val="24"/>
        </w:rPr>
        <w:t xml:space="preserve">ect, and active listening </w:t>
      </w:r>
      <w:r w:rsidR="008B4261">
        <w:rPr>
          <w:rFonts w:ascii="Arial" w:hAnsi="Arial" w:cs="Arial"/>
          <w:sz w:val="24"/>
          <w:szCs w:val="24"/>
        </w:rPr>
        <w:t>(Reyes</w:t>
      </w:r>
      <w:r w:rsidR="008D08BD">
        <w:rPr>
          <w:rFonts w:ascii="Arial" w:hAnsi="Arial" w:cs="Arial"/>
          <w:sz w:val="24"/>
          <w:szCs w:val="24"/>
        </w:rPr>
        <w:t xml:space="preserve"> and Alva</w:t>
      </w:r>
      <w:r w:rsidR="008B4261">
        <w:rPr>
          <w:rFonts w:ascii="Arial" w:hAnsi="Arial" w:cs="Arial"/>
          <w:sz w:val="24"/>
          <w:szCs w:val="24"/>
        </w:rPr>
        <w:t xml:space="preserve">rez,2022). Health and social care providers </w:t>
      </w:r>
      <w:r w:rsidR="000159F1">
        <w:rPr>
          <w:rFonts w:ascii="Arial" w:hAnsi="Arial" w:cs="Arial"/>
          <w:sz w:val="24"/>
          <w:szCs w:val="24"/>
        </w:rPr>
        <w:t>can guarantee that Mrs Mann receives inclusive, safe, and person-centred care by using suitable communicatio</w:t>
      </w:r>
      <w:r w:rsidR="00CF27C3">
        <w:rPr>
          <w:rFonts w:ascii="Arial" w:hAnsi="Arial" w:cs="Arial"/>
          <w:sz w:val="24"/>
          <w:szCs w:val="24"/>
        </w:rPr>
        <w:t xml:space="preserve">n models, abiding by equality laws and using culturally sensitive practices. </w:t>
      </w:r>
    </w:p>
    <w:p w14:paraId="04CA06AD" w14:textId="5589A927" w:rsidR="005106B4" w:rsidRPr="00DC72E1" w:rsidRDefault="005106B4" w:rsidP="00DC72E1">
      <w:pPr>
        <w:pStyle w:val="Heading1"/>
        <w:rPr>
          <w:rFonts w:ascii="Arial" w:hAnsi="Arial" w:cs="Arial"/>
        </w:rPr>
      </w:pPr>
      <w:bookmarkStart w:id="2" w:name="_Toc216638164"/>
      <w:r w:rsidRPr="00DC72E1">
        <w:rPr>
          <w:rFonts w:ascii="Arial" w:hAnsi="Arial" w:cs="Arial"/>
          <w:color w:val="auto"/>
          <w:sz w:val="28"/>
          <w:szCs w:val="28"/>
        </w:rPr>
        <w:t>Importance of Good Administrative Skills.</w:t>
      </w:r>
      <w:bookmarkEnd w:id="2"/>
      <w:r w:rsidRPr="00DC72E1">
        <w:rPr>
          <w:rFonts w:ascii="Arial" w:hAnsi="Arial" w:cs="Arial"/>
          <w:color w:val="auto"/>
          <w:sz w:val="28"/>
          <w:szCs w:val="28"/>
        </w:rPr>
        <w:t xml:space="preserve"> </w:t>
      </w:r>
    </w:p>
    <w:p w14:paraId="0AECD70A" w14:textId="18C46FC0" w:rsidR="005106B4" w:rsidRDefault="00C60A8A" w:rsidP="0008075F">
      <w:pPr>
        <w:spacing w:line="360" w:lineRule="auto"/>
        <w:jc w:val="both"/>
        <w:rPr>
          <w:rFonts w:ascii="Arial" w:hAnsi="Arial" w:cs="Arial"/>
          <w:sz w:val="24"/>
          <w:szCs w:val="24"/>
        </w:rPr>
      </w:pPr>
      <w:r>
        <w:rPr>
          <w:rFonts w:ascii="Arial" w:hAnsi="Arial" w:cs="Arial"/>
          <w:sz w:val="24"/>
          <w:szCs w:val="24"/>
        </w:rPr>
        <w:t xml:space="preserve">Strong administrative skills are necessary to provide safe, effective, and responsible care in health and social care settings. </w:t>
      </w:r>
      <w:r w:rsidR="005106B4">
        <w:rPr>
          <w:rFonts w:ascii="Arial" w:hAnsi="Arial" w:cs="Arial"/>
          <w:sz w:val="24"/>
          <w:szCs w:val="24"/>
        </w:rPr>
        <w:t xml:space="preserve">In Mrs Mann’s case, weaknesses in administrative practice are evident, as inconsistent record-keeping and poor information sharing contributed to a delayed medication adjustment following discharge. This highlights how inadequate documentation can directly compromise patient safety. The Nursing and Midwifery Council (NMC, 2018) emphasises that accurate and timely record-keeping ensures that care decisions are based on reliable information and that all professionals involved have access to up-to-date records. When the administrative system fails, continuity of care is disrupted, increasing the risk of errors and omissions. </w:t>
      </w:r>
    </w:p>
    <w:p w14:paraId="3022BE0C" w14:textId="4C4E11E9" w:rsidR="004953C0" w:rsidRDefault="00FA0944" w:rsidP="0008075F">
      <w:pPr>
        <w:spacing w:line="360" w:lineRule="auto"/>
        <w:jc w:val="both"/>
        <w:rPr>
          <w:rFonts w:ascii="Arial" w:hAnsi="Arial" w:cs="Arial"/>
          <w:sz w:val="24"/>
          <w:szCs w:val="24"/>
        </w:rPr>
      </w:pPr>
      <w:r>
        <w:rPr>
          <w:rFonts w:ascii="Arial" w:hAnsi="Arial" w:cs="Arial"/>
          <w:sz w:val="24"/>
          <w:szCs w:val="24"/>
        </w:rPr>
        <w:t xml:space="preserve">The Data Protection Act of 2018, which contains the UK General Data Protection Regulation (GDPR), provides the legal foundation for the collection, storing, and exchange of personal data in the health and social sectors. The Information Commissioner’s Office (ICD), 2019 states that professionals have a legal duty to </w:t>
      </w:r>
      <w:r>
        <w:rPr>
          <w:rFonts w:ascii="Arial" w:hAnsi="Arial" w:cs="Arial"/>
          <w:sz w:val="24"/>
          <w:szCs w:val="24"/>
        </w:rPr>
        <w:lastRenderedPageBreak/>
        <w:t xml:space="preserve">ensure that personal data is handled securely, lawfully, and only for the proper purpose. </w:t>
      </w:r>
      <w:r w:rsidR="004953C0">
        <w:rPr>
          <w:rFonts w:ascii="Arial" w:hAnsi="Arial" w:cs="Arial"/>
          <w:sz w:val="24"/>
          <w:szCs w:val="24"/>
        </w:rPr>
        <w:t>In relation to Mrs Mann, her medication records, physiotherapy reports and domiciliary care notes must be accurately maintained and shared only with authorised individuals, such as the GP, Physiotherapist and care provider. The Royal College of Nursing (RCN, 202</w:t>
      </w:r>
      <w:r w:rsidR="008C5560">
        <w:rPr>
          <w:rFonts w:ascii="Arial" w:hAnsi="Arial" w:cs="Arial"/>
          <w:sz w:val="24"/>
          <w:szCs w:val="24"/>
        </w:rPr>
        <w:t>3</w:t>
      </w:r>
      <w:r w:rsidR="004953C0">
        <w:rPr>
          <w:rFonts w:ascii="Arial" w:hAnsi="Arial" w:cs="Arial"/>
          <w:sz w:val="24"/>
          <w:szCs w:val="24"/>
        </w:rPr>
        <w:t xml:space="preserve">) states that records should be clear, factual, dated and signed, and must avoid subjective language or assumptions. Adhering to these standards supports accountability and enables professionals to monitor progression, identify changes in condition and respond appropriately. </w:t>
      </w:r>
    </w:p>
    <w:p w14:paraId="15BD09BF" w14:textId="5AFE6B8A" w:rsidR="004953C0" w:rsidRDefault="004953C0" w:rsidP="0008075F">
      <w:pPr>
        <w:spacing w:line="360" w:lineRule="auto"/>
        <w:jc w:val="both"/>
        <w:rPr>
          <w:rFonts w:ascii="Arial" w:hAnsi="Arial" w:cs="Arial"/>
          <w:sz w:val="24"/>
          <w:szCs w:val="24"/>
        </w:rPr>
      </w:pPr>
      <w:r>
        <w:rPr>
          <w:rFonts w:ascii="Arial" w:hAnsi="Arial" w:cs="Arial"/>
          <w:sz w:val="24"/>
          <w:szCs w:val="24"/>
        </w:rPr>
        <w:t>Effective administration also requires an understanding of confidentiality and information-sharing principles.</w:t>
      </w:r>
      <w:r w:rsidR="00095432">
        <w:rPr>
          <w:rFonts w:ascii="Arial" w:hAnsi="Arial" w:cs="Arial"/>
          <w:sz w:val="24"/>
          <w:szCs w:val="24"/>
        </w:rPr>
        <w:t xml:space="preserve"> </w:t>
      </w:r>
      <w:r>
        <w:rPr>
          <w:rFonts w:ascii="Arial" w:hAnsi="Arial" w:cs="Arial"/>
          <w:sz w:val="24"/>
          <w:szCs w:val="24"/>
        </w:rPr>
        <w:t xml:space="preserve">The Caldicott Principles </w:t>
      </w:r>
      <w:r w:rsidR="003E0B0B">
        <w:rPr>
          <w:rFonts w:ascii="Arial" w:hAnsi="Arial" w:cs="Arial"/>
          <w:sz w:val="24"/>
          <w:szCs w:val="24"/>
        </w:rPr>
        <w:t>emphasise</w:t>
      </w:r>
      <w:r>
        <w:rPr>
          <w:rFonts w:ascii="Arial" w:hAnsi="Arial" w:cs="Arial"/>
          <w:sz w:val="24"/>
          <w:szCs w:val="24"/>
        </w:rPr>
        <w:t xml:space="preserve"> that </w:t>
      </w:r>
      <w:r w:rsidR="00095432">
        <w:rPr>
          <w:rFonts w:ascii="Arial" w:hAnsi="Arial" w:cs="Arial"/>
          <w:sz w:val="24"/>
          <w:szCs w:val="24"/>
        </w:rPr>
        <w:t xml:space="preserve">while </w:t>
      </w:r>
      <w:r>
        <w:rPr>
          <w:rFonts w:ascii="Arial" w:hAnsi="Arial" w:cs="Arial"/>
          <w:sz w:val="24"/>
          <w:szCs w:val="24"/>
        </w:rPr>
        <w:t>Patient</w:t>
      </w:r>
      <w:r w:rsidR="00095432">
        <w:rPr>
          <w:rFonts w:ascii="Arial" w:hAnsi="Arial" w:cs="Arial"/>
          <w:sz w:val="24"/>
          <w:szCs w:val="24"/>
        </w:rPr>
        <w:t xml:space="preserve"> confidentiality must be protected, health and social care professionals have an equal duty to share relevant</w:t>
      </w:r>
      <w:r>
        <w:rPr>
          <w:rFonts w:ascii="Arial" w:hAnsi="Arial" w:cs="Arial"/>
          <w:sz w:val="24"/>
          <w:szCs w:val="24"/>
        </w:rPr>
        <w:t xml:space="preserve"> information</w:t>
      </w:r>
      <w:r w:rsidR="00095432">
        <w:rPr>
          <w:rFonts w:ascii="Arial" w:hAnsi="Arial" w:cs="Arial"/>
          <w:sz w:val="24"/>
          <w:szCs w:val="24"/>
        </w:rPr>
        <w:t xml:space="preserve"> for individual care when it is necessary, lawful and in the patient’s best interests (GOV UK, 2020</w:t>
      </w:r>
      <w:r w:rsidR="003E0B0B">
        <w:rPr>
          <w:rFonts w:ascii="Arial" w:hAnsi="Arial" w:cs="Arial"/>
          <w:sz w:val="24"/>
          <w:szCs w:val="24"/>
        </w:rPr>
        <w:t>). In Mrs Mann’s care, this means ensuring that relevant information is shared appropriately between agencies while maintaining confidentiality</w:t>
      </w:r>
      <w:r w:rsidR="008F789A">
        <w:rPr>
          <w:rFonts w:ascii="Arial" w:hAnsi="Arial" w:cs="Arial"/>
          <w:sz w:val="24"/>
          <w:szCs w:val="24"/>
        </w:rPr>
        <w:t>. Recent research into safety incident reporting in care homes highlights that inconsistent documentation systems and weak administrative governance reduce opportunities for learning and increase the risk of patient harm, reinforcing the importance of accurate and timely record-keeping in preventing adverse outcomes (Steer et al., 2025).</w:t>
      </w:r>
      <w:r w:rsidR="003E0B0B" w:rsidRPr="008F789A">
        <w:rPr>
          <w:rFonts w:ascii="Arial" w:hAnsi="Arial" w:cs="Arial"/>
          <w:color w:val="EE0000"/>
          <w:sz w:val="24"/>
          <w:szCs w:val="24"/>
        </w:rPr>
        <w:t xml:space="preserve"> </w:t>
      </w:r>
      <w:r w:rsidR="003E0B0B">
        <w:rPr>
          <w:rFonts w:ascii="Arial" w:hAnsi="Arial" w:cs="Arial"/>
          <w:sz w:val="24"/>
          <w:szCs w:val="24"/>
        </w:rPr>
        <w:t xml:space="preserve">Poor administrative practice may result in legal consequences, professional disciplinary action or harm to the service user (NMC, 2018). In contrast, robust record-keeping supports coordinated, high-quality care and is vital in ensuring Mrs Mann’s rehabilitation and medication management are safely and effectively monitored. </w:t>
      </w:r>
    </w:p>
    <w:p w14:paraId="38CFBF8A" w14:textId="357ECE7E" w:rsidR="005131B3" w:rsidRPr="00DC72E1" w:rsidRDefault="005131B3" w:rsidP="00DC72E1">
      <w:pPr>
        <w:pStyle w:val="Heading1"/>
        <w:rPr>
          <w:rFonts w:ascii="Arial" w:hAnsi="Arial" w:cs="Arial"/>
        </w:rPr>
      </w:pPr>
      <w:bookmarkStart w:id="3" w:name="_Toc216638165"/>
      <w:r w:rsidRPr="00DC72E1">
        <w:rPr>
          <w:rFonts w:ascii="Arial" w:hAnsi="Arial" w:cs="Arial"/>
          <w:color w:val="auto"/>
          <w:sz w:val="28"/>
          <w:szCs w:val="28"/>
        </w:rPr>
        <w:t>The Importance of Collaborative Working</w:t>
      </w:r>
      <w:bookmarkEnd w:id="3"/>
    </w:p>
    <w:p w14:paraId="2EBBD545" w14:textId="66CE1597" w:rsidR="005131B3" w:rsidRDefault="005131B3" w:rsidP="0008075F">
      <w:pPr>
        <w:spacing w:line="360" w:lineRule="auto"/>
        <w:jc w:val="both"/>
        <w:rPr>
          <w:rFonts w:ascii="Arial" w:hAnsi="Arial" w:cs="Arial"/>
          <w:sz w:val="24"/>
          <w:szCs w:val="24"/>
        </w:rPr>
      </w:pPr>
      <w:r>
        <w:rPr>
          <w:rFonts w:ascii="Arial" w:hAnsi="Arial" w:cs="Arial"/>
          <w:sz w:val="24"/>
          <w:szCs w:val="24"/>
        </w:rPr>
        <w:t xml:space="preserve">Collaborative working is essential to delivering coordinated and comprehensive care that meets the complex needs of service users. </w:t>
      </w:r>
      <w:r w:rsidR="00C60A8A">
        <w:rPr>
          <w:rFonts w:ascii="Arial" w:hAnsi="Arial" w:cs="Arial"/>
          <w:sz w:val="24"/>
          <w:szCs w:val="24"/>
        </w:rPr>
        <w:t xml:space="preserve">In Mrs Mann’s instances, safe medicine administration, suitable therapy, and support continuity of care after discharge depend on the GP, physiotherapist, and domiciliary car provider working together effectively. </w:t>
      </w:r>
      <w:r>
        <w:rPr>
          <w:rFonts w:ascii="Arial" w:hAnsi="Arial" w:cs="Arial"/>
          <w:sz w:val="24"/>
          <w:szCs w:val="24"/>
        </w:rPr>
        <w:t xml:space="preserve">Failures in communication between services can result in delays, duplication of tasks and increased risk to patient safety, as illustrated by the delayed medication adjustment. </w:t>
      </w:r>
    </w:p>
    <w:p w14:paraId="26640BDA" w14:textId="27BF082A" w:rsidR="005131B3" w:rsidRDefault="005131B3" w:rsidP="0008075F">
      <w:pPr>
        <w:spacing w:line="360" w:lineRule="auto"/>
        <w:jc w:val="both"/>
        <w:rPr>
          <w:rFonts w:ascii="Arial" w:hAnsi="Arial" w:cs="Arial"/>
          <w:sz w:val="24"/>
          <w:szCs w:val="24"/>
        </w:rPr>
      </w:pPr>
      <w:r>
        <w:rPr>
          <w:rFonts w:ascii="Arial" w:hAnsi="Arial" w:cs="Arial"/>
          <w:sz w:val="24"/>
          <w:szCs w:val="24"/>
        </w:rPr>
        <w:lastRenderedPageBreak/>
        <w:t xml:space="preserve">Interprofessional collaboration enables professionals to share information, expertise and responsibility, which improves decision-making and reduces the likelihood of errors. Lai and Gill (2018) highlight that effective teamwork enhances care quality by improving coordination and reducing fragmentation across services. National policy also emphasises the importance of integrated working; the Health and Social Care Act 2012 and the NHS Long Term Plan (2019) promote joined-up services </w:t>
      </w:r>
      <w:r w:rsidR="00C13B5C">
        <w:rPr>
          <w:rFonts w:ascii="Arial" w:hAnsi="Arial" w:cs="Arial"/>
          <w:sz w:val="24"/>
          <w:szCs w:val="24"/>
        </w:rPr>
        <w:t xml:space="preserve">that work collaboratively to provide person-centred care. For collaboration to be effective, professionals must understand their distinct roles while working towards shared goals that prioritise Mrs Mann’s health, well-being and independence. Mutual respect, open communication and shared accountability are central to this process. </w:t>
      </w:r>
    </w:p>
    <w:p w14:paraId="7E7049CE" w14:textId="77777777" w:rsidR="008E55C6" w:rsidRDefault="000B4D08" w:rsidP="0008075F">
      <w:pPr>
        <w:spacing w:line="360" w:lineRule="auto"/>
        <w:jc w:val="both"/>
        <w:rPr>
          <w:rFonts w:ascii="Arial" w:hAnsi="Arial" w:cs="Arial"/>
          <w:sz w:val="24"/>
          <w:szCs w:val="24"/>
        </w:rPr>
      </w:pPr>
      <w:r>
        <w:rPr>
          <w:rFonts w:ascii="Arial" w:hAnsi="Arial" w:cs="Arial"/>
          <w:sz w:val="24"/>
          <w:szCs w:val="24"/>
        </w:rPr>
        <w:t xml:space="preserve">However, collaborative working can be undermined by communication breakdowns, unclear professional roles and organisational pressures. Ocloo et al. (2021) identify time constraints, high workloads and fragmented systems as key barriers to effective collaboration, limiting information sharing and joint decision-making across services. In Mrs Mann’s case, such system challenges may have contributed to poor coordination between healthcare, physiotherapist and domiciliary care providers, increasing the risk of delays in medication adjustments and continuity of care failures. Addressing these barriers is therefore essential to delivering safe, coordinated and person-centred care. </w:t>
      </w:r>
      <w:r w:rsidR="00F172EC">
        <w:rPr>
          <w:rFonts w:ascii="Arial" w:hAnsi="Arial" w:cs="Arial"/>
          <w:sz w:val="24"/>
          <w:szCs w:val="24"/>
        </w:rPr>
        <w:t xml:space="preserve">Thus, collaborative working is further strengthened through clinical supervision, which provides a structured space for professionals to reflect on practice, share expertise and maintain accountability within multidisciplinary teams. </w:t>
      </w:r>
    </w:p>
    <w:p w14:paraId="680F01D7" w14:textId="4F9B29DE" w:rsidR="00303AAA" w:rsidRDefault="00B2434B" w:rsidP="0008075F">
      <w:pPr>
        <w:spacing w:line="360" w:lineRule="auto"/>
        <w:jc w:val="both"/>
        <w:rPr>
          <w:rFonts w:ascii="Arial" w:hAnsi="Arial" w:cs="Arial"/>
          <w:sz w:val="24"/>
          <w:szCs w:val="24"/>
        </w:rPr>
      </w:pPr>
      <w:r>
        <w:rPr>
          <w:rFonts w:ascii="Arial" w:hAnsi="Arial" w:cs="Arial"/>
          <w:sz w:val="24"/>
          <w:szCs w:val="24"/>
        </w:rPr>
        <w:t>Driscoll et al. (2019) highlight that effective clinical supervision supports professional development, communication and emotional resilience among practitioners. Through structured reflective practice, supervision provides a safe space for professionals to critically examine experiences, share perspectives and learn collaboratively, which strengthens decision-making, accountability and ultimately contributes to safer, more coordinated care delivery. I</w:t>
      </w:r>
      <w:r w:rsidR="00C13B5C">
        <w:rPr>
          <w:rFonts w:ascii="Arial" w:hAnsi="Arial" w:cs="Arial"/>
          <w:sz w:val="24"/>
          <w:szCs w:val="24"/>
        </w:rPr>
        <w:t>n Mrs Mann’s case, reflection on the delayed medication adjustment could support improved coordination between services</w:t>
      </w:r>
      <w:r w:rsidR="009F2911">
        <w:rPr>
          <w:rFonts w:ascii="Arial" w:hAnsi="Arial" w:cs="Arial"/>
          <w:sz w:val="24"/>
          <w:szCs w:val="24"/>
        </w:rPr>
        <w:t>.</w:t>
      </w:r>
      <w:r w:rsidR="00C13B5C">
        <w:rPr>
          <w:rFonts w:ascii="Arial" w:hAnsi="Arial" w:cs="Arial"/>
          <w:sz w:val="24"/>
          <w:szCs w:val="24"/>
        </w:rPr>
        <w:t xml:space="preserve"> Cultural competence further </w:t>
      </w:r>
      <w:r w:rsidR="009F2911">
        <w:rPr>
          <w:rFonts w:ascii="Arial" w:hAnsi="Arial" w:cs="Arial"/>
          <w:sz w:val="24"/>
          <w:szCs w:val="24"/>
        </w:rPr>
        <w:t>enhances</w:t>
      </w:r>
      <w:r w:rsidR="00C13B5C">
        <w:rPr>
          <w:rFonts w:ascii="Arial" w:hAnsi="Arial" w:cs="Arial"/>
          <w:sz w:val="24"/>
          <w:szCs w:val="24"/>
        </w:rPr>
        <w:t xml:space="preserve"> collaboration by ensuring that </w:t>
      </w:r>
      <w:r w:rsidR="009F2911">
        <w:rPr>
          <w:rFonts w:ascii="Arial" w:hAnsi="Arial" w:cs="Arial"/>
          <w:sz w:val="24"/>
          <w:szCs w:val="24"/>
        </w:rPr>
        <w:t>professionals</w:t>
      </w:r>
      <w:r w:rsidR="00C13B5C">
        <w:rPr>
          <w:rFonts w:ascii="Arial" w:hAnsi="Arial" w:cs="Arial"/>
          <w:sz w:val="24"/>
          <w:szCs w:val="24"/>
        </w:rPr>
        <w:t xml:space="preserve"> respect Mrs Mann</w:t>
      </w:r>
      <w:r w:rsidR="009F2911">
        <w:rPr>
          <w:rFonts w:ascii="Arial" w:hAnsi="Arial" w:cs="Arial"/>
          <w:sz w:val="24"/>
          <w:szCs w:val="24"/>
        </w:rPr>
        <w:t>’s</w:t>
      </w:r>
      <w:r w:rsidR="00C13B5C">
        <w:rPr>
          <w:rFonts w:ascii="Arial" w:hAnsi="Arial" w:cs="Arial"/>
          <w:sz w:val="24"/>
          <w:szCs w:val="24"/>
        </w:rPr>
        <w:t xml:space="preserve"> cul</w:t>
      </w:r>
      <w:r w:rsidR="009F2911">
        <w:rPr>
          <w:rFonts w:ascii="Arial" w:hAnsi="Arial" w:cs="Arial"/>
          <w:sz w:val="24"/>
          <w:szCs w:val="24"/>
        </w:rPr>
        <w:t xml:space="preserve">tural background and involve her family appropriately in care decisions. Through effective teamwork, shared communication and coordinated planning, professionals can deliver safe, person-centred care that supports Mrs Mann’s recovery and promotes her independence. </w:t>
      </w:r>
    </w:p>
    <w:p w14:paraId="7AC848EC" w14:textId="7716DFD9" w:rsidR="00303AAA" w:rsidRPr="00DC72E1" w:rsidRDefault="00F76C50" w:rsidP="00DC72E1">
      <w:pPr>
        <w:pStyle w:val="Heading1"/>
        <w:rPr>
          <w:rFonts w:ascii="Arial" w:hAnsi="Arial" w:cs="Arial"/>
        </w:rPr>
      </w:pPr>
      <w:bookmarkStart w:id="4" w:name="_Toc216638166"/>
      <w:r w:rsidRPr="00DC72E1">
        <w:rPr>
          <w:rFonts w:ascii="Arial" w:hAnsi="Arial" w:cs="Arial"/>
          <w:color w:val="auto"/>
          <w:sz w:val="28"/>
          <w:szCs w:val="28"/>
        </w:rPr>
        <w:lastRenderedPageBreak/>
        <w:t>C</w:t>
      </w:r>
      <w:r w:rsidR="00303AAA" w:rsidRPr="00DC72E1">
        <w:rPr>
          <w:rFonts w:ascii="Arial" w:hAnsi="Arial" w:cs="Arial"/>
          <w:color w:val="auto"/>
          <w:sz w:val="28"/>
          <w:szCs w:val="28"/>
        </w:rPr>
        <w:t>onclusion</w:t>
      </w:r>
      <w:bookmarkEnd w:id="4"/>
    </w:p>
    <w:p w14:paraId="1989E7A8" w14:textId="7CE3DAF8" w:rsidR="00F76C50" w:rsidRDefault="00BB2049" w:rsidP="0008075F">
      <w:pPr>
        <w:spacing w:line="360" w:lineRule="auto"/>
        <w:jc w:val="both"/>
        <w:rPr>
          <w:rFonts w:ascii="Arial" w:hAnsi="Arial" w:cs="Arial"/>
          <w:sz w:val="24"/>
          <w:szCs w:val="24"/>
        </w:rPr>
      </w:pPr>
      <w:r>
        <w:rPr>
          <w:rFonts w:ascii="Arial" w:hAnsi="Arial" w:cs="Arial"/>
          <w:sz w:val="24"/>
          <w:szCs w:val="24"/>
        </w:rPr>
        <w:t xml:space="preserve">This report has shown that providing </w:t>
      </w:r>
      <w:r w:rsidR="0017199F">
        <w:rPr>
          <w:rFonts w:ascii="Arial" w:hAnsi="Arial" w:cs="Arial"/>
          <w:sz w:val="24"/>
          <w:szCs w:val="24"/>
        </w:rPr>
        <w:t>safe, person-centred care requires eff</w:t>
      </w:r>
      <w:r w:rsidR="008E76F6">
        <w:rPr>
          <w:rFonts w:ascii="Arial" w:hAnsi="Arial" w:cs="Arial"/>
          <w:sz w:val="24"/>
          <w:szCs w:val="24"/>
        </w:rPr>
        <w:t>icie</w:t>
      </w:r>
      <w:r w:rsidR="0017199F">
        <w:rPr>
          <w:rFonts w:ascii="Arial" w:hAnsi="Arial" w:cs="Arial"/>
          <w:sz w:val="24"/>
          <w:szCs w:val="24"/>
        </w:rPr>
        <w:t xml:space="preserve">nt communication, accurate record keeping and teamwork. The story of Mrs Mann has been </w:t>
      </w:r>
      <w:r w:rsidR="00733690">
        <w:rPr>
          <w:rFonts w:ascii="Arial" w:hAnsi="Arial" w:cs="Arial"/>
          <w:sz w:val="24"/>
          <w:szCs w:val="24"/>
        </w:rPr>
        <w:t>used to illustrate how poor documentation and communi</w:t>
      </w:r>
      <w:r w:rsidR="008E76F6">
        <w:rPr>
          <w:rFonts w:ascii="Arial" w:hAnsi="Arial" w:cs="Arial"/>
          <w:sz w:val="24"/>
          <w:szCs w:val="24"/>
        </w:rPr>
        <w:t>ca</w:t>
      </w:r>
      <w:r w:rsidR="00733690">
        <w:rPr>
          <w:rFonts w:ascii="Arial" w:hAnsi="Arial" w:cs="Arial"/>
          <w:sz w:val="24"/>
          <w:szCs w:val="24"/>
        </w:rPr>
        <w:t>tion can</w:t>
      </w:r>
      <w:r w:rsidR="008E76F6">
        <w:rPr>
          <w:rFonts w:ascii="Arial" w:hAnsi="Arial" w:cs="Arial"/>
          <w:sz w:val="24"/>
          <w:szCs w:val="24"/>
        </w:rPr>
        <w:t xml:space="preserve"> </w:t>
      </w:r>
      <w:r w:rsidR="00733690">
        <w:rPr>
          <w:rFonts w:ascii="Arial" w:hAnsi="Arial" w:cs="Arial"/>
          <w:sz w:val="24"/>
          <w:szCs w:val="24"/>
        </w:rPr>
        <w:t>lead to treatment delays and elevated patient safety hazards. The application of pertinent law</w:t>
      </w:r>
      <w:r w:rsidR="008E76F6">
        <w:rPr>
          <w:rFonts w:ascii="Arial" w:hAnsi="Arial" w:cs="Arial"/>
          <w:sz w:val="24"/>
          <w:szCs w:val="24"/>
        </w:rPr>
        <w:t>s</w:t>
      </w:r>
      <w:r w:rsidR="00733690">
        <w:rPr>
          <w:rFonts w:ascii="Arial" w:hAnsi="Arial" w:cs="Arial"/>
          <w:sz w:val="24"/>
          <w:szCs w:val="24"/>
        </w:rPr>
        <w:t>, such as the Data P</w:t>
      </w:r>
      <w:r w:rsidR="008E76F6">
        <w:rPr>
          <w:rFonts w:ascii="Arial" w:hAnsi="Arial" w:cs="Arial"/>
          <w:sz w:val="24"/>
          <w:szCs w:val="24"/>
        </w:rPr>
        <w:t>ro</w:t>
      </w:r>
      <w:r w:rsidR="00733690">
        <w:rPr>
          <w:rFonts w:ascii="Arial" w:hAnsi="Arial" w:cs="Arial"/>
          <w:sz w:val="24"/>
          <w:szCs w:val="24"/>
        </w:rPr>
        <w:t xml:space="preserve">tection Act </w:t>
      </w:r>
      <w:r w:rsidR="008E76F6">
        <w:rPr>
          <w:rFonts w:ascii="Arial" w:hAnsi="Arial" w:cs="Arial"/>
          <w:sz w:val="24"/>
          <w:szCs w:val="24"/>
        </w:rPr>
        <w:t>o</w:t>
      </w:r>
      <w:r w:rsidR="00733690">
        <w:rPr>
          <w:rFonts w:ascii="Arial" w:hAnsi="Arial" w:cs="Arial"/>
          <w:sz w:val="24"/>
          <w:szCs w:val="24"/>
        </w:rPr>
        <w:t>f 2018 an</w:t>
      </w:r>
      <w:r w:rsidR="008E76F6">
        <w:rPr>
          <w:rFonts w:ascii="Arial" w:hAnsi="Arial" w:cs="Arial"/>
          <w:sz w:val="24"/>
          <w:szCs w:val="24"/>
        </w:rPr>
        <w:t>d</w:t>
      </w:r>
      <w:r w:rsidR="00733690">
        <w:rPr>
          <w:rFonts w:ascii="Arial" w:hAnsi="Arial" w:cs="Arial"/>
          <w:sz w:val="24"/>
          <w:szCs w:val="24"/>
        </w:rPr>
        <w:t xml:space="preserve"> the </w:t>
      </w:r>
      <w:r w:rsidR="008E76F6">
        <w:rPr>
          <w:rFonts w:ascii="Arial" w:hAnsi="Arial" w:cs="Arial"/>
          <w:sz w:val="24"/>
          <w:szCs w:val="24"/>
        </w:rPr>
        <w:t>Equality Act of 2010, emphasises the significance of legal information exchange and inclusive communication.</w:t>
      </w:r>
      <w:r w:rsidR="00B7630B">
        <w:rPr>
          <w:rFonts w:ascii="Arial" w:hAnsi="Arial" w:cs="Arial"/>
          <w:sz w:val="24"/>
          <w:szCs w:val="24"/>
        </w:rPr>
        <w:t xml:space="preserve"> </w:t>
      </w:r>
      <w:r w:rsidR="00F76C50">
        <w:rPr>
          <w:rFonts w:ascii="Arial" w:hAnsi="Arial" w:cs="Arial"/>
          <w:sz w:val="24"/>
          <w:szCs w:val="24"/>
        </w:rPr>
        <w:t>Effective interprofessional collaboration, supported by reflective practice and clinical supervision, is vital in promoting continuity of care and improving outcomes. Overall, the report emphasises that coordinated, legally compliant and reflective practice is central to delivering high-quality care for individuals with complex needs.</w:t>
      </w:r>
    </w:p>
    <w:p w14:paraId="4DB89A45" w14:textId="77777777" w:rsid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p>
    <w:p w14:paraId="05F23D9C"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585DA118"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047BAF31"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4EC178F3"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02515CC3"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36A50A12"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727D2C0B"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3EBFC569"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078CF986"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1BCB5DBB"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61FFB648" w14:textId="77777777" w:rsidR="00DC72E1" w:rsidRDefault="00DC72E1" w:rsidP="00095432">
      <w:pPr>
        <w:widowControl w:val="0"/>
        <w:autoSpaceDE w:val="0"/>
        <w:autoSpaceDN w:val="0"/>
        <w:adjustRightInd w:val="0"/>
        <w:spacing w:after="240" w:line="360" w:lineRule="auto"/>
        <w:jc w:val="both"/>
        <w:rPr>
          <w:rFonts w:ascii="Arial" w:hAnsi="Arial" w:cs="Arial"/>
          <w:kern w:val="0"/>
          <w:sz w:val="24"/>
          <w:szCs w:val="24"/>
          <w:lang w:val="en-US"/>
        </w:rPr>
      </w:pPr>
    </w:p>
    <w:p w14:paraId="19BDCBB0" w14:textId="77777777" w:rsid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p>
    <w:p w14:paraId="595ADFA7" w14:textId="3E032561" w:rsidR="00095432" w:rsidRPr="00DC72E1" w:rsidRDefault="00095432" w:rsidP="00DC72E1">
      <w:pPr>
        <w:pStyle w:val="Heading1"/>
        <w:rPr>
          <w:rFonts w:ascii="Arial" w:hAnsi="Arial" w:cs="Arial"/>
          <w:lang w:val="en-US"/>
        </w:rPr>
      </w:pPr>
      <w:bookmarkStart w:id="5" w:name="_Toc216638167"/>
      <w:r w:rsidRPr="00DC72E1">
        <w:rPr>
          <w:rFonts w:ascii="Arial" w:hAnsi="Arial" w:cs="Arial"/>
          <w:color w:val="auto"/>
          <w:sz w:val="28"/>
          <w:szCs w:val="28"/>
          <w:lang w:val="en-US"/>
        </w:rPr>
        <w:lastRenderedPageBreak/>
        <w:t>Reference list</w:t>
      </w:r>
      <w:bookmarkEnd w:id="5"/>
    </w:p>
    <w:p w14:paraId="0E42DD11" w14:textId="77777777" w:rsidR="00095432" w:rsidRP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Driscoll, J., Stacey, G., Harrison-Dening, K., Boyd, C. and Shaw, T. (2019). Enhancing the Quality of Clinical Supervision in Nursing Practice. </w:t>
      </w:r>
      <w:r w:rsidRPr="00095432">
        <w:rPr>
          <w:rFonts w:ascii="Arial" w:hAnsi="Arial" w:cs="Arial"/>
          <w:i/>
          <w:iCs/>
          <w:kern w:val="0"/>
          <w:sz w:val="24"/>
          <w:szCs w:val="24"/>
          <w:lang w:val="en-US"/>
        </w:rPr>
        <w:t>Nursing Standard</w:t>
      </w:r>
      <w:r w:rsidRPr="00095432">
        <w:rPr>
          <w:rFonts w:ascii="Arial" w:hAnsi="Arial" w:cs="Arial"/>
          <w:kern w:val="0"/>
          <w:sz w:val="24"/>
          <w:szCs w:val="24"/>
          <w:lang w:val="en-US"/>
        </w:rPr>
        <w:t xml:space="preserve">, [online] 34(5), pp.43–50. Available at: </w:t>
      </w:r>
      <w:hyperlink r:id="rId6" w:history="1">
        <w:r w:rsidRPr="00095432">
          <w:rPr>
            <w:rStyle w:val="Hyperlink"/>
            <w:rFonts w:ascii="Arial" w:hAnsi="Arial" w:cs="Arial"/>
            <w:color w:val="auto"/>
            <w:kern w:val="0"/>
            <w:sz w:val="24"/>
            <w:szCs w:val="24"/>
            <w:lang w:val="en-US"/>
          </w:rPr>
          <w:t>https://pubmed.ncbi.nlm.nih.gov/31468814/</w:t>
        </w:r>
      </w:hyperlink>
      <w:r w:rsidRPr="00095432">
        <w:rPr>
          <w:rFonts w:ascii="Arial" w:hAnsi="Arial" w:cs="Arial"/>
          <w:kern w:val="0"/>
          <w:sz w:val="24"/>
          <w:szCs w:val="24"/>
          <w:lang w:val="en-US"/>
        </w:rPr>
        <w:t xml:space="preserve"> [Accessed 14 Dec. 2025].</w:t>
      </w:r>
    </w:p>
    <w:p w14:paraId="36278F05" w14:textId="77777777" w:rsidR="00095432" w:rsidRP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GOV UK (2020). </w:t>
      </w:r>
      <w:r w:rsidRPr="00095432">
        <w:rPr>
          <w:rFonts w:ascii="Arial" w:hAnsi="Arial" w:cs="Arial"/>
          <w:i/>
          <w:iCs/>
          <w:kern w:val="0"/>
          <w:sz w:val="24"/>
          <w:szCs w:val="24"/>
          <w:lang w:val="en-US"/>
        </w:rPr>
        <w:t>The Caldicott Principles</w:t>
      </w:r>
      <w:r w:rsidRPr="00095432">
        <w:rPr>
          <w:rFonts w:ascii="Arial" w:hAnsi="Arial" w:cs="Arial"/>
          <w:kern w:val="0"/>
          <w:sz w:val="24"/>
          <w:szCs w:val="24"/>
          <w:lang w:val="en-US"/>
        </w:rPr>
        <w:t xml:space="preserve">. [online] GOV.UK. Available at: </w:t>
      </w:r>
      <w:hyperlink r:id="rId7" w:history="1">
        <w:r w:rsidRPr="00095432">
          <w:rPr>
            <w:rStyle w:val="Hyperlink"/>
            <w:rFonts w:ascii="Arial" w:hAnsi="Arial" w:cs="Arial"/>
            <w:color w:val="auto"/>
            <w:kern w:val="0"/>
            <w:sz w:val="24"/>
            <w:szCs w:val="24"/>
            <w:lang w:val="en-US"/>
          </w:rPr>
          <w:t>https://www.gov.uk/government/publications/the-caldicott-principles</w:t>
        </w:r>
      </w:hyperlink>
      <w:r w:rsidRPr="00095432">
        <w:rPr>
          <w:rFonts w:ascii="Arial" w:hAnsi="Arial" w:cs="Arial"/>
          <w:kern w:val="0"/>
          <w:sz w:val="24"/>
          <w:szCs w:val="24"/>
          <w:lang w:val="en-US"/>
        </w:rPr>
        <w:t xml:space="preserve"> [Accessed 14 Dec. 2025].</w:t>
      </w:r>
    </w:p>
    <w:p w14:paraId="26A69559" w14:textId="77777777" w:rsidR="00095432" w:rsidRP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Information Commissioner's Office (2019). </w:t>
      </w:r>
      <w:r w:rsidRPr="00095432">
        <w:rPr>
          <w:rFonts w:ascii="Arial" w:hAnsi="Arial" w:cs="Arial"/>
          <w:i/>
          <w:iCs/>
          <w:kern w:val="0"/>
          <w:sz w:val="24"/>
          <w:szCs w:val="24"/>
          <w:lang w:val="en-US"/>
        </w:rPr>
        <w:t>Guide to Data Protection</w:t>
      </w:r>
      <w:r w:rsidRPr="00095432">
        <w:rPr>
          <w:rFonts w:ascii="Arial" w:hAnsi="Arial" w:cs="Arial"/>
          <w:kern w:val="0"/>
          <w:sz w:val="24"/>
          <w:szCs w:val="24"/>
          <w:lang w:val="en-US"/>
        </w:rPr>
        <w:t xml:space="preserve">. [online] Ico.org.uk. Available at: </w:t>
      </w:r>
      <w:hyperlink r:id="rId8" w:history="1">
        <w:r w:rsidRPr="00095432">
          <w:rPr>
            <w:rStyle w:val="Hyperlink"/>
            <w:rFonts w:ascii="Arial" w:hAnsi="Arial" w:cs="Arial"/>
            <w:color w:val="auto"/>
            <w:kern w:val="0"/>
            <w:sz w:val="24"/>
            <w:szCs w:val="24"/>
            <w:lang w:val="en-US"/>
          </w:rPr>
          <w:t>https://ico.org.uk/for-organisations/guide-to-data-protection/</w:t>
        </w:r>
      </w:hyperlink>
      <w:r w:rsidRPr="00095432">
        <w:rPr>
          <w:rFonts w:ascii="Arial" w:hAnsi="Arial" w:cs="Arial"/>
          <w:kern w:val="0"/>
          <w:sz w:val="24"/>
          <w:szCs w:val="24"/>
          <w:lang w:val="en-US"/>
        </w:rPr>
        <w:t xml:space="preserve"> [Accessed 14 Dec. 2025].</w:t>
      </w:r>
    </w:p>
    <w:p w14:paraId="5FBC4BB3" w14:textId="77777777" w:rsid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Kite, J., Chan, L., MacKay, K., Corbett, L., Reyes-Marcelino, G., Nguyen, B., Bellew, W. and Freeman, B. (2023). A model of social media effects in public health communication campaigns: Systematic review. </w:t>
      </w:r>
      <w:r w:rsidRPr="00095432">
        <w:rPr>
          <w:rFonts w:ascii="Arial" w:hAnsi="Arial" w:cs="Arial"/>
          <w:i/>
          <w:iCs/>
          <w:kern w:val="0"/>
          <w:sz w:val="24"/>
          <w:szCs w:val="24"/>
          <w:lang w:val="en-US"/>
        </w:rPr>
        <w:t>Journal of Medical Internet Research</w:t>
      </w:r>
      <w:r w:rsidRPr="00095432">
        <w:rPr>
          <w:rFonts w:ascii="Arial" w:hAnsi="Arial" w:cs="Arial"/>
          <w:kern w:val="0"/>
          <w:sz w:val="24"/>
          <w:szCs w:val="24"/>
          <w:lang w:val="en-US"/>
        </w:rPr>
        <w:t xml:space="preserve">, [online] 25(1), </w:t>
      </w:r>
      <w:proofErr w:type="gramStart"/>
      <w:r w:rsidRPr="00095432">
        <w:rPr>
          <w:rFonts w:ascii="Arial" w:hAnsi="Arial" w:cs="Arial"/>
          <w:kern w:val="0"/>
          <w:sz w:val="24"/>
          <w:szCs w:val="24"/>
          <w:lang w:val="en-US"/>
        </w:rPr>
        <w:t>pp.e</w:t>
      </w:r>
      <w:proofErr w:type="gramEnd"/>
      <w:r w:rsidRPr="00095432">
        <w:rPr>
          <w:rFonts w:ascii="Arial" w:hAnsi="Arial" w:cs="Arial"/>
          <w:kern w:val="0"/>
          <w:sz w:val="24"/>
          <w:szCs w:val="24"/>
          <w:lang w:val="en-US"/>
        </w:rPr>
        <w:t xml:space="preserve">46345–e46345. Available at: </w:t>
      </w:r>
      <w:hyperlink r:id="rId9" w:history="1">
        <w:r w:rsidRPr="00095432">
          <w:rPr>
            <w:rStyle w:val="Hyperlink"/>
            <w:rFonts w:ascii="Arial" w:hAnsi="Arial" w:cs="Arial"/>
            <w:color w:val="auto"/>
            <w:kern w:val="0"/>
            <w:sz w:val="24"/>
            <w:szCs w:val="24"/>
            <w:lang w:val="en-US"/>
          </w:rPr>
          <w:t>https://www.jmir.org/2023/1/e46345/</w:t>
        </w:r>
      </w:hyperlink>
      <w:r w:rsidRPr="00095432">
        <w:rPr>
          <w:rFonts w:ascii="Arial" w:hAnsi="Arial" w:cs="Arial"/>
          <w:kern w:val="0"/>
          <w:sz w:val="24"/>
          <w:szCs w:val="24"/>
          <w:lang w:val="en-US"/>
        </w:rPr>
        <w:t xml:space="preserve"> [Accessed 10 Dec. 2025].</w:t>
      </w:r>
    </w:p>
    <w:p w14:paraId="430DF86B" w14:textId="77777777" w:rsidR="00C26DF4" w:rsidRDefault="00C26DF4" w:rsidP="007C7550">
      <w:pPr>
        <w:pStyle w:val="NormalWeb"/>
        <w:spacing w:before="0" w:beforeAutospacing="0" w:after="240" w:afterAutospacing="0" w:line="360" w:lineRule="atLeast"/>
        <w:rPr>
          <w:color w:val="000000"/>
        </w:rPr>
      </w:pPr>
    </w:p>
    <w:p w14:paraId="49D92B74" w14:textId="723DAC75" w:rsidR="007C7550" w:rsidRDefault="007C7550" w:rsidP="007C7550">
      <w:pPr>
        <w:pStyle w:val="NormalWeb"/>
        <w:spacing w:before="0" w:beforeAutospacing="0" w:after="240" w:afterAutospacing="0" w:line="360" w:lineRule="atLeast"/>
        <w:rPr>
          <w:color w:val="000000"/>
        </w:rPr>
      </w:pPr>
      <w:r>
        <w:rPr>
          <w:color w:val="000000"/>
        </w:rPr>
        <w:t>Li, S.-A., Jeffs, L., Barwick, M. and Stevens, B. (2018). Organizational contextual features that influence the implementation of evidence-based practices across healthcare settings: A systematic integrative review.</w:t>
      </w:r>
      <w:r>
        <w:rPr>
          <w:rStyle w:val="apple-converted-space"/>
          <w:rFonts w:eastAsiaTheme="majorEastAsia"/>
          <w:color w:val="000000"/>
        </w:rPr>
        <w:t> </w:t>
      </w:r>
      <w:r>
        <w:rPr>
          <w:i/>
          <w:iCs/>
          <w:color w:val="000000"/>
        </w:rPr>
        <w:t>Systematic Reviews</w:t>
      </w:r>
      <w:r>
        <w:rPr>
          <w:color w:val="000000"/>
        </w:rPr>
        <w:t>, [online] 7(1), pp.1–19. Available at: https://systematicreviewsjournal.biomedcentral.com/articles/10.1186/s13643-018-0734-5.</w:t>
      </w:r>
    </w:p>
    <w:p w14:paraId="65CA8BB6" w14:textId="77777777" w:rsidR="007C7550" w:rsidRPr="00095432" w:rsidRDefault="007C7550" w:rsidP="00095432">
      <w:pPr>
        <w:widowControl w:val="0"/>
        <w:autoSpaceDE w:val="0"/>
        <w:autoSpaceDN w:val="0"/>
        <w:adjustRightInd w:val="0"/>
        <w:spacing w:after="240" w:line="360" w:lineRule="auto"/>
        <w:jc w:val="both"/>
        <w:rPr>
          <w:rFonts w:ascii="Arial" w:hAnsi="Arial" w:cs="Arial"/>
          <w:kern w:val="0"/>
          <w:sz w:val="24"/>
          <w:szCs w:val="24"/>
          <w:lang w:val="en-US"/>
        </w:rPr>
      </w:pPr>
    </w:p>
    <w:p w14:paraId="55B10019" w14:textId="77777777" w:rsidR="00095432" w:rsidRP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MacLellan, J., McNiven, A. and Kenyon, S. (2023). Provision of interpreting support for Cross-cultural communication in UK maternity services: A Freedom of Information Request. </w:t>
      </w:r>
      <w:r w:rsidRPr="00095432">
        <w:rPr>
          <w:rFonts w:ascii="Arial" w:hAnsi="Arial" w:cs="Arial"/>
          <w:i/>
          <w:iCs/>
          <w:kern w:val="0"/>
          <w:sz w:val="24"/>
          <w:szCs w:val="24"/>
          <w:lang w:val="en-US"/>
        </w:rPr>
        <w:t>International Journal of Nursing Studies Advances</w:t>
      </w:r>
      <w:r w:rsidRPr="00095432">
        <w:rPr>
          <w:rFonts w:ascii="Arial" w:hAnsi="Arial" w:cs="Arial"/>
          <w:kern w:val="0"/>
          <w:sz w:val="24"/>
          <w:szCs w:val="24"/>
          <w:lang w:val="en-US"/>
        </w:rPr>
        <w:t xml:space="preserve">, [online] 6(100162), p.100162. Available at: </w:t>
      </w:r>
      <w:hyperlink r:id="rId10" w:anchor=":~:text=The%20use%20of%20professionally%20trained" w:history="1">
        <w:r w:rsidRPr="00095432">
          <w:rPr>
            <w:rStyle w:val="Hyperlink"/>
            <w:rFonts w:ascii="Arial" w:hAnsi="Arial" w:cs="Arial"/>
            <w:color w:val="auto"/>
            <w:kern w:val="0"/>
            <w:sz w:val="24"/>
            <w:szCs w:val="24"/>
            <w:lang w:val="en-US"/>
          </w:rPr>
          <w:t>https://www.sciencedirect.com/science/article/pii/S2666142X23000462#:~:text=The%20use%20of%20professionally%20trained</w:t>
        </w:r>
      </w:hyperlink>
      <w:r w:rsidRPr="00095432">
        <w:rPr>
          <w:rFonts w:ascii="Arial" w:hAnsi="Arial" w:cs="Arial"/>
          <w:kern w:val="0"/>
          <w:sz w:val="24"/>
          <w:szCs w:val="24"/>
          <w:lang w:val="en-US"/>
        </w:rPr>
        <w:t xml:space="preserve"> [Accessed 10 Dec. 2025].</w:t>
      </w:r>
    </w:p>
    <w:p w14:paraId="025D9268" w14:textId="77777777" w:rsidR="00095432" w:rsidRP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NHS England (2022). </w:t>
      </w:r>
      <w:r w:rsidRPr="00095432">
        <w:rPr>
          <w:rFonts w:ascii="Arial" w:hAnsi="Arial" w:cs="Arial"/>
          <w:i/>
          <w:iCs/>
          <w:kern w:val="0"/>
          <w:sz w:val="24"/>
          <w:szCs w:val="24"/>
          <w:lang w:val="en-US"/>
        </w:rPr>
        <w:t>Spoken communication and patient safety in the NHS</w:t>
      </w:r>
      <w:r w:rsidRPr="00095432">
        <w:rPr>
          <w:rFonts w:ascii="Arial" w:hAnsi="Arial" w:cs="Arial"/>
          <w:kern w:val="0"/>
          <w:sz w:val="24"/>
          <w:szCs w:val="24"/>
          <w:lang w:val="en-US"/>
        </w:rPr>
        <w:t xml:space="preserve">. [online] </w:t>
      </w:r>
      <w:r w:rsidRPr="00095432">
        <w:rPr>
          <w:rFonts w:ascii="Arial" w:hAnsi="Arial" w:cs="Arial"/>
          <w:i/>
          <w:iCs/>
          <w:kern w:val="0"/>
          <w:sz w:val="24"/>
          <w:szCs w:val="24"/>
          <w:lang w:val="en-US"/>
        </w:rPr>
        <w:t>NHS England</w:t>
      </w:r>
      <w:r w:rsidRPr="00095432">
        <w:rPr>
          <w:rFonts w:ascii="Arial" w:hAnsi="Arial" w:cs="Arial"/>
          <w:kern w:val="0"/>
          <w:sz w:val="24"/>
          <w:szCs w:val="24"/>
          <w:lang w:val="en-US"/>
        </w:rPr>
        <w:t xml:space="preserve">. Available at: </w:t>
      </w:r>
      <w:hyperlink r:id="rId11" w:history="1">
        <w:r w:rsidRPr="00095432">
          <w:rPr>
            <w:rStyle w:val="Hyperlink"/>
            <w:rFonts w:ascii="Arial" w:hAnsi="Arial" w:cs="Arial"/>
            <w:color w:val="auto"/>
            <w:kern w:val="0"/>
            <w:sz w:val="24"/>
            <w:szCs w:val="24"/>
            <w:lang w:val="en-US"/>
          </w:rPr>
          <w:t>https://www.england.nhs.uk/wp-</w:t>
        </w:r>
        <w:r w:rsidRPr="00095432">
          <w:rPr>
            <w:rStyle w:val="Hyperlink"/>
            <w:rFonts w:ascii="Arial" w:hAnsi="Arial" w:cs="Arial"/>
            <w:color w:val="auto"/>
            <w:kern w:val="0"/>
            <w:sz w:val="24"/>
            <w:szCs w:val="24"/>
            <w:lang w:val="en-US"/>
          </w:rPr>
          <w:lastRenderedPageBreak/>
          <w:t>content/uploads/2022/03/spoken-communication-and-patient-safety-in-the-nhs-summary-v2.pdf</w:t>
        </w:r>
      </w:hyperlink>
      <w:r w:rsidRPr="00095432">
        <w:rPr>
          <w:rFonts w:ascii="Arial" w:hAnsi="Arial" w:cs="Arial"/>
          <w:kern w:val="0"/>
          <w:sz w:val="24"/>
          <w:szCs w:val="24"/>
          <w:lang w:val="en-US"/>
        </w:rPr>
        <w:t xml:space="preserve"> [Accessed 1 Nov. 2025].</w:t>
      </w:r>
    </w:p>
    <w:p w14:paraId="5AC652A8" w14:textId="77777777" w:rsid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NHS England (2025). </w:t>
      </w:r>
      <w:r w:rsidRPr="00095432">
        <w:rPr>
          <w:rFonts w:ascii="Arial" w:hAnsi="Arial" w:cs="Arial"/>
          <w:i/>
          <w:iCs/>
          <w:kern w:val="0"/>
          <w:sz w:val="24"/>
          <w:szCs w:val="24"/>
          <w:lang w:val="en-US"/>
        </w:rPr>
        <w:t>NHS England» Improvement framework: community language translation and interpreting services</w:t>
      </w:r>
      <w:r w:rsidRPr="00095432">
        <w:rPr>
          <w:rFonts w:ascii="Arial" w:hAnsi="Arial" w:cs="Arial"/>
          <w:kern w:val="0"/>
          <w:sz w:val="24"/>
          <w:szCs w:val="24"/>
          <w:lang w:val="en-US"/>
        </w:rPr>
        <w:t xml:space="preserve">. [online] England.nhs.uk. Available at: </w:t>
      </w:r>
      <w:hyperlink r:id="rId12" w:history="1">
        <w:r w:rsidRPr="00095432">
          <w:rPr>
            <w:rStyle w:val="Hyperlink"/>
            <w:rFonts w:ascii="Arial" w:hAnsi="Arial" w:cs="Arial"/>
            <w:color w:val="auto"/>
            <w:kern w:val="0"/>
            <w:sz w:val="24"/>
            <w:szCs w:val="24"/>
            <w:lang w:val="en-US"/>
          </w:rPr>
          <w:t>https://www.england.nhs.uk/long-read/improvement-framework-community-language-translation-and-interpreting-services/</w:t>
        </w:r>
      </w:hyperlink>
      <w:r w:rsidRPr="00095432">
        <w:rPr>
          <w:rFonts w:ascii="Arial" w:hAnsi="Arial" w:cs="Arial"/>
          <w:kern w:val="0"/>
          <w:sz w:val="24"/>
          <w:szCs w:val="24"/>
          <w:lang w:val="en-US"/>
        </w:rPr>
        <w:t xml:space="preserve"> [Accessed 10 Dec. 2025].</w:t>
      </w:r>
    </w:p>
    <w:p w14:paraId="24BF4DAC" w14:textId="260A54A4" w:rsidR="00F364C8" w:rsidRDefault="00F364C8" w:rsidP="00F364C8">
      <w:pPr>
        <w:pStyle w:val="NormalWeb"/>
        <w:spacing w:before="0" w:beforeAutospacing="0" w:after="240" w:afterAutospacing="0" w:line="360" w:lineRule="atLeast"/>
        <w:rPr>
          <w:color w:val="000000"/>
        </w:rPr>
      </w:pPr>
      <w:r>
        <w:rPr>
          <w:color w:val="000000"/>
        </w:rPr>
        <w:t>NHS (2019). NHS England appoints RPS director for England to ‘NHS Long Term Plan’ advisory board.</w:t>
      </w:r>
      <w:r>
        <w:rPr>
          <w:rStyle w:val="apple-converted-space"/>
          <w:rFonts w:eastAsiaTheme="majorEastAsia"/>
          <w:color w:val="000000"/>
        </w:rPr>
        <w:t> </w:t>
      </w:r>
      <w:r>
        <w:rPr>
          <w:i/>
          <w:iCs/>
          <w:color w:val="000000"/>
        </w:rPr>
        <w:t>The Pharmaceutical Journal</w:t>
      </w:r>
      <w:r>
        <w:rPr>
          <w:color w:val="000000"/>
        </w:rPr>
        <w:t xml:space="preserve">, [online] 6(5). Available at: </w:t>
      </w:r>
      <w:hyperlink r:id="rId13" w:history="1">
        <w:r w:rsidRPr="00DE26BC">
          <w:rPr>
            <w:rStyle w:val="Hyperlink"/>
          </w:rPr>
          <w:t>https://www.magonlinelibrary.com/doi/abs/10.12968/bjnn.2019.15.4.184?journalCode=bjnn</w:t>
        </w:r>
      </w:hyperlink>
    </w:p>
    <w:p w14:paraId="10082D36" w14:textId="68AF3634" w:rsidR="00F364C8" w:rsidRDefault="00F364C8" w:rsidP="00F364C8">
      <w:pPr>
        <w:pStyle w:val="NormalWeb"/>
        <w:spacing w:before="0" w:beforeAutospacing="0" w:after="240" w:afterAutospacing="0" w:line="360" w:lineRule="atLeast"/>
        <w:rPr>
          <w:color w:val="000000"/>
        </w:rPr>
      </w:pPr>
      <w:r>
        <w:rPr>
          <w:color w:val="000000"/>
        </w:rPr>
        <w:t>[Accessed 20 Nov. 2025].</w:t>
      </w:r>
    </w:p>
    <w:p w14:paraId="6412D76B" w14:textId="77777777" w:rsidR="00D87AB2" w:rsidRPr="00095432" w:rsidRDefault="00D87AB2" w:rsidP="00095432">
      <w:pPr>
        <w:widowControl w:val="0"/>
        <w:autoSpaceDE w:val="0"/>
        <w:autoSpaceDN w:val="0"/>
        <w:adjustRightInd w:val="0"/>
        <w:spacing w:after="240" w:line="360" w:lineRule="auto"/>
        <w:jc w:val="both"/>
        <w:rPr>
          <w:rFonts w:ascii="Abadi" w:hAnsi="Abadi" w:cs="Arial"/>
          <w:kern w:val="0"/>
          <w:sz w:val="24"/>
          <w:szCs w:val="24"/>
          <w:lang w:val="en-US"/>
        </w:rPr>
      </w:pPr>
    </w:p>
    <w:p w14:paraId="055DDDB0" w14:textId="77777777" w:rsidR="00095432" w:rsidRP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NMC (2018). </w:t>
      </w:r>
      <w:r w:rsidRPr="00095432">
        <w:rPr>
          <w:rFonts w:ascii="Arial" w:hAnsi="Arial" w:cs="Arial"/>
          <w:i/>
          <w:iCs/>
          <w:kern w:val="0"/>
          <w:sz w:val="24"/>
          <w:szCs w:val="24"/>
          <w:lang w:val="en-US"/>
        </w:rPr>
        <w:t>The Code: Professional Standards of Practice and Behaviour for nurses, Midwives and Nursing Associates</w:t>
      </w:r>
      <w:r w:rsidRPr="00095432">
        <w:rPr>
          <w:rFonts w:ascii="Arial" w:hAnsi="Arial" w:cs="Arial"/>
          <w:kern w:val="0"/>
          <w:sz w:val="24"/>
          <w:szCs w:val="24"/>
          <w:lang w:val="en-US"/>
        </w:rPr>
        <w:t xml:space="preserve">. [online] Nursing and Midwifery council. Available at: </w:t>
      </w:r>
      <w:hyperlink r:id="rId14" w:history="1">
        <w:r w:rsidRPr="00095432">
          <w:rPr>
            <w:rStyle w:val="Hyperlink"/>
            <w:rFonts w:ascii="Arial" w:hAnsi="Arial" w:cs="Arial"/>
            <w:color w:val="auto"/>
            <w:kern w:val="0"/>
            <w:sz w:val="24"/>
            <w:szCs w:val="24"/>
            <w:lang w:val="en-US"/>
          </w:rPr>
          <w:t>https://www.nmc.org.uk/standards/code/</w:t>
        </w:r>
      </w:hyperlink>
      <w:r w:rsidRPr="00095432">
        <w:rPr>
          <w:rFonts w:ascii="Arial" w:hAnsi="Arial" w:cs="Arial"/>
          <w:kern w:val="0"/>
          <w:sz w:val="24"/>
          <w:szCs w:val="24"/>
          <w:lang w:val="en-US"/>
        </w:rPr>
        <w:t xml:space="preserve"> [Accessed 1 Nov. 2025].</w:t>
      </w:r>
    </w:p>
    <w:p w14:paraId="7D0E6D92" w14:textId="77777777" w:rsidR="00095432" w:rsidRP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proofErr w:type="spellStart"/>
      <w:r w:rsidRPr="00095432">
        <w:rPr>
          <w:rFonts w:ascii="Arial" w:hAnsi="Arial" w:cs="Arial"/>
          <w:kern w:val="0"/>
          <w:sz w:val="24"/>
          <w:szCs w:val="24"/>
          <w:lang w:val="en-US"/>
        </w:rPr>
        <w:t>Ocloo</w:t>
      </w:r>
      <w:proofErr w:type="spellEnd"/>
      <w:r w:rsidRPr="00095432">
        <w:rPr>
          <w:rFonts w:ascii="Arial" w:hAnsi="Arial" w:cs="Arial"/>
          <w:kern w:val="0"/>
          <w:sz w:val="24"/>
          <w:szCs w:val="24"/>
          <w:lang w:val="en-US"/>
        </w:rPr>
        <w:t xml:space="preserve">, J., Garfield, S., Franklin, B.D. and Dawson, S. (2021). Exploring the theory, Barriers and Enablers for Patient and Public Involvement across health, Social Care and Patient safety: a Systematic Review of Reviews. </w:t>
      </w:r>
      <w:r w:rsidRPr="00095432">
        <w:rPr>
          <w:rFonts w:ascii="Arial" w:hAnsi="Arial" w:cs="Arial"/>
          <w:i/>
          <w:iCs/>
          <w:kern w:val="0"/>
          <w:sz w:val="24"/>
          <w:szCs w:val="24"/>
          <w:lang w:val="en-US"/>
        </w:rPr>
        <w:t>Health Research Policy and Systems</w:t>
      </w:r>
      <w:r w:rsidRPr="00095432">
        <w:rPr>
          <w:rFonts w:ascii="Arial" w:hAnsi="Arial" w:cs="Arial"/>
          <w:kern w:val="0"/>
          <w:sz w:val="24"/>
          <w:szCs w:val="24"/>
          <w:lang w:val="en-US"/>
        </w:rPr>
        <w:t xml:space="preserve">, [online] 19(1), pp.1–21. Available at: </w:t>
      </w:r>
      <w:hyperlink r:id="rId15" w:history="1">
        <w:r w:rsidRPr="00095432">
          <w:rPr>
            <w:rStyle w:val="Hyperlink"/>
            <w:rFonts w:ascii="Arial" w:hAnsi="Arial" w:cs="Arial"/>
            <w:color w:val="auto"/>
            <w:kern w:val="0"/>
            <w:sz w:val="24"/>
            <w:szCs w:val="24"/>
            <w:lang w:val="en-US"/>
          </w:rPr>
          <w:t>https://link.springer.com/article/10.1186/s12961-020-00644-3</w:t>
        </w:r>
      </w:hyperlink>
      <w:r w:rsidRPr="00095432">
        <w:rPr>
          <w:rFonts w:ascii="Arial" w:hAnsi="Arial" w:cs="Arial"/>
          <w:kern w:val="0"/>
          <w:sz w:val="24"/>
          <w:szCs w:val="24"/>
          <w:lang w:val="en-US"/>
        </w:rPr>
        <w:t xml:space="preserve"> [Accessed 10 Dec. 2025].</w:t>
      </w:r>
    </w:p>
    <w:p w14:paraId="2D8E6291" w14:textId="77777777" w:rsidR="00095432" w:rsidRP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Reyes, J.R. and Álvarez, L.N.R. (2022). Concept Analysis of Interpersonal Skills in Nursing. </w:t>
      </w:r>
      <w:proofErr w:type="spellStart"/>
      <w:r w:rsidRPr="00095432">
        <w:rPr>
          <w:rFonts w:ascii="Arial" w:hAnsi="Arial" w:cs="Arial"/>
          <w:i/>
          <w:iCs/>
          <w:kern w:val="0"/>
          <w:sz w:val="24"/>
          <w:szCs w:val="24"/>
          <w:lang w:val="en-US"/>
        </w:rPr>
        <w:t>Aquichan</w:t>
      </w:r>
      <w:proofErr w:type="spellEnd"/>
      <w:r w:rsidRPr="00095432">
        <w:rPr>
          <w:rFonts w:ascii="Arial" w:hAnsi="Arial" w:cs="Arial"/>
          <w:kern w:val="0"/>
          <w:sz w:val="24"/>
          <w:szCs w:val="24"/>
          <w:lang w:val="en-US"/>
        </w:rPr>
        <w:t xml:space="preserve">, [online] 22(1), pp.2027–5374. Available at: </w:t>
      </w:r>
      <w:hyperlink r:id="rId16" w:history="1">
        <w:r w:rsidRPr="00095432">
          <w:rPr>
            <w:rStyle w:val="Hyperlink"/>
            <w:rFonts w:ascii="Arial" w:hAnsi="Arial" w:cs="Arial"/>
            <w:color w:val="auto"/>
            <w:kern w:val="0"/>
            <w:sz w:val="24"/>
            <w:szCs w:val="24"/>
            <w:lang w:val="en-US"/>
          </w:rPr>
          <w:t>http://www.scielo.org.co/scielo.php?pid=S1657-59972022000102213&amp;script=sci_arttext&amp;tlng=en</w:t>
        </w:r>
      </w:hyperlink>
      <w:r w:rsidRPr="00095432">
        <w:rPr>
          <w:rFonts w:ascii="Arial" w:hAnsi="Arial" w:cs="Arial"/>
          <w:kern w:val="0"/>
          <w:sz w:val="24"/>
          <w:szCs w:val="24"/>
          <w:lang w:val="en-US"/>
        </w:rPr>
        <w:t xml:space="preserve"> [Accessed 14 Dec. 2025].</w:t>
      </w:r>
    </w:p>
    <w:p w14:paraId="4A681723" w14:textId="77777777" w:rsidR="00095432" w:rsidRPr="00095432" w:rsidRDefault="00095432" w:rsidP="00095432">
      <w:pPr>
        <w:widowControl w:val="0"/>
        <w:autoSpaceDE w:val="0"/>
        <w:autoSpaceDN w:val="0"/>
        <w:adjustRightInd w:val="0"/>
        <w:spacing w:after="240" w:line="360" w:lineRule="auto"/>
        <w:jc w:val="both"/>
        <w:rPr>
          <w:rFonts w:ascii="Arial" w:hAnsi="Arial" w:cs="Arial"/>
          <w:kern w:val="0"/>
          <w:sz w:val="24"/>
          <w:szCs w:val="24"/>
          <w:lang w:val="en-US"/>
        </w:rPr>
      </w:pPr>
      <w:r w:rsidRPr="00095432">
        <w:rPr>
          <w:rFonts w:ascii="Arial" w:hAnsi="Arial" w:cs="Arial"/>
          <w:kern w:val="0"/>
          <w:sz w:val="24"/>
          <w:szCs w:val="24"/>
          <w:lang w:val="en-US"/>
        </w:rPr>
        <w:t xml:space="preserve">Ricci, L., </w:t>
      </w:r>
      <w:proofErr w:type="spellStart"/>
      <w:r w:rsidRPr="00095432">
        <w:rPr>
          <w:rFonts w:ascii="Arial" w:hAnsi="Arial" w:cs="Arial"/>
          <w:kern w:val="0"/>
          <w:sz w:val="24"/>
          <w:szCs w:val="24"/>
          <w:lang w:val="en-US"/>
        </w:rPr>
        <w:t>Villegente</w:t>
      </w:r>
      <w:proofErr w:type="spellEnd"/>
      <w:r w:rsidRPr="00095432">
        <w:rPr>
          <w:rFonts w:ascii="Arial" w:hAnsi="Arial" w:cs="Arial"/>
          <w:kern w:val="0"/>
          <w:sz w:val="24"/>
          <w:szCs w:val="24"/>
          <w:lang w:val="en-US"/>
        </w:rPr>
        <w:t xml:space="preserve">, J., </w:t>
      </w:r>
      <w:proofErr w:type="spellStart"/>
      <w:r w:rsidRPr="00095432">
        <w:rPr>
          <w:rFonts w:ascii="Arial" w:hAnsi="Arial" w:cs="Arial"/>
          <w:kern w:val="0"/>
          <w:sz w:val="24"/>
          <w:szCs w:val="24"/>
          <w:lang w:val="en-US"/>
        </w:rPr>
        <w:t>Ayav</w:t>
      </w:r>
      <w:proofErr w:type="spellEnd"/>
      <w:r w:rsidRPr="00095432">
        <w:rPr>
          <w:rFonts w:ascii="Arial" w:hAnsi="Arial" w:cs="Arial"/>
          <w:kern w:val="0"/>
          <w:sz w:val="24"/>
          <w:szCs w:val="24"/>
          <w:lang w:val="en-US"/>
        </w:rPr>
        <w:t>, C., Loyal, D., Kivits, J. and Rat, A.-C. (2021). Tailored patient therapeutic educational interventions: A patient</w:t>
      </w:r>
      <w:r w:rsidRPr="00095432">
        <w:rPr>
          <w:rFonts w:ascii="Cambria Math" w:hAnsi="Cambria Math" w:cs="Cambria Math"/>
          <w:kern w:val="0"/>
          <w:sz w:val="24"/>
          <w:szCs w:val="24"/>
          <w:lang w:val="en-US"/>
        </w:rPr>
        <w:t>‐</w:t>
      </w:r>
      <w:proofErr w:type="spellStart"/>
      <w:r w:rsidRPr="00095432">
        <w:rPr>
          <w:rFonts w:ascii="Arial" w:hAnsi="Arial" w:cs="Arial"/>
          <w:kern w:val="0"/>
          <w:sz w:val="24"/>
          <w:szCs w:val="24"/>
          <w:lang w:val="en-US"/>
        </w:rPr>
        <w:t>centred</w:t>
      </w:r>
      <w:proofErr w:type="spellEnd"/>
      <w:r w:rsidRPr="00095432">
        <w:rPr>
          <w:rFonts w:ascii="Arial" w:hAnsi="Arial" w:cs="Arial"/>
          <w:kern w:val="0"/>
          <w:sz w:val="24"/>
          <w:szCs w:val="24"/>
          <w:lang w:val="en-US"/>
        </w:rPr>
        <w:t xml:space="preserve"> communication model. </w:t>
      </w:r>
      <w:r w:rsidRPr="00095432">
        <w:rPr>
          <w:rFonts w:ascii="Arial" w:hAnsi="Arial" w:cs="Arial"/>
          <w:i/>
          <w:iCs/>
          <w:kern w:val="0"/>
          <w:sz w:val="24"/>
          <w:szCs w:val="24"/>
          <w:lang w:val="en-US"/>
        </w:rPr>
        <w:t>Health Expectations</w:t>
      </w:r>
      <w:r w:rsidRPr="00095432">
        <w:rPr>
          <w:rFonts w:ascii="Arial" w:hAnsi="Arial" w:cs="Arial"/>
          <w:kern w:val="0"/>
          <w:sz w:val="24"/>
          <w:szCs w:val="24"/>
          <w:lang w:val="en-US"/>
        </w:rPr>
        <w:t xml:space="preserve">, [online] 25(1). Available at: </w:t>
      </w:r>
      <w:hyperlink r:id="rId17" w:history="1">
        <w:r w:rsidRPr="00095432">
          <w:rPr>
            <w:rStyle w:val="Hyperlink"/>
            <w:rFonts w:ascii="Arial" w:hAnsi="Arial" w:cs="Arial"/>
            <w:color w:val="auto"/>
            <w:kern w:val="0"/>
            <w:sz w:val="24"/>
            <w:szCs w:val="24"/>
            <w:lang w:val="en-US"/>
          </w:rPr>
          <w:t>https://onlinelibrary.wiley.com/doi/full/10.1111/hex.13377</w:t>
        </w:r>
      </w:hyperlink>
      <w:r w:rsidRPr="00095432">
        <w:rPr>
          <w:rFonts w:ascii="Arial" w:hAnsi="Arial" w:cs="Arial"/>
          <w:kern w:val="0"/>
          <w:sz w:val="24"/>
          <w:szCs w:val="24"/>
          <w:lang w:val="en-US"/>
        </w:rPr>
        <w:t xml:space="preserve"> [Accessed 10 Dec. 2025].</w:t>
      </w:r>
    </w:p>
    <w:p w14:paraId="164C77FA" w14:textId="77777777" w:rsidR="00095432" w:rsidRPr="00095432" w:rsidRDefault="00095432" w:rsidP="00095432">
      <w:pPr>
        <w:widowControl w:val="0"/>
        <w:autoSpaceDE w:val="0"/>
        <w:autoSpaceDN w:val="0"/>
        <w:adjustRightInd w:val="0"/>
        <w:spacing w:after="240" w:line="360" w:lineRule="auto"/>
        <w:rPr>
          <w:rFonts w:ascii="Arial" w:hAnsi="Arial" w:cs="Arial"/>
          <w:kern w:val="0"/>
          <w:sz w:val="24"/>
          <w:szCs w:val="24"/>
          <w:lang w:val="en-US"/>
        </w:rPr>
      </w:pPr>
      <w:r w:rsidRPr="00095432">
        <w:rPr>
          <w:rFonts w:ascii="Arial" w:hAnsi="Arial" w:cs="Arial"/>
          <w:kern w:val="0"/>
          <w:sz w:val="24"/>
          <w:szCs w:val="24"/>
          <w:lang w:val="en-US"/>
        </w:rPr>
        <w:t xml:space="preserve">Royal College of Nursing (2023). </w:t>
      </w:r>
      <w:r w:rsidRPr="00095432">
        <w:rPr>
          <w:rFonts w:ascii="Arial" w:hAnsi="Arial" w:cs="Arial"/>
          <w:i/>
          <w:iCs/>
          <w:kern w:val="0"/>
          <w:sz w:val="24"/>
          <w:szCs w:val="24"/>
          <w:lang w:val="en-US"/>
        </w:rPr>
        <w:t>Record keeping: the Facts</w:t>
      </w:r>
      <w:r w:rsidRPr="00095432">
        <w:rPr>
          <w:rFonts w:ascii="Arial" w:hAnsi="Arial" w:cs="Arial"/>
          <w:kern w:val="0"/>
          <w:sz w:val="24"/>
          <w:szCs w:val="24"/>
          <w:lang w:val="en-US"/>
        </w:rPr>
        <w:t xml:space="preserve">. [online] Royal College </w:t>
      </w:r>
      <w:r w:rsidRPr="00095432">
        <w:rPr>
          <w:rFonts w:ascii="Arial" w:hAnsi="Arial" w:cs="Arial"/>
          <w:kern w:val="0"/>
          <w:sz w:val="24"/>
          <w:szCs w:val="24"/>
          <w:lang w:val="en-US"/>
        </w:rPr>
        <w:lastRenderedPageBreak/>
        <w:t xml:space="preserve">of Nursing. Available at: </w:t>
      </w:r>
      <w:hyperlink r:id="rId18" w:history="1">
        <w:r w:rsidRPr="00095432">
          <w:rPr>
            <w:rStyle w:val="Hyperlink"/>
            <w:rFonts w:ascii="Arial" w:hAnsi="Arial" w:cs="Arial"/>
            <w:color w:val="auto"/>
            <w:kern w:val="0"/>
            <w:sz w:val="24"/>
            <w:szCs w:val="24"/>
            <w:lang w:val="en-US"/>
          </w:rPr>
          <w:t>https://www.rcn.org.uk/Professional-Development/publications/rcn-record-keeping-uk-pub-011-016</w:t>
        </w:r>
      </w:hyperlink>
      <w:r w:rsidRPr="00095432">
        <w:rPr>
          <w:rFonts w:ascii="Arial" w:hAnsi="Arial" w:cs="Arial"/>
          <w:kern w:val="0"/>
          <w:sz w:val="24"/>
          <w:szCs w:val="24"/>
          <w:lang w:val="en-US"/>
        </w:rPr>
        <w:t xml:space="preserve"> [Accessed 1 Nov. 2025].</w:t>
      </w:r>
    </w:p>
    <w:p w14:paraId="0EA378A2" w14:textId="77777777" w:rsidR="00095432" w:rsidRPr="00095432" w:rsidRDefault="00095432" w:rsidP="00095432">
      <w:pPr>
        <w:widowControl w:val="0"/>
        <w:autoSpaceDE w:val="0"/>
        <w:autoSpaceDN w:val="0"/>
        <w:adjustRightInd w:val="0"/>
        <w:spacing w:after="240" w:line="360" w:lineRule="auto"/>
        <w:rPr>
          <w:rFonts w:ascii="Arial" w:hAnsi="Arial" w:cs="Arial"/>
          <w:kern w:val="0"/>
          <w:sz w:val="24"/>
          <w:szCs w:val="24"/>
          <w:lang w:val="en-US"/>
        </w:rPr>
      </w:pPr>
      <w:r w:rsidRPr="00095432">
        <w:rPr>
          <w:rFonts w:ascii="Arial" w:hAnsi="Arial" w:cs="Arial"/>
          <w:kern w:val="0"/>
          <w:sz w:val="24"/>
          <w:szCs w:val="24"/>
          <w:lang w:val="en-US"/>
        </w:rPr>
        <w:t xml:space="preserve">Steer, M., Sykes, K., Waring, J., Mason, C., Dawson, P., Newman, C., Young-Murphy, L., Spencer, M. and Scott, J. (2025). Review of residential and nursing care home policies on safety incident reporting in England. </w:t>
      </w:r>
      <w:r w:rsidRPr="00095432">
        <w:rPr>
          <w:rFonts w:ascii="Arial" w:hAnsi="Arial" w:cs="Arial"/>
          <w:i/>
          <w:iCs/>
          <w:kern w:val="0"/>
          <w:sz w:val="24"/>
          <w:szCs w:val="24"/>
          <w:lang w:val="en-US"/>
        </w:rPr>
        <w:t>Journal of Health Services Research &amp; Policy</w:t>
      </w:r>
      <w:r w:rsidRPr="00095432">
        <w:rPr>
          <w:rFonts w:ascii="Arial" w:hAnsi="Arial" w:cs="Arial"/>
          <w:kern w:val="0"/>
          <w:sz w:val="24"/>
          <w:szCs w:val="24"/>
          <w:lang w:val="en-US"/>
        </w:rPr>
        <w:t xml:space="preserve">, [online] p.13558196251392508-13558196251392508. Available at: </w:t>
      </w:r>
      <w:hyperlink r:id="rId19" w:history="1">
        <w:r w:rsidRPr="00095432">
          <w:rPr>
            <w:rStyle w:val="Hyperlink"/>
            <w:rFonts w:ascii="Arial" w:hAnsi="Arial" w:cs="Arial"/>
            <w:color w:val="auto"/>
            <w:kern w:val="0"/>
            <w:sz w:val="24"/>
            <w:szCs w:val="24"/>
            <w:lang w:val="en-US"/>
          </w:rPr>
          <w:t>https://journals.sagepub.com/doi/full/10.1177/13558196251392508</w:t>
        </w:r>
      </w:hyperlink>
      <w:r w:rsidRPr="00095432">
        <w:rPr>
          <w:rFonts w:ascii="Arial" w:hAnsi="Arial" w:cs="Arial"/>
          <w:kern w:val="0"/>
          <w:sz w:val="24"/>
          <w:szCs w:val="24"/>
          <w:lang w:val="en-US"/>
        </w:rPr>
        <w:t xml:space="preserve"> [Accessed 10 Dec. 2025].</w:t>
      </w:r>
    </w:p>
    <w:p w14:paraId="72D2B48C" w14:textId="620FAF07" w:rsidR="00303AAA" w:rsidRPr="00095432" w:rsidRDefault="00303AAA" w:rsidP="0008075F">
      <w:pPr>
        <w:spacing w:line="360" w:lineRule="auto"/>
        <w:jc w:val="both"/>
        <w:rPr>
          <w:rFonts w:ascii="Arial" w:hAnsi="Arial" w:cs="Arial"/>
          <w:sz w:val="24"/>
          <w:szCs w:val="24"/>
        </w:rPr>
      </w:pPr>
    </w:p>
    <w:sectPr w:rsidR="00303AAA" w:rsidRPr="00095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panose1 w:val="020B0604020104020204"/>
    <w:charset w:val="4D"/>
    <w:family w:val="swiss"/>
    <w:pitch w:val="variable"/>
    <w:sig w:usb0="80000003" w:usb1="00000000" w:usb2="00000000" w:usb3="00000000" w:csb0="00000093"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9F2"/>
    <w:rsid w:val="000159F1"/>
    <w:rsid w:val="00036018"/>
    <w:rsid w:val="000553E8"/>
    <w:rsid w:val="0008075F"/>
    <w:rsid w:val="000851CF"/>
    <w:rsid w:val="00095432"/>
    <w:rsid w:val="000B4801"/>
    <w:rsid w:val="000B4D08"/>
    <w:rsid w:val="000B64CB"/>
    <w:rsid w:val="001251EA"/>
    <w:rsid w:val="0015118D"/>
    <w:rsid w:val="0017199F"/>
    <w:rsid w:val="001A22CA"/>
    <w:rsid w:val="001A5540"/>
    <w:rsid w:val="001C2D2A"/>
    <w:rsid w:val="002041E3"/>
    <w:rsid w:val="00225275"/>
    <w:rsid w:val="00266744"/>
    <w:rsid w:val="002822BC"/>
    <w:rsid w:val="00296188"/>
    <w:rsid w:val="002A2A1E"/>
    <w:rsid w:val="002E12A3"/>
    <w:rsid w:val="00303AAA"/>
    <w:rsid w:val="0034492E"/>
    <w:rsid w:val="00370409"/>
    <w:rsid w:val="003767B9"/>
    <w:rsid w:val="003A40FF"/>
    <w:rsid w:val="003C4588"/>
    <w:rsid w:val="003E0B0B"/>
    <w:rsid w:val="003F1C70"/>
    <w:rsid w:val="00422663"/>
    <w:rsid w:val="004436DF"/>
    <w:rsid w:val="00475245"/>
    <w:rsid w:val="004953C0"/>
    <w:rsid w:val="00496A0F"/>
    <w:rsid w:val="004B2179"/>
    <w:rsid w:val="004B7642"/>
    <w:rsid w:val="004C041C"/>
    <w:rsid w:val="005106B4"/>
    <w:rsid w:val="005131B3"/>
    <w:rsid w:val="005369EA"/>
    <w:rsid w:val="005662D2"/>
    <w:rsid w:val="00580C51"/>
    <w:rsid w:val="005A7CD9"/>
    <w:rsid w:val="005D4563"/>
    <w:rsid w:val="005D54C0"/>
    <w:rsid w:val="00603F5C"/>
    <w:rsid w:val="0063538F"/>
    <w:rsid w:val="0065522D"/>
    <w:rsid w:val="00662EF8"/>
    <w:rsid w:val="00664B09"/>
    <w:rsid w:val="006823CB"/>
    <w:rsid w:val="00711043"/>
    <w:rsid w:val="00733690"/>
    <w:rsid w:val="00776615"/>
    <w:rsid w:val="007C0A8D"/>
    <w:rsid w:val="007C4E9C"/>
    <w:rsid w:val="007C7550"/>
    <w:rsid w:val="00811468"/>
    <w:rsid w:val="00822885"/>
    <w:rsid w:val="00830F72"/>
    <w:rsid w:val="0088372A"/>
    <w:rsid w:val="00883A84"/>
    <w:rsid w:val="00894A9E"/>
    <w:rsid w:val="008B4261"/>
    <w:rsid w:val="008C5560"/>
    <w:rsid w:val="008D08BD"/>
    <w:rsid w:val="008E55C6"/>
    <w:rsid w:val="008E76F6"/>
    <w:rsid w:val="008F789A"/>
    <w:rsid w:val="009219EA"/>
    <w:rsid w:val="00936AA5"/>
    <w:rsid w:val="00951C4D"/>
    <w:rsid w:val="00987E4A"/>
    <w:rsid w:val="009E07E6"/>
    <w:rsid w:val="009E1B2C"/>
    <w:rsid w:val="009E77DF"/>
    <w:rsid w:val="009F2911"/>
    <w:rsid w:val="00A067F2"/>
    <w:rsid w:val="00B2434B"/>
    <w:rsid w:val="00B7630B"/>
    <w:rsid w:val="00B865E8"/>
    <w:rsid w:val="00B877D3"/>
    <w:rsid w:val="00BB2049"/>
    <w:rsid w:val="00BC6128"/>
    <w:rsid w:val="00BD2A8D"/>
    <w:rsid w:val="00C01F01"/>
    <w:rsid w:val="00C13B5C"/>
    <w:rsid w:val="00C22DED"/>
    <w:rsid w:val="00C26DF4"/>
    <w:rsid w:val="00C60A8A"/>
    <w:rsid w:val="00CB79F1"/>
    <w:rsid w:val="00CF27C3"/>
    <w:rsid w:val="00CF5E0E"/>
    <w:rsid w:val="00D301F9"/>
    <w:rsid w:val="00D5144C"/>
    <w:rsid w:val="00D519AA"/>
    <w:rsid w:val="00D55863"/>
    <w:rsid w:val="00D87AB2"/>
    <w:rsid w:val="00DC72E1"/>
    <w:rsid w:val="00DE2913"/>
    <w:rsid w:val="00DF29D6"/>
    <w:rsid w:val="00E90090"/>
    <w:rsid w:val="00E91DCD"/>
    <w:rsid w:val="00E967B4"/>
    <w:rsid w:val="00F1537C"/>
    <w:rsid w:val="00F172EC"/>
    <w:rsid w:val="00F26DB9"/>
    <w:rsid w:val="00F3148F"/>
    <w:rsid w:val="00F364C8"/>
    <w:rsid w:val="00F40CB3"/>
    <w:rsid w:val="00F44E41"/>
    <w:rsid w:val="00F606B9"/>
    <w:rsid w:val="00F6152D"/>
    <w:rsid w:val="00F76C50"/>
    <w:rsid w:val="00F86683"/>
    <w:rsid w:val="00FA0944"/>
    <w:rsid w:val="00FA573C"/>
    <w:rsid w:val="00FE7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24DC7"/>
  <w15:chartTrackingRefBased/>
  <w15:docId w15:val="{D5D1D91D-8CC5-4DA9-9D69-33E08CEA0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9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E79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E79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79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79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79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79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79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79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9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E79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E79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79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79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7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7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7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79F2"/>
    <w:rPr>
      <w:rFonts w:eastAsiaTheme="majorEastAsia" w:cstheme="majorBidi"/>
      <w:color w:val="272727" w:themeColor="text1" w:themeTint="D8"/>
    </w:rPr>
  </w:style>
  <w:style w:type="paragraph" w:styleId="Title">
    <w:name w:val="Title"/>
    <w:basedOn w:val="Normal"/>
    <w:next w:val="Normal"/>
    <w:link w:val="TitleChar"/>
    <w:uiPriority w:val="10"/>
    <w:qFormat/>
    <w:rsid w:val="00FE7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7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7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7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79F2"/>
    <w:pPr>
      <w:spacing w:before="160"/>
      <w:jc w:val="center"/>
    </w:pPr>
    <w:rPr>
      <w:i/>
      <w:iCs/>
      <w:color w:val="404040" w:themeColor="text1" w:themeTint="BF"/>
    </w:rPr>
  </w:style>
  <w:style w:type="character" w:customStyle="1" w:styleId="QuoteChar">
    <w:name w:val="Quote Char"/>
    <w:basedOn w:val="DefaultParagraphFont"/>
    <w:link w:val="Quote"/>
    <w:uiPriority w:val="29"/>
    <w:rsid w:val="00FE79F2"/>
    <w:rPr>
      <w:i/>
      <w:iCs/>
      <w:color w:val="404040" w:themeColor="text1" w:themeTint="BF"/>
    </w:rPr>
  </w:style>
  <w:style w:type="paragraph" w:styleId="ListParagraph">
    <w:name w:val="List Paragraph"/>
    <w:basedOn w:val="Normal"/>
    <w:uiPriority w:val="34"/>
    <w:qFormat/>
    <w:rsid w:val="00FE79F2"/>
    <w:pPr>
      <w:ind w:left="720"/>
      <w:contextualSpacing/>
    </w:pPr>
  </w:style>
  <w:style w:type="character" w:styleId="IntenseEmphasis">
    <w:name w:val="Intense Emphasis"/>
    <w:basedOn w:val="DefaultParagraphFont"/>
    <w:uiPriority w:val="21"/>
    <w:qFormat/>
    <w:rsid w:val="00FE79F2"/>
    <w:rPr>
      <w:i/>
      <w:iCs/>
      <w:color w:val="2F5496" w:themeColor="accent1" w:themeShade="BF"/>
    </w:rPr>
  </w:style>
  <w:style w:type="paragraph" w:styleId="IntenseQuote">
    <w:name w:val="Intense Quote"/>
    <w:basedOn w:val="Normal"/>
    <w:next w:val="Normal"/>
    <w:link w:val="IntenseQuoteChar"/>
    <w:uiPriority w:val="30"/>
    <w:qFormat/>
    <w:rsid w:val="00FE79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79F2"/>
    <w:rPr>
      <w:i/>
      <w:iCs/>
      <w:color w:val="2F5496" w:themeColor="accent1" w:themeShade="BF"/>
    </w:rPr>
  </w:style>
  <w:style w:type="character" w:styleId="IntenseReference">
    <w:name w:val="Intense Reference"/>
    <w:basedOn w:val="DefaultParagraphFont"/>
    <w:uiPriority w:val="32"/>
    <w:qFormat/>
    <w:rsid w:val="00FE79F2"/>
    <w:rPr>
      <w:b/>
      <w:bCs/>
      <w:smallCaps/>
      <w:color w:val="2F5496" w:themeColor="accent1" w:themeShade="BF"/>
      <w:spacing w:val="5"/>
    </w:rPr>
  </w:style>
  <w:style w:type="character" w:styleId="Hyperlink">
    <w:name w:val="Hyperlink"/>
    <w:basedOn w:val="DefaultParagraphFont"/>
    <w:uiPriority w:val="99"/>
    <w:unhideWhenUsed/>
    <w:rsid w:val="00095432"/>
    <w:rPr>
      <w:color w:val="0563C1" w:themeColor="hyperlink"/>
      <w:u w:val="single"/>
    </w:rPr>
  </w:style>
  <w:style w:type="paragraph" w:styleId="TOCHeading">
    <w:name w:val="TOC Heading"/>
    <w:basedOn w:val="Heading1"/>
    <w:next w:val="Normal"/>
    <w:uiPriority w:val="39"/>
    <w:unhideWhenUsed/>
    <w:qFormat/>
    <w:rsid w:val="00DC72E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C72E1"/>
    <w:pPr>
      <w:spacing w:after="100"/>
    </w:pPr>
  </w:style>
  <w:style w:type="character" w:styleId="UnresolvedMention">
    <w:name w:val="Unresolved Mention"/>
    <w:basedOn w:val="DefaultParagraphFont"/>
    <w:uiPriority w:val="99"/>
    <w:semiHidden/>
    <w:unhideWhenUsed/>
    <w:rsid w:val="00D87AB2"/>
    <w:rPr>
      <w:color w:val="605E5C"/>
      <w:shd w:val="clear" w:color="auto" w:fill="E1DFDD"/>
    </w:rPr>
  </w:style>
  <w:style w:type="paragraph" w:styleId="NormalWeb">
    <w:name w:val="Normal (Web)"/>
    <w:basedOn w:val="Normal"/>
    <w:uiPriority w:val="99"/>
    <w:semiHidden/>
    <w:unhideWhenUsed/>
    <w:rsid w:val="00F364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F36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guide-to-data-protection/" TargetMode="External"/><Relationship Id="rId13" Type="http://schemas.openxmlformats.org/officeDocument/2006/relationships/hyperlink" Target="https://www.magonlinelibrary.com/doi/abs/10.12968/bjnn.2019.15.4.184?journalCode=bjnn" TargetMode="External"/><Relationship Id="rId18" Type="http://schemas.openxmlformats.org/officeDocument/2006/relationships/hyperlink" Target="https://www.rcn.org.uk/Professional-Development/publications/rcn-record-keeping-uk-pub-011-01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ov.uk/government/publications/the-caldicott-principles" TargetMode="External"/><Relationship Id="rId12" Type="http://schemas.openxmlformats.org/officeDocument/2006/relationships/hyperlink" Target="https://www.england.nhs.uk/long-read/improvement-framework-community-language-translation-and-interpreting-services/" TargetMode="External"/><Relationship Id="rId17" Type="http://schemas.openxmlformats.org/officeDocument/2006/relationships/hyperlink" Target="https://onlinelibrary.wiley.com/doi/full/10.1111/hex.13377" TargetMode="External"/><Relationship Id="rId2" Type="http://schemas.openxmlformats.org/officeDocument/2006/relationships/styles" Target="styles.xml"/><Relationship Id="rId16" Type="http://schemas.openxmlformats.org/officeDocument/2006/relationships/hyperlink" Target="http://www.scielo.org.co/scielo.php?pid=S1657-59972022000102213&amp;script=sci_arttext&amp;tlng=e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pubmed.ncbi.nlm.nih.gov/31468814/" TargetMode="External"/><Relationship Id="rId11" Type="http://schemas.openxmlformats.org/officeDocument/2006/relationships/hyperlink" Target="https://www.england.nhs.uk/wp-content/uploads/2022/03/spoken-communication-and-patient-safety-in-the-nhs-summary-v2.pdf" TargetMode="External"/><Relationship Id="rId5" Type="http://schemas.openxmlformats.org/officeDocument/2006/relationships/image" Target="media/image1.jpg"/><Relationship Id="rId15" Type="http://schemas.openxmlformats.org/officeDocument/2006/relationships/hyperlink" Target="https://link.springer.com/article/10.1186/s12961-020-00644-3" TargetMode="External"/><Relationship Id="rId10" Type="http://schemas.openxmlformats.org/officeDocument/2006/relationships/hyperlink" Target="https://www.sciencedirect.com/science/article/pii/S2666142X23000462" TargetMode="External"/><Relationship Id="rId19" Type="http://schemas.openxmlformats.org/officeDocument/2006/relationships/hyperlink" Target="https://journals.sagepub.com/doi/full/10.1177/13558196251392508" TargetMode="External"/><Relationship Id="rId4" Type="http://schemas.openxmlformats.org/officeDocument/2006/relationships/webSettings" Target="webSettings.xml"/><Relationship Id="rId9" Type="http://schemas.openxmlformats.org/officeDocument/2006/relationships/hyperlink" Target="https://www.jmir.org/2023/1/e46345/"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32BD9-6713-45FF-A604-A24EC1713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2963</Words>
  <Characters>16893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Sabanna Carley-Read</dc:creator>
  <cp:keywords/>
  <dc:description/>
  <cp:lastModifiedBy>jordan okeke</cp:lastModifiedBy>
  <cp:revision>2</cp:revision>
  <dcterms:created xsi:type="dcterms:W3CDTF">2025-12-17T16:44:00Z</dcterms:created>
  <dcterms:modified xsi:type="dcterms:W3CDTF">2025-12-17T16:44:00Z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249ce5e2-c940-4c10-8f38-b93bea14f921</vt:lpwstr>
  </property>
</Properties>
</file>