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diagrams/drawing1.xml" ContentType="application/vnd.ms-office.drawingml.diagramDrawing+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numbering.xml" ContentType="application/vnd.openxmlformats-officedocument.wordprocessingml.numbering+xml"/>
  <Override PartName="/word/diagrams/data1.xml" ContentType="application/vnd.openxmlformats-officedocument.drawingml.diagramData+xml"/>
  <Override PartName="/word/diagrams/colors1.xml" ContentType="application/vnd.openxmlformats-officedocument.drawingml.diagramColors+xml"/>
  <Override PartName="/word/settings.xml" ContentType="application/vnd.openxmlformats-officedocument.wordprocessingml.settings+xml"/>
  <Override PartName="/docProps/custom.xml" ContentType="application/vnd.openxmlformats-officedocument.custom-properties+xml"/>
  <Override PartName="/word/diagrams/layout1.xml" ContentType="application/vnd.openxmlformats-officedocument.drawingml.diagramLayout+xml"/>
  <Override PartName="/word/document.xml" ContentType="application/vnd.openxmlformats-officedocument.wordprocessingml.document.main+xml"/>
  <Override PartName="/customXml/itemProps1.xml" ContentType="application/vnd.openxmlformats-officedocument.customXmlProperties+xml"/>
  <Override PartName="/word/diagrams/quickStyle1.xml" ContentType="application/vnd.openxmlformats-officedocument.drawingml.diagramStyle+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b/>
          <w:bCs/>
          <w:color w:val="000000"/>
          <w:sz w:val="32"/>
          <w:szCs w:val="28"/>
        </w:rPr>
      </w:pPr>
      <w:r>
        <w:rPr>
          <w:noProof/>
        </w:rPr>
        <w:drawing>
          <wp:inline distL="0" distT="0" distB="0" distR="0">
            <wp:extent cx="3345180" cy="2056427"/>
            <wp:effectExtent l="0" t="0" r="7620" b="1270"/>
            <wp:docPr id="1026" name="Picture 1" descr="Sainsbury's removes around 500 office roles, creating savings to invest in  food – Sainsbury's"/>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3345180" cy="2056427"/>
                    </a:xfrm>
                    <a:prstGeom prst="rect"/>
                    <a:ln>
                      <a:noFill/>
                    </a:ln>
                  </pic:spPr>
                </pic:pic>
              </a:graphicData>
            </a:graphic>
          </wp:inline>
        </w:drawing>
      </w:r>
    </w:p>
    <w:p>
      <w:pPr>
        <w:pStyle w:val="style0"/>
        <w:jc w:val="center"/>
        <w:rPr>
          <w:b/>
          <w:bCs/>
          <w:color w:val="000000"/>
          <w:sz w:val="32"/>
          <w:szCs w:val="28"/>
        </w:rPr>
      </w:pPr>
      <w:r>
        <w:rPr>
          <w:b/>
          <w:bCs/>
          <w:color w:val="000000"/>
          <w:sz w:val="32"/>
          <w:szCs w:val="28"/>
        </w:rPr>
        <w:t>Student name:</w:t>
      </w:r>
      <w:r>
        <w:rPr>
          <w:b/>
          <w:bCs/>
          <w:color w:val="000000"/>
          <w:sz w:val="32"/>
          <w:szCs w:val="28"/>
          <w:lang w:val="en-US"/>
        </w:rPr>
        <w:t xml:space="preserve">Rami Shrusti Jenish </w:t>
      </w:r>
    </w:p>
    <w:p>
      <w:pPr>
        <w:pStyle w:val="style0"/>
        <w:jc w:val="center"/>
        <w:rPr>
          <w:b/>
          <w:bCs/>
          <w:color w:val="000000"/>
          <w:sz w:val="32"/>
          <w:szCs w:val="28"/>
        </w:rPr>
      </w:pPr>
      <w:r>
        <w:rPr>
          <w:b/>
          <w:bCs/>
          <w:color w:val="000000"/>
          <w:sz w:val="32"/>
          <w:szCs w:val="28"/>
        </w:rPr>
        <w:t>Student ID:</w:t>
      </w:r>
      <w:r>
        <w:rPr>
          <w:b/>
          <w:bCs/>
          <w:color w:val="000000"/>
          <w:sz w:val="32"/>
          <w:szCs w:val="28"/>
          <w:lang w:val="en-US"/>
        </w:rPr>
        <w:t xml:space="preserve"> 2246676</w:t>
      </w:r>
    </w:p>
    <w:p>
      <w:pPr>
        <w:pStyle w:val="style0"/>
        <w:jc w:val="center"/>
        <w:rPr>
          <w:b/>
          <w:bCs/>
          <w:color w:val="000000"/>
          <w:sz w:val="32"/>
          <w:szCs w:val="28"/>
        </w:rPr>
      </w:pPr>
      <w:r>
        <w:rPr>
          <w:b/>
          <w:bCs/>
          <w:color w:val="000000"/>
          <w:sz w:val="32"/>
          <w:szCs w:val="28"/>
        </w:rPr>
        <w:t>Program: MBA- Masters of Business Administration</w:t>
      </w:r>
    </w:p>
    <w:p>
      <w:pPr>
        <w:pStyle w:val="style0"/>
        <w:jc w:val="center"/>
        <w:rPr>
          <w:b/>
          <w:bCs/>
          <w:color w:val="000000"/>
          <w:sz w:val="32"/>
          <w:szCs w:val="28"/>
        </w:rPr>
      </w:pPr>
      <w:r>
        <w:rPr>
          <w:b/>
          <w:bCs/>
          <w:color w:val="000000"/>
          <w:sz w:val="32"/>
          <w:szCs w:val="28"/>
        </w:rPr>
        <w:t>Module: Marketing Management</w:t>
      </w:r>
    </w:p>
    <w:p>
      <w:pPr>
        <w:pStyle w:val="style0"/>
        <w:jc w:val="center"/>
        <w:rPr>
          <w:b/>
          <w:bCs/>
          <w:color w:val="000000"/>
          <w:sz w:val="32"/>
          <w:szCs w:val="28"/>
        </w:rPr>
      </w:pPr>
      <w:r>
        <w:rPr>
          <w:b/>
          <w:bCs/>
          <w:color w:val="000000"/>
          <w:sz w:val="32"/>
          <w:szCs w:val="28"/>
        </w:rPr>
        <w:t>Module code: LCMB7001</w:t>
      </w:r>
    </w:p>
    <w:p>
      <w:pPr>
        <w:pStyle w:val="style0"/>
        <w:jc w:val="center"/>
        <w:rPr>
          <w:b/>
          <w:bCs/>
          <w:color w:val="000000"/>
          <w:sz w:val="32"/>
          <w:szCs w:val="28"/>
        </w:rPr>
      </w:pPr>
      <w:r>
        <w:rPr>
          <w:b/>
          <w:bCs/>
          <w:color w:val="000000"/>
          <w:sz w:val="32"/>
          <w:szCs w:val="28"/>
        </w:rPr>
        <w:t>Lecturer name:</w:t>
      </w:r>
      <w:r>
        <w:rPr>
          <w:b/>
          <w:bCs/>
          <w:color w:val="000000"/>
          <w:sz w:val="32"/>
          <w:szCs w:val="28"/>
          <w:lang w:val="en-US"/>
        </w:rPr>
        <w:t xml:space="preserve"> Tushara Balendran </w:t>
      </w:r>
    </w:p>
    <w:p>
      <w:pPr>
        <w:pStyle w:val="style0"/>
        <w:jc w:val="center"/>
        <w:rPr>
          <w:b/>
          <w:bCs/>
          <w:color w:val="000000"/>
          <w:sz w:val="32"/>
          <w:szCs w:val="28"/>
        </w:rPr>
      </w:pPr>
      <w:r>
        <w:rPr>
          <w:b/>
          <w:bCs/>
          <w:color w:val="000000"/>
          <w:sz w:val="32"/>
          <w:szCs w:val="28"/>
        </w:rPr>
        <w:t>Assignment: 2</w:t>
      </w:r>
    </w:p>
    <w:p>
      <w:pPr>
        <w:pStyle w:val="style0"/>
        <w:jc w:val="center"/>
        <w:rPr>
          <w:rFonts w:cs="Times New Roman" w:eastAsia="Times New Roman"/>
          <w:b/>
          <w:bCs/>
          <w:color w:val="000000"/>
          <w:szCs w:val="24"/>
        </w:rPr>
      </w:pPr>
      <w:r>
        <w:rPr>
          <w:b/>
          <w:bCs/>
          <w:color w:val="000000"/>
          <w:sz w:val="32"/>
          <w:szCs w:val="28"/>
        </w:rPr>
        <w:t xml:space="preserve">Date: </w:t>
      </w:r>
      <w:r>
        <w:rPr>
          <w:b/>
          <w:bCs/>
          <w:color w:val="000000"/>
          <w:sz w:val="32"/>
          <w:szCs w:val="28"/>
          <w:lang w:val="en-US"/>
        </w:rPr>
        <w:t>1st sep 2023</w:t>
      </w:r>
    </w:p>
    <w:p>
      <w:pPr>
        <w:pStyle w:val="style266"/>
        <w:spacing w:lineRule="auto" w:line="360"/>
        <w:rPr>
          <w:noProof/>
        </w:rPr>
      </w:pPr>
      <w:r>
        <w:t>Table of Contents</w:t>
      </w:r>
      <w:r>
        <w:rPr/>
        <w:fldChar w:fldCharType="begin"/>
      </w:r>
      <w:r>
        <w:instrText xml:space="preserve"> TOC \o "1-3" \h \z \u </w:instrText>
      </w:r>
      <w:r>
        <w:rPr/>
        <w:fldChar w:fldCharType="separate"/>
      </w:r>
    </w:p>
    <w:p>
      <w:pPr>
        <w:pStyle w:val="style19"/>
        <w:tabs>
          <w:tab w:val="right" w:leader="dot" w:pos="9350"/>
        </w:tabs>
        <w:rPr>
          <w:rFonts w:ascii="Calibri" w:eastAsia="宋体" w:hAnsi="Calibri"/>
          <w:noProof/>
          <w:kern w:val="2"/>
          <w:sz w:val="22"/>
          <w:lang w:val="en-GB" w:eastAsia="en-GB"/>
          <w14:ligatures xmlns:w14="http://schemas.microsoft.com/office/word/2010/wordml" w14:val="standardContextual"/>
        </w:rPr>
      </w:pPr>
      <w:r>
        <w:rPr/>
        <w:fldChar w:fldCharType="begin"/>
      </w:r>
      <w:r>
        <w:instrText xml:space="preserve"> HYPERLINK \l "_Toc144146165" </w:instrText>
      </w:r>
      <w:r>
        <w:rPr/>
        <w:fldChar w:fldCharType="separate"/>
      </w:r>
      <w:r>
        <w:rPr>
          <w:rStyle w:val="style85"/>
          <w:noProof/>
        </w:rPr>
        <w:t>1. Introduction</w:t>
      </w:r>
      <w:r>
        <w:rPr>
          <w:noProof/>
          <w:webHidden/>
        </w:rPr>
        <w:tab/>
      </w:r>
      <w:r>
        <w:rPr>
          <w:noProof/>
          <w:webHidden/>
        </w:rPr>
        <w:fldChar w:fldCharType="begin"/>
      </w:r>
      <w:r>
        <w:rPr>
          <w:noProof/>
          <w:webHidden/>
        </w:rPr>
        <w:instrText xml:space="preserve"> PAGEREF _Toc144146165 \h </w:instrText>
      </w:r>
      <w:r>
        <w:rPr>
          <w:noProof/>
          <w:webHidden/>
        </w:rPr>
        <w:fldChar w:fldCharType="separate"/>
      </w:r>
      <w:r>
        <w:rPr>
          <w:noProof/>
          <w:webHidden/>
        </w:rPr>
        <w:t>3</w:t>
      </w:r>
      <w:r>
        <w:rPr>
          <w:noProof/>
          <w:webHidden/>
        </w:rPr>
        <w:fldChar w:fldCharType="end"/>
      </w:r>
      <w:r>
        <w:rPr/>
        <w:fldChar w:fldCharType="end"/>
      </w:r>
    </w:p>
    <w:p>
      <w:pPr>
        <w:pStyle w:val="style19"/>
        <w:tabs>
          <w:tab w:val="right" w:leader="dot" w:pos="9350"/>
        </w:tabs>
        <w:rPr>
          <w:rFonts w:ascii="Calibri" w:eastAsia="宋体" w:hAnsi="Calibri"/>
          <w:noProof/>
          <w:kern w:val="2"/>
          <w:sz w:val="22"/>
          <w:lang w:val="en-GB" w:eastAsia="en-GB"/>
          <w14:ligatures xmlns:w14="http://schemas.microsoft.com/office/word/2010/wordml" w14:val="standardContextual"/>
        </w:rPr>
      </w:pPr>
      <w:r>
        <w:rPr/>
        <w:fldChar w:fldCharType="begin"/>
      </w:r>
      <w:r>
        <w:instrText xml:space="preserve"> HYPERLINK \l "_Toc144146166" </w:instrText>
      </w:r>
      <w:r>
        <w:rPr/>
        <w:fldChar w:fldCharType="separate"/>
      </w:r>
      <w:r>
        <w:rPr>
          <w:rStyle w:val="style85"/>
          <w:noProof/>
        </w:rPr>
        <w:t>2. PESTLE Analysis of Sainsbury's</w:t>
      </w:r>
      <w:r>
        <w:rPr>
          <w:noProof/>
          <w:webHidden/>
        </w:rPr>
        <w:tab/>
      </w:r>
      <w:r>
        <w:rPr>
          <w:noProof/>
          <w:webHidden/>
        </w:rPr>
        <w:fldChar w:fldCharType="begin"/>
      </w:r>
      <w:r>
        <w:rPr>
          <w:noProof/>
          <w:webHidden/>
        </w:rPr>
        <w:instrText xml:space="preserve"> PAGEREF _Toc144146166 \h </w:instrText>
      </w:r>
      <w:r>
        <w:rPr>
          <w:noProof/>
          <w:webHidden/>
        </w:rPr>
        <w:fldChar w:fldCharType="separate"/>
      </w:r>
      <w:r>
        <w:rPr>
          <w:noProof/>
          <w:webHidden/>
        </w:rPr>
        <w:t>3</w:t>
      </w:r>
      <w:r>
        <w:rPr>
          <w:noProof/>
          <w:webHidden/>
        </w:rPr>
        <w:fldChar w:fldCharType="end"/>
      </w:r>
      <w:r>
        <w:rPr/>
        <w:fldChar w:fldCharType="end"/>
      </w:r>
    </w:p>
    <w:p>
      <w:pPr>
        <w:pStyle w:val="style19"/>
        <w:tabs>
          <w:tab w:val="right" w:leader="dot" w:pos="9350"/>
        </w:tabs>
        <w:rPr>
          <w:rFonts w:ascii="Calibri" w:eastAsia="宋体" w:hAnsi="Calibri"/>
          <w:noProof/>
          <w:kern w:val="2"/>
          <w:sz w:val="22"/>
          <w:lang w:val="en-GB" w:eastAsia="en-GB"/>
          <w14:ligatures xmlns:w14="http://schemas.microsoft.com/office/word/2010/wordml" w14:val="standardContextual"/>
        </w:rPr>
      </w:pPr>
      <w:r>
        <w:rPr/>
        <w:fldChar w:fldCharType="begin"/>
      </w:r>
      <w:r>
        <w:instrText xml:space="preserve"> HYPERLINK \l "_Toc144146167" </w:instrText>
      </w:r>
      <w:r>
        <w:rPr/>
        <w:fldChar w:fldCharType="separate"/>
      </w:r>
      <w:r>
        <w:rPr>
          <w:rStyle w:val="style85"/>
          <w:noProof/>
        </w:rPr>
        <w:t>3. Porter 5 Forces Analysis</w:t>
      </w:r>
      <w:r>
        <w:rPr>
          <w:noProof/>
          <w:webHidden/>
        </w:rPr>
        <w:tab/>
      </w:r>
      <w:r>
        <w:rPr>
          <w:noProof/>
          <w:webHidden/>
        </w:rPr>
        <w:fldChar w:fldCharType="begin"/>
      </w:r>
      <w:r>
        <w:rPr>
          <w:noProof/>
          <w:webHidden/>
        </w:rPr>
        <w:instrText xml:space="preserve"> PAGEREF _Toc144146167 \h </w:instrText>
      </w:r>
      <w:r>
        <w:rPr>
          <w:noProof/>
          <w:webHidden/>
        </w:rPr>
        <w:fldChar w:fldCharType="separate"/>
      </w:r>
      <w:r>
        <w:rPr>
          <w:noProof/>
          <w:webHidden/>
        </w:rPr>
        <w:t>5</w:t>
      </w:r>
      <w:r>
        <w:rPr>
          <w:noProof/>
          <w:webHidden/>
        </w:rPr>
        <w:fldChar w:fldCharType="end"/>
      </w:r>
      <w:r>
        <w:rPr/>
        <w:fldChar w:fldCharType="end"/>
      </w:r>
    </w:p>
    <w:p>
      <w:pPr>
        <w:pStyle w:val="style19"/>
        <w:tabs>
          <w:tab w:val="right" w:leader="dot" w:pos="9350"/>
        </w:tabs>
        <w:rPr>
          <w:rFonts w:ascii="Calibri" w:eastAsia="宋体" w:hAnsi="Calibri"/>
          <w:noProof/>
          <w:kern w:val="2"/>
          <w:sz w:val="22"/>
          <w:lang w:val="en-GB" w:eastAsia="en-GB"/>
          <w14:ligatures xmlns:w14="http://schemas.microsoft.com/office/word/2010/wordml" w14:val="standardContextual"/>
        </w:rPr>
      </w:pPr>
      <w:r>
        <w:rPr/>
        <w:fldChar w:fldCharType="begin"/>
      </w:r>
      <w:r>
        <w:instrText xml:space="preserve"> HYPERLINK \l "_Toc144146168" </w:instrText>
      </w:r>
      <w:r>
        <w:rPr/>
        <w:fldChar w:fldCharType="separate"/>
      </w:r>
      <w:r>
        <w:rPr>
          <w:rStyle w:val="style85"/>
          <w:noProof/>
        </w:rPr>
        <w:t>4. SWOT Analysis of Sainsbury's</w:t>
      </w:r>
      <w:r>
        <w:rPr>
          <w:noProof/>
          <w:webHidden/>
        </w:rPr>
        <w:tab/>
      </w:r>
      <w:r>
        <w:rPr>
          <w:noProof/>
          <w:webHidden/>
        </w:rPr>
        <w:fldChar w:fldCharType="begin"/>
      </w:r>
      <w:r>
        <w:rPr>
          <w:noProof/>
          <w:webHidden/>
        </w:rPr>
        <w:instrText xml:space="preserve"> PAGEREF _Toc144146168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350"/>
        </w:tabs>
        <w:rPr>
          <w:rFonts w:ascii="Calibri" w:eastAsia="宋体" w:hAnsi="Calibri"/>
          <w:noProof/>
          <w:kern w:val="2"/>
          <w:sz w:val="22"/>
          <w:lang w:val="en-GB" w:eastAsia="en-GB"/>
          <w14:ligatures xmlns:w14="http://schemas.microsoft.com/office/word/2010/wordml" w14:val="standardContextual"/>
        </w:rPr>
      </w:pPr>
      <w:r>
        <w:rPr/>
        <w:fldChar w:fldCharType="begin"/>
      </w:r>
      <w:r>
        <w:instrText xml:space="preserve"> HYPERLINK \l "_Toc144146169" </w:instrText>
      </w:r>
      <w:r>
        <w:rPr/>
        <w:fldChar w:fldCharType="separate"/>
      </w:r>
      <w:r>
        <w:rPr>
          <w:rStyle w:val="style85"/>
          <w:noProof/>
        </w:rPr>
        <w:t>4.1 SWOT Analysis</w:t>
      </w:r>
      <w:r>
        <w:rPr>
          <w:noProof/>
          <w:webHidden/>
        </w:rPr>
        <w:tab/>
      </w:r>
      <w:r>
        <w:rPr>
          <w:noProof/>
          <w:webHidden/>
        </w:rPr>
        <w:fldChar w:fldCharType="begin"/>
      </w:r>
      <w:r>
        <w:rPr>
          <w:noProof/>
          <w:webHidden/>
        </w:rPr>
        <w:instrText xml:space="preserve"> PAGEREF _Toc144146169 \h </w:instrText>
      </w:r>
      <w:r>
        <w:rPr>
          <w:noProof/>
          <w:webHidden/>
        </w:rPr>
        <w:fldChar w:fldCharType="separate"/>
      </w:r>
      <w:r>
        <w:rPr>
          <w:noProof/>
          <w:webHidden/>
        </w:rPr>
        <w:t>7</w:t>
      </w:r>
      <w:r>
        <w:rPr>
          <w:noProof/>
          <w:webHidden/>
        </w:rPr>
        <w:fldChar w:fldCharType="end"/>
      </w:r>
      <w:r>
        <w:rPr/>
        <w:fldChar w:fldCharType="end"/>
      </w:r>
    </w:p>
    <w:p>
      <w:pPr>
        <w:pStyle w:val="style20"/>
        <w:tabs>
          <w:tab w:val="right" w:leader="dot" w:pos="9350"/>
        </w:tabs>
        <w:rPr>
          <w:rFonts w:ascii="Calibri" w:eastAsia="宋体" w:hAnsi="Calibri"/>
          <w:noProof/>
          <w:kern w:val="2"/>
          <w:sz w:val="22"/>
          <w:lang w:val="en-GB" w:eastAsia="en-GB"/>
          <w14:ligatures xmlns:w14="http://schemas.microsoft.com/office/word/2010/wordml" w14:val="standardContextual"/>
        </w:rPr>
      </w:pPr>
      <w:r>
        <w:rPr/>
        <w:fldChar w:fldCharType="begin"/>
      </w:r>
      <w:r>
        <w:instrText xml:space="preserve"> HYPERLINK \l "_Toc144146170" </w:instrText>
      </w:r>
      <w:r>
        <w:rPr/>
        <w:fldChar w:fldCharType="separate"/>
      </w:r>
      <w:r>
        <w:rPr>
          <w:rStyle w:val="style85"/>
          <w:noProof/>
        </w:rPr>
        <w:t>4.2 Advantages and Disadvantages of SWOT Analysis</w:t>
      </w:r>
      <w:r>
        <w:rPr>
          <w:noProof/>
          <w:webHidden/>
        </w:rPr>
        <w:tab/>
      </w:r>
      <w:r>
        <w:rPr>
          <w:noProof/>
          <w:webHidden/>
        </w:rPr>
        <w:fldChar w:fldCharType="begin"/>
      </w:r>
      <w:r>
        <w:rPr>
          <w:noProof/>
          <w:webHidden/>
        </w:rPr>
        <w:instrText xml:space="preserve"> PAGEREF _Toc144146170 \h </w:instrText>
      </w:r>
      <w:r>
        <w:rPr>
          <w:noProof/>
          <w:webHidden/>
        </w:rPr>
        <w:fldChar w:fldCharType="separate"/>
      </w:r>
      <w:r>
        <w:rPr>
          <w:noProof/>
          <w:webHidden/>
        </w:rPr>
        <w:t>8</w:t>
      </w:r>
      <w:r>
        <w:rPr>
          <w:noProof/>
          <w:webHidden/>
        </w:rPr>
        <w:fldChar w:fldCharType="end"/>
      </w:r>
      <w:r>
        <w:rPr/>
        <w:fldChar w:fldCharType="end"/>
      </w:r>
    </w:p>
    <w:p>
      <w:pPr>
        <w:pStyle w:val="style19"/>
        <w:tabs>
          <w:tab w:val="right" w:leader="dot" w:pos="9350"/>
        </w:tabs>
        <w:rPr>
          <w:rFonts w:ascii="Calibri" w:eastAsia="宋体" w:hAnsi="Calibri"/>
          <w:noProof/>
          <w:kern w:val="2"/>
          <w:sz w:val="22"/>
          <w:lang w:val="en-GB" w:eastAsia="en-GB"/>
          <w14:ligatures xmlns:w14="http://schemas.microsoft.com/office/word/2010/wordml" w14:val="standardContextual"/>
        </w:rPr>
      </w:pPr>
      <w:r>
        <w:rPr/>
        <w:fldChar w:fldCharType="begin"/>
      </w:r>
      <w:r>
        <w:instrText xml:space="preserve"> HYPERLINK \l "_Toc144146171" </w:instrText>
      </w:r>
      <w:r>
        <w:rPr/>
        <w:fldChar w:fldCharType="separate"/>
      </w:r>
      <w:r>
        <w:rPr>
          <w:rStyle w:val="style85"/>
          <w:noProof/>
        </w:rPr>
        <w:t>5. Segmentation, targeting, and positioning</w:t>
      </w:r>
      <w:r>
        <w:rPr>
          <w:noProof/>
          <w:webHidden/>
        </w:rPr>
        <w:tab/>
      </w:r>
      <w:r>
        <w:rPr>
          <w:noProof/>
          <w:webHidden/>
        </w:rPr>
        <w:fldChar w:fldCharType="begin"/>
      </w:r>
      <w:r>
        <w:rPr>
          <w:noProof/>
          <w:webHidden/>
        </w:rPr>
        <w:instrText xml:space="preserve"> PAGEREF _Toc144146171 \h </w:instrText>
      </w:r>
      <w:r>
        <w:rPr>
          <w:noProof/>
          <w:webHidden/>
        </w:rPr>
        <w:fldChar w:fldCharType="separate"/>
      </w:r>
      <w:r>
        <w:rPr>
          <w:noProof/>
          <w:webHidden/>
        </w:rPr>
        <w:t>9</w:t>
      </w:r>
      <w:r>
        <w:rPr>
          <w:noProof/>
          <w:webHidden/>
        </w:rPr>
        <w:fldChar w:fldCharType="end"/>
      </w:r>
      <w:r>
        <w:rPr/>
        <w:fldChar w:fldCharType="end"/>
      </w:r>
    </w:p>
    <w:p>
      <w:pPr>
        <w:pStyle w:val="style20"/>
        <w:tabs>
          <w:tab w:val="right" w:leader="dot" w:pos="9350"/>
        </w:tabs>
        <w:rPr>
          <w:rFonts w:ascii="Calibri" w:eastAsia="宋体" w:hAnsi="Calibri"/>
          <w:noProof/>
          <w:kern w:val="2"/>
          <w:sz w:val="22"/>
          <w:lang w:val="en-GB" w:eastAsia="en-GB"/>
          <w14:ligatures xmlns:w14="http://schemas.microsoft.com/office/word/2010/wordml" w14:val="standardContextual"/>
        </w:rPr>
      </w:pPr>
      <w:r>
        <w:rPr/>
        <w:fldChar w:fldCharType="begin"/>
      </w:r>
      <w:r>
        <w:instrText xml:space="preserve"> HYPERLINK \l "_Toc144146172" </w:instrText>
      </w:r>
      <w:r>
        <w:rPr/>
        <w:fldChar w:fldCharType="separate"/>
      </w:r>
      <w:r>
        <w:rPr>
          <w:rStyle w:val="style85"/>
          <w:noProof/>
        </w:rPr>
        <w:t>5.1 Segmentation</w:t>
      </w:r>
      <w:r>
        <w:rPr>
          <w:noProof/>
          <w:webHidden/>
        </w:rPr>
        <w:tab/>
      </w:r>
      <w:r>
        <w:rPr>
          <w:noProof/>
          <w:webHidden/>
        </w:rPr>
        <w:fldChar w:fldCharType="begin"/>
      </w:r>
      <w:r>
        <w:rPr>
          <w:noProof/>
          <w:webHidden/>
        </w:rPr>
        <w:instrText xml:space="preserve"> PAGEREF _Toc144146172 \h </w:instrText>
      </w:r>
      <w:r>
        <w:rPr>
          <w:noProof/>
          <w:webHidden/>
        </w:rPr>
        <w:fldChar w:fldCharType="separate"/>
      </w:r>
      <w:r>
        <w:rPr>
          <w:noProof/>
          <w:webHidden/>
        </w:rPr>
        <w:t>9</w:t>
      </w:r>
      <w:r>
        <w:rPr>
          <w:noProof/>
          <w:webHidden/>
        </w:rPr>
        <w:fldChar w:fldCharType="end"/>
      </w:r>
      <w:r>
        <w:rPr/>
        <w:fldChar w:fldCharType="end"/>
      </w:r>
    </w:p>
    <w:p>
      <w:pPr>
        <w:pStyle w:val="style21"/>
        <w:tabs>
          <w:tab w:val="right" w:leader="dot" w:pos="9350"/>
        </w:tabs>
        <w:rPr>
          <w:rFonts w:ascii="Calibri" w:eastAsia="宋体" w:hAnsi="Calibri"/>
          <w:noProof/>
          <w:kern w:val="2"/>
          <w:sz w:val="22"/>
          <w:lang w:val="en-GB" w:eastAsia="en-GB"/>
          <w14:ligatures xmlns:w14="http://schemas.microsoft.com/office/word/2010/wordml" w14:val="standardContextual"/>
        </w:rPr>
      </w:pPr>
      <w:r>
        <w:rPr/>
        <w:fldChar w:fldCharType="begin"/>
      </w:r>
      <w:r>
        <w:instrText xml:space="preserve"> HYPERLINK \l "_Toc144146173" </w:instrText>
      </w:r>
      <w:r>
        <w:rPr/>
        <w:fldChar w:fldCharType="separate"/>
      </w:r>
      <w:r>
        <w:rPr>
          <w:rStyle w:val="style85"/>
          <w:noProof/>
        </w:rPr>
        <w:t>5.1.1 Psychographic Segmentation</w:t>
      </w:r>
      <w:r>
        <w:rPr>
          <w:noProof/>
          <w:webHidden/>
        </w:rPr>
        <w:tab/>
      </w:r>
      <w:r>
        <w:rPr>
          <w:noProof/>
          <w:webHidden/>
        </w:rPr>
        <w:fldChar w:fldCharType="begin"/>
      </w:r>
      <w:r>
        <w:rPr>
          <w:noProof/>
          <w:webHidden/>
        </w:rPr>
        <w:instrText xml:space="preserve"> PAGEREF _Toc144146173 \h </w:instrText>
      </w:r>
      <w:r>
        <w:rPr>
          <w:noProof/>
          <w:webHidden/>
        </w:rPr>
        <w:fldChar w:fldCharType="separate"/>
      </w:r>
      <w:r>
        <w:rPr>
          <w:noProof/>
          <w:webHidden/>
        </w:rPr>
        <w:t>9</w:t>
      </w:r>
      <w:r>
        <w:rPr>
          <w:noProof/>
          <w:webHidden/>
        </w:rPr>
        <w:fldChar w:fldCharType="end"/>
      </w:r>
      <w:r>
        <w:rPr/>
        <w:fldChar w:fldCharType="end"/>
      </w:r>
    </w:p>
    <w:p>
      <w:pPr>
        <w:pStyle w:val="style21"/>
        <w:tabs>
          <w:tab w:val="right" w:leader="dot" w:pos="9350"/>
        </w:tabs>
        <w:rPr>
          <w:rFonts w:ascii="Calibri" w:eastAsia="宋体" w:hAnsi="Calibri"/>
          <w:noProof/>
          <w:kern w:val="2"/>
          <w:sz w:val="22"/>
          <w:lang w:val="en-GB" w:eastAsia="en-GB"/>
          <w14:ligatures xmlns:w14="http://schemas.microsoft.com/office/word/2010/wordml" w14:val="standardContextual"/>
        </w:rPr>
      </w:pPr>
      <w:r>
        <w:rPr/>
        <w:fldChar w:fldCharType="begin"/>
      </w:r>
      <w:r>
        <w:instrText xml:space="preserve"> HYPERLINK \l "_Toc144146174" </w:instrText>
      </w:r>
      <w:r>
        <w:rPr/>
        <w:fldChar w:fldCharType="separate"/>
      </w:r>
      <w:r>
        <w:rPr>
          <w:rStyle w:val="style85"/>
          <w:noProof/>
        </w:rPr>
        <w:t>5.2.2 Behavioral Segmentation</w:t>
      </w:r>
      <w:r>
        <w:rPr>
          <w:noProof/>
          <w:webHidden/>
        </w:rPr>
        <w:tab/>
      </w:r>
      <w:r>
        <w:rPr>
          <w:noProof/>
          <w:webHidden/>
        </w:rPr>
        <w:fldChar w:fldCharType="begin"/>
      </w:r>
      <w:r>
        <w:rPr>
          <w:noProof/>
          <w:webHidden/>
        </w:rPr>
        <w:instrText xml:space="preserve"> PAGEREF _Toc144146174 \h </w:instrText>
      </w:r>
      <w:r>
        <w:rPr>
          <w:noProof/>
          <w:webHidden/>
        </w:rPr>
        <w:fldChar w:fldCharType="separate"/>
      </w:r>
      <w:r>
        <w:rPr>
          <w:noProof/>
          <w:webHidden/>
        </w:rPr>
        <w:t>10</w:t>
      </w:r>
      <w:r>
        <w:rPr>
          <w:noProof/>
          <w:webHidden/>
        </w:rPr>
        <w:fldChar w:fldCharType="end"/>
      </w:r>
      <w:r>
        <w:rPr/>
        <w:fldChar w:fldCharType="end"/>
      </w:r>
    </w:p>
    <w:p>
      <w:pPr>
        <w:pStyle w:val="style20"/>
        <w:tabs>
          <w:tab w:val="right" w:leader="dot" w:pos="9350"/>
        </w:tabs>
        <w:rPr>
          <w:rFonts w:ascii="Calibri" w:eastAsia="宋体" w:hAnsi="Calibri"/>
          <w:noProof/>
          <w:kern w:val="2"/>
          <w:sz w:val="22"/>
          <w:lang w:val="en-GB" w:eastAsia="en-GB"/>
          <w14:ligatures xmlns:w14="http://schemas.microsoft.com/office/word/2010/wordml" w14:val="standardContextual"/>
        </w:rPr>
      </w:pPr>
      <w:r>
        <w:rPr/>
        <w:fldChar w:fldCharType="begin"/>
      </w:r>
      <w:r>
        <w:instrText xml:space="preserve"> HYPERLINK \l "_Toc144146175" </w:instrText>
      </w:r>
      <w:r>
        <w:rPr/>
        <w:fldChar w:fldCharType="separate"/>
      </w:r>
      <w:r>
        <w:rPr>
          <w:rStyle w:val="style85"/>
          <w:noProof/>
        </w:rPr>
        <w:t>5.2 Targeting</w:t>
      </w:r>
      <w:r>
        <w:rPr>
          <w:noProof/>
          <w:webHidden/>
        </w:rPr>
        <w:tab/>
      </w:r>
      <w:r>
        <w:rPr>
          <w:noProof/>
          <w:webHidden/>
        </w:rPr>
        <w:fldChar w:fldCharType="begin"/>
      </w:r>
      <w:r>
        <w:rPr>
          <w:noProof/>
          <w:webHidden/>
        </w:rPr>
        <w:instrText xml:space="preserve"> PAGEREF _Toc144146175 \h </w:instrText>
      </w:r>
      <w:r>
        <w:rPr>
          <w:noProof/>
          <w:webHidden/>
        </w:rPr>
        <w:fldChar w:fldCharType="separate"/>
      </w:r>
      <w:r>
        <w:rPr>
          <w:noProof/>
          <w:webHidden/>
        </w:rPr>
        <w:t>10</w:t>
      </w:r>
      <w:r>
        <w:rPr>
          <w:noProof/>
          <w:webHidden/>
        </w:rPr>
        <w:fldChar w:fldCharType="end"/>
      </w:r>
      <w:r>
        <w:rPr/>
        <w:fldChar w:fldCharType="end"/>
      </w:r>
    </w:p>
    <w:p>
      <w:pPr>
        <w:pStyle w:val="style20"/>
        <w:tabs>
          <w:tab w:val="right" w:leader="dot" w:pos="9350"/>
        </w:tabs>
        <w:rPr>
          <w:rFonts w:ascii="Calibri" w:eastAsia="宋体" w:hAnsi="Calibri"/>
          <w:noProof/>
          <w:kern w:val="2"/>
          <w:sz w:val="22"/>
          <w:lang w:val="en-GB" w:eastAsia="en-GB"/>
          <w14:ligatures xmlns:w14="http://schemas.microsoft.com/office/word/2010/wordml" w14:val="standardContextual"/>
        </w:rPr>
      </w:pPr>
      <w:r>
        <w:rPr/>
        <w:fldChar w:fldCharType="begin"/>
      </w:r>
      <w:r>
        <w:instrText xml:space="preserve"> HYPERLINK \l "_Toc144146176" </w:instrText>
      </w:r>
      <w:r>
        <w:rPr/>
        <w:fldChar w:fldCharType="separate"/>
      </w:r>
      <w:r>
        <w:rPr>
          <w:rStyle w:val="style85"/>
          <w:noProof/>
        </w:rPr>
        <w:t>5.3 Positioning</w:t>
      </w:r>
      <w:r>
        <w:rPr>
          <w:noProof/>
          <w:webHidden/>
        </w:rPr>
        <w:tab/>
      </w:r>
      <w:r>
        <w:rPr>
          <w:noProof/>
          <w:webHidden/>
        </w:rPr>
        <w:fldChar w:fldCharType="begin"/>
      </w:r>
      <w:r>
        <w:rPr>
          <w:noProof/>
          <w:webHidden/>
        </w:rPr>
        <w:instrText xml:space="preserve"> PAGEREF _Toc144146176 \h </w:instrText>
      </w:r>
      <w:r>
        <w:rPr>
          <w:noProof/>
          <w:webHidden/>
        </w:rPr>
        <w:fldChar w:fldCharType="separate"/>
      </w:r>
      <w:r>
        <w:rPr>
          <w:noProof/>
          <w:webHidden/>
        </w:rPr>
        <w:t>10</w:t>
      </w:r>
      <w:r>
        <w:rPr>
          <w:noProof/>
          <w:webHidden/>
        </w:rPr>
        <w:fldChar w:fldCharType="end"/>
      </w:r>
      <w:r>
        <w:rPr/>
        <w:fldChar w:fldCharType="end"/>
      </w:r>
    </w:p>
    <w:p>
      <w:pPr>
        <w:pStyle w:val="style19"/>
        <w:tabs>
          <w:tab w:val="right" w:leader="dot" w:pos="9350"/>
        </w:tabs>
        <w:rPr>
          <w:rFonts w:ascii="Calibri" w:eastAsia="宋体" w:hAnsi="Calibri"/>
          <w:noProof/>
          <w:kern w:val="2"/>
          <w:sz w:val="22"/>
          <w:lang w:val="en-GB" w:eastAsia="en-GB"/>
          <w14:ligatures xmlns:w14="http://schemas.microsoft.com/office/word/2010/wordml" w14:val="standardContextual"/>
        </w:rPr>
      </w:pPr>
      <w:r>
        <w:rPr/>
        <w:fldChar w:fldCharType="begin"/>
      </w:r>
      <w:r>
        <w:instrText xml:space="preserve"> HYPERLINK \l "_Toc144146177" </w:instrText>
      </w:r>
      <w:r>
        <w:rPr/>
        <w:fldChar w:fldCharType="separate"/>
      </w:r>
      <w:r>
        <w:rPr>
          <w:rStyle w:val="style85"/>
          <w:noProof/>
        </w:rPr>
        <w:t>6. Marketing mix 4Ps</w:t>
      </w:r>
      <w:r>
        <w:rPr>
          <w:noProof/>
          <w:webHidden/>
        </w:rPr>
        <w:tab/>
      </w:r>
      <w:r>
        <w:rPr>
          <w:noProof/>
          <w:webHidden/>
        </w:rPr>
        <w:fldChar w:fldCharType="begin"/>
      </w:r>
      <w:r>
        <w:rPr>
          <w:noProof/>
          <w:webHidden/>
        </w:rPr>
        <w:instrText xml:space="preserve"> PAGEREF _Toc144146177 \h </w:instrText>
      </w:r>
      <w:r>
        <w:rPr>
          <w:noProof/>
          <w:webHidden/>
        </w:rPr>
        <w:fldChar w:fldCharType="separate"/>
      </w:r>
      <w:r>
        <w:rPr>
          <w:noProof/>
          <w:webHidden/>
        </w:rPr>
        <w:t>10</w:t>
      </w:r>
      <w:r>
        <w:rPr>
          <w:noProof/>
          <w:webHidden/>
        </w:rPr>
        <w:fldChar w:fldCharType="end"/>
      </w:r>
      <w:r>
        <w:rPr/>
        <w:fldChar w:fldCharType="end"/>
      </w:r>
    </w:p>
    <w:p>
      <w:pPr>
        <w:pStyle w:val="style20"/>
        <w:tabs>
          <w:tab w:val="right" w:leader="dot" w:pos="9350"/>
        </w:tabs>
        <w:rPr>
          <w:rFonts w:ascii="Calibri" w:eastAsia="宋体" w:hAnsi="Calibri"/>
          <w:noProof/>
          <w:kern w:val="2"/>
          <w:sz w:val="22"/>
          <w:lang w:val="en-GB" w:eastAsia="en-GB"/>
          <w14:ligatures xmlns:w14="http://schemas.microsoft.com/office/word/2010/wordml" w14:val="standardContextual"/>
        </w:rPr>
      </w:pPr>
      <w:r>
        <w:rPr/>
        <w:fldChar w:fldCharType="begin"/>
      </w:r>
      <w:r>
        <w:instrText xml:space="preserve"> HYPERLINK \l "_Toc144146178" </w:instrText>
      </w:r>
      <w:r>
        <w:rPr/>
        <w:fldChar w:fldCharType="separate"/>
      </w:r>
      <w:r>
        <w:rPr>
          <w:rStyle w:val="style85"/>
          <w:noProof/>
        </w:rPr>
        <w:t>6.1 Product</w:t>
      </w:r>
      <w:r>
        <w:rPr>
          <w:noProof/>
          <w:webHidden/>
        </w:rPr>
        <w:tab/>
      </w:r>
      <w:r>
        <w:rPr>
          <w:noProof/>
          <w:webHidden/>
        </w:rPr>
        <w:fldChar w:fldCharType="begin"/>
      </w:r>
      <w:r>
        <w:rPr>
          <w:noProof/>
          <w:webHidden/>
        </w:rPr>
        <w:instrText xml:space="preserve"> PAGEREF _Toc144146178 \h </w:instrText>
      </w:r>
      <w:r>
        <w:rPr>
          <w:noProof/>
          <w:webHidden/>
        </w:rPr>
        <w:fldChar w:fldCharType="separate"/>
      </w:r>
      <w:r>
        <w:rPr>
          <w:noProof/>
          <w:webHidden/>
        </w:rPr>
        <w:t>11</w:t>
      </w:r>
      <w:r>
        <w:rPr>
          <w:noProof/>
          <w:webHidden/>
        </w:rPr>
        <w:fldChar w:fldCharType="end"/>
      </w:r>
      <w:r>
        <w:rPr/>
        <w:fldChar w:fldCharType="end"/>
      </w:r>
    </w:p>
    <w:p>
      <w:pPr>
        <w:pStyle w:val="style20"/>
        <w:tabs>
          <w:tab w:val="right" w:leader="dot" w:pos="9350"/>
        </w:tabs>
        <w:rPr>
          <w:rFonts w:ascii="Calibri" w:eastAsia="宋体" w:hAnsi="Calibri"/>
          <w:noProof/>
          <w:kern w:val="2"/>
          <w:sz w:val="22"/>
          <w:lang w:val="en-GB" w:eastAsia="en-GB"/>
          <w14:ligatures xmlns:w14="http://schemas.microsoft.com/office/word/2010/wordml" w14:val="standardContextual"/>
        </w:rPr>
      </w:pPr>
      <w:r>
        <w:rPr/>
        <w:fldChar w:fldCharType="begin"/>
      </w:r>
      <w:r>
        <w:instrText xml:space="preserve"> HYPERLINK \l "_Toc144146179" </w:instrText>
      </w:r>
      <w:r>
        <w:rPr/>
        <w:fldChar w:fldCharType="separate"/>
      </w:r>
      <w:r>
        <w:rPr>
          <w:rStyle w:val="style85"/>
          <w:noProof/>
        </w:rPr>
        <w:t>6.2 Price</w:t>
      </w:r>
      <w:r>
        <w:rPr>
          <w:noProof/>
          <w:webHidden/>
        </w:rPr>
        <w:tab/>
      </w:r>
      <w:r>
        <w:rPr>
          <w:noProof/>
          <w:webHidden/>
        </w:rPr>
        <w:fldChar w:fldCharType="begin"/>
      </w:r>
      <w:r>
        <w:rPr>
          <w:noProof/>
          <w:webHidden/>
        </w:rPr>
        <w:instrText xml:space="preserve"> PAGEREF _Toc144146179 \h </w:instrText>
      </w:r>
      <w:r>
        <w:rPr>
          <w:noProof/>
          <w:webHidden/>
        </w:rPr>
        <w:fldChar w:fldCharType="separate"/>
      </w:r>
      <w:r>
        <w:rPr>
          <w:noProof/>
          <w:webHidden/>
        </w:rPr>
        <w:t>12</w:t>
      </w:r>
      <w:r>
        <w:rPr>
          <w:noProof/>
          <w:webHidden/>
        </w:rPr>
        <w:fldChar w:fldCharType="end"/>
      </w:r>
      <w:r>
        <w:rPr/>
        <w:fldChar w:fldCharType="end"/>
      </w:r>
    </w:p>
    <w:p>
      <w:pPr>
        <w:pStyle w:val="style20"/>
        <w:tabs>
          <w:tab w:val="right" w:leader="dot" w:pos="9350"/>
        </w:tabs>
        <w:rPr>
          <w:rFonts w:ascii="Calibri" w:eastAsia="宋体" w:hAnsi="Calibri"/>
          <w:noProof/>
          <w:kern w:val="2"/>
          <w:sz w:val="22"/>
          <w:lang w:val="en-GB" w:eastAsia="en-GB"/>
          <w14:ligatures xmlns:w14="http://schemas.microsoft.com/office/word/2010/wordml" w14:val="standardContextual"/>
        </w:rPr>
      </w:pPr>
      <w:r>
        <w:rPr/>
        <w:fldChar w:fldCharType="begin"/>
      </w:r>
      <w:r>
        <w:instrText xml:space="preserve"> HYPERLINK \l "_Toc144146180" </w:instrText>
      </w:r>
      <w:r>
        <w:rPr/>
        <w:fldChar w:fldCharType="separate"/>
      </w:r>
      <w:r>
        <w:rPr>
          <w:rStyle w:val="style85"/>
          <w:noProof/>
        </w:rPr>
        <w:t>6.3 Place</w:t>
      </w:r>
      <w:r>
        <w:rPr>
          <w:noProof/>
          <w:webHidden/>
        </w:rPr>
        <w:tab/>
      </w:r>
      <w:r>
        <w:rPr>
          <w:noProof/>
          <w:webHidden/>
        </w:rPr>
        <w:fldChar w:fldCharType="begin"/>
      </w:r>
      <w:r>
        <w:rPr>
          <w:noProof/>
          <w:webHidden/>
        </w:rPr>
        <w:instrText xml:space="preserve"> PAGEREF _Toc144146180 \h </w:instrText>
      </w:r>
      <w:r>
        <w:rPr>
          <w:noProof/>
          <w:webHidden/>
        </w:rPr>
        <w:fldChar w:fldCharType="separate"/>
      </w:r>
      <w:r>
        <w:rPr>
          <w:noProof/>
          <w:webHidden/>
        </w:rPr>
        <w:t>12</w:t>
      </w:r>
      <w:r>
        <w:rPr>
          <w:noProof/>
          <w:webHidden/>
        </w:rPr>
        <w:fldChar w:fldCharType="end"/>
      </w:r>
      <w:r>
        <w:rPr/>
        <w:fldChar w:fldCharType="end"/>
      </w:r>
    </w:p>
    <w:p>
      <w:pPr>
        <w:pStyle w:val="style20"/>
        <w:tabs>
          <w:tab w:val="right" w:leader="dot" w:pos="9350"/>
        </w:tabs>
        <w:rPr>
          <w:rFonts w:ascii="Calibri" w:eastAsia="宋体" w:hAnsi="Calibri"/>
          <w:noProof/>
          <w:kern w:val="2"/>
          <w:sz w:val="22"/>
          <w:lang w:val="en-GB" w:eastAsia="en-GB"/>
          <w14:ligatures xmlns:w14="http://schemas.microsoft.com/office/word/2010/wordml" w14:val="standardContextual"/>
        </w:rPr>
      </w:pPr>
      <w:r>
        <w:rPr/>
        <w:fldChar w:fldCharType="begin"/>
      </w:r>
      <w:r>
        <w:instrText xml:space="preserve"> HYPERLINK \l "_Toc144146181" </w:instrText>
      </w:r>
      <w:r>
        <w:rPr/>
        <w:fldChar w:fldCharType="separate"/>
      </w:r>
      <w:r>
        <w:rPr>
          <w:rStyle w:val="style85"/>
          <w:noProof/>
        </w:rPr>
        <w:t>6.4 Promotion</w:t>
      </w:r>
      <w:r>
        <w:rPr>
          <w:noProof/>
          <w:webHidden/>
        </w:rPr>
        <w:tab/>
      </w:r>
      <w:r>
        <w:rPr>
          <w:noProof/>
          <w:webHidden/>
        </w:rPr>
        <w:fldChar w:fldCharType="begin"/>
      </w:r>
      <w:r>
        <w:rPr>
          <w:noProof/>
          <w:webHidden/>
        </w:rPr>
        <w:instrText xml:space="preserve"> PAGEREF _Toc144146181 \h </w:instrText>
      </w:r>
      <w:r>
        <w:rPr>
          <w:noProof/>
          <w:webHidden/>
        </w:rPr>
        <w:fldChar w:fldCharType="separate"/>
      </w:r>
      <w:r>
        <w:rPr>
          <w:noProof/>
          <w:webHidden/>
        </w:rPr>
        <w:t>12</w:t>
      </w:r>
      <w:r>
        <w:rPr>
          <w:noProof/>
          <w:webHidden/>
        </w:rPr>
        <w:fldChar w:fldCharType="end"/>
      </w:r>
      <w:r>
        <w:rPr/>
        <w:fldChar w:fldCharType="end"/>
      </w:r>
    </w:p>
    <w:p>
      <w:pPr>
        <w:pStyle w:val="style19"/>
        <w:tabs>
          <w:tab w:val="right" w:leader="dot" w:pos="9350"/>
        </w:tabs>
        <w:rPr>
          <w:rFonts w:ascii="Calibri" w:eastAsia="宋体" w:hAnsi="Calibri"/>
          <w:noProof/>
          <w:kern w:val="2"/>
          <w:sz w:val="22"/>
          <w:lang w:val="en-GB" w:eastAsia="en-GB"/>
          <w14:ligatures xmlns:w14="http://schemas.microsoft.com/office/word/2010/wordml" w14:val="standardContextual"/>
        </w:rPr>
      </w:pPr>
      <w:r>
        <w:rPr/>
        <w:fldChar w:fldCharType="begin"/>
      </w:r>
      <w:r>
        <w:instrText xml:space="preserve"> HYPERLINK \l "_Toc144146182" </w:instrText>
      </w:r>
      <w:r>
        <w:rPr/>
        <w:fldChar w:fldCharType="separate"/>
      </w:r>
      <w:r>
        <w:rPr>
          <w:rStyle w:val="style85"/>
          <w:noProof/>
        </w:rPr>
        <w:t>7. Recommendation of future strategies</w:t>
      </w:r>
      <w:r>
        <w:rPr>
          <w:noProof/>
          <w:webHidden/>
        </w:rPr>
        <w:tab/>
      </w:r>
      <w:r>
        <w:rPr>
          <w:noProof/>
          <w:webHidden/>
        </w:rPr>
        <w:fldChar w:fldCharType="begin"/>
      </w:r>
      <w:r>
        <w:rPr>
          <w:noProof/>
          <w:webHidden/>
        </w:rPr>
        <w:instrText xml:space="preserve"> PAGEREF _Toc144146182 \h </w:instrText>
      </w:r>
      <w:r>
        <w:rPr>
          <w:noProof/>
          <w:webHidden/>
        </w:rPr>
        <w:fldChar w:fldCharType="separate"/>
      </w:r>
      <w:r>
        <w:rPr>
          <w:noProof/>
          <w:webHidden/>
        </w:rPr>
        <w:t>12</w:t>
      </w:r>
      <w:r>
        <w:rPr>
          <w:noProof/>
          <w:webHidden/>
        </w:rPr>
        <w:fldChar w:fldCharType="end"/>
      </w:r>
      <w:r>
        <w:rPr/>
        <w:fldChar w:fldCharType="end"/>
      </w:r>
    </w:p>
    <w:p>
      <w:pPr>
        <w:pStyle w:val="style19"/>
        <w:tabs>
          <w:tab w:val="right" w:leader="dot" w:pos="9350"/>
        </w:tabs>
        <w:rPr>
          <w:rFonts w:ascii="Calibri" w:eastAsia="宋体" w:hAnsi="Calibri"/>
          <w:noProof/>
          <w:kern w:val="2"/>
          <w:sz w:val="22"/>
          <w:lang w:val="en-GB" w:eastAsia="en-GB"/>
          <w14:ligatures xmlns:w14="http://schemas.microsoft.com/office/word/2010/wordml" w14:val="standardContextual"/>
        </w:rPr>
      </w:pPr>
      <w:r>
        <w:rPr/>
        <w:fldChar w:fldCharType="begin"/>
      </w:r>
      <w:r>
        <w:instrText xml:space="preserve"> HYPERLINK \l "_Toc144146183" </w:instrText>
      </w:r>
      <w:r>
        <w:rPr/>
        <w:fldChar w:fldCharType="separate"/>
      </w:r>
      <w:r>
        <w:rPr>
          <w:rStyle w:val="style85"/>
          <w:noProof/>
        </w:rPr>
        <w:t>8. Conclusion</w:t>
      </w:r>
      <w:r>
        <w:rPr>
          <w:noProof/>
          <w:webHidden/>
        </w:rPr>
        <w:tab/>
      </w:r>
      <w:r>
        <w:rPr>
          <w:noProof/>
          <w:webHidden/>
        </w:rPr>
        <w:fldChar w:fldCharType="begin"/>
      </w:r>
      <w:r>
        <w:rPr>
          <w:noProof/>
          <w:webHidden/>
        </w:rPr>
        <w:instrText xml:space="preserve"> PAGEREF _Toc144146183 \h </w:instrText>
      </w:r>
      <w:r>
        <w:rPr>
          <w:noProof/>
          <w:webHidden/>
        </w:rPr>
        <w:fldChar w:fldCharType="separate"/>
      </w:r>
      <w:r>
        <w:rPr>
          <w:noProof/>
          <w:webHidden/>
        </w:rPr>
        <w:t>13</w:t>
      </w:r>
      <w:r>
        <w:rPr>
          <w:noProof/>
          <w:webHidden/>
        </w:rPr>
        <w:fldChar w:fldCharType="end"/>
      </w:r>
      <w:r>
        <w:rPr/>
        <w:fldChar w:fldCharType="end"/>
      </w:r>
    </w:p>
    <w:p>
      <w:pPr>
        <w:pStyle w:val="style19"/>
        <w:tabs>
          <w:tab w:val="right" w:leader="dot" w:pos="9350"/>
        </w:tabs>
        <w:rPr>
          <w:rFonts w:ascii="Calibri" w:eastAsia="宋体" w:hAnsi="Calibri"/>
          <w:noProof/>
          <w:kern w:val="2"/>
          <w:sz w:val="22"/>
          <w:lang w:val="en-GB" w:eastAsia="en-GB"/>
          <w14:ligatures xmlns:w14="http://schemas.microsoft.com/office/word/2010/wordml" w14:val="standardContextual"/>
        </w:rPr>
      </w:pPr>
      <w:r>
        <w:rPr/>
        <w:fldChar w:fldCharType="begin"/>
      </w:r>
      <w:r>
        <w:instrText xml:space="preserve"> HYPERLINK \l "_Toc144146184" </w:instrText>
      </w:r>
      <w:r>
        <w:rPr/>
        <w:fldChar w:fldCharType="separate"/>
      </w:r>
      <w:r>
        <w:rPr>
          <w:rStyle w:val="style85"/>
          <w:noProof/>
        </w:rPr>
        <w:t>References</w:t>
      </w:r>
      <w:r>
        <w:rPr>
          <w:noProof/>
          <w:webHidden/>
        </w:rPr>
        <w:tab/>
      </w:r>
      <w:r>
        <w:rPr>
          <w:noProof/>
          <w:webHidden/>
        </w:rPr>
        <w:fldChar w:fldCharType="begin"/>
      </w:r>
      <w:r>
        <w:rPr>
          <w:noProof/>
          <w:webHidden/>
        </w:rPr>
        <w:instrText xml:space="preserve"> PAGEREF _Toc144146184 \h </w:instrText>
      </w:r>
      <w:r>
        <w:rPr>
          <w:noProof/>
          <w:webHidden/>
        </w:rPr>
        <w:fldChar w:fldCharType="separate"/>
      </w:r>
      <w:r>
        <w:rPr>
          <w:noProof/>
          <w:webHidden/>
        </w:rPr>
        <w:t>14</w:t>
      </w:r>
      <w:r>
        <w:rPr>
          <w:noProof/>
          <w:webHidden/>
        </w:rPr>
        <w:fldChar w:fldCharType="end"/>
      </w:r>
      <w:r>
        <w:rPr/>
        <w:fldChar w:fldCharType="end"/>
      </w:r>
    </w:p>
    <w:p>
      <w:pPr>
        <w:pStyle w:val="style19"/>
        <w:tabs>
          <w:tab w:val="right" w:leader="dot" w:pos="9350"/>
        </w:tabs>
        <w:rPr>
          <w:rFonts w:ascii="Calibri" w:eastAsia="宋体" w:hAnsi="Calibri"/>
          <w:noProof/>
          <w:kern w:val="2"/>
          <w:sz w:val="22"/>
          <w:lang w:val="en-GB" w:eastAsia="en-GB"/>
          <w14:ligatures xmlns:w14="http://schemas.microsoft.com/office/word/2010/wordml" w14:val="standardContextual"/>
        </w:rPr>
      </w:pPr>
      <w:r>
        <w:rPr/>
        <w:fldChar w:fldCharType="begin"/>
      </w:r>
      <w:r>
        <w:instrText xml:space="preserve"> HYPERLINK \l "_Toc144146185" </w:instrText>
      </w:r>
      <w:r>
        <w:rPr/>
        <w:fldChar w:fldCharType="separate"/>
      </w:r>
      <w:r>
        <w:rPr>
          <w:rStyle w:val="style85"/>
          <w:noProof/>
        </w:rPr>
        <w:t>Poster prestation</w:t>
      </w:r>
      <w:r>
        <w:rPr>
          <w:noProof/>
          <w:webHidden/>
        </w:rPr>
        <w:tab/>
      </w:r>
      <w:r>
        <w:rPr>
          <w:noProof/>
          <w:webHidden/>
        </w:rPr>
        <w:fldChar w:fldCharType="begin"/>
      </w:r>
      <w:r>
        <w:rPr>
          <w:noProof/>
          <w:webHidden/>
        </w:rPr>
        <w:instrText xml:space="preserve"> PAGEREF _Toc144146185 \h </w:instrText>
      </w:r>
      <w:r>
        <w:rPr>
          <w:noProof/>
          <w:webHidden/>
        </w:rPr>
        <w:fldChar w:fldCharType="separate"/>
      </w:r>
      <w:r>
        <w:rPr>
          <w:noProof/>
          <w:webHidden/>
        </w:rPr>
        <w:t>16</w:t>
      </w:r>
      <w:r>
        <w:rPr>
          <w:noProof/>
          <w:webHidden/>
        </w:rPr>
        <w:fldChar w:fldCharType="end"/>
      </w:r>
      <w:r>
        <w:rPr/>
        <w:fldChar w:fldCharType="end"/>
      </w:r>
    </w:p>
    <w:p>
      <w:pPr>
        <w:pStyle w:val="style0"/>
        <w:rPr/>
      </w:pPr>
      <w:r>
        <w:rPr>
          <w:b/>
          <w:bCs/>
          <w:noProof/>
        </w:rPr>
        <w:fldChar w:fldCharType="end"/>
      </w:r>
    </w:p>
    <w:p>
      <w:pPr>
        <w:pStyle w:val="style0"/>
        <w:rPr>
          <w:rFonts w:cs="Times New Roman" w:eastAsia="Times New Roman"/>
          <w:b/>
          <w:bCs/>
          <w:color w:val="000000"/>
          <w:szCs w:val="24"/>
        </w:rPr>
      </w:pPr>
      <w:r>
        <w:rPr>
          <w:b/>
          <w:bCs/>
          <w:color w:val="000000"/>
        </w:rPr>
        <w:br w:type="page"/>
      </w:r>
    </w:p>
    <w:bookmarkStart w:id="0" w:name="_Toc144146165"/>
    <w:p>
      <w:pPr>
        <w:pStyle w:val="style1"/>
        <w:rPr/>
      </w:pPr>
      <w:r>
        <w:t xml:space="preserve">1. </w:t>
      </w:r>
      <w:r>
        <w:t>Introduction</w:t>
      </w:r>
      <w:bookmarkEnd w:id="0"/>
    </w:p>
    <w:p>
      <w:pPr>
        <w:pStyle w:val="style94"/>
        <w:spacing w:before="0" w:beforeAutospacing="false" w:after="0" w:afterAutospacing="false" w:lineRule="auto" w:line="360"/>
        <w:jc w:val="both"/>
        <w:rPr/>
      </w:pPr>
      <w:r>
        <w:rPr>
          <w:color w:val="000000"/>
        </w:rPr>
        <w:t xml:space="preserve">The report evaluates external and internal factors associated with the UK-based retail company Sainsbury's. The company also operates its largest supermarket channel across different global regions. Service of grocery, homewares, clothing, and electricals improved Sainsbury's performance in the competitive market (Sainsburys, 2023). The report will use PESTLE and Porter's Five Forces for external analysis. The advantages of SWOT analysis will be assessed to understand the internal factors that influence the company's performance. However, segmentation, targeting, and positioning will help to assess the company's position. The 4Ps of marketing will generate ideas about marketing strategy. </w:t>
      </w:r>
    </w:p>
    <w:bookmarkStart w:id="1" w:name="_Toc144146166"/>
    <w:p>
      <w:pPr>
        <w:pStyle w:val="style1"/>
        <w:rPr/>
      </w:pPr>
      <w:r>
        <w:t>2. PESTLE Analysis of Sainsbury's</w:t>
      </w:r>
      <w:bookmarkEnd w:id="1"/>
      <w:r>
        <w:t> </w:t>
      </w:r>
    </w:p>
    <w:p>
      <w:pPr>
        <w:pStyle w:val="style94"/>
        <w:spacing w:before="0" w:beforeAutospacing="false" w:after="0" w:afterAutospacing="false" w:lineRule="auto" w:line="360"/>
        <w:jc w:val="both"/>
        <w:rPr/>
      </w:pPr>
      <w:r>
        <w:rPr>
          <w:color w:val="000000"/>
        </w:rPr>
        <w:t>The macro environmental analysis based on the PESTLE framework will help to assess the impact of political, economic, social, technological, legal, and environmental factors over Sainsbury's. </w:t>
      </w:r>
    </w:p>
    <w:p>
      <w:pPr>
        <w:pStyle w:val="style0"/>
        <w:jc w:val="both"/>
        <w:rPr>
          <w:rFonts w:cs="Times New Roman"/>
          <w:szCs w:val="24"/>
        </w:rPr>
      </w:pPr>
      <w:r>
        <w:rPr>
          <w:rFonts w:cs="Times New Roman"/>
          <w:noProof/>
          <w:szCs w:val="24"/>
        </w:rPr>
        <w:drawing>
          <wp:inline distL="0" distT="0" distB="0" distR="0">
            <wp:extent cx="6191250" cy="3743325"/>
            <wp:effectExtent l="38100" t="0" r="38100" b="9525"/>
            <wp:docPr id="1027" name="Diagram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 r:lo="rId5" r:qs="rId6" r:cs="rId7"/>
              </a:graphicData>
            </a:graphic>
          </wp:inline>
        </w:drawing>
      </w:r>
    </w:p>
    <w:p>
      <w:pPr>
        <w:pStyle w:val="style0"/>
        <w:jc w:val="center"/>
        <w:rPr>
          <w:rFonts w:cs="Times New Roman"/>
          <w:b/>
          <w:i/>
          <w:szCs w:val="24"/>
        </w:rPr>
      </w:pPr>
      <w:r>
        <w:rPr>
          <w:rFonts w:cs="Times New Roman"/>
          <w:b/>
          <w:i/>
          <w:szCs w:val="24"/>
        </w:rPr>
        <w:t>Figure 1: PESTLE Factors of Sainsbury’s</w:t>
      </w:r>
    </w:p>
    <w:p>
      <w:pPr>
        <w:pStyle w:val="style0"/>
        <w:jc w:val="center"/>
        <w:rPr>
          <w:rFonts w:cs="Times New Roman"/>
          <w:bCs/>
          <w:iCs/>
          <w:szCs w:val="24"/>
        </w:rPr>
      </w:pPr>
      <w:r>
        <w:rPr>
          <w:rFonts w:cs="Times New Roman"/>
          <w:bCs/>
          <w:iCs/>
          <w:szCs w:val="24"/>
        </w:rPr>
        <w:t>Source: (Developed by the author)</w:t>
      </w:r>
    </w:p>
    <w:p>
      <w:pPr>
        <w:pStyle w:val="style0"/>
        <w:spacing w:after="0"/>
        <w:jc w:val="both"/>
        <w:rPr>
          <w:rFonts w:cs="Times New Roman" w:eastAsia="Times New Roman"/>
          <w:szCs w:val="24"/>
        </w:rPr>
      </w:pPr>
      <w:r>
        <w:rPr>
          <w:rFonts w:cs="Times New Roman" w:eastAsia="Times New Roman"/>
          <w:b/>
          <w:bCs/>
          <w:color w:val="000000"/>
          <w:szCs w:val="24"/>
        </w:rPr>
        <w:t>Political factor </w:t>
      </w:r>
    </w:p>
    <w:p>
      <w:pPr>
        <w:pStyle w:val="style179"/>
        <w:numPr>
          <w:ilvl w:val="0"/>
          <w:numId w:val="1"/>
        </w:numPr>
        <w:spacing w:after="0"/>
        <w:jc w:val="both"/>
        <w:rPr>
          <w:rFonts w:cs="Times New Roman" w:eastAsia="Times New Roman"/>
          <w:b/>
          <w:bCs/>
          <w:i/>
          <w:iCs/>
          <w:szCs w:val="24"/>
        </w:rPr>
      </w:pPr>
      <w:r>
        <w:rPr>
          <w:rFonts w:cs="Times New Roman" w:eastAsia="Times New Roman"/>
          <w:b/>
          <w:bCs/>
          <w:i/>
          <w:iCs/>
          <w:color w:val="000000"/>
          <w:szCs w:val="24"/>
        </w:rPr>
        <w:t>Brexit impact </w:t>
      </w:r>
    </w:p>
    <w:p>
      <w:pPr>
        <w:pStyle w:val="style0"/>
        <w:spacing w:after="0"/>
        <w:jc w:val="both"/>
        <w:rPr>
          <w:rFonts w:cs="Times New Roman" w:eastAsia="Times New Roman"/>
          <w:szCs w:val="24"/>
        </w:rPr>
      </w:pPr>
      <w:r>
        <w:rPr>
          <w:rFonts w:cs="Times New Roman" w:eastAsia="Times New Roman"/>
          <w:color w:val="000000"/>
          <w:szCs w:val="24"/>
        </w:rPr>
        <w:t>The exit of the UK from the European Union developed complexities for businesses to maintain profitability through cross-border expansion (Webber, 2023). The threats in the political environment due to the Brexit impact may develop challenges for Sainsbury's to expand across borders. </w:t>
      </w:r>
      <w:r>
        <w:rPr>
          <w:rFonts w:cs="Times New Roman" w:eastAsia="Times New Roman"/>
          <w:color w:val="000000"/>
          <w:szCs w:val="24"/>
        </w:rPr>
        <w:t>(unfavourable)</w:t>
      </w:r>
    </w:p>
    <w:p>
      <w:pPr>
        <w:pStyle w:val="style179"/>
        <w:numPr>
          <w:ilvl w:val="0"/>
          <w:numId w:val="23"/>
        </w:numPr>
        <w:spacing w:after="0"/>
        <w:jc w:val="both"/>
        <w:rPr>
          <w:rFonts w:cs="Times New Roman" w:eastAsia="Times New Roman"/>
          <w:b/>
          <w:bCs/>
          <w:i/>
          <w:iCs/>
          <w:szCs w:val="24"/>
        </w:rPr>
      </w:pPr>
      <w:r>
        <w:rPr>
          <w:rFonts w:cs="Times New Roman" w:eastAsia="Times New Roman"/>
          <w:b/>
          <w:bCs/>
          <w:i/>
          <w:iCs/>
          <w:color w:val="000000"/>
          <w:szCs w:val="24"/>
        </w:rPr>
        <w:t>Political instability </w:t>
      </w:r>
    </w:p>
    <w:p>
      <w:pPr>
        <w:pStyle w:val="style0"/>
        <w:spacing w:after="0"/>
        <w:jc w:val="both"/>
        <w:rPr>
          <w:rFonts w:cs="Times New Roman" w:eastAsia="Times New Roman"/>
          <w:szCs w:val="24"/>
        </w:rPr>
      </w:pPr>
      <w:r>
        <w:rPr>
          <w:rFonts w:cs="Times New Roman" w:eastAsia="Times New Roman"/>
          <w:color w:val="000000"/>
          <w:szCs w:val="24"/>
        </w:rPr>
        <w:t xml:space="preserve">The unstable political condition within the UK created issues in maintaining business expansion with the government's help. Changes in political leadership also influence the marketing operations of companies like Sainsbury's. </w:t>
      </w:r>
      <w:r>
        <w:rPr>
          <w:rFonts w:cs="Times New Roman" w:eastAsia="Times New Roman"/>
          <w:color w:val="000000"/>
          <w:szCs w:val="24"/>
        </w:rPr>
        <w:t>(</w:t>
      </w:r>
      <w:r>
        <w:rPr>
          <w:rFonts w:cs="Times New Roman" w:eastAsia="Times New Roman"/>
          <w:color w:val="000000"/>
          <w:szCs w:val="24"/>
        </w:rPr>
        <w:t>unfavourable</w:t>
      </w:r>
      <w:r>
        <w:rPr>
          <w:rFonts w:cs="Times New Roman" w:eastAsia="Times New Roman"/>
          <w:color w:val="000000"/>
          <w:szCs w:val="24"/>
        </w:rPr>
        <w:t>)</w:t>
      </w:r>
    </w:p>
    <w:p>
      <w:pPr>
        <w:pStyle w:val="style0"/>
        <w:spacing w:after="0"/>
        <w:jc w:val="both"/>
        <w:rPr>
          <w:rFonts w:cs="Times New Roman" w:eastAsia="Times New Roman"/>
          <w:szCs w:val="24"/>
        </w:rPr>
      </w:pPr>
      <w:r>
        <w:rPr>
          <w:rFonts w:cs="Times New Roman" w:eastAsia="Times New Roman"/>
          <w:b/>
          <w:bCs/>
          <w:color w:val="000000"/>
          <w:szCs w:val="24"/>
        </w:rPr>
        <w:t>Economic factor </w:t>
      </w:r>
    </w:p>
    <w:p>
      <w:pPr>
        <w:pStyle w:val="style179"/>
        <w:numPr>
          <w:ilvl w:val="0"/>
          <w:numId w:val="22"/>
        </w:numPr>
        <w:spacing w:after="0"/>
        <w:jc w:val="both"/>
        <w:rPr>
          <w:rFonts w:cs="Times New Roman" w:eastAsia="Times New Roman"/>
          <w:b/>
          <w:bCs/>
          <w:i/>
          <w:iCs/>
          <w:szCs w:val="24"/>
        </w:rPr>
      </w:pPr>
      <w:r>
        <w:rPr>
          <w:rFonts w:cs="Times New Roman" w:eastAsia="Times New Roman"/>
          <w:b/>
          <w:bCs/>
          <w:i/>
          <w:iCs/>
          <w:color w:val="000000"/>
          <w:szCs w:val="24"/>
        </w:rPr>
        <w:t>High GDP </w:t>
      </w:r>
    </w:p>
    <w:p>
      <w:pPr>
        <w:pStyle w:val="style0"/>
        <w:spacing w:after="0"/>
        <w:jc w:val="both"/>
        <w:rPr>
          <w:rFonts w:cs="Times New Roman" w:eastAsia="Times New Roman"/>
          <w:szCs w:val="24"/>
        </w:rPr>
      </w:pPr>
      <w:r>
        <w:rPr>
          <w:rFonts w:cs="Times New Roman" w:eastAsia="Times New Roman"/>
          <w:color w:val="000000"/>
          <w:szCs w:val="24"/>
        </w:rPr>
        <w:t xml:space="preserve">The GDP of the UK is around $3.4 trillion, with a growth rate of 0.7% (Heritage, 2023). The growing GDP of the country shows investment opportunities. Sainsbury's can obtain profit through investment in the UK retail market in the future. </w:t>
      </w:r>
      <w:r>
        <w:rPr>
          <w:rFonts w:cs="Times New Roman" w:eastAsia="Times New Roman"/>
          <w:color w:val="000000"/>
          <w:szCs w:val="24"/>
        </w:rPr>
        <w:t>(</w:t>
      </w:r>
      <w:r>
        <w:rPr>
          <w:rFonts w:cs="Times New Roman" w:eastAsia="Times New Roman"/>
          <w:color w:val="000000"/>
          <w:szCs w:val="24"/>
        </w:rPr>
        <w:t>favourable</w:t>
      </w:r>
      <w:r>
        <w:rPr>
          <w:rFonts w:cs="Times New Roman" w:eastAsia="Times New Roman"/>
          <w:color w:val="000000"/>
          <w:szCs w:val="24"/>
        </w:rPr>
        <w:t>)</w:t>
      </w:r>
    </w:p>
    <w:p>
      <w:pPr>
        <w:pStyle w:val="style179"/>
        <w:numPr>
          <w:ilvl w:val="0"/>
          <w:numId w:val="21"/>
        </w:numPr>
        <w:spacing w:after="0"/>
        <w:jc w:val="both"/>
        <w:rPr>
          <w:rFonts w:cs="Times New Roman" w:eastAsia="Times New Roman"/>
          <w:b/>
          <w:bCs/>
          <w:i/>
          <w:iCs/>
          <w:szCs w:val="24"/>
        </w:rPr>
      </w:pPr>
      <w:r>
        <w:rPr>
          <w:rFonts w:cs="Times New Roman" w:eastAsia="Times New Roman"/>
          <w:b/>
          <w:bCs/>
          <w:i/>
          <w:iCs/>
          <w:color w:val="000000"/>
          <w:szCs w:val="24"/>
        </w:rPr>
        <w:t xml:space="preserve">Investment Freedom </w:t>
      </w:r>
    </w:p>
    <w:p>
      <w:pPr>
        <w:pStyle w:val="style0"/>
        <w:spacing w:after="0"/>
        <w:jc w:val="both"/>
        <w:rPr>
          <w:rFonts w:cs="Times New Roman" w:eastAsia="Times New Roman"/>
          <w:szCs w:val="24"/>
        </w:rPr>
      </w:pPr>
      <w:r>
        <w:rPr>
          <w:rFonts w:cs="Times New Roman" w:eastAsia="Times New Roman"/>
          <w:color w:val="000000"/>
          <w:szCs w:val="24"/>
        </w:rPr>
        <w:t xml:space="preserve">The investment freedom in the country is around 80% (Heritage, 2023). It encourages businesses to maintain investments to gain high returns. Multinational operations of Sainsbury's can be promoted with effective investments. </w:t>
      </w:r>
      <w:r>
        <w:rPr>
          <w:rFonts w:cs="Times New Roman" w:eastAsia="Times New Roman"/>
          <w:color w:val="000000"/>
          <w:szCs w:val="24"/>
        </w:rPr>
        <w:t>(</w:t>
      </w:r>
      <w:r>
        <w:rPr>
          <w:rFonts w:cs="Times New Roman" w:eastAsia="Times New Roman"/>
          <w:color w:val="000000"/>
          <w:szCs w:val="24"/>
        </w:rPr>
        <w:t>favourable</w:t>
      </w:r>
      <w:r>
        <w:rPr>
          <w:rFonts w:cs="Times New Roman" w:eastAsia="Times New Roman"/>
          <w:color w:val="000000"/>
          <w:szCs w:val="24"/>
        </w:rPr>
        <w:t>)</w:t>
      </w:r>
    </w:p>
    <w:p>
      <w:pPr>
        <w:pStyle w:val="style0"/>
        <w:spacing w:after="0"/>
        <w:jc w:val="both"/>
        <w:rPr>
          <w:rFonts w:cs="Times New Roman" w:eastAsia="Times New Roman"/>
          <w:szCs w:val="24"/>
        </w:rPr>
      </w:pPr>
      <w:r>
        <w:rPr>
          <w:rFonts w:cs="Times New Roman" w:eastAsia="Times New Roman"/>
          <w:b/>
          <w:bCs/>
          <w:color w:val="000000"/>
          <w:szCs w:val="24"/>
        </w:rPr>
        <w:t>Social factor </w:t>
      </w:r>
    </w:p>
    <w:p>
      <w:pPr>
        <w:pStyle w:val="style179"/>
        <w:numPr>
          <w:ilvl w:val="0"/>
          <w:numId w:val="20"/>
        </w:numPr>
        <w:spacing w:after="0"/>
        <w:jc w:val="both"/>
        <w:rPr>
          <w:rFonts w:cs="Times New Roman" w:eastAsia="Times New Roman"/>
          <w:b/>
          <w:bCs/>
          <w:i/>
          <w:iCs/>
          <w:szCs w:val="24"/>
        </w:rPr>
      </w:pPr>
      <w:r>
        <w:rPr>
          <w:rFonts w:cs="Times New Roman" w:eastAsia="Times New Roman"/>
          <w:b/>
          <w:bCs/>
          <w:i/>
          <w:iCs/>
          <w:color w:val="000000"/>
          <w:szCs w:val="24"/>
        </w:rPr>
        <w:t>Customer support</w:t>
      </w:r>
    </w:p>
    <w:p>
      <w:pPr>
        <w:pStyle w:val="style0"/>
        <w:spacing w:after="0"/>
        <w:jc w:val="both"/>
        <w:rPr>
          <w:rFonts w:cs="Times New Roman" w:eastAsia="Times New Roman"/>
          <w:szCs w:val="24"/>
        </w:rPr>
      </w:pPr>
      <w:r>
        <w:rPr>
          <w:rFonts w:cs="Times New Roman" w:eastAsia="Times New Roman"/>
          <w:color w:val="000000"/>
          <w:szCs w:val="24"/>
        </w:rPr>
        <w:t xml:space="preserve">Customers in the UK prefer to shop both online and offline. They support retail organizations by shopping from local supermarkets. Sainsbury's has maintained customer satisfaction that has ensured customer engagement. </w:t>
      </w:r>
      <w:r>
        <w:rPr>
          <w:rFonts w:cs="Times New Roman" w:eastAsia="Times New Roman"/>
          <w:color w:val="000000"/>
          <w:szCs w:val="24"/>
        </w:rPr>
        <w:t>(</w:t>
      </w:r>
      <w:r>
        <w:rPr>
          <w:rFonts w:cs="Times New Roman" w:eastAsia="Times New Roman"/>
          <w:color w:val="000000"/>
          <w:szCs w:val="24"/>
        </w:rPr>
        <w:t>favourable</w:t>
      </w:r>
      <w:r>
        <w:rPr>
          <w:rFonts w:cs="Times New Roman" w:eastAsia="Times New Roman"/>
          <w:color w:val="000000"/>
          <w:szCs w:val="24"/>
        </w:rPr>
        <w:t>)</w:t>
      </w:r>
    </w:p>
    <w:p>
      <w:pPr>
        <w:pStyle w:val="style179"/>
        <w:numPr>
          <w:ilvl w:val="0"/>
          <w:numId w:val="19"/>
        </w:numPr>
        <w:spacing w:after="0"/>
        <w:jc w:val="both"/>
        <w:rPr>
          <w:rFonts w:cs="Times New Roman" w:eastAsia="Times New Roman"/>
          <w:b/>
          <w:bCs/>
          <w:i/>
          <w:iCs/>
          <w:szCs w:val="24"/>
        </w:rPr>
      </w:pPr>
      <w:r>
        <w:rPr>
          <w:rFonts w:cs="Times New Roman" w:eastAsia="Times New Roman"/>
          <w:b/>
          <w:bCs/>
          <w:i/>
          <w:iCs/>
          <w:color w:val="000000"/>
          <w:szCs w:val="24"/>
        </w:rPr>
        <w:t>High retail demand </w:t>
      </w:r>
    </w:p>
    <w:p>
      <w:pPr>
        <w:pStyle w:val="style0"/>
        <w:spacing w:after="0"/>
        <w:jc w:val="both"/>
        <w:rPr>
          <w:rFonts w:cs="Times New Roman" w:eastAsia="Times New Roman"/>
          <w:szCs w:val="24"/>
        </w:rPr>
      </w:pPr>
      <w:r>
        <w:rPr>
          <w:rFonts w:cs="Times New Roman" w:eastAsia="Times New Roman"/>
          <w:color w:val="000000"/>
          <w:szCs w:val="24"/>
        </w:rPr>
        <w:t xml:space="preserve">The demand from retail companies in the UK is high. Customers demand a diverse product range. Sainsbury's tries to meet customers' demands and maintains effective customer relationships. </w:t>
      </w:r>
      <w:r>
        <w:rPr>
          <w:rFonts w:cs="Times New Roman" w:eastAsia="Times New Roman"/>
          <w:color w:val="000000"/>
          <w:szCs w:val="24"/>
        </w:rPr>
        <w:t>(</w:t>
      </w:r>
      <w:r>
        <w:rPr>
          <w:rFonts w:cs="Times New Roman" w:eastAsia="Times New Roman"/>
          <w:color w:val="000000"/>
          <w:szCs w:val="24"/>
        </w:rPr>
        <w:t>favourable</w:t>
      </w:r>
      <w:r>
        <w:rPr>
          <w:rFonts w:cs="Times New Roman" w:eastAsia="Times New Roman"/>
          <w:color w:val="000000"/>
          <w:szCs w:val="24"/>
        </w:rPr>
        <w:t>)</w:t>
      </w:r>
    </w:p>
    <w:p>
      <w:pPr>
        <w:pStyle w:val="style0"/>
        <w:spacing w:after="0"/>
        <w:jc w:val="both"/>
        <w:rPr>
          <w:rFonts w:cs="Times New Roman" w:eastAsia="Times New Roman"/>
          <w:szCs w:val="24"/>
        </w:rPr>
      </w:pPr>
      <w:r>
        <w:rPr>
          <w:rFonts w:cs="Times New Roman" w:eastAsia="Times New Roman"/>
          <w:b/>
          <w:bCs/>
          <w:color w:val="000000"/>
          <w:szCs w:val="24"/>
        </w:rPr>
        <w:t>Technological factor </w:t>
      </w:r>
    </w:p>
    <w:p>
      <w:pPr>
        <w:pStyle w:val="style179"/>
        <w:numPr>
          <w:ilvl w:val="0"/>
          <w:numId w:val="18"/>
        </w:numPr>
        <w:spacing w:after="0"/>
        <w:jc w:val="both"/>
        <w:rPr>
          <w:rFonts w:cs="Times New Roman" w:eastAsia="Times New Roman"/>
          <w:b/>
          <w:bCs/>
          <w:i/>
          <w:iCs/>
          <w:szCs w:val="24"/>
        </w:rPr>
      </w:pPr>
      <w:r>
        <w:rPr>
          <w:rFonts w:cs="Times New Roman" w:eastAsia="Times New Roman"/>
          <w:b/>
          <w:bCs/>
          <w:i/>
          <w:iCs/>
          <w:color w:val="000000"/>
          <w:szCs w:val="24"/>
        </w:rPr>
        <w:t>Advanced technologies </w:t>
      </w:r>
    </w:p>
    <w:p>
      <w:pPr>
        <w:pStyle w:val="style0"/>
        <w:spacing w:after="0"/>
        <w:jc w:val="both"/>
        <w:rPr>
          <w:rFonts w:cs="Times New Roman" w:eastAsia="Times New Roman"/>
          <w:szCs w:val="24"/>
        </w:rPr>
      </w:pPr>
      <w:r>
        <w:rPr>
          <w:rFonts w:cs="Times New Roman" w:eastAsia="Times New Roman"/>
          <w:color w:val="000000"/>
          <w:szCs w:val="24"/>
        </w:rPr>
        <w:t xml:space="preserve">Modern technologies are available in the UK market that improve business operations. Sainsbury's leverages technological advancements to improve its marketing operations and online customer services. </w:t>
      </w:r>
      <w:r>
        <w:rPr>
          <w:rFonts w:cs="Times New Roman" w:eastAsia="Times New Roman"/>
          <w:color w:val="000000"/>
          <w:szCs w:val="24"/>
        </w:rPr>
        <w:t>(</w:t>
      </w:r>
      <w:r>
        <w:rPr>
          <w:rFonts w:cs="Times New Roman" w:eastAsia="Times New Roman"/>
          <w:color w:val="000000"/>
          <w:szCs w:val="24"/>
        </w:rPr>
        <w:t>favourable</w:t>
      </w:r>
      <w:r>
        <w:rPr>
          <w:rFonts w:cs="Times New Roman" w:eastAsia="Times New Roman"/>
          <w:color w:val="000000"/>
          <w:szCs w:val="24"/>
        </w:rPr>
        <w:t>)</w:t>
      </w:r>
    </w:p>
    <w:p>
      <w:pPr>
        <w:pStyle w:val="style179"/>
        <w:numPr>
          <w:ilvl w:val="0"/>
          <w:numId w:val="18"/>
        </w:numPr>
        <w:spacing w:after="0"/>
        <w:jc w:val="both"/>
        <w:rPr>
          <w:rFonts w:cs="Times New Roman" w:eastAsia="Times New Roman"/>
          <w:b/>
          <w:bCs/>
          <w:i/>
          <w:iCs/>
          <w:szCs w:val="24"/>
        </w:rPr>
      </w:pPr>
      <w:r>
        <w:rPr>
          <w:rFonts w:cs="Times New Roman" w:eastAsia="Times New Roman"/>
          <w:b/>
          <w:bCs/>
          <w:i/>
          <w:iCs/>
          <w:color w:val="000000"/>
          <w:szCs w:val="24"/>
        </w:rPr>
        <w:t>High revenue </w:t>
      </w:r>
    </w:p>
    <w:p>
      <w:pPr>
        <w:pStyle w:val="style0"/>
        <w:spacing w:after="0"/>
        <w:jc w:val="both"/>
        <w:rPr>
          <w:rFonts w:cs="Times New Roman" w:eastAsia="Times New Roman"/>
          <w:szCs w:val="24"/>
        </w:rPr>
      </w:pPr>
      <w:r>
        <w:rPr>
          <w:rFonts w:cs="Times New Roman" w:eastAsia="Times New Roman"/>
          <w:color w:val="000000"/>
          <w:szCs w:val="24"/>
        </w:rPr>
        <w:t xml:space="preserve">The revenue of the UK IT market is expected to reach $86.4 billion by 2023 (Statista, 2023). The exponential growth of the IT industry also shows vast opportunities for companies like Sainsbury's to use the technologies to improve their profitability and production. </w:t>
      </w:r>
      <w:r>
        <w:rPr>
          <w:rFonts w:cs="Times New Roman" w:eastAsia="Times New Roman"/>
          <w:color w:val="000000"/>
          <w:szCs w:val="24"/>
        </w:rPr>
        <w:t>(</w:t>
      </w:r>
      <w:r>
        <w:rPr>
          <w:rFonts w:cs="Times New Roman" w:eastAsia="Times New Roman"/>
          <w:color w:val="000000"/>
          <w:szCs w:val="24"/>
        </w:rPr>
        <w:t>favourable</w:t>
      </w:r>
      <w:r>
        <w:rPr>
          <w:rFonts w:cs="Times New Roman" w:eastAsia="Times New Roman"/>
          <w:color w:val="000000"/>
          <w:szCs w:val="24"/>
        </w:rPr>
        <w:t>)</w:t>
      </w:r>
    </w:p>
    <w:p>
      <w:pPr>
        <w:pStyle w:val="style0"/>
        <w:spacing w:after="0"/>
        <w:jc w:val="both"/>
        <w:rPr>
          <w:rFonts w:cs="Times New Roman" w:eastAsia="Times New Roman"/>
          <w:szCs w:val="24"/>
        </w:rPr>
      </w:pPr>
      <w:r>
        <w:rPr>
          <w:rFonts w:cs="Times New Roman" w:eastAsia="Times New Roman"/>
          <w:b/>
          <w:bCs/>
          <w:color w:val="000000"/>
          <w:szCs w:val="24"/>
        </w:rPr>
        <w:t>Legal factor </w:t>
      </w:r>
    </w:p>
    <w:p>
      <w:pPr>
        <w:pStyle w:val="style179"/>
        <w:numPr>
          <w:ilvl w:val="0"/>
          <w:numId w:val="17"/>
        </w:numPr>
        <w:spacing w:after="0"/>
        <w:jc w:val="both"/>
        <w:rPr>
          <w:rFonts w:cs="Times New Roman" w:eastAsia="Times New Roman"/>
          <w:b/>
          <w:bCs/>
          <w:i/>
          <w:iCs/>
          <w:szCs w:val="24"/>
        </w:rPr>
      </w:pPr>
      <w:r>
        <w:rPr>
          <w:rFonts w:cs="Times New Roman" w:eastAsia="Times New Roman"/>
          <w:b/>
          <w:bCs/>
          <w:i/>
          <w:iCs/>
          <w:color w:val="000000"/>
          <w:szCs w:val="24"/>
        </w:rPr>
        <w:t>Tax burden </w:t>
      </w:r>
    </w:p>
    <w:p>
      <w:pPr>
        <w:pStyle w:val="style0"/>
        <w:spacing w:after="0"/>
        <w:jc w:val="both"/>
        <w:rPr>
          <w:rFonts w:cs="Times New Roman" w:eastAsia="Times New Roman"/>
          <w:szCs w:val="24"/>
        </w:rPr>
      </w:pPr>
      <w:r>
        <w:rPr>
          <w:rFonts w:cs="Times New Roman" w:eastAsia="Times New Roman"/>
          <w:color w:val="000000"/>
          <w:szCs w:val="24"/>
        </w:rPr>
        <w:t xml:space="preserve">The UK government imposes a 65.4% tax burden, which is comparatively higher than the other developing countries (Heritage, 2023). A high tax burden may also disrupt the performance of Sainsbury's. </w:t>
      </w:r>
      <w:r>
        <w:rPr>
          <w:rFonts w:cs="Times New Roman" w:eastAsia="Times New Roman"/>
          <w:color w:val="000000"/>
          <w:szCs w:val="24"/>
        </w:rPr>
        <w:t>(</w:t>
      </w:r>
      <w:r>
        <w:rPr>
          <w:rFonts w:cs="Times New Roman" w:eastAsia="Times New Roman"/>
          <w:color w:val="000000"/>
          <w:szCs w:val="24"/>
        </w:rPr>
        <w:t>unfavourable</w:t>
      </w:r>
      <w:r>
        <w:rPr>
          <w:rFonts w:cs="Times New Roman" w:eastAsia="Times New Roman"/>
          <w:color w:val="000000"/>
          <w:szCs w:val="24"/>
        </w:rPr>
        <w:t>)</w:t>
      </w:r>
    </w:p>
    <w:p>
      <w:pPr>
        <w:pStyle w:val="style179"/>
        <w:numPr>
          <w:ilvl w:val="0"/>
          <w:numId w:val="17"/>
        </w:numPr>
        <w:spacing w:after="0"/>
        <w:jc w:val="both"/>
        <w:rPr>
          <w:rFonts w:cs="Times New Roman" w:eastAsia="Times New Roman"/>
          <w:b/>
          <w:bCs/>
          <w:i/>
          <w:iCs/>
          <w:szCs w:val="24"/>
        </w:rPr>
      </w:pPr>
      <w:r>
        <w:rPr>
          <w:rFonts w:cs="Times New Roman" w:eastAsia="Times New Roman"/>
          <w:b/>
          <w:bCs/>
          <w:i/>
          <w:iCs/>
          <w:color w:val="000000"/>
          <w:szCs w:val="24"/>
        </w:rPr>
        <w:t>Foreign market regulations </w:t>
      </w:r>
    </w:p>
    <w:p>
      <w:pPr>
        <w:pStyle w:val="style0"/>
        <w:spacing w:after="0"/>
        <w:jc w:val="both"/>
        <w:rPr>
          <w:rFonts w:cs="Times New Roman" w:eastAsia="Times New Roman"/>
          <w:szCs w:val="24"/>
        </w:rPr>
      </w:pPr>
      <w:r>
        <w:rPr>
          <w:rFonts w:cs="Times New Roman" w:eastAsia="Times New Roman"/>
          <w:color w:val="000000"/>
          <w:szCs w:val="24"/>
        </w:rPr>
        <w:t xml:space="preserve">The restrictions in the foreign market expansion due to the political unrest in the UK have also increased legal complexities for the multinational operations of Sainsbury's. </w:t>
      </w:r>
      <w:r>
        <w:rPr>
          <w:rFonts w:cs="Times New Roman" w:eastAsia="Times New Roman"/>
          <w:color w:val="000000"/>
          <w:szCs w:val="24"/>
        </w:rPr>
        <w:t>(</w:t>
      </w:r>
      <w:r>
        <w:rPr>
          <w:rFonts w:cs="Times New Roman" w:eastAsia="Times New Roman"/>
          <w:color w:val="000000"/>
          <w:szCs w:val="24"/>
        </w:rPr>
        <w:t>favourable</w:t>
      </w:r>
      <w:r>
        <w:rPr>
          <w:rFonts w:cs="Times New Roman" w:eastAsia="Times New Roman"/>
          <w:color w:val="000000"/>
          <w:szCs w:val="24"/>
        </w:rPr>
        <w:t>)</w:t>
      </w:r>
    </w:p>
    <w:p>
      <w:pPr>
        <w:pStyle w:val="style0"/>
        <w:spacing w:after="0"/>
        <w:jc w:val="both"/>
        <w:rPr>
          <w:rFonts w:cs="Times New Roman" w:eastAsia="Times New Roman"/>
          <w:szCs w:val="24"/>
        </w:rPr>
      </w:pPr>
      <w:r>
        <w:rPr>
          <w:rFonts w:cs="Times New Roman" w:eastAsia="Times New Roman"/>
          <w:b/>
          <w:bCs/>
          <w:color w:val="000000"/>
          <w:szCs w:val="24"/>
        </w:rPr>
        <w:t>Environmental factor </w:t>
      </w:r>
    </w:p>
    <w:p>
      <w:pPr>
        <w:pStyle w:val="style179"/>
        <w:numPr>
          <w:ilvl w:val="0"/>
          <w:numId w:val="16"/>
        </w:numPr>
        <w:spacing w:after="0"/>
        <w:jc w:val="both"/>
        <w:rPr>
          <w:rFonts w:cs="Times New Roman" w:eastAsia="Times New Roman"/>
          <w:b/>
          <w:bCs/>
          <w:i/>
          <w:iCs/>
          <w:szCs w:val="24"/>
        </w:rPr>
      </w:pPr>
      <w:r>
        <w:rPr>
          <w:rFonts w:cs="Times New Roman" w:eastAsia="Times New Roman"/>
          <w:b/>
          <w:bCs/>
          <w:i/>
          <w:iCs/>
          <w:color w:val="000000"/>
          <w:szCs w:val="24"/>
        </w:rPr>
        <w:t>Sustainability issue </w:t>
      </w:r>
    </w:p>
    <w:p>
      <w:pPr>
        <w:pStyle w:val="style0"/>
        <w:spacing w:after="0"/>
        <w:jc w:val="both"/>
        <w:rPr>
          <w:rFonts w:cs="Times New Roman" w:eastAsia="Times New Roman"/>
          <w:szCs w:val="24"/>
        </w:rPr>
      </w:pPr>
      <w:r>
        <w:rPr>
          <w:rFonts w:cs="Times New Roman" w:eastAsia="Times New Roman"/>
          <w:color w:val="000000"/>
          <w:szCs w:val="24"/>
        </w:rPr>
        <w:t xml:space="preserve">Environmental sustainability concerns are prevalent due to increased challenges in environmental well-being maintenance (Caldera, Desha, and Dawes, 2019). Operations of Sainsbury's can be disrupted if it avoids its responsibility to maintain environmental well-being. </w:t>
      </w:r>
      <w:r>
        <w:rPr>
          <w:rFonts w:cs="Times New Roman" w:eastAsia="Times New Roman"/>
          <w:color w:val="000000"/>
          <w:szCs w:val="24"/>
        </w:rPr>
        <w:t>(</w:t>
      </w:r>
      <w:r>
        <w:rPr>
          <w:rFonts w:cs="Times New Roman" w:eastAsia="Times New Roman"/>
          <w:color w:val="000000"/>
          <w:szCs w:val="24"/>
        </w:rPr>
        <w:t>unfavourable</w:t>
      </w:r>
      <w:r>
        <w:rPr>
          <w:rFonts w:cs="Times New Roman" w:eastAsia="Times New Roman"/>
          <w:color w:val="000000"/>
          <w:szCs w:val="24"/>
        </w:rPr>
        <w:t>)</w:t>
      </w:r>
    </w:p>
    <w:p>
      <w:pPr>
        <w:pStyle w:val="style179"/>
        <w:numPr>
          <w:ilvl w:val="0"/>
          <w:numId w:val="16"/>
        </w:numPr>
        <w:spacing w:after="0"/>
        <w:jc w:val="both"/>
        <w:rPr>
          <w:rFonts w:cs="Times New Roman" w:eastAsia="Times New Roman"/>
          <w:b/>
          <w:bCs/>
          <w:i/>
          <w:iCs/>
          <w:szCs w:val="24"/>
        </w:rPr>
      </w:pPr>
      <w:r>
        <w:rPr>
          <w:rFonts w:cs="Times New Roman" w:eastAsia="Times New Roman"/>
          <w:b/>
          <w:bCs/>
          <w:i/>
          <w:iCs/>
          <w:color w:val="000000"/>
          <w:szCs w:val="24"/>
        </w:rPr>
        <w:t>Growing carbon footprint </w:t>
      </w:r>
    </w:p>
    <w:p>
      <w:pPr>
        <w:pStyle w:val="style0"/>
        <w:spacing w:after="0"/>
        <w:jc w:val="both"/>
        <w:rPr>
          <w:rFonts w:cs="Times New Roman" w:eastAsia="Times New Roman"/>
          <w:szCs w:val="24"/>
        </w:rPr>
      </w:pPr>
      <w:r>
        <w:rPr>
          <w:rFonts w:cs="Times New Roman" w:eastAsia="Times New Roman"/>
          <w:color w:val="000000"/>
          <w:szCs w:val="24"/>
        </w:rPr>
        <w:t xml:space="preserve">The carbon emissions through retail operations also developed the concerns of maintaining environmental well-being. Sainsbury's may face challenges in ensuring low carbon emissions. Responsible decisions of the company may help to address environmental concerns. </w:t>
      </w:r>
      <w:r>
        <w:rPr>
          <w:rFonts w:cs="Times New Roman" w:eastAsia="Times New Roman"/>
          <w:color w:val="000000"/>
          <w:szCs w:val="24"/>
        </w:rPr>
        <w:t>(</w:t>
      </w:r>
      <w:r>
        <w:rPr>
          <w:rFonts w:cs="Times New Roman" w:eastAsia="Times New Roman"/>
          <w:color w:val="000000"/>
          <w:szCs w:val="24"/>
        </w:rPr>
        <w:t>unfavourable</w:t>
      </w:r>
      <w:r>
        <w:rPr>
          <w:rFonts w:cs="Times New Roman" w:eastAsia="Times New Roman"/>
          <w:color w:val="000000"/>
          <w:szCs w:val="24"/>
        </w:rPr>
        <w:t>)</w:t>
      </w:r>
    </w:p>
    <w:bookmarkStart w:id="2" w:name="_Toc144146167"/>
    <w:p>
      <w:pPr>
        <w:pStyle w:val="style1"/>
        <w:rPr/>
      </w:pPr>
      <w:r>
        <w:t>3. Porter 5 Forces Analysis</w:t>
      </w:r>
      <w:bookmarkEnd w:id="2"/>
      <w:r>
        <w:t> </w:t>
      </w:r>
    </w:p>
    <w:p>
      <w:pPr>
        <w:pStyle w:val="style0"/>
        <w:spacing w:after="0"/>
        <w:jc w:val="both"/>
        <w:rPr>
          <w:rFonts w:cs="Times New Roman" w:eastAsia="Times New Roman"/>
          <w:szCs w:val="24"/>
        </w:rPr>
      </w:pPr>
      <w:r>
        <w:rPr>
          <w:rFonts w:cs="Times New Roman" w:eastAsia="Times New Roman"/>
          <w:color w:val="000000"/>
          <w:szCs w:val="24"/>
        </w:rPr>
        <w:t xml:space="preserve">The competitive forces explained in Porter's Five Forces framework help to assess how the forces control a company's performance. The five underlying forces concerning Sainsbury's performance in the competitive market will be described. </w:t>
      </w:r>
    </w:p>
    <w:p>
      <w:pPr>
        <w:pStyle w:val="style179"/>
        <w:numPr>
          <w:ilvl w:val="0"/>
          <w:numId w:val="15"/>
        </w:numPr>
        <w:spacing w:after="0"/>
        <w:jc w:val="both"/>
        <w:rPr>
          <w:rFonts w:cs="Times New Roman" w:eastAsia="Times New Roman"/>
          <w:szCs w:val="24"/>
        </w:rPr>
      </w:pPr>
      <w:r>
        <w:rPr>
          <w:rFonts w:cs="Times New Roman" w:eastAsia="Times New Roman"/>
          <w:color w:val="000000"/>
          <w:szCs w:val="24"/>
        </w:rPr>
        <w:t>Bargaining power of buyers </w:t>
      </w:r>
    </w:p>
    <w:p>
      <w:pPr>
        <w:pStyle w:val="style179"/>
        <w:numPr>
          <w:ilvl w:val="0"/>
          <w:numId w:val="15"/>
        </w:numPr>
        <w:spacing w:after="0"/>
        <w:jc w:val="both"/>
        <w:rPr>
          <w:rFonts w:cs="Times New Roman" w:eastAsia="Times New Roman"/>
          <w:szCs w:val="24"/>
        </w:rPr>
      </w:pPr>
      <w:r>
        <w:rPr>
          <w:rFonts w:cs="Times New Roman" w:eastAsia="Times New Roman"/>
          <w:color w:val="000000"/>
          <w:szCs w:val="24"/>
        </w:rPr>
        <w:t>Bargaining power of suppliers </w:t>
      </w:r>
    </w:p>
    <w:p>
      <w:pPr>
        <w:pStyle w:val="style179"/>
        <w:numPr>
          <w:ilvl w:val="0"/>
          <w:numId w:val="15"/>
        </w:numPr>
        <w:spacing w:after="0"/>
        <w:jc w:val="both"/>
        <w:rPr>
          <w:rFonts w:cs="Times New Roman" w:eastAsia="Times New Roman"/>
          <w:szCs w:val="24"/>
        </w:rPr>
      </w:pPr>
      <w:r>
        <w:rPr>
          <w:rFonts w:cs="Times New Roman" w:eastAsia="Times New Roman"/>
          <w:color w:val="000000"/>
          <w:szCs w:val="24"/>
        </w:rPr>
        <w:t>Competitive rivalry </w:t>
      </w:r>
    </w:p>
    <w:p>
      <w:pPr>
        <w:pStyle w:val="style179"/>
        <w:numPr>
          <w:ilvl w:val="0"/>
          <w:numId w:val="15"/>
        </w:numPr>
        <w:spacing w:after="0"/>
        <w:jc w:val="both"/>
        <w:rPr>
          <w:rFonts w:cs="Times New Roman" w:eastAsia="Times New Roman"/>
          <w:szCs w:val="24"/>
        </w:rPr>
      </w:pPr>
      <w:r>
        <w:rPr>
          <w:rFonts w:cs="Times New Roman" w:eastAsia="Times New Roman"/>
          <w:color w:val="000000"/>
          <w:szCs w:val="24"/>
        </w:rPr>
        <w:t>Threat of substitution </w:t>
      </w:r>
    </w:p>
    <w:p>
      <w:pPr>
        <w:pStyle w:val="style179"/>
        <w:numPr>
          <w:ilvl w:val="0"/>
          <w:numId w:val="15"/>
        </w:numPr>
        <w:spacing w:after="0"/>
        <w:jc w:val="both"/>
        <w:rPr>
          <w:rFonts w:cs="Times New Roman" w:eastAsia="Times New Roman"/>
          <w:szCs w:val="24"/>
        </w:rPr>
      </w:pPr>
      <w:r>
        <w:rPr>
          <w:rFonts w:cs="Times New Roman" w:eastAsia="Times New Roman"/>
          <w:color w:val="000000"/>
          <w:szCs w:val="24"/>
        </w:rPr>
        <w:t xml:space="preserve">The threat of new entrants </w:t>
      </w:r>
    </w:p>
    <w:p>
      <w:pPr>
        <w:pStyle w:val="style0"/>
        <w:jc w:val="center"/>
        <w:rPr>
          <w:rFonts w:cs="Times New Roman"/>
          <w:szCs w:val="24"/>
        </w:rPr>
      </w:pPr>
      <w:r>
        <w:rPr>
          <w:rFonts w:cs="Times New Roman"/>
          <w:noProof/>
          <w:szCs w:val="24"/>
        </w:rPr>
        <w:drawing>
          <wp:inline distL="0" distT="0" distB="0" distR="0">
            <wp:extent cx="3203052" cy="2990850"/>
            <wp:effectExtent l="19050" t="0" r="0" b="0"/>
            <wp:docPr id="1028" name="Picture 1" descr="Free Editable Five Forces Diagram Examples | EdrawMax Online"/>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srcRect l="0" t="0" r="0" b="0"/>
                    <a:stretch/>
                  </pic:blipFill>
                  <pic:spPr>
                    <a:xfrm rot="0">
                      <a:off x="0" y="0"/>
                      <a:ext cx="3203052" cy="2990850"/>
                    </a:xfrm>
                    <a:prstGeom prst="rect"/>
                    <a:ln>
                      <a:noFill/>
                    </a:ln>
                  </pic:spPr>
                </pic:pic>
              </a:graphicData>
            </a:graphic>
          </wp:inline>
        </w:drawing>
      </w:r>
    </w:p>
    <w:p>
      <w:pPr>
        <w:pStyle w:val="style0"/>
        <w:jc w:val="center"/>
        <w:rPr>
          <w:rFonts w:cs="Times New Roman"/>
          <w:b/>
          <w:i/>
          <w:szCs w:val="24"/>
        </w:rPr>
      </w:pPr>
      <w:r>
        <w:rPr>
          <w:rFonts w:cs="Times New Roman"/>
          <w:b/>
          <w:i/>
          <w:szCs w:val="24"/>
        </w:rPr>
        <w:t>Figure 2: Porter’s Five Forces</w:t>
      </w:r>
    </w:p>
    <w:p>
      <w:pPr>
        <w:pStyle w:val="style0"/>
        <w:jc w:val="center"/>
        <w:rPr>
          <w:rFonts w:cs="Times New Roman"/>
          <w:b/>
          <w:i/>
          <w:szCs w:val="24"/>
        </w:rPr>
      </w:pPr>
      <w:r>
        <w:rPr>
          <w:rFonts w:cs="Times New Roman"/>
          <w:b/>
          <w:i/>
          <w:szCs w:val="24"/>
        </w:rPr>
        <w:t>Source: (</w:t>
      </w:r>
      <w:r>
        <w:rPr>
          <w:rFonts w:cs="Times New Roman"/>
          <w:b/>
          <w:i/>
          <w:color w:val="222222"/>
          <w:szCs w:val="24"/>
          <w:shd w:val="clear" w:color="auto" w:fill="ffffff"/>
        </w:rPr>
        <w:t>Edrawmax, 2023</w:t>
      </w:r>
      <w:r>
        <w:rPr>
          <w:rFonts w:cs="Times New Roman"/>
          <w:b/>
          <w:i/>
          <w:szCs w:val="24"/>
        </w:rPr>
        <w:t>)</w:t>
      </w:r>
    </w:p>
    <w:p>
      <w:pPr>
        <w:pStyle w:val="style179"/>
        <w:numPr>
          <w:ilvl w:val="0"/>
          <w:numId w:val="14"/>
        </w:numPr>
        <w:spacing w:after="0"/>
        <w:jc w:val="both"/>
        <w:rPr>
          <w:rFonts w:cs="Times New Roman" w:eastAsia="Times New Roman"/>
          <w:szCs w:val="24"/>
        </w:rPr>
      </w:pPr>
      <w:r>
        <w:rPr>
          <w:rFonts w:cs="Times New Roman" w:eastAsia="Times New Roman"/>
          <w:b/>
          <w:bCs/>
          <w:color w:val="000000"/>
          <w:szCs w:val="24"/>
        </w:rPr>
        <w:t>Bargaining power of buyers</w:t>
      </w:r>
      <w:r>
        <w:rPr>
          <w:rFonts w:cs="Times New Roman" w:eastAsia="Times New Roman"/>
          <w:color w:val="000000"/>
          <w:szCs w:val="24"/>
        </w:rPr>
        <w:t> </w:t>
      </w:r>
    </w:p>
    <w:p>
      <w:pPr>
        <w:pStyle w:val="style0"/>
        <w:spacing w:after="0"/>
        <w:jc w:val="both"/>
        <w:rPr>
          <w:rFonts w:cs="Times New Roman" w:eastAsia="Times New Roman"/>
          <w:szCs w:val="24"/>
        </w:rPr>
      </w:pPr>
      <w:r>
        <w:rPr>
          <w:rFonts w:cs="Times New Roman" w:eastAsia="Times New Roman"/>
          <w:color w:val="000000"/>
          <w:szCs w:val="24"/>
        </w:rPr>
        <w:t xml:space="preserve">Customers in the UK can access retail products from multiple supermarkets. The availability of products in the retail market increased the bargaining power of buyers. Sainsbury's attracts customers with discounts, freebies, and festival offers that help it obtain profit by increasing the market demand. </w:t>
      </w:r>
      <w:r>
        <w:rPr>
          <w:rFonts w:cs="Times New Roman" w:eastAsia="Times New Roman"/>
          <w:color w:val="000000"/>
          <w:szCs w:val="24"/>
          <w:u w:val="single"/>
        </w:rPr>
        <w:t>However, the bargaining power of buyers is high, which controls the company's competitive position in the market.</w:t>
      </w:r>
      <w:r>
        <w:rPr>
          <w:rFonts w:cs="Times New Roman" w:eastAsia="Times New Roman"/>
          <w:color w:val="000000"/>
          <w:szCs w:val="24"/>
        </w:rPr>
        <w:t xml:space="preserve"> </w:t>
      </w:r>
    </w:p>
    <w:p>
      <w:pPr>
        <w:pStyle w:val="style179"/>
        <w:numPr>
          <w:ilvl w:val="0"/>
          <w:numId w:val="14"/>
        </w:numPr>
        <w:spacing w:after="0"/>
        <w:jc w:val="both"/>
        <w:rPr>
          <w:rFonts w:cs="Times New Roman" w:eastAsia="Times New Roman"/>
          <w:szCs w:val="24"/>
        </w:rPr>
      </w:pPr>
      <w:r>
        <w:rPr>
          <w:rFonts w:cs="Times New Roman" w:eastAsia="Times New Roman"/>
          <w:b/>
          <w:bCs/>
          <w:color w:val="000000"/>
          <w:szCs w:val="24"/>
        </w:rPr>
        <w:t>Bargaining power of suppliers </w:t>
      </w:r>
    </w:p>
    <w:p>
      <w:pPr>
        <w:pStyle w:val="style0"/>
        <w:spacing w:after="0"/>
        <w:jc w:val="both"/>
        <w:rPr>
          <w:rFonts w:cs="Times New Roman" w:eastAsia="Times New Roman"/>
          <w:szCs w:val="24"/>
          <w:u w:val="single"/>
        </w:rPr>
      </w:pPr>
      <w:r>
        <w:rPr>
          <w:rFonts w:cs="Times New Roman" w:eastAsia="Times New Roman"/>
          <w:color w:val="000000"/>
          <w:szCs w:val="24"/>
        </w:rPr>
        <w:t xml:space="preserve">UK retail companies' suppliers are connected from domestic and international regions. The domestic suppliers of Sainsbury's help it to control prices due to the availability of resources, which reduces its bargaining power. </w:t>
      </w:r>
      <w:r>
        <w:rPr>
          <w:rFonts w:cs="Times New Roman" w:eastAsia="Times New Roman"/>
          <w:color w:val="000000"/>
          <w:szCs w:val="24"/>
          <w:u w:val="single"/>
        </w:rPr>
        <w:t xml:space="preserve">The global integration with suppliers while operating as a multinational retail company also helped Sainsbury's reduce suppliers' bargaining power. Therefore, the suppliers have low bargaining power. </w:t>
      </w:r>
    </w:p>
    <w:p>
      <w:pPr>
        <w:pStyle w:val="style179"/>
        <w:numPr>
          <w:ilvl w:val="0"/>
          <w:numId w:val="14"/>
        </w:numPr>
        <w:spacing w:after="0"/>
        <w:jc w:val="both"/>
        <w:rPr>
          <w:rFonts w:cs="Times New Roman" w:eastAsia="Times New Roman"/>
          <w:szCs w:val="24"/>
        </w:rPr>
      </w:pPr>
      <w:r>
        <w:rPr>
          <w:rFonts w:cs="Times New Roman" w:eastAsia="Times New Roman"/>
          <w:b/>
          <w:bCs/>
          <w:color w:val="000000"/>
          <w:szCs w:val="24"/>
        </w:rPr>
        <w:t>Competitive rivalry </w:t>
      </w:r>
    </w:p>
    <w:p>
      <w:pPr>
        <w:pStyle w:val="style0"/>
        <w:spacing w:after="0"/>
        <w:jc w:val="both"/>
        <w:rPr>
          <w:rFonts w:cs="Times New Roman" w:eastAsia="Times New Roman"/>
          <w:szCs w:val="24"/>
          <w:u w:val="single"/>
        </w:rPr>
      </w:pPr>
      <w:r>
        <w:rPr>
          <w:rFonts w:cs="Times New Roman" w:eastAsia="Times New Roman"/>
          <w:color w:val="000000"/>
          <w:szCs w:val="24"/>
        </w:rPr>
        <w:t xml:space="preserve">The competition in the market influences the position of brands (Tang and Tsang, 2020). The intense rivalry in the retail industry increases challenges for Sainsbury's to maintain a strong position. </w:t>
      </w:r>
      <w:r>
        <w:rPr>
          <w:rFonts w:cs="Times New Roman" w:eastAsia="Times New Roman"/>
          <w:color w:val="000000"/>
          <w:szCs w:val="24"/>
          <w:u w:val="single"/>
        </w:rPr>
        <w:t xml:space="preserve">Multiple supermarkets in the UK also increase the threat for Sainsbury's to tackle the competitive rivalry. The </w:t>
      </w:r>
      <w:r>
        <w:rPr>
          <w:rFonts w:cs="Times New Roman" w:eastAsia="Times New Roman"/>
          <w:color w:val="000000"/>
          <w:szCs w:val="24"/>
          <w:u w:val="single"/>
        </w:rPr>
        <w:t>highly</w:t>
      </w:r>
      <w:r>
        <w:rPr>
          <w:rFonts w:cs="Times New Roman" w:eastAsia="Times New Roman"/>
          <w:color w:val="000000"/>
          <w:szCs w:val="24"/>
          <w:u w:val="single"/>
        </w:rPr>
        <w:t xml:space="preserve"> competitive rivalry controls the company's position. </w:t>
      </w:r>
    </w:p>
    <w:p>
      <w:pPr>
        <w:pStyle w:val="style179"/>
        <w:numPr>
          <w:ilvl w:val="0"/>
          <w:numId w:val="14"/>
        </w:numPr>
        <w:spacing w:after="0"/>
        <w:jc w:val="both"/>
        <w:rPr>
          <w:rFonts w:cs="Times New Roman" w:eastAsia="Times New Roman"/>
          <w:szCs w:val="24"/>
        </w:rPr>
      </w:pPr>
      <w:r>
        <w:rPr>
          <w:rFonts w:cs="Times New Roman" w:eastAsia="Times New Roman"/>
          <w:b/>
          <w:bCs/>
          <w:color w:val="000000"/>
          <w:szCs w:val="24"/>
        </w:rPr>
        <w:t>Threat of substitution </w:t>
      </w:r>
    </w:p>
    <w:p>
      <w:pPr>
        <w:pStyle w:val="style0"/>
        <w:spacing w:after="0"/>
        <w:jc w:val="both"/>
        <w:rPr>
          <w:rFonts w:cs="Times New Roman" w:eastAsia="Times New Roman"/>
          <w:szCs w:val="24"/>
          <w:u w:val="single"/>
        </w:rPr>
      </w:pPr>
      <w:r>
        <w:rPr>
          <w:rFonts w:cs="Times New Roman" w:eastAsia="Times New Roman"/>
          <w:color w:val="000000"/>
          <w:szCs w:val="24"/>
        </w:rPr>
        <w:t xml:space="preserve">The alternative retail companies in the UK market, such as Tesco Plc, Aldi, ASDA, and Amazon, also influence the company's retail operations. The substitution can be possible if Sainsbury's fails to retain its customers. </w:t>
      </w:r>
      <w:r>
        <w:rPr>
          <w:rFonts w:cs="Times New Roman" w:eastAsia="Times New Roman"/>
          <w:color w:val="000000"/>
          <w:szCs w:val="24"/>
          <w:u w:val="single"/>
        </w:rPr>
        <w:t xml:space="preserve">The company faces competitive challenges from the global players, which also deteriorates its capacity to influence customers. Therefore, the threat of substitution is high. </w:t>
      </w:r>
    </w:p>
    <w:p>
      <w:pPr>
        <w:pStyle w:val="style179"/>
        <w:numPr>
          <w:ilvl w:val="0"/>
          <w:numId w:val="14"/>
        </w:numPr>
        <w:spacing w:after="0"/>
        <w:jc w:val="both"/>
        <w:rPr>
          <w:rFonts w:cs="Times New Roman" w:eastAsia="Times New Roman"/>
          <w:szCs w:val="24"/>
        </w:rPr>
      </w:pPr>
      <w:r>
        <w:rPr>
          <w:rFonts w:cs="Times New Roman" w:eastAsia="Times New Roman"/>
          <w:b/>
          <w:bCs/>
          <w:color w:val="000000"/>
          <w:szCs w:val="24"/>
        </w:rPr>
        <w:t>The threat of new entrants</w:t>
      </w:r>
    </w:p>
    <w:p>
      <w:pPr>
        <w:pStyle w:val="style0"/>
        <w:spacing w:after="0"/>
        <w:jc w:val="both"/>
        <w:rPr>
          <w:rFonts w:cs="Times New Roman" w:eastAsia="Times New Roman"/>
          <w:szCs w:val="24"/>
          <w:u w:val="single"/>
        </w:rPr>
      </w:pPr>
      <w:r>
        <w:rPr>
          <w:rFonts w:cs="Times New Roman" w:eastAsia="Times New Roman"/>
          <w:color w:val="000000"/>
          <w:szCs w:val="24"/>
        </w:rPr>
        <w:t xml:space="preserve">The new entrants in the market require time to grow and acquire a customer base. The long-standing position of Sainsbury's may withstand the threat from the new entrants. </w:t>
      </w:r>
      <w:r>
        <w:rPr>
          <w:rFonts w:cs="Times New Roman" w:eastAsia="Times New Roman"/>
          <w:color w:val="000000"/>
          <w:szCs w:val="24"/>
          <w:u w:val="single"/>
        </w:rPr>
        <w:t xml:space="preserve">The economic stability of Sainsbury's encourages it for high-level investments. The new entrants have low economic stability. The threat of new entrants is low. </w:t>
      </w:r>
    </w:p>
    <w:bookmarkStart w:id="3" w:name="_Toc144146168"/>
    <w:p>
      <w:pPr>
        <w:pStyle w:val="style1"/>
        <w:rPr/>
      </w:pPr>
      <w:r>
        <w:t>4. SWOT Analysis of Sainsbury's</w:t>
      </w:r>
      <w:bookmarkEnd w:id="3"/>
      <w:r>
        <w:t> </w:t>
      </w:r>
    </w:p>
    <w:bookmarkStart w:id="4" w:name="_Toc144146169"/>
    <w:p>
      <w:pPr>
        <w:pStyle w:val="style2"/>
        <w:rPr/>
      </w:pPr>
      <w:r>
        <w:t>4.1 S</w:t>
      </w:r>
      <w:r>
        <w:t>WOT</w:t>
      </w:r>
      <w:r>
        <w:t xml:space="preserve"> </w:t>
      </w:r>
      <w:r>
        <w:t>Analysis</w:t>
      </w:r>
      <w:bookmarkEnd w:id="4"/>
    </w:p>
    <w:tbl>
      <w:tblPr>
        <w:tblStyle w:val="style248"/>
        <w:tblW w:w="9360" w:type="dxa"/>
        <w:tblLook w:val="04A0" w:firstRow="1" w:lastRow="0" w:firstColumn="1" w:lastColumn="0" w:noHBand="0" w:noVBand="1"/>
      </w:tblPr>
      <w:tblGrid>
        <w:gridCol w:w="1781"/>
        <w:gridCol w:w="3078"/>
        <w:gridCol w:w="1852"/>
        <w:gridCol w:w="2649"/>
      </w:tblGrid>
      <w:tr>
        <w:trPr/>
        <w:tc>
          <w:tcPr>
            <w:tcW w:w="0" w:type="auto"/>
            <w:tcBorders/>
            <w:hideMark/>
          </w:tcPr>
          <w:p>
            <w:pPr>
              <w:pStyle w:val="style0"/>
              <w:jc w:val="both"/>
              <w:rPr>
                <w:rFonts w:cs="Times New Roman" w:eastAsia="Times New Roman"/>
                <w:szCs w:val="24"/>
              </w:rPr>
            </w:pPr>
            <w:r>
              <w:rPr>
                <w:rFonts w:cs="Times New Roman" w:eastAsia="Times New Roman"/>
                <w:color w:val="000000"/>
                <w:szCs w:val="24"/>
              </w:rPr>
              <w:t>Strengths</w:t>
            </w:r>
          </w:p>
        </w:tc>
        <w:tc>
          <w:tcPr>
            <w:tcW w:w="0" w:type="auto"/>
            <w:tcBorders/>
            <w:hideMark/>
          </w:tcPr>
          <w:p>
            <w:pPr>
              <w:pStyle w:val="style0"/>
              <w:jc w:val="both"/>
              <w:rPr>
                <w:rFonts w:cs="Times New Roman" w:eastAsia="Times New Roman"/>
                <w:szCs w:val="24"/>
              </w:rPr>
            </w:pPr>
            <w:r>
              <w:rPr>
                <w:rFonts w:cs="Times New Roman" w:eastAsia="Times New Roman"/>
                <w:color w:val="000000"/>
                <w:szCs w:val="24"/>
              </w:rPr>
              <w:t>Weaknesses</w:t>
            </w:r>
          </w:p>
        </w:tc>
        <w:tc>
          <w:tcPr>
            <w:tcW w:w="0" w:type="auto"/>
            <w:tcBorders/>
            <w:hideMark/>
          </w:tcPr>
          <w:p>
            <w:pPr>
              <w:pStyle w:val="style0"/>
              <w:jc w:val="both"/>
              <w:rPr>
                <w:rFonts w:cs="Times New Roman" w:eastAsia="Times New Roman"/>
                <w:szCs w:val="24"/>
              </w:rPr>
            </w:pPr>
            <w:r>
              <w:rPr>
                <w:rFonts w:cs="Times New Roman" w:eastAsia="Times New Roman"/>
                <w:color w:val="000000"/>
                <w:szCs w:val="24"/>
              </w:rPr>
              <w:t>Opportunities</w:t>
            </w:r>
          </w:p>
        </w:tc>
        <w:tc>
          <w:tcPr>
            <w:tcW w:w="0" w:type="auto"/>
            <w:tcBorders/>
            <w:hideMark/>
          </w:tcPr>
          <w:p>
            <w:pPr>
              <w:pStyle w:val="style0"/>
              <w:jc w:val="both"/>
              <w:rPr>
                <w:rFonts w:cs="Times New Roman" w:eastAsia="Times New Roman"/>
                <w:szCs w:val="24"/>
              </w:rPr>
            </w:pPr>
            <w:r>
              <w:rPr>
                <w:rFonts w:cs="Times New Roman" w:eastAsia="Times New Roman"/>
                <w:color w:val="000000"/>
                <w:szCs w:val="24"/>
              </w:rPr>
              <w:t>Threats </w:t>
            </w:r>
          </w:p>
        </w:tc>
      </w:tr>
      <w:tr>
        <w:tblPrEx/>
        <w:trPr/>
        <w:tc>
          <w:tcPr>
            <w:tcW w:w="0" w:type="auto"/>
            <w:tcBorders/>
            <w:hideMark/>
          </w:tcPr>
          <w:p>
            <w:pPr>
              <w:pStyle w:val="style0"/>
              <w:jc w:val="both"/>
              <w:rPr>
                <w:rFonts w:cs="Times New Roman" w:eastAsia="Times New Roman"/>
                <w:szCs w:val="24"/>
              </w:rPr>
            </w:pPr>
            <w:r>
              <w:rPr>
                <w:rFonts w:cs="Times New Roman" w:eastAsia="Times New Roman"/>
                <w:color w:val="000000"/>
                <w:szCs w:val="24"/>
              </w:rPr>
              <w:t>Brand position </w:t>
            </w:r>
          </w:p>
        </w:tc>
        <w:tc>
          <w:tcPr>
            <w:tcW w:w="0" w:type="auto"/>
            <w:tcBorders/>
            <w:hideMark/>
          </w:tcPr>
          <w:p>
            <w:pPr>
              <w:pStyle w:val="style0"/>
              <w:jc w:val="both"/>
              <w:rPr>
                <w:rFonts w:cs="Times New Roman" w:eastAsia="Times New Roman"/>
                <w:szCs w:val="24"/>
              </w:rPr>
            </w:pPr>
            <w:r>
              <w:rPr>
                <w:rFonts w:cs="Times New Roman" w:eastAsia="Times New Roman"/>
                <w:color w:val="000000"/>
                <w:szCs w:val="24"/>
              </w:rPr>
              <w:t>Unawareness of new technologies</w:t>
            </w:r>
          </w:p>
        </w:tc>
        <w:tc>
          <w:tcPr>
            <w:tcW w:w="0" w:type="auto"/>
            <w:tcBorders/>
            <w:hideMark/>
          </w:tcPr>
          <w:p>
            <w:pPr>
              <w:pStyle w:val="style0"/>
              <w:jc w:val="both"/>
              <w:rPr>
                <w:rFonts w:cs="Times New Roman" w:eastAsia="Times New Roman"/>
                <w:szCs w:val="24"/>
              </w:rPr>
            </w:pPr>
            <w:r>
              <w:rPr>
                <w:rFonts w:cs="Times New Roman" w:eastAsia="Times New Roman"/>
                <w:color w:val="000000"/>
                <w:szCs w:val="24"/>
              </w:rPr>
              <w:t>Online expansion</w:t>
            </w:r>
          </w:p>
        </w:tc>
        <w:tc>
          <w:tcPr>
            <w:tcW w:w="0" w:type="auto"/>
            <w:tcBorders/>
            <w:hideMark/>
          </w:tcPr>
          <w:p>
            <w:pPr>
              <w:pStyle w:val="style0"/>
              <w:jc w:val="both"/>
              <w:rPr>
                <w:rFonts w:cs="Times New Roman" w:eastAsia="Times New Roman"/>
                <w:szCs w:val="24"/>
              </w:rPr>
            </w:pPr>
            <w:r>
              <w:rPr>
                <w:rFonts w:cs="Times New Roman" w:eastAsia="Times New Roman"/>
                <w:color w:val="000000"/>
                <w:szCs w:val="24"/>
              </w:rPr>
              <w:t>Competition</w:t>
            </w:r>
          </w:p>
        </w:tc>
      </w:tr>
      <w:tr>
        <w:tblPrEx/>
        <w:trPr/>
        <w:tc>
          <w:tcPr>
            <w:tcW w:w="0" w:type="auto"/>
            <w:tcBorders/>
            <w:hideMark/>
          </w:tcPr>
          <w:p>
            <w:pPr>
              <w:pStyle w:val="style0"/>
              <w:jc w:val="both"/>
              <w:rPr>
                <w:rFonts w:cs="Times New Roman" w:eastAsia="Times New Roman"/>
                <w:szCs w:val="24"/>
              </w:rPr>
            </w:pPr>
            <w:r>
              <w:rPr>
                <w:rFonts w:cs="Times New Roman" w:eastAsia="Times New Roman"/>
                <w:color w:val="000000"/>
                <w:szCs w:val="24"/>
              </w:rPr>
              <w:t>Customer base </w:t>
            </w:r>
          </w:p>
        </w:tc>
        <w:tc>
          <w:tcPr>
            <w:tcW w:w="0" w:type="auto"/>
            <w:tcBorders/>
            <w:hideMark/>
          </w:tcPr>
          <w:p>
            <w:pPr>
              <w:pStyle w:val="style0"/>
              <w:jc w:val="both"/>
              <w:rPr>
                <w:rFonts w:cs="Times New Roman" w:eastAsia="Times New Roman"/>
                <w:szCs w:val="24"/>
              </w:rPr>
            </w:pPr>
            <w:r>
              <w:rPr>
                <w:rFonts w:cs="Times New Roman" w:eastAsia="Times New Roman"/>
                <w:color w:val="000000"/>
                <w:szCs w:val="24"/>
              </w:rPr>
              <w:t>Lack of workforce </w:t>
            </w:r>
          </w:p>
        </w:tc>
        <w:tc>
          <w:tcPr>
            <w:tcW w:w="0" w:type="auto"/>
            <w:tcBorders/>
            <w:hideMark/>
          </w:tcPr>
          <w:p>
            <w:pPr>
              <w:pStyle w:val="style0"/>
              <w:jc w:val="both"/>
              <w:rPr>
                <w:rFonts w:cs="Times New Roman" w:eastAsia="Times New Roman"/>
                <w:szCs w:val="24"/>
              </w:rPr>
            </w:pPr>
            <w:r>
              <w:rPr>
                <w:rFonts w:cs="Times New Roman" w:eastAsia="Times New Roman"/>
                <w:color w:val="000000"/>
                <w:szCs w:val="24"/>
              </w:rPr>
              <w:t>High profitability</w:t>
            </w:r>
          </w:p>
        </w:tc>
        <w:tc>
          <w:tcPr>
            <w:tcW w:w="0" w:type="auto"/>
            <w:tcBorders/>
            <w:hideMark/>
          </w:tcPr>
          <w:p>
            <w:pPr>
              <w:pStyle w:val="style0"/>
              <w:jc w:val="both"/>
              <w:rPr>
                <w:rFonts w:cs="Times New Roman" w:eastAsia="Times New Roman"/>
                <w:szCs w:val="24"/>
              </w:rPr>
            </w:pPr>
            <w:r>
              <w:rPr>
                <w:rFonts w:cs="Times New Roman" w:eastAsia="Times New Roman"/>
                <w:color w:val="000000"/>
                <w:szCs w:val="24"/>
              </w:rPr>
              <w:t>Changing customer demand </w:t>
            </w:r>
          </w:p>
        </w:tc>
      </w:tr>
      <w:tr>
        <w:tblPrEx/>
        <w:trPr/>
        <w:tc>
          <w:tcPr>
            <w:tcW w:w="0" w:type="auto"/>
            <w:tcBorders/>
            <w:hideMark/>
          </w:tcPr>
          <w:p>
            <w:pPr>
              <w:pStyle w:val="style0"/>
              <w:jc w:val="both"/>
              <w:rPr>
                <w:rFonts w:cs="Times New Roman" w:eastAsia="Times New Roman"/>
                <w:szCs w:val="24"/>
              </w:rPr>
            </w:pPr>
            <w:r>
              <w:rPr>
                <w:rFonts w:cs="Times New Roman" w:eastAsia="Times New Roman"/>
                <w:color w:val="000000"/>
                <w:szCs w:val="24"/>
              </w:rPr>
              <w:t xml:space="preserve">Product Quality </w:t>
            </w:r>
          </w:p>
        </w:tc>
        <w:tc>
          <w:tcPr>
            <w:tcW w:w="0" w:type="auto"/>
            <w:tcBorders/>
            <w:hideMark/>
          </w:tcPr>
          <w:p>
            <w:pPr>
              <w:pStyle w:val="style0"/>
              <w:jc w:val="both"/>
              <w:rPr>
                <w:rFonts w:cs="Times New Roman" w:eastAsia="Times New Roman"/>
                <w:szCs w:val="24"/>
              </w:rPr>
            </w:pPr>
          </w:p>
        </w:tc>
        <w:tc>
          <w:tcPr>
            <w:tcW w:w="0" w:type="auto"/>
            <w:tcBorders/>
            <w:hideMark/>
          </w:tcPr>
          <w:p>
            <w:pPr>
              <w:pStyle w:val="style0"/>
              <w:jc w:val="both"/>
              <w:rPr>
                <w:rFonts w:cs="Times New Roman" w:eastAsia="Times New Roman"/>
                <w:szCs w:val="24"/>
              </w:rPr>
            </w:pPr>
            <w:r>
              <w:rPr>
                <w:rFonts w:cs="Times New Roman" w:eastAsia="Times New Roman"/>
                <w:color w:val="000000"/>
                <w:szCs w:val="24"/>
              </w:rPr>
              <w:t>Global expansion</w:t>
            </w:r>
          </w:p>
        </w:tc>
        <w:tc>
          <w:tcPr>
            <w:tcW w:w="0" w:type="auto"/>
            <w:tcBorders/>
            <w:hideMark/>
          </w:tcPr>
          <w:p>
            <w:pPr>
              <w:pStyle w:val="style0"/>
              <w:jc w:val="both"/>
              <w:rPr>
                <w:rFonts w:cs="Times New Roman" w:eastAsia="Times New Roman"/>
                <w:szCs w:val="24"/>
              </w:rPr>
            </w:pPr>
          </w:p>
        </w:tc>
      </w:tr>
      <w:tr>
        <w:tblPrEx/>
        <w:trPr/>
        <w:tc>
          <w:tcPr>
            <w:tcW w:w="0" w:type="auto"/>
            <w:tcBorders/>
            <w:hideMark/>
          </w:tcPr>
          <w:p>
            <w:pPr>
              <w:pStyle w:val="style0"/>
              <w:jc w:val="both"/>
              <w:rPr>
                <w:rFonts w:cs="Times New Roman" w:eastAsia="Times New Roman"/>
                <w:szCs w:val="24"/>
              </w:rPr>
            </w:pPr>
            <w:r>
              <w:rPr>
                <w:rFonts w:cs="Times New Roman" w:eastAsia="Times New Roman"/>
                <w:color w:val="000000"/>
                <w:szCs w:val="24"/>
              </w:rPr>
              <w:t>Global presence </w:t>
            </w:r>
          </w:p>
        </w:tc>
        <w:tc>
          <w:tcPr>
            <w:tcW w:w="0" w:type="auto"/>
            <w:tcBorders/>
            <w:hideMark/>
          </w:tcPr>
          <w:p>
            <w:pPr>
              <w:pStyle w:val="style0"/>
              <w:jc w:val="both"/>
              <w:rPr>
                <w:rFonts w:cs="Times New Roman" w:eastAsia="Times New Roman"/>
                <w:szCs w:val="24"/>
              </w:rPr>
            </w:pPr>
          </w:p>
        </w:tc>
        <w:tc>
          <w:tcPr>
            <w:tcW w:w="0" w:type="auto"/>
            <w:tcBorders/>
            <w:hideMark/>
          </w:tcPr>
          <w:p>
            <w:pPr>
              <w:pStyle w:val="style0"/>
              <w:jc w:val="both"/>
              <w:rPr>
                <w:rFonts w:cs="Times New Roman" w:eastAsia="Times New Roman"/>
                <w:szCs w:val="24"/>
              </w:rPr>
            </w:pPr>
          </w:p>
        </w:tc>
        <w:tc>
          <w:tcPr>
            <w:tcW w:w="0" w:type="auto"/>
            <w:tcBorders/>
            <w:hideMark/>
          </w:tcPr>
          <w:p>
            <w:pPr>
              <w:pStyle w:val="style0"/>
              <w:jc w:val="both"/>
              <w:rPr>
                <w:rFonts w:cs="Times New Roman" w:eastAsia="Times New Roman"/>
                <w:szCs w:val="24"/>
              </w:rPr>
            </w:pPr>
          </w:p>
        </w:tc>
      </w:tr>
    </w:tbl>
    <w:p>
      <w:pPr>
        <w:pStyle w:val="style0"/>
        <w:spacing w:after="0"/>
        <w:jc w:val="center"/>
        <w:rPr>
          <w:rFonts w:cs="Times New Roman" w:eastAsia="Times New Roman"/>
          <w:b/>
          <w:i/>
          <w:szCs w:val="24"/>
        </w:rPr>
      </w:pPr>
      <w:r>
        <w:rPr>
          <w:rFonts w:cs="Times New Roman" w:eastAsia="Times New Roman"/>
          <w:b/>
          <w:bCs/>
          <w:i/>
          <w:color w:val="000000"/>
          <w:szCs w:val="24"/>
        </w:rPr>
        <w:t>Table 1: SWOT Analysis of Sainsbury's</w:t>
      </w:r>
    </w:p>
    <w:p>
      <w:pPr>
        <w:pStyle w:val="style0"/>
        <w:spacing w:after="0"/>
        <w:jc w:val="center"/>
        <w:rPr>
          <w:rFonts w:cs="Times New Roman" w:eastAsia="Times New Roman"/>
          <w:bCs/>
          <w:iCs/>
          <w:szCs w:val="24"/>
        </w:rPr>
      </w:pPr>
      <w:r>
        <w:rPr>
          <w:rFonts w:cs="Times New Roman" w:eastAsia="Times New Roman"/>
          <w:bCs/>
          <w:iCs/>
          <w:color w:val="000000"/>
          <w:szCs w:val="24"/>
        </w:rPr>
        <w:t>Source: (Developed by the author)</w:t>
      </w:r>
    </w:p>
    <w:p>
      <w:pPr>
        <w:pStyle w:val="style0"/>
        <w:spacing w:after="0"/>
        <w:jc w:val="both"/>
        <w:rPr>
          <w:rFonts w:cs="Times New Roman" w:eastAsia="Times New Roman"/>
          <w:szCs w:val="24"/>
        </w:rPr>
      </w:pPr>
      <w:r>
        <w:rPr>
          <w:rFonts w:cs="Times New Roman" w:eastAsia="Times New Roman"/>
          <w:b/>
          <w:bCs/>
          <w:color w:val="000000"/>
          <w:szCs w:val="24"/>
        </w:rPr>
        <w:t>Strengths </w:t>
      </w:r>
    </w:p>
    <w:p>
      <w:pPr>
        <w:pStyle w:val="style179"/>
        <w:numPr>
          <w:ilvl w:val="0"/>
          <w:numId w:val="13"/>
        </w:numPr>
        <w:spacing w:after="0"/>
        <w:jc w:val="both"/>
        <w:rPr>
          <w:rFonts w:cs="Times New Roman" w:eastAsia="Times New Roman"/>
          <w:b/>
          <w:bCs/>
          <w:i/>
          <w:iCs/>
          <w:szCs w:val="24"/>
        </w:rPr>
      </w:pPr>
      <w:r>
        <w:rPr>
          <w:rFonts w:cs="Times New Roman" w:eastAsia="Times New Roman"/>
          <w:b/>
          <w:bCs/>
          <w:i/>
          <w:iCs/>
          <w:color w:val="000000"/>
          <w:szCs w:val="24"/>
        </w:rPr>
        <w:t>Brand position </w:t>
      </w:r>
    </w:p>
    <w:p>
      <w:pPr>
        <w:pStyle w:val="style0"/>
        <w:spacing w:after="0"/>
        <w:jc w:val="both"/>
        <w:rPr>
          <w:rFonts w:cs="Times New Roman" w:eastAsia="Times New Roman"/>
          <w:szCs w:val="24"/>
        </w:rPr>
      </w:pPr>
      <w:r>
        <w:rPr>
          <w:rFonts w:cs="Times New Roman" w:eastAsia="Times New Roman"/>
          <w:color w:val="000000"/>
          <w:szCs w:val="24"/>
        </w:rPr>
        <w:t xml:space="preserve">The position of Sainsbury's is vital within the global market, which ensures long-term stability. </w:t>
      </w:r>
    </w:p>
    <w:p>
      <w:pPr>
        <w:pStyle w:val="style179"/>
        <w:numPr>
          <w:ilvl w:val="0"/>
          <w:numId w:val="12"/>
        </w:numPr>
        <w:spacing w:after="0"/>
        <w:jc w:val="both"/>
        <w:rPr>
          <w:rFonts w:cs="Times New Roman" w:eastAsia="Times New Roman"/>
          <w:b/>
          <w:bCs/>
          <w:i/>
          <w:iCs/>
          <w:szCs w:val="24"/>
        </w:rPr>
      </w:pPr>
      <w:r>
        <w:rPr>
          <w:rFonts w:cs="Times New Roman" w:eastAsia="Times New Roman"/>
          <w:b/>
          <w:bCs/>
          <w:i/>
          <w:iCs/>
          <w:color w:val="000000"/>
          <w:szCs w:val="24"/>
        </w:rPr>
        <w:t>Customer base </w:t>
      </w:r>
    </w:p>
    <w:p>
      <w:pPr>
        <w:pStyle w:val="style0"/>
        <w:spacing w:after="0"/>
        <w:jc w:val="both"/>
        <w:rPr>
          <w:rFonts w:cs="Times New Roman" w:eastAsia="Times New Roman"/>
          <w:szCs w:val="24"/>
        </w:rPr>
      </w:pPr>
      <w:r>
        <w:rPr>
          <w:rFonts w:cs="Times New Roman" w:eastAsia="Times New Roman"/>
          <w:color w:val="000000"/>
          <w:szCs w:val="24"/>
        </w:rPr>
        <w:t xml:space="preserve">The global consumer base supports the company's brand presence and marketing. Regular purchases influence engagement levels. </w:t>
      </w:r>
    </w:p>
    <w:p>
      <w:pPr>
        <w:pStyle w:val="style179"/>
        <w:numPr>
          <w:ilvl w:val="0"/>
          <w:numId w:val="11"/>
        </w:numPr>
        <w:spacing w:after="0"/>
        <w:jc w:val="both"/>
        <w:rPr>
          <w:rFonts w:cs="Times New Roman" w:eastAsia="Times New Roman"/>
          <w:b/>
          <w:bCs/>
          <w:i/>
          <w:iCs/>
          <w:szCs w:val="24"/>
        </w:rPr>
      </w:pPr>
      <w:r>
        <w:rPr>
          <w:rFonts w:cs="Times New Roman" w:eastAsia="Times New Roman"/>
          <w:b/>
          <w:bCs/>
          <w:i/>
          <w:iCs/>
          <w:color w:val="000000"/>
          <w:szCs w:val="24"/>
        </w:rPr>
        <w:t xml:space="preserve">Product Quality </w:t>
      </w:r>
    </w:p>
    <w:p>
      <w:pPr>
        <w:pStyle w:val="style0"/>
        <w:spacing w:after="0"/>
        <w:jc w:val="both"/>
        <w:rPr>
          <w:rFonts w:cs="Times New Roman" w:eastAsia="Times New Roman"/>
          <w:szCs w:val="24"/>
        </w:rPr>
      </w:pPr>
      <w:r>
        <w:rPr>
          <w:rFonts w:cs="Times New Roman" w:eastAsia="Times New Roman"/>
          <w:color w:val="000000"/>
          <w:szCs w:val="24"/>
        </w:rPr>
        <w:t>Significant quality of products ensures customer satisfaction (Alzoubi, Ahmed, and Alshurideh, 2022). Fresh and affordable products maintain brand visibility. </w:t>
      </w:r>
    </w:p>
    <w:p>
      <w:pPr>
        <w:pStyle w:val="style179"/>
        <w:numPr>
          <w:ilvl w:val="0"/>
          <w:numId w:val="10"/>
        </w:numPr>
        <w:spacing w:after="0"/>
        <w:jc w:val="both"/>
        <w:rPr>
          <w:rFonts w:cs="Times New Roman" w:eastAsia="Times New Roman"/>
          <w:b/>
          <w:bCs/>
          <w:i/>
          <w:iCs/>
          <w:szCs w:val="24"/>
        </w:rPr>
      </w:pPr>
      <w:r>
        <w:rPr>
          <w:rFonts w:cs="Times New Roman" w:eastAsia="Times New Roman"/>
          <w:b/>
          <w:bCs/>
          <w:i/>
          <w:iCs/>
          <w:color w:val="000000"/>
          <w:szCs w:val="24"/>
        </w:rPr>
        <w:t>Global presence </w:t>
      </w:r>
    </w:p>
    <w:p>
      <w:pPr>
        <w:pStyle w:val="style0"/>
        <w:spacing w:after="0"/>
        <w:jc w:val="both"/>
        <w:rPr>
          <w:rFonts w:cs="Times New Roman" w:eastAsia="Times New Roman"/>
          <w:szCs w:val="24"/>
        </w:rPr>
      </w:pPr>
      <w:r>
        <w:rPr>
          <w:rFonts w:cs="Times New Roman" w:eastAsia="Times New Roman"/>
          <w:color w:val="000000"/>
          <w:szCs w:val="24"/>
        </w:rPr>
        <w:t>Long-term presence and multinational operations ensured global presence in the competitive market. </w:t>
      </w:r>
    </w:p>
    <w:p>
      <w:pPr>
        <w:pStyle w:val="style0"/>
        <w:spacing w:after="0"/>
        <w:jc w:val="both"/>
        <w:rPr>
          <w:rFonts w:cs="Times New Roman" w:eastAsia="Times New Roman"/>
          <w:szCs w:val="24"/>
        </w:rPr>
      </w:pPr>
      <w:r>
        <w:rPr>
          <w:rFonts w:cs="Times New Roman" w:eastAsia="Times New Roman"/>
          <w:b/>
          <w:bCs/>
          <w:color w:val="000000"/>
          <w:szCs w:val="24"/>
        </w:rPr>
        <w:t>Weaknesses </w:t>
      </w:r>
    </w:p>
    <w:p>
      <w:pPr>
        <w:pStyle w:val="style179"/>
        <w:numPr>
          <w:ilvl w:val="0"/>
          <w:numId w:val="9"/>
        </w:numPr>
        <w:spacing w:after="0"/>
        <w:jc w:val="both"/>
        <w:rPr>
          <w:rFonts w:cs="Times New Roman" w:eastAsia="Times New Roman"/>
          <w:b/>
          <w:bCs/>
          <w:i/>
          <w:iCs/>
          <w:szCs w:val="24"/>
        </w:rPr>
      </w:pPr>
      <w:r>
        <w:rPr>
          <w:rFonts w:cs="Times New Roman" w:eastAsia="Times New Roman"/>
          <w:b/>
          <w:bCs/>
          <w:i/>
          <w:iCs/>
          <w:color w:val="000000"/>
          <w:szCs w:val="24"/>
        </w:rPr>
        <w:t>Unawareness of new technologies </w:t>
      </w:r>
    </w:p>
    <w:p>
      <w:pPr>
        <w:pStyle w:val="style0"/>
        <w:spacing w:after="0"/>
        <w:jc w:val="both"/>
        <w:rPr>
          <w:rFonts w:cs="Times New Roman" w:eastAsia="Times New Roman"/>
          <w:szCs w:val="24"/>
        </w:rPr>
      </w:pPr>
      <w:r>
        <w:rPr>
          <w:rFonts w:cs="Times New Roman" w:eastAsia="Times New Roman"/>
          <w:color w:val="000000"/>
          <w:szCs w:val="24"/>
        </w:rPr>
        <w:t xml:space="preserve">The lack of awareness regarding advanced technologies disrupts the operations of the company. </w:t>
      </w:r>
    </w:p>
    <w:p>
      <w:pPr>
        <w:pStyle w:val="style179"/>
        <w:numPr>
          <w:ilvl w:val="0"/>
          <w:numId w:val="9"/>
        </w:numPr>
        <w:spacing w:after="0"/>
        <w:jc w:val="both"/>
        <w:rPr>
          <w:rFonts w:cs="Times New Roman" w:eastAsia="Times New Roman"/>
          <w:b/>
          <w:bCs/>
          <w:i/>
          <w:iCs/>
          <w:szCs w:val="24"/>
        </w:rPr>
      </w:pPr>
      <w:r>
        <w:rPr>
          <w:rFonts w:cs="Times New Roman" w:eastAsia="Times New Roman"/>
          <w:b/>
          <w:bCs/>
          <w:i/>
          <w:iCs/>
          <w:color w:val="000000"/>
          <w:szCs w:val="24"/>
        </w:rPr>
        <w:t>Shortage of employees </w:t>
      </w:r>
    </w:p>
    <w:p>
      <w:pPr>
        <w:pStyle w:val="style0"/>
        <w:spacing w:after="0"/>
        <w:jc w:val="both"/>
        <w:rPr>
          <w:rFonts w:cs="Times New Roman" w:eastAsia="Times New Roman"/>
          <w:szCs w:val="24"/>
        </w:rPr>
      </w:pPr>
      <w:r>
        <w:rPr>
          <w:rFonts w:cs="Times New Roman" w:eastAsia="Times New Roman"/>
          <w:color w:val="000000"/>
          <w:szCs w:val="24"/>
        </w:rPr>
        <w:t>Lack of skilled workforce and low employee retention affect the company's performance in the competitive market. </w:t>
      </w:r>
    </w:p>
    <w:p>
      <w:pPr>
        <w:pStyle w:val="style0"/>
        <w:spacing w:after="0"/>
        <w:jc w:val="both"/>
        <w:rPr>
          <w:rFonts w:cs="Times New Roman" w:eastAsia="Times New Roman"/>
          <w:szCs w:val="24"/>
        </w:rPr>
      </w:pPr>
      <w:r>
        <w:rPr>
          <w:rFonts w:cs="Times New Roman" w:eastAsia="Times New Roman"/>
          <w:b/>
          <w:bCs/>
          <w:color w:val="000000"/>
          <w:szCs w:val="24"/>
        </w:rPr>
        <w:t>Opportunities </w:t>
      </w:r>
    </w:p>
    <w:p>
      <w:pPr>
        <w:pStyle w:val="style179"/>
        <w:numPr>
          <w:ilvl w:val="0"/>
          <w:numId w:val="8"/>
        </w:numPr>
        <w:spacing w:after="0"/>
        <w:jc w:val="both"/>
        <w:rPr>
          <w:rFonts w:cs="Times New Roman" w:eastAsia="Times New Roman"/>
          <w:b/>
          <w:bCs/>
          <w:i/>
          <w:iCs/>
          <w:szCs w:val="24"/>
        </w:rPr>
      </w:pPr>
      <w:r>
        <w:rPr>
          <w:rFonts w:cs="Times New Roman" w:eastAsia="Times New Roman"/>
          <w:b/>
          <w:bCs/>
          <w:i/>
          <w:iCs/>
          <w:color w:val="000000"/>
          <w:szCs w:val="24"/>
        </w:rPr>
        <w:t>Online growth </w:t>
      </w:r>
    </w:p>
    <w:p>
      <w:pPr>
        <w:pStyle w:val="style0"/>
        <w:spacing w:after="0"/>
        <w:jc w:val="both"/>
        <w:rPr>
          <w:rFonts w:cs="Times New Roman" w:eastAsia="Times New Roman"/>
          <w:szCs w:val="24"/>
        </w:rPr>
      </w:pPr>
      <w:r>
        <w:rPr>
          <w:rFonts w:cs="Times New Roman" w:eastAsia="Times New Roman"/>
          <w:color w:val="000000"/>
          <w:szCs w:val="24"/>
        </w:rPr>
        <w:t>The online services of Sainsbury's may provide future opportunities. The company can acquire significant profit based on online sales. </w:t>
      </w:r>
    </w:p>
    <w:p>
      <w:pPr>
        <w:pStyle w:val="style179"/>
        <w:numPr>
          <w:ilvl w:val="0"/>
          <w:numId w:val="8"/>
        </w:numPr>
        <w:spacing w:after="0"/>
        <w:jc w:val="both"/>
        <w:rPr>
          <w:rFonts w:cs="Times New Roman" w:eastAsia="Times New Roman"/>
          <w:b/>
          <w:bCs/>
          <w:i/>
          <w:iCs/>
          <w:szCs w:val="24"/>
        </w:rPr>
      </w:pPr>
      <w:r>
        <w:rPr>
          <w:rFonts w:cs="Times New Roman" w:eastAsia="Times New Roman"/>
          <w:b/>
          <w:bCs/>
          <w:i/>
          <w:iCs/>
          <w:color w:val="000000"/>
          <w:szCs w:val="24"/>
        </w:rPr>
        <w:t>High profit </w:t>
      </w:r>
    </w:p>
    <w:p>
      <w:pPr>
        <w:pStyle w:val="style0"/>
        <w:spacing w:after="0"/>
        <w:jc w:val="both"/>
        <w:rPr>
          <w:rFonts w:cs="Times New Roman" w:eastAsia="Times New Roman"/>
          <w:szCs w:val="24"/>
        </w:rPr>
      </w:pPr>
      <w:r>
        <w:rPr>
          <w:rFonts w:cs="Times New Roman" w:eastAsia="Times New Roman"/>
          <w:color w:val="000000"/>
          <w:szCs w:val="24"/>
        </w:rPr>
        <w:t xml:space="preserve">High profit may prevail as the company has invested highly in the retail industry. </w:t>
      </w:r>
    </w:p>
    <w:p>
      <w:pPr>
        <w:pStyle w:val="style179"/>
        <w:numPr>
          <w:ilvl w:val="0"/>
          <w:numId w:val="8"/>
        </w:numPr>
        <w:spacing w:after="0"/>
        <w:jc w:val="both"/>
        <w:rPr>
          <w:rFonts w:cs="Times New Roman" w:eastAsia="Times New Roman"/>
          <w:b/>
          <w:bCs/>
          <w:i/>
          <w:iCs/>
          <w:szCs w:val="24"/>
        </w:rPr>
      </w:pPr>
      <w:r>
        <w:rPr>
          <w:rFonts w:cs="Times New Roman" w:eastAsia="Times New Roman"/>
          <w:b/>
          <w:bCs/>
          <w:i/>
          <w:iCs/>
          <w:color w:val="000000"/>
          <w:szCs w:val="24"/>
        </w:rPr>
        <w:t>Global expansion </w:t>
      </w:r>
    </w:p>
    <w:p>
      <w:pPr>
        <w:pStyle w:val="style0"/>
        <w:spacing w:after="0"/>
        <w:jc w:val="both"/>
        <w:rPr>
          <w:rFonts w:cs="Times New Roman" w:eastAsia="Times New Roman"/>
          <w:szCs w:val="24"/>
        </w:rPr>
      </w:pPr>
      <w:r>
        <w:rPr>
          <w:rFonts w:cs="Times New Roman" w:eastAsia="Times New Roman"/>
          <w:color w:val="000000"/>
          <w:szCs w:val="24"/>
        </w:rPr>
        <w:t xml:space="preserve">The global presence of Sainsbury's may increase the scope of expanding the market into new regions. </w:t>
      </w:r>
    </w:p>
    <w:p>
      <w:pPr>
        <w:pStyle w:val="style0"/>
        <w:spacing w:after="0"/>
        <w:jc w:val="both"/>
        <w:rPr>
          <w:rFonts w:cs="Times New Roman" w:eastAsia="Times New Roman"/>
          <w:szCs w:val="24"/>
        </w:rPr>
      </w:pPr>
      <w:r>
        <w:rPr>
          <w:rFonts w:cs="Times New Roman" w:eastAsia="Times New Roman"/>
          <w:b/>
          <w:bCs/>
          <w:color w:val="000000"/>
          <w:szCs w:val="24"/>
        </w:rPr>
        <w:t>Threats </w:t>
      </w:r>
    </w:p>
    <w:p>
      <w:pPr>
        <w:pStyle w:val="style179"/>
        <w:numPr>
          <w:ilvl w:val="0"/>
          <w:numId w:val="7"/>
        </w:numPr>
        <w:spacing w:after="0"/>
        <w:jc w:val="both"/>
        <w:rPr>
          <w:rFonts w:cs="Times New Roman" w:eastAsia="Times New Roman"/>
          <w:b/>
          <w:bCs/>
          <w:i/>
          <w:iCs/>
          <w:szCs w:val="24"/>
        </w:rPr>
      </w:pPr>
      <w:r>
        <w:rPr>
          <w:rFonts w:cs="Times New Roman" w:eastAsia="Times New Roman"/>
          <w:b/>
          <w:bCs/>
          <w:i/>
          <w:iCs/>
          <w:color w:val="000000"/>
          <w:szCs w:val="24"/>
        </w:rPr>
        <w:t>Competition </w:t>
      </w:r>
    </w:p>
    <w:p>
      <w:pPr>
        <w:pStyle w:val="style0"/>
        <w:spacing w:after="0"/>
        <w:jc w:val="both"/>
        <w:rPr>
          <w:rFonts w:cs="Times New Roman" w:eastAsia="Times New Roman"/>
          <w:szCs w:val="24"/>
        </w:rPr>
      </w:pPr>
      <w:r>
        <w:rPr>
          <w:rFonts w:cs="Times New Roman" w:eastAsia="Times New Roman"/>
          <w:color w:val="000000"/>
          <w:szCs w:val="24"/>
        </w:rPr>
        <w:t>Threats from the existing competitors may develop challenges in retaining brand position. </w:t>
      </w:r>
    </w:p>
    <w:p>
      <w:pPr>
        <w:pStyle w:val="style179"/>
        <w:numPr>
          <w:ilvl w:val="0"/>
          <w:numId w:val="7"/>
        </w:numPr>
        <w:spacing w:after="0"/>
        <w:jc w:val="both"/>
        <w:rPr>
          <w:rFonts w:cs="Times New Roman" w:eastAsia="Times New Roman"/>
          <w:b/>
          <w:bCs/>
          <w:i/>
          <w:iCs/>
          <w:szCs w:val="24"/>
        </w:rPr>
      </w:pPr>
      <w:r>
        <w:rPr>
          <w:rFonts w:cs="Times New Roman" w:eastAsia="Times New Roman"/>
          <w:b/>
          <w:bCs/>
          <w:i/>
          <w:iCs/>
          <w:color w:val="000000"/>
          <w:szCs w:val="24"/>
        </w:rPr>
        <w:t>Demand change </w:t>
      </w:r>
    </w:p>
    <w:p>
      <w:pPr>
        <w:pStyle w:val="style0"/>
        <w:spacing w:after="0"/>
        <w:jc w:val="both"/>
        <w:rPr>
          <w:rFonts w:cs="Times New Roman" w:eastAsia="Times New Roman"/>
          <w:szCs w:val="24"/>
        </w:rPr>
      </w:pPr>
      <w:r>
        <w:rPr>
          <w:rFonts w:cs="Times New Roman" w:eastAsia="Times New Roman"/>
          <w:color w:val="000000"/>
          <w:szCs w:val="24"/>
        </w:rPr>
        <w:t xml:space="preserve">The changes in consumer demand develop challenges in obtaining profitability. It may reduce the consumer retention rate of the company. </w:t>
      </w:r>
    </w:p>
    <w:bookmarkStart w:id="5" w:name="_Toc144146170"/>
    <w:p>
      <w:pPr>
        <w:pStyle w:val="style2"/>
        <w:rPr/>
      </w:pPr>
      <w:r>
        <w:t xml:space="preserve">4.2 </w:t>
      </w:r>
      <w:r>
        <w:t>Advantages and Disadvantages of SWOT Analysis</w:t>
      </w:r>
      <w:bookmarkEnd w:id="5"/>
      <w:r>
        <w:t xml:space="preserve"> </w:t>
      </w:r>
    </w:p>
    <w:p>
      <w:pPr>
        <w:pStyle w:val="style0"/>
        <w:spacing w:after="0"/>
        <w:jc w:val="both"/>
        <w:rPr>
          <w:rFonts w:cs="Times New Roman" w:eastAsia="Times New Roman"/>
          <w:b/>
          <w:szCs w:val="24"/>
        </w:rPr>
      </w:pPr>
      <w:r>
        <w:rPr>
          <w:rFonts w:cs="Times New Roman" w:eastAsia="Times New Roman"/>
          <w:b/>
          <w:color w:val="000000"/>
          <w:szCs w:val="24"/>
        </w:rPr>
        <w:t>Advantages </w:t>
      </w:r>
    </w:p>
    <w:p>
      <w:pPr>
        <w:pStyle w:val="style179"/>
        <w:numPr>
          <w:ilvl w:val="0"/>
          <w:numId w:val="5"/>
        </w:numPr>
        <w:spacing w:after="0"/>
        <w:jc w:val="both"/>
        <w:rPr>
          <w:rFonts w:cs="Times New Roman" w:eastAsia="Times New Roman"/>
          <w:szCs w:val="24"/>
        </w:rPr>
      </w:pPr>
      <w:r>
        <w:rPr>
          <w:rFonts w:cs="Times New Roman" w:eastAsia="Times New Roman"/>
          <w:b/>
          <w:bCs/>
          <w:i/>
          <w:iCs/>
          <w:color w:val="000000"/>
          <w:szCs w:val="24"/>
        </w:rPr>
        <w:t>Changing demand identification</w:t>
      </w:r>
      <w:r>
        <w:rPr>
          <w:rFonts w:cs="Times New Roman" w:eastAsia="Times New Roman"/>
          <w:b/>
          <w:bCs/>
          <w:i/>
          <w:iCs/>
          <w:color w:val="000000"/>
          <w:szCs w:val="24"/>
        </w:rPr>
        <w:t xml:space="preserve">: </w:t>
      </w:r>
      <w:r>
        <w:rPr>
          <w:rFonts w:cs="Times New Roman" w:eastAsia="Times New Roman"/>
          <w:color w:val="000000"/>
          <w:szCs w:val="24"/>
        </w:rPr>
        <w:t xml:space="preserve">The changes in customer demand can be identified with the help of consumer data analysis. Big data analytics help to make effective decisions to ensure customer engagement (Dai et al., 2020). </w:t>
      </w:r>
    </w:p>
    <w:p>
      <w:pPr>
        <w:pStyle w:val="style179"/>
        <w:numPr>
          <w:ilvl w:val="0"/>
          <w:numId w:val="5"/>
        </w:numPr>
        <w:spacing w:after="0"/>
        <w:jc w:val="both"/>
        <w:rPr>
          <w:rFonts w:cs="Times New Roman" w:eastAsia="Times New Roman"/>
          <w:szCs w:val="24"/>
        </w:rPr>
      </w:pPr>
      <w:r>
        <w:rPr>
          <w:rFonts w:cs="Times New Roman" w:eastAsia="Times New Roman"/>
          <w:b/>
          <w:bCs/>
          <w:i/>
          <w:iCs/>
          <w:color w:val="000000"/>
          <w:szCs w:val="24"/>
        </w:rPr>
        <w:t>Global online business</w:t>
      </w:r>
      <w:r>
        <w:rPr>
          <w:rFonts w:cs="Times New Roman" w:eastAsia="Times New Roman"/>
          <w:b/>
          <w:bCs/>
          <w:i/>
          <w:iCs/>
          <w:color w:val="000000"/>
          <w:szCs w:val="24"/>
        </w:rPr>
        <w:t xml:space="preserve">: </w:t>
      </w:r>
      <w:r>
        <w:rPr>
          <w:rFonts w:cs="Times New Roman" w:eastAsia="Times New Roman"/>
          <w:color w:val="000000"/>
          <w:szCs w:val="24"/>
        </w:rPr>
        <w:t>The online presence of the brand may help to improve its global visibility. It may expand profit and empower growth. </w:t>
      </w:r>
    </w:p>
    <w:p>
      <w:pPr>
        <w:pStyle w:val="style0"/>
        <w:spacing w:after="0"/>
        <w:jc w:val="both"/>
        <w:rPr>
          <w:rFonts w:cs="Times New Roman" w:eastAsia="Times New Roman"/>
          <w:b/>
          <w:szCs w:val="24"/>
        </w:rPr>
      </w:pPr>
      <w:r>
        <w:rPr>
          <w:rFonts w:cs="Times New Roman" w:eastAsia="Times New Roman"/>
          <w:b/>
          <w:color w:val="000000"/>
          <w:szCs w:val="24"/>
        </w:rPr>
        <w:t>Disadvantages </w:t>
      </w:r>
    </w:p>
    <w:p>
      <w:pPr>
        <w:pStyle w:val="style179"/>
        <w:numPr>
          <w:ilvl w:val="0"/>
          <w:numId w:val="6"/>
        </w:numPr>
        <w:spacing w:after="0"/>
        <w:jc w:val="both"/>
        <w:rPr>
          <w:rFonts w:cs="Times New Roman" w:eastAsia="Times New Roman"/>
          <w:b/>
          <w:bCs/>
          <w:i/>
          <w:iCs/>
          <w:szCs w:val="24"/>
        </w:rPr>
      </w:pPr>
      <w:r>
        <w:rPr>
          <w:rFonts w:cs="Times New Roman" w:eastAsia="Times New Roman"/>
          <w:b/>
          <w:bCs/>
          <w:i/>
          <w:iCs/>
          <w:color w:val="000000"/>
          <w:szCs w:val="24"/>
        </w:rPr>
        <w:t>High investment</w:t>
      </w:r>
      <w:r>
        <w:rPr>
          <w:rFonts w:cs="Times New Roman" w:eastAsia="Times New Roman"/>
          <w:b/>
          <w:bCs/>
          <w:i/>
          <w:iCs/>
          <w:color w:val="000000"/>
          <w:szCs w:val="24"/>
        </w:rPr>
        <w:t xml:space="preserve">: </w:t>
      </w:r>
      <w:r>
        <w:rPr>
          <w:rFonts w:cs="Times New Roman" w:eastAsia="Times New Roman"/>
          <w:color w:val="000000"/>
          <w:szCs w:val="24"/>
        </w:rPr>
        <w:t xml:space="preserve">The company invests high to obtain profit that must be controlled. It may lead to financial loss in the future. </w:t>
      </w:r>
    </w:p>
    <w:p>
      <w:pPr>
        <w:pStyle w:val="style179"/>
        <w:numPr>
          <w:ilvl w:val="0"/>
          <w:numId w:val="6"/>
        </w:numPr>
        <w:spacing w:after="0"/>
        <w:jc w:val="both"/>
        <w:rPr>
          <w:rFonts w:cs="Times New Roman" w:eastAsia="Times New Roman"/>
          <w:b/>
          <w:bCs/>
          <w:i/>
          <w:iCs/>
          <w:szCs w:val="24"/>
        </w:rPr>
      </w:pPr>
      <w:r>
        <w:rPr>
          <w:rFonts w:cs="Times New Roman" w:eastAsia="Times New Roman"/>
          <w:b/>
          <w:bCs/>
          <w:i/>
          <w:iCs/>
          <w:color w:val="000000"/>
          <w:szCs w:val="24"/>
        </w:rPr>
        <w:t>High competition</w:t>
      </w:r>
      <w:r>
        <w:rPr>
          <w:rFonts w:cs="Times New Roman" w:eastAsia="Times New Roman"/>
          <w:b/>
          <w:bCs/>
          <w:i/>
          <w:iCs/>
          <w:color w:val="000000"/>
          <w:szCs w:val="24"/>
        </w:rPr>
        <w:t xml:space="preserve">: </w:t>
      </w:r>
      <w:r>
        <w:rPr>
          <w:rFonts w:cs="Times New Roman" w:eastAsia="Times New Roman"/>
          <w:color w:val="000000"/>
          <w:szCs w:val="24"/>
        </w:rPr>
        <w:t>Competition in the market may negatively influence the company's position. Sainsbury's needs to be aware of the competitive level in the market. </w:t>
      </w:r>
    </w:p>
    <w:bookmarkStart w:id="6" w:name="_Toc144146171"/>
    <w:p>
      <w:pPr>
        <w:pStyle w:val="style1"/>
        <w:rPr/>
      </w:pPr>
      <w:r>
        <w:t>5. Segmentation, targeting, and positioning</w:t>
      </w:r>
      <w:bookmarkEnd w:id="6"/>
    </w:p>
    <w:p>
      <w:pPr>
        <w:pStyle w:val="style0"/>
        <w:jc w:val="both"/>
        <w:rPr>
          <w:rFonts w:cs="Times New Roman"/>
          <w:szCs w:val="24"/>
        </w:rPr>
      </w:pPr>
    </w:p>
    <w:p>
      <w:pPr>
        <w:pStyle w:val="style0"/>
        <w:jc w:val="center"/>
        <w:rPr>
          <w:rFonts w:cs="Times New Roman"/>
          <w:szCs w:val="24"/>
        </w:rPr>
      </w:pPr>
      <w:r>
        <w:rPr>
          <w:rFonts w:cs="Times New Roman"/>
          <w:noProof/>
          <w:szCs w:val="24"/>
        </w:rPr>
        <w:drawing>
          <wp:inline distL="0" distT="0" distB="0" distR="0">
            <wp:extent cx="4133850" cy="2594439"/>
            <wp:effectExtent l="19050" t="0" r="0" b="0"/>
            <wp:docPr id="1029" name="Picture 4" descr="Market Segmentation and Target Selection | EquiBrand Consulti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4"/>
                    <pic:cNvPicPr/>
                  </pic:nvPicPr>
                  <pic:blipFill>
                    <a:blip r:embed="rId9" cstate="print"/>
                    <a:srcRect l="0" t="0" r="0" b="0"/>
                    <a:stretch/>
                  </pic:blipFill>
                  <pic:spPr>
                    <a:xfrm rot="0">
                      <a:off x="0" y="0"/>
                      <a:ext cx="4133850" cy="2594439"/>
                    </a:xfrm>
                    <a:prstGeom prst="rect"/>
                    <a:ln>
                      <a:noFill/>
                    </a:ln>
                  </pic:spPr>
                </pic:pic>
              </a:graphicData>
            </a:graphic>
          </wp:inline>
        </w:drawing>
      </w:r>
    </w:p>
    <w:p>
      <w:pPr>
        <w:pStyle w:val="style0"/>
        <w:jc w:val="center"/>
        <w:rPr>
          <w:rFonts w:cs="Times New Roman"/>
          <w:b/>
          <w:i/>
          <w:szCs w:val="24"/>
        </w:rPr>
      </w:pPr>
      <w:r>
        <w:rPr>
          <w:rFonts w:cs="Times New Roman"/>
          <w:b/>
          <w:i/>
          <w:szCs w:val="24"/>
        </w:rPr>
        <w:t>Figure 3: Segmentation, Targeting and Positioning</w:t>
      </w:r>
    </w:p>
    <w:p>
      <w:pPr>
        <w:pStyle w:val="style0"/>
        <w:jc w:val="center"/>
        <w:rPr>
          <w:rFonts w:cs="Times New Roman"/>
          <w:bCs/>
          <w:iCs/>
          <w:szCs w:val="24"/>
        </w:rPr>
      </w:pPr>
      <w:r>
        <w:rPr>
          <w:rFonts w:cs="Times New Roman"/>
          <w:bCs/>
          <w:iCs/>
          <w:szCs w:val="24"/>
        </w:rPr>
        <w:t>Source: (</w:t>
      </w:r>
      <w:r>
        <w:rPr>
          <w:rFonts w:cs="Times New Roman"/>
          <w:bCs/>
          <w:iCs/>
          <w:color w:val="222222"/>
          <w:szCs w:val="24"/>
          <w:shd w:val="clear" w:color="auto" w:fill="ffffff"/>
        </w:rPr>
        <w:t>Exactdn</w:t>
      </w:r>
      <w:r>
        <w:rPr>
          <w:rFonts w:cs="Times New Roman"/>
          <w:bCs/>
          <w:iCs/>
          <w:color w:val="222222"/>
          <w:szCs w:val="24"/>
          <w:shd w:val="clear" w:color="auto" w:fill="ffffff"/>
        </w:rPr>
        <w:t>, 2022</w:t>
      </w:r>
      <w:r>
        <w:rPr>
          <w:rFonts w:cs="Times New Roman"/>
          <w:bCs/>
          <w:iCs/>
          <w:szCs w:val="24"/>
        </w:rPr>
        <w:t>)</w:t>
      </w:r>
    </w:p>
    <w:bookmarkStart w:id="7" w:name="_Toc144146172"/>
    <w:p>
      <w:pPr>
        <w:pStyle w:val="style2"/>
        <w:rPr/>
      </w:pPr>
      <w:r>
        <w:t>5.1 Segmentation</w:t>
      </w:r>
      <w:bookmarkEnd w:id="7"/>
      <w:r>
        <w:t> </w:t>
      </w:r>
    </w:p>
    <w:bookmarkStart w:id="8" w:name="_Toc144146173"/>
    <w:p>
      <w:pPr>
        <w:pStyle w:val="style3"/>
        <w:rPr/>
      </w:pPr>
      <w:r>
        <w:t>5.1.1 Psychographic Segmentation</w:t>
      </w:r>
      <w:bookmarkEnd w:id="8"/>
      <w:r>
        <w:t> </w:t>
      </w:r>
    </w:p>
    <w:p>
      <w:pPr>
        <w:pStyle w:val="style94"/>
        <w:spacing w:before="0" w:beforeAutospacing="false" w:after="0" w:afterAutospacing="false" w:lineRule="auto" w:line="360"/>
        <w:jc w:val="both"/>
        <w:rPr>
          <w:b/>
          <w:bCs/>
          <w:i/>
          <w:iCs/>
        </w:rPr>
      </w:pPr>
      <w:r>
        <w:rPr>
          <w:b/>
          <w:bCs/>
          <w:i/>
          <w:iCs/>
          <w:color w:val="000000"/>
        </w:rPr>
        <w:t>Social status: </w:t>
      </w:r>
    </w:p>
    <w:p>
      <w:pPr>
        <w:pStyle w:val="style94"/>
        <w:spacing w:before="0" w:beforeAutospacing="false" w:after="0" w:afterAutospacing="false" w:lineRule="auto" w:line="360"/>
        <w:jc w:val="both"/>
        <w:rPr/>
      </w:pPr>
      <w:r>
        <w:rPr>
          <w:color w:val="000000"/>
        </w:rPr>
        <w:t xml:space="preserve">Middle to High economic-class people are the target of the company. </w:t>
      </w:r>
    </w:p>
    <w:p>
      <w:pPr>
        <w:pStyle w:val="style94"/>
        <w:spacing w:before="0" w:beforeAutospacing="false" w:after="0" w:afterAutospacing="false" w:lineRule="auto" w:line="360"/>
        <w:jc w:val="both"/>
        <w:rPr>
          <w:b/>
          <w:bCs/>
          <w:i/>
          <w:iCs/>
        </w:rPr>
      </w:pPr>
      <w:r>
        <w:rPr>
          <w:b/>
          <w:bCs/>
          <w:i/>
          <w:iCs/>
          <w:color w:val="000000"/>
        </w:rPr>
        <w:t>Interests: </w:t>
      </w:r>
    </w:p>
    <w:p>
      <w:pPr>
        <w:pStyle w:val="style94"/>
        <w:spacing w:before="0" w:beforeAutospacing="false" w:after="0" w:afterAutospacing="false" w:lineRule="auto" w:line="360"/>
        <w:jc w:val="both"/>
        <w:rPr/>
      </w:pPr>
      <w:r>
        <w:rPr>
          <w:color w:val="000000"/>
        </w:rPr>
        <w:t xml:space="preserve">The company's customers are interested in buying groceries and other necessary items for the household regularly. </w:t>
      </w:r>
    </w:p>
    <w:p>
      <w:pPr>
        <w:pStyle w:val="style94"/>
        <w:spacing w:before="0" w:beforeAutospacing="false" w:after="0" w:afterAutospacing="false" w:lineRule="auto" w:line="360"/>
        <w:jc w:val="both"/>
        <w:rPr>
          <w:b/>
          <w:bCs/>
          <w:i/>
          <w:iCs/>
        </w:rPr>
      </w:pPr>
      <w:r>
        <w:rPr>
          <w:b/>
          <w:bCs/>
          <w:i/>
          <w:iCs/>
          <w:color w:val="000000"/>
        </w:rPr>
        <w:t>Lifestyle: </w:t>
      </w:r>
    </w:p>
    <w:p>
      <w:pPr>
        <w:pStyle w:val="style94"/>
        <w:spacing w:before="0" w:beforeAutospacing="false" w:after="0" w:afterAutospacing="false" w:lineRule="auto" w:line="360"/>
        <w:jc w:val="both"/>
        <w:rPr/>
      </w:pPr>
      <w:r>
        <w:rPr>
          <w:color w:val="000000"/>
        </w:rPr>
        <w:t xml:space="preserve">Familiar household people have a regular need for grocery items. Health-conscious fresh food seekers are also targeted. </w:t>
      </w:r>
    </w:p>
    <w:bookmarkStart w:id="9" w:name="_Toc144146174"/>
    <w:p>
      <w:pPr>
        <w:pStyle w:val="style3"/>
        <w:rPr/>
      </w:pPr>
      <w:r>
        <w:t xml:space="preserve">5.2.2 </w:t>
      </w:r>
      <w:r>
        <w:t>Behavioral Segmentation</w:t>
      </w:r>
      <w:bookmarkEnd w:id="9"/>
      <w:r>
        <w:t> </w:t>
      </w:r>
    </w:p>
    <w:p>
      <w:pPr>
        <w:pStyle w:val="style94"/>
        <w:spacing w:before="0" w:beforeAutospacing="false" w:after="0" w:afterAutospacing="false" w:lineRule="auto" w:line="360"/>
        <w:jc w:val="both"/>
        <w:rPr>
          <w:b/>
          <w:bCs/>
          <w:i/>
          <w:iCs/>
        </w:rPr>
      </w:pPr>
      <w:r>
        <w:rPr>
          <w:b/>
          <w:bCs/>
          <w:i/>
          <w:iCs/>
          <w:color w:val="000000"/>
        </w:rPr>
        <w:t>Benefits: </w:t>
      </w:r>
    </w:p>
    <w:p>
      <w:pPr>
        <w:pStyle w:val="style94"/>
        <w:spacing w:before="0" w:beforeAutospacing="false" w:after="0" w:afterAutospacing="false" w:lineRule="auto" w:line="360"/>
        <w:jc w:val="both"/>
        <w:rPr/>
      </w:pPr>
      <w:r>
        <w:rPr>
          <w:color w:val="000000"/>
        </w:rPr>
        <w:t xml:space="preserve">High product quality ensures the health and wellness of people. The company ensures the affordability of products to customers. </w:t>
      </w:r>
    </w:p>
    <w:p>
      <w:pPr>
        <w:pStyle w:val="style94"/>
        <w:spacing w:before="0" w:beforeAutospacing="false" w:after="0" w:afterAutospacing="false" w:lineRule="auto" w:line="360"/>
        <w:jc w:val="both"/>
        <w:rPr>
          <w:b/>
          <w:bCs/>
          <w:i/>
          <w:iCs/>
        </w:rPr>
      </w:pPr>
      <w:r>
        <w:rPr>
          <w:b/>
          <w:bCs/>
          <w:i/>
          <w:iCs/>
          <w:color w:val="000000"/>
        </w:rPr>
        <w:t>Engagement: </w:t>
      </w:r>
    </w:p>
    <w:p>
      <w:pPr>
        <w:pStyle w:val="style94"/>
        <w:spacing w:before="0" w:beforeAutospacing="false" w:after="0" w:afterAutospacing="false" w:lineRule="auto" w:line="360"/>
        <w:jc w:val="both"/>
        <w:rPr/>
      </w:pPr>
      <w:r>
        <w:rPr>
          <w:color w:val="000000"/>
        </w:rPr>
        <w:t xml:space="preserve">Regular engagement with customers through supermarket channels to meet their everyday needs is the agenda of Sainsbury's. </w:t>
      </w:r>
    </w:p>
    <w:p>
      <w:pPr>
        <w:pStyle w:val="style94"/>
        <w:spacing w:before="0" w:beforeAutospacing="false" w:after="0" w:afterAutospacing="false" w:lineRule="auto" w:line="360"/>
        <w:jc w:val="both"/>
        <w:rPr>
          <w:b/>
          <w:bCs/>
          <w:i/>
          <w:iCs/>
        </w:rPr>
      </w:pPr>
      <w:r>
        <w:rPr>
          <w:b/>
          <w:bCs/>
          <w:i/>
          <w:iCs/>
          <w:color w:val="000000"/>
        </w:rPr>
        <w:t>Occasion:  </w:t>
      </w:r>
    </w:p>
    <w:p>
      <w:pPr>
        <w:pStyle w:val="style94"/>
        <w:spacing w:before="0" w:beforeAutospacing="false" w:after="0" w:afterAutospacing="false" w:lineRule="auto" w:line="360"/>
        <w:jc w:val="both"/>
        <w:rPr/>
      </w:pPr>
      <w:r>
        <w:rPr>
          <w:color w:val="000000"/>
        </w:rPr>
        <w:t xml:space="preserve">Discounts and festival </w:t>
      </w:r>
      <w:r>
        <w:rPr>
          <w:color w:val="000000"/>
        </w:rPr>
        <w:t>offer</w:t>
      </w:r>
      <w:r>
        <w:rPr>
          <w:color w:val="000000"/>
        </w:rPr>
        <w:t xml:space="preserve"> allow customers to acquire benefits on special occasions. It engages them with Sainsbury's. </w:t>
      </w:r>
    </w:p>
    <w:bookmarkStart w:id="10" w:name="_Toc144146175"/>
    <w:p>
      <w:pPr>
        <w:pStyle w:val="style2"/>
        <w:rPr/>
      </w:pPr>
      <w:r>
        <w:t>5.2 Targeting</w:t>
      </w:r>
      <w:bookmarkEnd w:id="10"/>
      <w:r>
        <w:t> </w:t>
      </w:r>
    </w:p>
    <w:p>
      <w:pPr>
        <w:pStyle w:val="style94"/>
        <w:numPr>
          <w:ilvl w:val="0"/>
          <w:numId w:val="4"/>
        </w:numPr>
        <w:spacing w:before="0" w:beforeAutospacing="false" w:after="0" w:afterAutospacing="false" w:lineRule="auto" w:line="360"/>
        <w:jc w:val="both"/>
        <w:rPr>
          <w:b/>
          <w:bCs/>
          <w:i/>
          <w:iCs/>
        </w:rPr>
      </w:pPr>
      <w:r>
        <w:rPr>
          <w:b/>
          <w:bCs/>
          <w:i/>
          <w:iCs/>
          <w:color w:val="000000"/>
        </w:rPr>
        <w:t>Mass or undifferentiated targeting </w:t>
      </w:r>
    </w:p>
    <w:p>
      <w:pPr>
        <w:pStyle w:val="style94"/>
        <w:spacing w:before="0" w:beforeAutospacing="false" w:after="0" w:afterAutospacing="false" w:lineRule="auto" w:line="360"/>
        <w:jc w:val="both"/>
        <w:rPr/>
      </w:pPr>
      <w:r>
        <w:rPr>
          <w:color w:val="000000"/>
        </w:rPr>
        <w:t xml:space="preserve">Sainsbury's offers products of a diverse range without differentiating the customer age group. Grocery items and other retail products available at the supermarkets are accessible to people of different ages. Consumption based on product type depends on customer preference. The diversification of the product range involved Sainsbury's in mass marketing. </w:t>
      </w:r>
    </w:p>
    <w:bookmarkStart w:id="11" w:name="_Toc144146176"/>
    <w:p>
      <w:pPr>
        <w:pStyle w:val="style2"/>
        <w:rPr/>
      </w:pPr>
      <w:r>
        <w:t>5.3 Positioning</w:t>
      </w:r>
      <w:bookmarkEnd w:id="11"/>
      <w:r>
        <w:t> </w:t>
      </w:r>
    </w:p>
    <w:p>
      <w:pPr>
        <w:pStyle w:val="style94"/>
        <w:numPr>
          <w:ilvl w:val="0"/>
          <w:numId w:val="3"/>
        </w:numPr>
        <w:spacing w:before="0" w:beforeAutospacing="false" w:after="0" w:afterAutospacing="false" w:lineRule="auto" w:line="360"/>
        <w:jc w:val="both"/>
        <w:rPr/>
      </w:pPr>
      <w:r>
        <w:rPr>
          <w:b/>
          <w:bCs/>
          <w:i/>
          <w:iCs/>
          <w:color w:val="000000"/>
        </w:rPr>
        <w:t>Pricing</w:t>
      </w:r>
      <w:r>
        <w:rPr>
          <w:color w:val="000000"/>
        </w:rPr>
        <w:t xml:space="preserve">: The Medium to high range of product availability in supermarkets Sainsbury's helped it to position the brand based on affordability of products. </w:t>
      </w:r>
    </w:p>
    <w:p>
      <w:pPr>
        <w:pStyle w:val="style94"/>
        <w:numPr>
          <w:ilvl w:val="0"/>
          <w:numId w:val="3"/>
        </w:numPr>
        <w:spacing w:before="0" w:beforeAutospacing="false" w:after="0" w:afterAutospacing="false" w:lineRule="auto" w:line="360"/>
        <w:jc w:val="both"/>
        <w:rPr/>
      </w:pPr>
      <w:r>
        <w:rPr>
          <w:b/>
          <w:bCs/>
          <w:i/>
          <w:iCs/>
          <w:color w:val="000000"/>
        </w:rPr>
        <w:t>Customer value</w:t>
      </w:r>
      <w:r>
        <w:rPr>
          <w:color w:val="000000"/>
        </w:rPr>
        <w:t xml:space="preserve">: The company implements the value-for-money approach to encourage customers to purchase again. Consumer value is maintained through adequate product quality (Saqib, 2020). </w:t>
      </w:r>
    </w:p>
    <w:p>
      <w:pPr>
        <w:pStyle w:val="style94"/>
        <w:numPr>
          <w:ilvl w:val="0"/>
          <w:numId w:val="3"/>
        </w:numPr>
        <w:spacing w:before="0" w:beforeAutospacing="false" w:after="0" w:afterAutospacing="false" w:lineRule="auto" w:line="360"/>
        <w:jc w:val="both"/>
        <w:rPr/>
      </w:pPr>
      <w:r>
        <w:rPr>
          <w:b/>
          <w:bCs/>
          <w:i/>
          <w:iCs/>
          <w:color w:val="000000"/>
        </w:rPr>
        <w:t>Choice or convenience</w:t>
      </w:r>
      <w:r>
        <w:rPr>
          <w:color w:val="000000"/>
        </w:rPr>
        <w:t xml:space="preserve">: Customers' choices are considered priorities to ensure demand management and customer satisfaction. The company drives a customer-centric approach. </w:t>
      </w:r>
    </w:p>
    <w:bookmarkStart w:id="12" w:name="_Toc144146177"/>
    <w:p>
      <w:pPr>
        <w:pStyle w:val="style1"/>
        <w:rPr/>
      </w:pPr>
      <w:r>
        <w:t>6. Marketing mix 4Ps</w:t>
      </w:r>
      <w:bookmarkEnd w:id="12"/>
    </w:p>
    <w:bookmarkStart w:id="13" w:name="_Toc144146178"/>
    <w:p>
      <w:pPr>
        <w:pStyle w:val="style2"/>
        <w:rPr/>
      </w:pPr>
      <w:r>
        <w:t>6.1 Product</w:t>
      </w:r>
      <w:bookmarkEnd w:id="13"/>
      <w:r>
        <w:t> </w:t>
      </w:r>
    </w:p>
    <w:p>
      <w:pPr>
        <w:pStyle w:val="style94"/>
        <w:spacing w:before="0" w:beforeAutospacing="false" w:after="0" w:afterAutospacing="false" w:lineRule="auto" w:line="360"/>
        <w:jc w:val="both"/>
        <w:rPr/>
      </w:pPr>
      <w:r>
        <w:rPr>
          <w:color w:val="000000"/>
        </w:rPr>
        <w:t xml:space="preserve">The products of Sainsbury's include homewares, groceries, clothing, electricals, and financial services (Sainsburys, 2023). The product range of the company helps it to address the demand of customers and ensures customer satisfaction. </w:t>
      </w:r>
    </w:p>
    <w:p>
      <w:pPr>
        <w:pStyle w:val="style0"/>
        <w:jc w:val="center"/>
        <w:rPr>
          <w:rFonts w:cs="Times New Roman"/>
          <w:szCs w:val="24"/>
        </w:rPr>
      </w:pPr>
      <w:r>
        <w:rPr>
          <w:rFonts w:cs="Times New Roman"/>
          <w:noProof/>
          <w:szCs w:val="24"/>
        </w:rPr>
        <w:drawing>
          <wp:inline distL="0" distT="0" distB="0" distR="0">
            <wp:extent cx="4520327" cy="2057400"/>
            <wp:effectExtent l="19050" t="0" r="0" b="0"/>
            <wp:docPr id="1030" name="Picture 7"/>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7"/>
                    <pic:cNvPicPr/>
                  </pic:nvPicPr>
                  <pic:blipFill>
                    <a:blip r:embed="rId10" cstate="print"/>
                    <a:srcRect l="0" t="0" r="0" b="0"/>
                    <a:stretch/>
                  </pic:blipFill>
                  <pic:spPr>
                    <a:xfrm rot="0">
                      <a:off x="0" y="0"/>
                      <a:ext cx="4520327" cy="2057400"/>
                    </a:xfrm>
                    <a:prstGeom prst="rect"/>
                    <a:ln>
                      <a:noFill/>
                    </a:ln>
                  </pic:spPr>
                </pic:pic>
              </a:graphicData>
            </a:graphic>
          </wp:inline>
        </w:drawing>
      </w:r>
    </w:p>
    <w:p>
      <w:pPr>
        <w:pStyle w:val="style0"/>
        <w:jc w:val="center"/>
        <w:rPr>
          <w:rFonts w:cs="Times New Roman"/>
          <w:b/>
          <w:szCs w:val="24"/>
        </w:rPr>
      </w:pPr>
      <w:r>
        <w:rPr>
          <w:rFonts w:cs="Times New Roman"/>
          <w:b/>
          <w:szCs w:val="24"/>
        </w:rPr>
        <w:t>Figure 4: Sainsbury’s Products</w:t>
      </w:r>
    </w:p>
    <w:p>
      <w:pPr>
        <w:pStyle w:val="style0"/>
        <w:jc w:val="center"/>
        <w:rPr>
          <w:rFonts w:cs="Times New Roman"/>
          <w:color w:val="000000"/>
          <w:szCs w:val="24"/>
        </w:rPr>
      </w:pPr>
      <w:r>
        <w:rPr>
          <w:rFonts w:cs="Times New Roman"/>
          <w:szCs w:val="24"/>
        </w:rPr>
        <w:t>Source: (</w:t>
      </w:r>
      <w:r>
        <w:rPr>
          <w:rFonts w:cs="Times New Roman"/>
          <w:color w:val="000000"/>
          <w:szCs w:val="24"/>
        </w:rPr>
        <w:t>Sainsburys, 2023)</w:t>
      </w:r>
    </w:p>
    <w:p>
      <w:pPr>
        <w:pStyle w:val="style94"/>
        <w:spacing w:before="0" w:beforeAutospacing="false" w:after="0" w:afterAutospacing="false" w:lineRule="auto" w:line="360"/>
        <w:jc w:val="both"/>
        <w:rPr/>
      </w:pPr>
      <w:r>
        <w:rPr>
          <w:b/>
          <w:bCs/>
          <w:color w:val="000000"/>
        </w:rPr>
        <w:t>Branding strategies </w:t>
      </w:r>
    </w:p>
    <w:p>
      <w:pPr>
        <w:pStyle w:val="style94"/>
        <w:spacing w:before="0" w:beforeAutospacing="false" w:after="0" w:afterAutospacing="false" w:lineRule="auto" w:line="360"/>
        <w:jc w:val="both"/>
        <w:rPr/>
      </w:pPr>
      <w:r>
        <w:rPr>
          <w:color w:val="000000"/>
        </w:rPr>
        <w:t>Sainsbury's shows products of different ranges with their price value to ensure clarity. The description of products and lively pictures available on online sites help customers to buy products quickly. Fresh and quality products are delivered to customers at their convenience.</w:t>
      </w:r>
    </w:p>
    <w:p>
      <w:pPr>
        <w:pStyle w:val="style0"/>
        <w:jc w:val="center"/>
        <w:rPr>
          <w:rFonts w:cs="Times New Roman"/>
          <w:szCs w:val="24"/>
        </w:rPr>
      </w:pPr>
      <w:r>
        <w:rPr>
          <w:rFonts w:cs="Times New Roman"/>
          <w:noProof/>
          <w:szCs w:val="24"/>
        </w:rPr>
        <w:drawing>
          <wp:inline distL="0" distT="0" distB="0" distR="0">
            <wp:extent cx="4257675" cy="2857500"/>
            <wp:effectExtent l="19050" t="0" r="9525" b="0"/>
            <wp:docPr id="1031" name="Picture 1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10"/>
                    <pic:cNvPicPr/>
                  </pic:nvPicPr>
                  <pic:blipFill>
                    <a:blip r:embed="rId11" cstate="print"/>
                    <a:srcRect l="0" t="0" r="0" b="0"/>
                    <a:stretch/>
                  </pic:blipFill>
                  <pic:spPr>
                    <a:xfrm rot="0">
                      <a:off x="0" y="0"/>
                      <a:ext cx="4257675" cy="2857500"/>
                    </a:xfrm>
                    <a:prstGeom prst="rect"/>
                    <a:ln>
                      <a:noFill/>
                    </a:ln>
                  </pic:spPr>
                </pic:pic>
              </a:graphicData>
            </a:graphic>
          </wp:inline>
        </w:drawing>
      </w:r>
    </w:p>
    <w:p>
      <w:pPr>
        <w:pStyle w:val="style0"/>
        <w:jc w:val="center"/>
        <w:rPr>
          <w:rFonts w:cs="Times New Roman"/>
          <w:b/>
          <w:szCs w:val="24"/>
        </w:rPr>
      </w:pPr>
      <w:r>
        <w:rPr>
          <w:rFonts w:cs="Times New Roman"/>
          <w:b/>
          <w:szCs w:val="24"/>
        </w:rPr>
        <w:t>Figure 5: Pricing Sainsbury’s</w:t>
      </w:r>
    </w:p>
    <w:p>
      <w:pPr>
        <w:pStyle w:val="style0"/>
        <w:jc w:val="center"/>
        <w:rPr>
          <w:rFonts w:cs="Times New Roman"/>
          <w:szCs w:val="24"/>
        </w:rPr>
      </w:pPr>
      <w:r>
        <w:rPr>
          <w:rFonts w:cs="Times New Roman"/>
          <w:szCs w:val="24"/>
        </w:rPr>
        <w:t>Source: (</w:t>
      </w:r>
      <w:r>
        <w:rPr>
          <w:rFonts w:cs="Times New Roman"/>
          <w:color w:val="000000"/>
          <w:szCs w:val="24"/>
        </w:rPr>
        <w:t>Sainsburys, 2023</w:t>
      </w:r>
      <w:r>
        <w:rPr>
          <w:rFonts w:cs="Times New Roman"/>
          <w:szCs w:val="24"/>
        </w:rPr>
        <w:t>)</w:t>
      </w:r>
    </w:p>
    <w:bookmarkStart w:id="14" w:name="_Toc144146179"/>
    <w:p>
      <w:pPr>
        <w:pStyle w:val="style2"/>
        <w:rPr/>
      </w:pPr>
      <w:r>
        <w:t>6.2 Price</w:t>
      </w:r>
      <w:bookmarkEnd w:id="14"/>
      <w:r>
        <w:t> </w:t>
      </w:r>
    </w:p>
    <w:p>
      <w:pPr>
        <w:pStyle w:val="style94"/>
        <w:spacing w:before="0" w:beforeAutospacing="false" w:after="0" w:afterAutospacing="false" w:lineRule="auto" w:line="360"/>
        <w:jc w:val="both"/>
        <w:rPr/>
      </w:pPr>
      <w:r>
        <w:rPr>
          <w:color w:val="000000"/>
        </w:rPr>
        <w:t xml:space="preserve">The prices of products are affordable. The products of the company are sold with discounts to attract customers. The affordability of the product range of Sainsbury's has helped it to ensure customer engagement in the long term. </w:t>
      </w:r>
    </w:p>
    <w:bookmarkStart w:id="15" w:name="_Toc144146180"/>
    <w:p>
      <w:pPr>
        <w:pStyle w:val="style2"/>
        <w:rPr/>
      </w:pPr>
      <w:r>
        <w:t>6.3 Place</w:t>
      </w:r>
      <w:bookmarkEnd w:id="15"/>
      <w:r>
        <w:t> </w:t>
      </w:r>
    </w:p>
    <w:p>
      <w:pPr>
        <w:pStyle w:val="style94"/>
        <w:spacing w:before="0" w:beforeAutospacing="false" w:after="0" w:afterAutospacing="false" w:lineRule="auto" w:line="360"/>
        <w:jc w:val="both"/>
        <w:rPr/>
      </w:pPr>
      <w:r>
        <w:rPr>
          <w:color w:val="000000"/>
        </w:rPr>
        <w:t xml:space="preserve">The company offers products on both online and offline platforms. Sainsbury's maintains product availability in its UK supermarket channels. It has consolidated a strong position in the London market. However, the global operations of Sainsbury's increased the scope of market expansion in different regions. </w:t>
      </w:r>
    </w:p>
    <w:bookmarkStart w:id="16" w:name="_Toc144146181"/>
    <w:p>
      <w:pPr>
        <w:pStyle w:val="style2"/>
        <w:rPr/>
      </w:pPr>
      <w:r>
        <w:t>6.4 Promotion</w:t>
      </w:r>
      <w:bookmarkEnd w:id="16"/>
      <w:r>
        <w:t> </w:t>
      </w:r>
    </w:p>
    <w:p>
      <w:pPr>
        <w:pStyle w:val="style94"/>
        <w:spacing w:before="0" w:beforeAutospacing="false" w:after="0" w:afterAutospacing="false" w:lineRule="auto" w:line="360"/>
        <w:jc w:val="both"/>
        <w:rPr/>
      </w:pPr>
      <w:r>
        <w:rPr>
          <w:color w:val="000000"/>
        </w:rPr>
        <w:t xml:space="preserve">Advertising based on digital media enables organizations to maintain market visibility (Lee and Cho, 2020). Sainsbury's engages in online and offline marketing. However, due to its digital presence, social media marketing helped the company promote products online and increase sales. Sainsbury's has maintained a strong position through marketing. </w:t>
      </w:r>
    </w:p>
    <w:bookmarkStart w:id="17" w:name="_Toc144146182"/>
    <w:p>
      <w:pPr>
        <w:pStyle w:val="style1"/>
        <w:rPr/>
      </w:pPr>
      <w:r>
        <w:t>7. Recommendation of future strategies</w:t>
      </w:r>
      <w:bookmarkEnd w:id="17"/>
      <w:r>
        <w:t> </w:t>
      </w:r>
    </w:p>
    <w:p>
      <w:pPr>
        <w:pStyle w:val="style0"/>
        <w:jc w:val="center"/>
        <w:rPr>
          <w:rFonts w:cs="Times New Roman"/>
          <w:szCs w:val="24"/>
        </w:rPr>
      </w:pPr>
    </w:p>
    <w:p>
      <w:pPr>
        <w:pStyle w:val="style0"/>
        <w:jc w:val="center"/>
        <w:rPr>
          <w:rFonts w:cs="Times New Roman"/>
          <w:szCs w:val="24"/>
        </w:rPr>
      </w:pPr>
      <w:r>
        <w:rPr>
          <w:rFonts w:cs="Times New Roman"/>
          <w:noProof/>
          <w:szCs w:val="24"/>
        </w:rPr>
        <w:drawing>
          <wp:inline distL="0" distT="0" distB="0" distR="0">
            <wp:extent cx="4552950" cy="2745053"/>
            <wp:effectExtent l="0" t="0" r="0" b="0"/>
            <wp:docPr id="1032" name="Picture 13" descr="Ansoff Matrix: what it is and how to use it in product strategy | by  Product Player | The Product Playbook | Medium"/>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13"/>
                    <pic:cNvPicPr/>
                  </pic:nvPicPr>
                  <pic:blipFill>
                    <a:blip r:embed="rId12" cstate="print"/>
                    <a:srcRect l="0" t="0" r="0" b="0"/>
                    <a:stretch/>
                  </pic:blipFill>
                  <pic:spPr>
                    <a:xfrm rot="0">
                      <a:off x="0" y="0"/>
                      <a:ext cx="4552950" cy="2745053"/>
                    </a:xfrm>
                    <a:prstGeom prst="rect"/>
                    <a:ln>
                      <a:noFill/>
                    </a:ln>
                  </pic:spPr>
                </pic:pic>
              </a:graphicData>
            </a:graphic>
          </wp:inline>
        </w:drawing>
      </w:r>
    </w:p>
    <w:p>
      <w:pPr>
        <w:pStyle w:val="style0"/>
        <w:jc w:val="center"/>
        <w:rPr>
          <w:rFonts w:cs="Times New Roman"/>
          <w:b/>
          <w:i/>
          <w:szCs w:val="24"/>
        </w:rPr>
      </w:pPr>
      <w:r>
        <w:rPr>
          <w:rFonts w:cs="Times New Roman"/>
          <w:b/>
          <w:i/>
          <w:szCs w:val="24"/>
        </w:rPr>
        <w:t>Figure 6: Ansoff Matrix</w:t>
      </w:r>
    </w:p>
    <w:p>
      <w:pPr>
        <w:pStyle w:val="style0"/>
        <w:jc w:val="center"/>
        <w:rPr>
          <w:rFonts w:cs="Times New Roman"/>
          <w:b/>
          <w:i/>
          <w:szCs w:val="24"/>
        </w:rPr>
      </w:pPr>
      <w:r>
        <w:rPr>
          <w:rFonts w:cs="Times New Roman"/>
          <w:b/>
          <w:i/>
          <w:szCs w:val="24"/>
        </w:rPr>
        <w:t>Source: (</w:t>
      </w:r>
      <w:r>
        <w:rPr>
          <w:rFonts w:cs="Times New Roman"/>
          <w:b/>
          <w:i/>
          <w:color w:val="222222"/>
          <w:szCs w:val="24"/>
          <w:shd w:val="clear" w:color="auto" w:fill="ffffff"/>
        </w:rPr>
        <w:t>Medium, 2023</w:t>
      </w:r>
      <w:r>
        <w:rPr>
          <w:rFonts w:cs="Times New Roman"/>
          <w:b/>
          <w:i/>
          <w:szCs w:val="24"/>
        </w:rPr>
        <w:t>)</w:t>
      </w:r>
    </w:p>
    <w:p>
      <w:pPr>
        <w:pStyle w:val="style94"/>
        <w:numPr>
          <w:ilvl w:val="0"/>
          <w:numId w:val="2"/>
        </w:numPr>
        <w:spacing w:before="0" w:beforeAutospacing="false" w:after="0" w:afterAutospacing="false" w:lineRule="auto" w:line="360"/>
        <w:jc w:val="both"/>
        <w:rPr/>
      </w:pPr>
      <w:r>
        <w:rPr>
          <w:b/>
          <w:bCs/>
          <w:color w:val="000000"/>
        </w:rPr>
        <w:t>Market Penetration </w:t>
      </w:r>
    </w:p>
    <w:p>
      <w:pPr>
        <w:pStyle w:val="style94"/>
        <w:spacing w:before="0" w:beforeAutospacing="false" w:after="0" w:afterAutospacing="false" w:lineRule="auto" w:line="360"/>
        <w:ind w:left="720"/>
        <w:jc w:val="both"/>
        <w:rPr/>
      </w:pPr>
      <w:r>
        <w:rPr>
          <w:color w:val="000000"/>
        </w:rPr>
        <w:t xml:space="preserve">Sainsbury's needs to increase its sales with the existing product range. The company has consolidated a strong market position in the UK. It must increase sales by promoting its existing product range. It has also increased its sales through consumer demand management. A customer-centric approach in the future may help the company to offer existing products to new customers in the existing market. </w:t>
      </w:r>
    </w:p>
    <w:p>
      <w:pPr>
        <w:pStyle w:val="style94"/>
        <w:numPr>
          <w:ilvl w:val="0"/>
          <w:numId w:val="2"/>
        </w:numPr>
        <w:spacing w:before="0" w:beforeAutospacing="false" w:after="0" w:afterAutospacing="false" w:lineRule="auto" w:line="360"/>
        <w:jc w:val="both"/>
        <w:rPr/>
      </w:pPr>
      <w:r>
        <w:rPr>
          <w:b/>
          <w:bCs/>
          <w:color w:val="000000"/>
        </w:rPr>
        <w:t>Product development </w:t>
      </w:r>
    </w:p>
    <w:p>
      <w:pPr>
        <w:pStyle w:val="style94"/>
        <w:spacing w:before="0" w:beforeAutospacing="false" w:after="0" w:afterAutospacing="false" w:lineRule="auto" w:line="360"/>
        <w:ind w:left="720"/>
        <w:jc w:val="both"/>
        <w:rPr/>
      </w:pPr>
      <w:r>
        <w:rPr>
          <w:color w:val="000000"/>
        </w:rPr>
        <w:t xml:space="preserve">Sainsbury's can focus on new product offering process to the customers. Within the existing market, it can increase sales with new products. The largest supermarket channel of the company in the UK has helped it to ensure a high level of sales. The company's new products can help it maintain a high level of sales and obtain profitability in the future. Nonetheless, new product development will also help to improve the brand's position in the competitive market. </w:t>
      </w:r>
    </w:p>
    <w:bookmarkStart w:id="18" w:name="_Toc144146183"/>
    <w:p>
      <w:pPr>
        <w:pStyle w:val="style1"/>
        <w:rPr/>
      </w:pPr>
      <w:r>
        <w:t>8. Conclusion</w:t>
      </w:r>
      <w:bookmarkEnd w:id="18"/>
      <w:r>
        <w:t> </w:t>
      </w:r>
    </w:p>
    <w:p>
      <w:pPr>
        <w:pStyle w:val="style94"/>
        <w:spacing w:before="0" w:beforeAutospacing="false" w:after="0" w:afterAutospacing="false" w:lineRule="auto" w:line="360"/>
        <w:jc w:val="both"/>
        <w:rPr/>
      </w:pPr>
      <w:r>
        <w:rPr>
          <w:color w:val="000000"/>
        </w:rPr>
        <w:t xml:space="preserve">The report has developed a comprehensive idea about the factors influencing Sainsbury's performance in the competitive market. The external environmental factors may help Sainsbury's to tackle the challenges in the future. Economic and technological factors must be considered to promote the company's growth. Sainsbury's needs to control the bargaining power of its customers. The company's strengths in maintaining a consumer base may help it expand its future market. However, segmentation and targeting processes are effective and aligned with positioning based on value and affordability. Sainsbury's marketing strategies have helped it to focus on future growth and profitability. </w:t>
      </w:r>
    </w:p>
    <w:p>
      <w:pPr>
        <w:pStyle w:val="style0"/>
        <w:jc w:val="both"/>
        <w:rPr>
          <w:rFonts w:cs="Times New Roman"/>
          <w:szCs w:val="24"/>
        </w:rPr>
      </w:pPr>
      <w:r>
        <w:rPr>
          <w:rFonts w:cs="Times New Roman"/>
          <w:szCs w:val="24"/>
        </w:rPr>
        <w:br w:type="page"/>
      </w:r>
    </w:p>
    <w:bookmarkStart w:id="19" w:name="_Toc144146184"/>
    <w:p>
      <w:pPr>
        <w:pStyle w:val="style1"/>
        <w:rPr/>
      </w:pPr>
      <w:r>
        <w:t>References</w:t>
      </w:r>
      <w:bookmarkEnd w:id="19"/>
    </w:p>
    <w:p>
      <w:pPr>
        <w:pStyle w:val="style94"/>
        <w:spacing w:before="240" w:beforeAutospacing="false" w:after="240" w:afterAutospacing="false" w:lineRule="auto" w:line="360"/>
        <w:jc w:val="both"/>
        <w:rPr/>
      </w:pPr>
      <w:r>
        <w:rPr>
          <w:color w:val="222222"/>
          <w:shd w:val="clear" w:color="auto" w:fill="ffffff"/>
        </w:rPr>
        <w:t xml:space="preserve">Alzoubi, H.M., Ahmed, G. and Alshurideh, M., 2022. An empirical investigation into the impact of product quality dimensions on improving the order-winners and customer satisfaction. </w:t>
      </w:r>
      <w:r>
        <w:rPr>
          <w:i/>
          <w:iCs/>
          <w:color w:val="222222"/>
          <w:shd w:val="clear" w:color="auto" w:fill="ffffff"/>
        </w:rPr>
        <w:t>International Journal of Productivity and Quality Management</w:t>
      </w:r>
      <w:r>
        <w:rPr>
          <w:color w:val="222222"/>
          <w:shd w:val="clear" w:color="auto" w:fill="ffffff"/>
        </w:rPr>
        <w:t xml:space="preserve">, </w:t>
      </w:r>
      <w:r>
        <w:rPr>
          <w:i/>
          <w:iCs/>
          <w:color w:val="222222"/>
          <w:shd w:val="clear" w:color="auto" w:fill="ffffff"/>
        </w:rPr>
        <w:t>36</w:t>
      </w:r>
      <w:r>
        <w:rPr>
          <w:color w:val="222222"/>
          <w:shd w:val="clear" w:color="auto" w:fill="ffffff"/>
        </w:rPr>
        <w:t xml:space="preserve">(2), </w:t>
      </w:r>
      <w:r>
        <w:rPr>
          <w:color w:val="222222"/>
          <w:shd w:val="clear" w:color="auto" w:fill="ffffff"/>
        </w:rPr>
        <w:t>pp.169</w:t>
      </w:r>
      <w:r>
        <w:rPr>
          <w:color w:val="222222"/>
          <w:shd w:val="clear" w:color="auto" w:fill="ffffff"/>
        </w:rPr>
        <w:t>-186.</w:t>
      </w:r>
    </w:p>
    <w:p>
      <w:pPr>
        <w:pStyle w:val="style94"/>
        <w:spacing w:before="240" w:beforeAutospacing="false" w:after="240" w:afterAutospacing="false" w:lineRule="auto" w:line="360"/>
        <w:jc w:val="both"/>
        <w:rPr/>
      </w:pPr>
      <w:r>
        <w:rPr>
          <w:color w:val="222222"/>
          <w:shd w:val="clear" w:color="auto" w:fill="ffffff"/>
        </w:rPr>
        <w:t xml:space="preserve">Caldera, </w:t>
      </w:r>
      <w:r>
        <w:rPr>
          <w:color w:val="222222"/>
          <w:shd w:val="clear" w:color="auto" w:fill="ffffff"/>
        </w:rPr>
        <w:t>H.T.S</w:t>
      </w:r>
      <w:r>
        <w:rPr>
          <w:color w:val="222222"/>
          <w:shd w:val="clear" w:color="auto" w:fill="ffffff"/>
        </w:rPr>
        <w:t>., Desha, C. and Dawes, L., 2019. Evaluating the enablers and barriers for successful implementation of sustainable business practice in ‘</w:t>
      </w:r>
      <w:r>
        <w:rPr>
          <w:color w:val="222222"/>
          <w:shd w:val="clear" w:color="auto" w:fill="ffffff"/>
        </w:rPr>
        <w:t>lean’SMEs</w:t>
      </w:r>
      <w:r>
        <w:rPr>
          <w:color w:val="222222"/>
          <w:shd w:val="clear" w:color="auto" w:fill="ffffff"/>
        </w:rPr>
        <w:t xml:space="preserve">. </w:t>
      </w:r>
      <w:r>
        <w:rPr>
          <w:i/>
          <w:iCs/>
          <w:color w:val="222222"/>
          <w:shd w:val="clear" w:color="auto" w:fill="ffffff"/>
        </w:rPr>
        <w:t>Journal of cleaner production</w:t>
      </w:r>
      <w:r>
        <w:rPr>
          <w:color w:val="222222"/>
          <w:shd w:val="clear" w:color="auto" w:fill="ffffff"/>
        </w:rPr>
        <w:t xml:space="preserve">, </w:t>
      </w:r>
      <w:r>
        <w:rPr>
          <w:i/>
          <w:iCs/>
          <w:color w:val="222222"/>
          <w:shd w:val="clear" w:color="auto" w:fill="ffffff"/>
        </w:rPr>
        <w:t>218</w:t>
      </w:r>
      <w:r>
        <w:rPr>
          <w:color w:val="222222"/>
          <w:shd w:val="clear" w:color="auto" w:fill="ffffff"/>
        </w:rPr>
        <w:t xml:space="preserve">, </w:t>
      </w:r>
      <w:r>
        <w:rPr>
          <w:color w:val="222222"/>
          <w:shd w:val="clear" w:color="auto" w:fill="ffffff"/>
        </w:rPr>
        <w:t>pp.575</w:t>
      </w:r>
      <w:r>
        <w:rPr>
          <w:color w:val="222222"/>
          <w:shd w:val="clear" w:color="auto" w:fill="ffffff"/>
        </w:rPr>
        <w:t>-590.</w:t>
      </w:r>
    </w:p>
    <w:p>
      <w:pPr>
        <w:pStyle w:val="style94"/>
        <w:spacing w:before="240" w:beforeAutospacing="false" w:after="240" w:afterAutospacing="false" w:lineRule="auto" w:line="360"/>
        <w:jc w:val="both"/>
        <w:rPr/>
      </w:pPr>
      <w:r>
        <w:rPr>
          <w:color w:val="222222"/>
          <w:shd w:val="clear" w:color="auto" w:fill="ffffff"/>
        </w:rPr>
        <w:t xml:space="preserve">Dai, </w:t>
      </w:r>
      <w:r>
        <w:rPr>
          <w:color w:val="222222"/>
          <w:shd w:val="clear" w:color="auto" w:fill="ffffff"/>
        </w:rPr>
        <w:t>H.N</w:t>
      </w:r>
      <w:r>
        <w:rPr>
          <w:color w:val="222222"/>
          <w:shd w:val="clear" w:color="auto" w:fill="ffffff"/>
        </w:rPr>
        <w:t xml:space="preserve">., Wang, H., Xu, G., Wan, J. and Imran, M., 2020. Big data analytics for manufacturing internet of things: opportunities, challenges and enabling technologies. </w:t>
      </w:r>
      <w:r>
        <w:rPr>
          <w:i/>
          <w:iCs/>
          <w:color w:val="222222"/>
          <w:shd w:val="clear" w:color="auto" w:fill="ffffff"/>
        </w:rPr>
        <w:t>Enterprise Information Systems</w:t>
      </w:r>
      <w:r>
        <w:rPr>
          <w:color w:val="222222"/>
          <w:shd w:val="clear" w:color="auto" w:fill="ffffff"/>
        </w:rPr>
        <w:t xml:space="preserve">, </w:t>
      </w:r>
      <w:r>
        <w:rPr>
          <w:i/>
          <w:iCs/>
          <w:color w:val="222222"/>
          <w:shd w:val="clear" w:color="auto" w:fill="ffffff"/>
        </w:rPr>
        <w:t>14</w:t>
      </w:r>
      <w:r>
        <w:rPr>
          <w:color w:val="222222"/>
          <w:shd w:val="clear" w:color="auto" w:fill="ffffff"/>
        </w:rPr>
        <w:t xml:space="preserve">(9-10), </w:t>
      </w:r>
      <w:r>
        <w:rPr>
          <w:color w:val="222222"/>
          <w:shd w:val="clear" w:color="auto" w:fill="ffffff"/>
        </w:rPr>
        <w:t>pp.1279</w:t>
      </w:r>
      <w:r>
        <w:rPr>
          <w:color w:val="222222"/>
          <w:shd w:val="clear" w:color="auto" w:fill="ffffff"/>
        </w:rPr>
        <w:t>-1303.</w:t>
      </w:r>
    </w:p>
    <w:p>
      <w:pPr>
        <w:pStyle w:val="style94"/>
        <w:spacing w:before="240" w:beforeAutospacing="false" w:after="240" w:afterAutospacing="false" w:lineRule="auto" w:line="360"/>
        <w:jc w:val="both"/>
        <w:rPr/>
      </w:pPr>
      <w:r>
        <w:rPr>
          <w:color w:val="222222"/>
          <w:shd w:val="clear" w:color="auto" w:fill="ffffff"/>
        </w:rPr>
        <w:t>Edrawmax. 2023. [online] Available at: &lt;https://images.edrawmax.com/examples/poster-five-forces-examples/exp5.png&gt; [Accessed 28 Aug. 2023]. </w:t>
      </w:r>
    </w:p>
    <w:p>
      <w:pPr>
        <w:pStyle w:val="style94"/>
        <w:spacing w:before="240" w:beforeAutospacing="false" w:after="240" w:afterAutospacing="false" w:lineRule="auto" w:line="360"/>
        <w:jc w:val="both"/>
        <w:rPr/>
      </w:pPr>
      <w:r>
        <w:rPr>
          <w:color w:val="222222"/>
          <w:shd w:val="clear" w:color="auto" w:fill="ffffff"/>
        </w:rPr>
        <w:t>Exactdn</w:t>
      </w:r>
      <w:r>
        <w:rPr>
          <w:color w:val="222222"/>
          <w:shd w:val="clear" w:color="auto" w:fill="ffffff"/>
        </w:rPr>
        <w:t xml:space="preserve">. 2022. [online] </w:t>
      </w:r>
      <w:r>
        <w:rPr>
          <w:color w:val="222222"/>
          <w:shd w:val="clear" w:color="auto" w:fill="ffffff"/>
        </w:rPr>
        <w:t>Exactdn</w:t>
      </w:r>
      <w:r>
        <w:rPr>
          <w:color w:val="222222"/>
          <w:shd w:val="clear" w:color="auto" w:fill="ffffff"/>
        </w:rPr>
        <w:t>. Available at: &lt;https://etwbjcqqkh9.exactdn.com/wp-content/uploads/2022/05/market-segmentation.jpg?strip=all&amp;lossy=1&amp;ssl=1&gt; [Accessed 28 Aug. 2023]. </w:t>
      </w:r>
    </w:p>
    <w:p>
      <w:pPr>
        <w:pStyle w:val="style94"/>
        <w:spacing w:before="240" w:beforeAutospacing="false" w:after="240" w:afterAutospacing="false" w:lineRule="auto" w:line="360"/>
        <w:jc w:val="both"/>
        <w:rPr/>
      </w:pPr>
      <w:r>
        <w:rPr>
          <w:color w:val="000000"/>
        </w:rPr>
        <w:t xml:space="preserve">Heritage. 2023. </w:t>
      </w:r>
      <w:r>
        <w:rPr>
          <w:i/>
          <w:iCs/>
          <w:color w:val="000000"/>
        </w:rPr>
        <w:t>United Kingdom</w:t>
      </w:r>
      <w:r>
        <w:rPr>
          <w:color w:val="000000"/>
        </w:rPr>
        <w:t xml:space="preserve">. [online] United Kingdom Economy: Population, GDP, Inflation, Business, Trade, </w:t>
      </w:r>
      <w:r>
        <w:rPr>
          <w:color w:val="000000"/>
        </w:rPr>
        <w:t>FDI</w:t>
      </w:r>
      <w:r>
        <w:rPr>
          <w:color w:val="000000"/>
        </w:rPr>
        <w:t>, Corruption. Available at: &lt;https://</w:t>
      </w:r>
      <w:r>
        <w:rPr>
          <w:color w:val="000000"/>
        </w:rPr>
        <w:t>www.heritage.org</w:t>
      </w:r>
      <w:r>
        <w:rPr>
          <w:color w:val="000000"/>
        </w:rPr>
        <w:t>/index/country/</w:t>
      </w:r>
      <w:r>
        <w:rPr>
          <w:color w:val="000000"/>
        </w:rPr>
        <w:t>unitedkingdom</w:t>
      </w:r>
      <w:r>
        <w:rPr>
          <w:color w:val="000000"/>
        </w:rPr>
        <w:t>&gt; [Accessed 28 Aug. 2023]. </w:t>
      </w:r>
    </w:p>
    <w:p>
      <w:pPr>
        <w:pStyle w:val="style94"/>
        <w:spacing w:before="240" w:beforeAutospacing="false" w:after="240" w:afterAutospacing="false" w:lineRule="auto" w:line="360"/>
        <w:jc w:val="both"/>
        <w:rPr/>
      </w:pPr>
      <w:r>
        <w:rPr>
          <w:color w:val="222222"/>
          <w:shd w:val="clear" w:color="auto" w:fill="ffffff"/>
        </w:rPr>
        <w:t xml:space="preserve">Lee, H. and Cho, C.H., 2020. Digital advertising: present and future prospects. </w:t>
      </w:r>
      <w:r>
        <w:rPr>
          <w:i/>
          <w:iCs/>
          <w:color w:val="222222"/>
          <w:shd w:val="clear" w:color="auto" w:fill="ffffff"/>
        </w:rPr>
        <w:t>International Journal of Advertising</w:t>
      </w:r>
      <w:r>
        <w:rPr>
          <w:color w:val="222222"/>
          <w:shd w:val="clear" w:color="auto" w:fill="ffffff"/>
        </w:rPr>
        <w:t xml:space="preserve">, </w:t>
      </w:r>
      <w:r>
        <w:rPr>
          <w:i/>
          <w:iCs/>
          <w:color w:val="222222"/>
          <w:shd w:val="clear" w:color="auto" w:fill="ffffff"/>
        </w:rPr>
        <w:t>39</w:t>
      </w:r>
      <w:r>
        <w:rPr>
          <w:color w:val="222222"/>
          <w:shd w:val="clear" w:color="auto" w:fill="ffffff"/>
        </w:rPr>
        <w:t xml:space="preserve">(3), </w:t>
      </w:r>
      <w:r>
        <w:rPr>
          <w:color w:val="222222"/>
          <w:shd w:val="clear" w:color="auto" w:fill="ffffff"/>
        </w:rPr>
        <w:t>pp.332</w:t>
      </w:r>
      <w:r>
        <w:rPr>
          <w:color w:val="222222"/>
          <w:shd w:val="clear" w:color="auto" w:fill="ffffff"/>
        </w:rPr>
        <w:t>-341.</w:t>
      </w:r>
    </w:p>
    <w:p>
      <w:pPr>
        <w:pStyle w:val="style94"/>
        <w:spacing w:before="240" w:beforeAutospacing="false" w:after="240" w:afterAutospacing="false" w:lineRule="auto" w:line="360"/>
        <w:jc w:val="both"/>
        <w:rPr/>
      </w:pPr>
      <w:r>
        <w:rPr>
          <w:color w:val="222222"/>
          <w:shd w:val="clear" w:color="auto" w:fill="ffffff"/>
        </w:rPr>
        <w:t>Medium. 2023. [online] Medium. Available at: &lt;https://miro.medium.com/v2/resize:fit:617/0*YdK76Qw8IYjqi5B-.png&gt; [Accessed 28 Aug. 2023]. </w:t>
      </w:r>
    </w:p>
    <w:p>
      <w:pPr>
        <w:pStyle w:val="style94"/>
        <w:spacing w:before="240" w:beforeAutospacing="false" w:after="240" w:afterAutospacing="false" w:lineRule="auto" w:line="360"/>
        <w:jc w:val="both"/>
        <w:rPr/>
      </w:pPr>
      <w:r>
        <w:rPr>
          <w:color w:val="000000"/>
        </w:rPr>
        <w:t xml:space="preserve">Sainsburys. 2023. </w:t>
      </w:r>
      <w:r>
        <w:rPr>
          <w:i/>
          <w:iCs/>
          <w:color w:val="000000"/>
        </w:rPr>
        <w:t>Sainsbury’s</w:t>
      </w:r>
      <w:r>
        <w:rPr>
          <w:color w:val="000000"/>
        </w:rPr>
        <w:t>. [online] Sainsburys. Available at: &lt;https://</w:t>
      </w:r>
      <w:r>
        <w:rPr>
          <w:color w:val="000000"/>
        </w:rPr>
        <w:t>www.sainsburys.co.uk</w:t>
      </w:r>
      <w:r>
        <w:rPr>
          <w:color w:val="000000"/>
        </w:rPr>
        <w:t>/&gt; [Accessed 28 Aug. 2023]. </w:t>
      </w:r>
    </w:p>
    <w:p>
      <w:pPr>
        <w:pStyle w:val="style94"/>
        <w:spacing w:before="240" w:beforeAutospacing="false" w:after="240" w:afterAutospacing="false" w:lineRule="auto" w:line="360"/>
        <w:jc w:val="both"/>
        <w:rPr/>
      </w:pPr>
      <w:r>
        <w:rPr>
          <w:color w:val="222222"/>
          <w:shd w:val="clear" w:color="auto" w:fill="ffffff"/>
        </w:rPr>
        <w:t xml:space="preserve">Saqib, N., 2020. Positioning–a literature review. </w:t>
      </w:r>
      <w:r>
        <w:rPr>
          <w:i/>
          <w:iCs/>
          <w:color w:val="222222"/>
          <w:shd w:val="clear" w:color="auto" w:fill="ffffff"/>
        </w:rPr>
        <w:t>PSU Research Review</w:t>
      </w:r>
      <w:r>
        <w:rPr>
          <w:color w:val="222222"/>
          <w:shd w:val="clear" w:color="auto" w:fill="ffffff"/>
        </w:rPr>
        <w:t xml:space="preserve">, </w:t>
      </w:r>
      <w:r>
        <w:rPr>
          <w:i/>
          <w:iCs/>
          <w:color w:val="222222"/>
          <w:shd w:val="clear" w:color="auto" w:fill="ffffff"/>
        </w:rPr>
        <w:t>5</w:t>
      </w:r>
      <w:r>
        <w:rPr>
          <w:color w:val="222222"/>
          <w:shd w:val="clear" w:color="auto" w:fill="ffffff"/>
        </w:rPr>
        <w:t xml:space="preserve">(2), </w:t>
      </w:r>
      <w:r>
        <w:rPr>
          <w:color w:val="222222"/>
          <w:shd w:val="clear" w:color="auto" w:fill="ffffff"/>
        </w:rPr>
        <w:t>pp.141</w:t>
      </w:r>
      <w:r>
        <w:rPr>
          <w:color w:val="222222"/>
          <w:shd w:val="clear" w:color="auto" w:fill="ffffff"/>
        </w:rPr>
        <w:t>-169.</w:t>
      </w:r>
    </w:p>
    <w:p>
      <w:pPr>
        <w:pStyle w:val="style94"/>
        <w:spacing w:before="240" w:beforeAutospacing="false" w:after="240" w:afterAutospacing="false" w:lineRule="auto" w:line="360"/>
        <w:jc w:val="both"/>
        <w:rPr/>
      </w:pPr>
      <w:r>
        <w:rPr>
          <w:color w:val="222222"/>
          <w:shd w:val="clear" w:color="auto" w:fill="ffffff"/>
        </w:rPr>
        <w:t xml:space="preserve">Statista. 2023. </w:t>
      </w:r>
      <w:r>
        <w:rPr>
          <w:i/>
          <w:iCs/>
          <w:color w:val="222222"/>
          <w:shd w:val="clear" w:color="auto" w:fill="ffffff"/>
        </w:rPr>
        <w:t>It services - united kingdom: Statista market forecast</w:t>
      </w:r>
      <w:r>
        <w:rPr>
          <w:color w:val="222222"/>
          <w:shd w:val="clear" w:color="auto" w:fill="ffffff"/>
        </w:rPr>
        <w:t>. [online] Statista. Available at: &lt;https://www.statista.com/outlook/tmo/it-services/united-kingdom&gt; [Accessed 28 Aug. 2023]. </w:t>
      </w:r>
    </w:p>
    <w:p>
      <w:pPr>
        <w:pStyle w:val="style94"/>
        <w:spacing w:before="240" w:beforeAutospacing="false" w:after="240" w:afterAutospacing="false" w:lineRule="auto" w:line="360"/>
        <w:jc w:val="both"/>
        <w:rPr/>
      </w:pPr>
      <w:r>
        <w:rPr>
          <w:color w:val="222222"/>
          <w:shd w:val="clear" w:color="auto" w:fill="ffffff"/>
        </w:rPr>
        <w:t xml:space="preserve">Tang, </w:t>
      </w:r>
      <w:r>
        <w:rPr>
          <w:color w:val="222222"/>
          <w:shd w:val="clear" w:color="auto" w:fill="ffffff"/>
        </w:rPr>
        <w:t>Y.E</w:t>
      </w:r>
      <w:r>
        <w:rPr>
          <w:color w:val="222222"/>
          <w:shd w:val="clear" w:color="auto" w:fill="ffffff"/>
        </w:rPr>
        <w:t xml:space="preserve">. and Tsang, A.S., 2020. Inspire me to purchase: Consumers’ personal control and preference for underdog brand positioning. </w:t>
      </w:r>
      <w:r>
        <w:rPr>
          <w:i/>
          <w:iCs/>
          <w:color w:val="222222"/>
          <w:shd w:val="clear" w:color="auto" w:fill="ffffff"/>
        </w:rPr>
        <w:t>Journal of Business Research</w:t>
      </w:r>
      <w:r>
        <w:rPr>
          <w:color w:val="222222"/>
          <w:shd w:val="clear" w:color="auto" w:fill="ffffff"/>
        </w:rPr>
        <w:t xml:space="preserve">, </w:t>
      </w:r>
      <w:r>
        <w:rPr>
          <w:i/>
          <w:iCs/>
          <w:color w:val="222222"/>
          <w:shd w:val="clear" w:color="auto" w:fill="ffffff"/>
        </w:rPr>
        <w:t>115</w:t>
      </w:r>
      <w:r>
        <w:rPr>
          <w:color w:val="222222"/>
          <w:shd w:val="clear" w:color="auto" w:fill="ffffff"/>
        </w:rPr>
        <w:t xml:space="preserve">, </w:t>
      </w:r>
      <w:r>
        <w:rPr>
          <w:color w:val="222222"/>
          <w:shd w:val="clear" w:color="auto" w:fill="ffffff"/>
        </w:rPr>
        <w:t>pp.101</w:t>
      </w:r>
      <w:r>
        <w:rPr>
          <w:color w:val="222222"/>
          <w:shd w:val="clear" w:color="auto" w:fill="ffffff"/>
        </w:rPr>
        <w:t>-109.</w:t>
      </w:r>
    </w:p>
    <w:p>
      <w:pPr>
        <w:pStyle w:val="style94"/>
        <w:spacing w:before="240" w:beforeAutospacing="false" w:after="240" w:afterAutospacing="false" w:lineRule="auto" w:line="360"/>
        <w:jc w:val="both"/>
        <w:rPr>
          <w:color w:val="222222"/>
          <w:shd w:val="clear" w:color="auto" w:fill="ffffff"/>
        </w:rPr>
      </w:pPr>
      <w:r>
        <w:rPr>
          <w:color w:val="222222"/>
          <w:shd w:val="clear" w:color="auto" w:fill="ffffff"/>
        </w:rPr>
        <w:t xml:space="preserve">Webber, M., 2023. Identity, status and role in UK foreign policy: Brexit and beyond. </w:t>
      </w:r>
      <w:r>
        <w:rPr>
          <w:i/>
          <w:iCs/>
          <w:color w:val="222222"/>
          <w:shd w:val="clear" w:color="auto" w:fill="ffffff"/>
        </w:rPr>
        <w:t>International Politics</w:t>
      </w:r>
      <w:r>
        <w:rPr>
          <w:color w:val="222222"/>
          <w:shd w:val="clear" w:color="auto" w:fill="ffffff"/>
        </w:rPr>
        <w:t xml:space="preserve">, </w:t>
      </w:r>
      <w:r>
        <w:rPr>
          <w:color w:val="222222"/>
          <w:shd w:val="clear" w:color="auto" w:fill="ffffff"/>
        </w:rPr>
        <w:t>pp.1</w:t>
      </w:r>
      <w:r>
        <w:rPr>
          <w:color w:val="222222"/>
          <w:shd w:val="clear" w:color="auto" w:fill="ffffff"/>
        </w:rPr>
        <w:t>-12.</w:t>
      </w:r>
    </w:p>
    <w:p>
      <w:pPr>
        <w:pStyle w:val="style0"/>
        <w:spacing w:lineRule="auto" w:line="259"/>
        <w:rPr>
          <w:rFonts w:cs="Times New Roman" w:eastAsia="Times New Roman"/>
          <w:color w:val="222222"/>
          <w:szCs w:val="24"/>
          <w:shd w:val="clear" w:color="auto" w:fill="ffffff"/>
        </w:rPr>
      </w:pPr>
      <w:r>
        <w:rPr>
          <w:color w:val="222222"/>
          <w:shd w:val="clear" w:color="auto" w:fill="ffffff"/>
        </w:rPr>
        <w:br w:type="page"/>
      </w:r>
    </w:p>
    <w:bookmarkStart w:id="20" w:name="_Toc144146185"/>
    <w:p>
      <w:pPr>
        <w:pStyle w:val="style1"/>
        <w:rPr/>
      </w:pPr>
      <w:r>
        <w:t>Poster prestation</w:t>
      </w:r>
      <w:bookmarkEnd w:id="20"/>
      <w:r>
        <w:t xml:space="preserve"> </w:t>
      </w:r>
    </w:p>
    <w:p>
      <w:pPr>
        <w:pStyle w:val="style94"/>
        <w:spacing w:before="240" w:beforeAutospacing="false" w:after="240" w:afterAutospacing="false" w:lineRule="auto" w:line="360"/>
        <w:jc w:val="center"/>
        <w:rPr/>
      </w:pPr>
      <w:r>
        <w:rPr>
          <w:noProof/>
        </w:rPr>
        <w:drawing>
          <wp:inline distL="0" distT="0" distB="0" distR="0">
            <wp:extent cx="5943600" cy="4142740"/>
            <wp:effectExtent l="0" t="0" r="0" b="0"/>
            <wp:docPr id="1033" name="Graphic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Graphic 1"/>
                    <pic:cNvPicPr/>
                  </pic:nvPicPr>
                  <pic:blipFill>
                    <a:blip r:embed="rId14" cstate="print"/>
                    <a:srcRect l="0" t="0" r="0" b="0"/>
                    <a:stretch/>
                  </pic:blipFill>
                  <pic:spPr>
                    <a:xfrm rot="0">
                      <a:off x="0" y="0"/>
                      <a:ext cx="5943600" cy="4142740"/>
                    </a:xfrm>
                    <a:prstGeom prst="rect"/>
                  </pic:spPr>
                </pic:pic>
              </a:graphicData>
            </a:graphic>
          </wp:inline>
        </w:drawing>
      </w:r>
    </w:p>
    <w:p>
      <w:pPr>
        <w:pStyle w:val="style0"/>
        <w:jc w:val="both"/>
        <w:rPr>
          <w:rFonts w:cs="Times New Roman"/>
          <w:b/>
          <w:szCs w:val="24"/>
        </w:rPr>
      </w:pPr>
    </w:p>
    <w:sectPr>
      <w:footerReference w:type="default" r:id="rId15"/>
      <w:pgSz w:w="12240" w:h="15840" w:orient="portrait"/>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200247B" w:usb2="00000009" w:usb3="00000000" w:csb0="000001FF" w:csb1="00000000"/>
  </w:font>
  <w:font w:name="Tahoma">
    <w:altName w:val="Tahoma"/>
    <w:panose1 w:val="020b0604030005040204"/>
    <w:charset w:val="00"/>
    <w:family w:val="swiss"/>
    <w:pitch w:val="variable"/>
    <w:sig w:usb0="E1002EFF" w:usb1="C000605B" w:usb2="00000029" w:usb3="00000000" w:csb0="000101FF" w:csb1="00000000"/>
  </w:font>
  <w:font w:name="Calibri Light">
    <w:altName w:val="Calibri Light"/>
    <w:panose1 w:val="020f0302020002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pPr>
    <w:r>
      <w:rPr/>
      <w:fldChar w:fldCharType="begin"/>
    </w:r>
    <w:r>
      <w:instrText xml:space="preserve"> PAGE   \* MERGEFORMAT </w:instrText>
    </w:r>
    <w:r>
      <w:rPr/>
      <w:fldChar w:fldCharType="separate"/>
    </w:r>
    <w:r>
      <w:rPr>
        <w:noProof/>
      </w:rPr>
      <w:t>2</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F828C242"/>
    <w:lvl w:ilvl="0" w:tplc="3A5E855C">
      <w:start w:val="1"/>
      <w:numFmt w:val="bullet"/>
      <w:lvlText w:val=""/>
      <w:lvlJc w:val="left"/>
      <w:pPr>
        <w:ind w:left="720" w:hanging="360"/>
      </w:pPr>
      <w:rPr>
        <w:rFonts w:ascii="Symbol" w:hAnsi="Symbol" w:hint="default"/>
      </w:rPr>
    </w:lvl>
    <w:lvl w:ilvl="1" w:tplc="AAB0A4E6" w:tentative="1">
      <w:start w:val="1"/>
      <w:numFmt w:val="bullet"/>
      <w:lvlText w:val="o"/>
      <w:lvlJc w:val="left"/>
      <w:pPr>
        <w:ind w:left="1440" w:hanging="360"/>
      </w:pPr>
      <w:rPr>
        <w:rFonts w:ascii="Courier New" w:cs="Courier New" w:hAnsi="Courier New" w:hint="default"/>
      </w:rPr>
    </w:lvl>
    <w:lvl w:ilvl="2" w:tplc="B852AC64" w:tentative="1">
      <w:start w:val="1"/>
      <w:numFmt w:val="bullet"/>
      <w:lvlText w:val=""/>
      <w:lvlJc w:val="left"/>
      <w:pPr>
        <w:ind w:left="2160" w:hanging="360"/>
      </w:pPr>
      <w:rPr>
        <w:rFonts w:ascii="Wingdings" w:hAnsi="Wingdings" w:hint="default"/>
      </w:rPr>
    </w:lvl>
    <w:lvl w:ilvl="3" w:tplc="E3ACD74A" w:tentative="1">
      <w:start w:val="1"/>
      <w:numFmt w:val="bullet"/>
      <w:lvlText w:val=""/>
      <w:lvlJc w:val="left"/>
      <w:pPr>
        <w:ind w:left="2880" w:hanging="360"/>
      </w:pPr>
      <w:rPr>
        <w:rFonts w:ascii="Symbol" w:hAnsi="Symbol" w:hint="default"/>
      </w:rPr>
    </w:lvl>
    <w:lvl w:ilvl="4" w:tplc="E1B6BD5C" w:tentative="1">
      <w:start w:val="1"/>
      <w:numFmt w:val="bullet"/>
      <w:lvlText w:val="o"/>
      <w:lvlJc w:val="left"/>
      <w:pPr>
        <w:ind w:left="3600" w:hanging="360"/>
      </w:pPr>
      <w:rPr>
        <w:rFonts w:ascii="Courier New" w:cs="Courier New" w:hAnsi="Courier New" w:hint="default"/>
      </w:rPr>
    </w:lvl>
    <w:lvl w:ilvl="5" w:tplc="1480DE40" w:tentative="1">
      <w:start w:val="1"/>
      <w:numFmt w:val="bullet"/>
      <w:lvlText w:val=""/>
      <w:lvlJc w:val="left"/>
      <w:pPr>
        <w:ind w:left="4320" w:hanging="360"/>
      </w:pPr>
      <w:rPr>
        <w:rFonts w:ascii="Wingdings" w:hAnsi="Wingdings" w:hint="default"/>
      </w:rPr>
    </w:lvl>
    <w:lvl w:ilvl="6" w:tplc="BA4A1728" w:tentative="1">
      <w:start w:val="1"/>
      <w:numFmt w:val="bullet"/>
      <w:lvlText w:val=""/>
      <w:lvlJc w:val="left"/>
      <w:pPr>
        <w:ind w:left="5040" w:hanging="360"/>
      </w:pPr>
      <w:rPr>
        <w:rFonts w:ascii="Symbol" w:hAnsi="Symbol" w:hint="default"/>
      </w:rPr>
    </w:lvl>
    <w:lvl w:ilvl="7" w:tplc="BABEB32C" w:tentative="1">
      <w:start w:val="1"/>
      <w:numFmt w:val="bullet"/>
      <w:lvlText w:val="o"/>
      <w:lvlJc w:val="left"/>
      <w:pPr>
        <w:ind w:left="5760" w:hanging="360"/>
      </w:pPr>
      <w:rPr>
        <w:rFonts w:ascii="Courier New" w:cs="Courier New" w:hAnsi="Courier New" w:hint="default"/>
      </w:rPr>
    </w:lvl>
    <w:lvl w:ilvl="8" w:tplc="3EF6CB72"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A71EC744"/>
    <w:lvl w:ilvl="0" w:tplc="D8745AE8">
      <w:start w:val="1"/>
      <w:numFmt w:val="bullet"/>
      <w:lvlText w:val=""/>
      <w:lvlJc w:val="left"/>
      <w:pPr>
        <w:ind w:left="720" w:hanging="360"/>
      </w:pPr>
      <w:rPr>
        <w:rFonts w:ascii="Symbol" w:hAnsi="Symbol" w:hint="default"/>
      </w:rPr>
    </w:lvl>
    <w:lvl w:ilvl="1" w:tplc="D0F6EC92" w:tentative="1">
      <w:start w:val="1"/>
      <w:numFmt w:val="bullet"/>
      <w:lvlText w:val="o"/>
      <w:lvlJc w:val="left"/>
      <w:pPr>
        <w:ind w:left="1440" w:hanging="360"/>
      </w:pPr>
      <w:rPr>
        <w:rFonts w:ascii="Courier New" w:cs="Courier New" w:hAnsi="Courier New" w:hint="default"/>
      </w:rPr>
    </w:lvl>
    <w:lvl w:ilvl="2" w:tplc="61B26442" w:tentative="1">
      <w:start w:val="1"/>
      <w:numFmt w:val="bullet"/>
      <w:lvlText w:val=""/>
      <w:lvlJc w:val="left"/>
      <w:pPr>
        <w:ind w:left="2160" w:hanging="360"/>
      </w:pPr>
      <w:rPr>
        <w:rFonts w:ascii="Wingdings" w:hAnsi="Wingdings" w:hint="default"/>
      </w:rPr>
    </w:lvl>
    <w:lvl w:ilvl="3" w:tplc="9B046F2E" w:tentative="1">
      <w:start w:val="1"/>
      <w:numFmt w:val="bullet"/>
      <w:lvlText w:val=""/>
      <w:lvlJc w:val="left"/>
      <w:pPr>
        <w:ind w:left="2880" w:hanging="360"/>
      </w:pPr>
      <w:rPr>
        <w:rFonts w:ascii="Symbol" w:hAnsi="Symbol" w:hint="default"/>
      </w:rPr>
    </w:lvl>
    <w:lvl w:ilvl="4" w:tplc="A746AEF8" w:tentative="1">
      <w:start w:val="1"/>
      <w:numFmt w:val="bullet"/>
      <w:lvlText w:val="o"/>
      <w:lvlJc w:val="left"/>
      <w:pPr>
        <w:ind w:left="3600" w:hanging="360"/>
      </w:pPr>
      <w:rPr>
        <w:rFonts w:ascii="Courier New" w:cs="Courier New" w:hAnsi="Courier New" w:hint="default"/>
      </w:rPr>
    </w:lvl>
    <w:lvl w:ilvl="5" w:tplc="CE6801D2" w:tentative="1">
      <w:start w:val="1"/>
      <w:numFmt w:val="bullet"/>
      <w:lvlText w:val=""/>
      <w:lvlJc w:val="left"/>
      <w:pPr>
        <w:ind w:left="4320" w:hanging="360"/>
      </w:pPr>
      <w:rPr>
        <w:rFonts w:ascii="Wingdings" w:hAnsi="Wingdings" w:hint="default"/>
      </w:rPr>
    </w:lvl>
    <w:lvl w:ilvl="6" w:tplc="21E6C81C" w:tentative="1">
      <w:start w:val="1"/>
      <w:numFmt w:val="bullet"/>
      <w:lvlText w:val=""/>
      <w:lvlJc w:val="left"/>
      <w:pPr>
        <w:ind w:left="5040" w:hanging="360"/>
      </w:pPr>
      <w:rPr>
        <w:rFonts w:ascii="Symbol" w:hAnsi="Symbol" w:hint="default"/>
      </w:rPr>
    </w:lvl>
    <w:lvl w:ilvl="7" w:tplc="820470DE" w:tentative="1">
      <w:start w:val="1"/>
      <w:numFmt w:val="bullet"/>
      <w:lvlText w:val="o"/>
      <w:lvlJc w:val="left"/>
      <w:pPr>
        <w:ind w:left="5760" w:hanging="360"/>
      </w:pPr>
      <w:rPr>
        <w:rFonts w:ascii="Courier New" w:cs="Courier New" w:hAnsi="Courier New" w:hint="default"/>
      </w:rPr>
    </w:lvl>
    <w:lvl w:ilvl="8" w:tplc="613EE022"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CC50D15E"/>
    <w:lvl w:ilvl="0" w:tplc="90826508">
      <w:start w:val="1"/>
      <w:numFmt w:val="bullet"/>
      <w:lvlText w:val=""/>
      <w:lvlJc w:val="left"/>
      <w:pPr>
        <w:ind w:left="720" w:hanging="360"/>
      </w:pPr>
      <w:rPr>
        <w:rFonts w:ascii="Symbol" w:hAnsi="Symbol" w:hint="default"/>
      </w:rPr>
    </w:lvl>
    <w:lvl w:ilvl="1" w:tplc="529EE236" w:tentative="1">
      <w:start w:val="1"/>
      <w:numFmt w:val="bullet"/>
      <w:lvlText w:val="o"/>
      <w:lvlJc w:val="left"/>
      <w:pPr>
        <w:ind w:left="1440" w:hanging="360"/>
      </w:pPr>
      <w:rPr>
        <w:rFonts w:ascii="Courier New" w:cs="Courier New" w:hAnsi="Courier New" w:hint="default"/>
      </w:rPr>
    </w:lvl>
    <w:lvl w:ilvl="2" w:tplc="B3AAF922" w:tentative="1">
      <w:start w:val="1"/>
      <w:numFmt w:val="bullet"/>
      <w:lvlText w:val=""/>
      <w:lvlJc w:val="left"/>
      <w:pPr>
        <w:ind w:left="2160" w:hanging="360"/>
      </w:pPr>
      <w:rPr>
        <w:rFonts w:ascii="Wingdings" w:hAnsi="Wingdings" w:hint="default"/>
      </w:rPr>
    </w:lvl>
    <w:lvl w:ilvl="3" w:tplc="3DEC1BEE" w:tentative="1">
      <w:start w:val="1"/>
      <w:numFmt w:val="bullet"/>
      <w:lvlText w:val=""/>
      <w:lvlJc w:val="left"/>
      <w:pPr>
        <w:ind w:left="2880" w:hanging="360"/>
      </w:pPr>
      <w:rPr>
        <w:rFonts w:ascii="Symbol" w:hAnsi="Symbol" w:hint="default"/>
      </w:rPr>
    </w:lvl>
    <w:lvl w:ilvl="4" w:tplc="CDFCEE6A" w:tentative="1">
      <w:start w:val="1"/>
      <w:numFmt w:val="bullet"/>
      <w:lvlText w:val="o"/>
      <w:lvlJc w:val="left"/>
      <w:pPr>
        <w:ind w:left="3600" w:hanging="360"/>
      </w:pPr>
      <w:rPr>
        <w:rFonts w:ascii="Courier New" w:cs="Courier New" w:hAnsi="Courier New" w:hint="default"/>
      </w:rPr>
    </w:lvl>
    <w:lvl w:ilvl="5" w:tplc="228223B8" w:tentative="1">
      <w:start w:val="1"/>
      <w:numFmt w:val="bullet"/>
      <w:lvlText w:val=""/>
      <w:lvlJc w:val="left"/>
      <w:pPr>
        <w:ind w:left="4320" w:hanging="360"/>
      </w:pPr>
      <w:rPr>
        <w:rFonts w:ascii="Wingdings" w:hAnsi="Wingdings" w:hint="default"/>
      </w:rPr>
    </w:lvl>
    <w:lvl w:ilvl="6" w:tplc="D60049FE" w:tentative="1">
      <w:start w:val="1"/>
      <w:numFmt w:val="bullet"/>
      <w:lvlText w:val=""/>
      <w:lvlJc w:val="left"/>
      <w:pPr>
        <w:ind w:left="5040" w:hanging="360"/>
      </w:pPr>
      <w:rPr>
        <w:rFonts w:ascii="Symbol" w:hAnsi="Symbol" w:hint="default"/>
      </w:rPr>
    </w:lvl>
    <w:lvl w:ilvl="7" w:tplc="EF38B76A" w:tentative="1">
      <w:start w:val="1"/>
      <w:numFmt w:val="bullet"/>
      <w:lvlText w:val="o"/>
      <w:lvlJc w:val="left"/>
      <w:pPr>
        <w:ind w:left="5760" w:hanging="360"/>
      </w:pPr>
      <w:rPr>
        <w:rFonts w:ascii="Courier New" w:cs="Courier New" w:hAnsi="Courier New" w:hint="default"/>
      </w:rPr>
    </w:lvl>
    <w:lvl w:ilvl="8" w:tplc="F9D0470E"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1D849738"/>
    <w:lvl w:ilvl="0" w:tplc="637053C6">
      <w:start w:val="1"/>
      <w:numFmt w:val="bullet"/>
      <w:lvlText w:val=""/>
      <w:lvlJc w:val="left"/>
      <w:pPr>
        <w:ind w:left="720" w:hanging="360"/>
      </w:pPr>
      <w:rPr>
        <w:rFonts w:ascii="Symbol" w:hAnsi="Symbol" w:hint="default"/>
      </w:rPr>
    </w:lvl>
    <w:lvl w:ilvl="1" w:tplc="38FC730E" w:tentative="1">
      <w:start w:val="1"/>
      <w:numFmt w:val="bullet"/>
      <w:lvlText w:val="o"/>
      <w:lvlJc w:val="left"/>
      <w:pPr>
        <w:ind w:left="1440" w:hanging="360"/>
      </w:pPr>
      <w:rPr>
        <w:rFonts w:ascii="Courier New" w:cs="Courier New" w:hAnsi="Courier New" w:hint="default"/>
      </w:rPr>
    </w:lvl>
    <w:lvl w:ilvl="2" w:tplc="38DE1416" w:tentative="1">
      <w:start w:val="1"/>
      <w:numFmt w:val="bullet"/>
      <w:lvlText w:val=""/>
      <w:lvlJc w:val="left"/>
      <w:pPr>
        <w:ind w:left="2160" w:hanging="360"/>
      </w:pPr>
      <w:rPr>
        <w:rFonts w:ascii="Wingdings" w:hAnsi="Wingdings" w:hint="default"/>
      </w:rPr>
    </w:lvl>
    <w:lvl w:ilvl="3" w:tplc="0EF6577C" w:tentative="1">
      <w:start w:val="1"/>
      <w:numFmt w:val="bullet"/>
      <w:lvlText w:val=""/>
      <w:lvlJc w:val="left"/>
      <w:pPr>
        <w:ind w:left="2880" w:hanging="360"/>
      </w:pPr>
      <w:rPr>
        <w:rFonts w:ascii="Symbol" w:hAnsi="Symbol" w:hint="default"/>
      </w:rPr>
    </w:lvl>
    <w:lvl w:ilvl="4" w:tplc="8A288202" w:tentative="1">
      <w:start w:val="1"/>
      <w:numFmt w:val="bullet"/>
      <w:lvlText w:val="o"/>
      <w:lvlJc w:val="left"/>
      <w:pPr>
        <w:ind w:left="3600" w:hanging="360"/>
      </w:pPr>
      <w:rPr>
        <w:rFonts w:ascii="Courier New" w:cs="Courier New" w:hAnsi="Courier New" w:hint="default"/>
      </w:rPr>
    </w:lvl>
    <w:lvl w:ilvl="5" w:tplc="E51294E2" w:tentative="1">
      <w:start w:val="1"/>
      <w:numFmt w:val="bullet"/>
      <w:lvlText w:val=""/>
      <w:lvlJc w:val="left"/>
      <w:pPr>
        <w:ind w:left="4320" w:hanging="360"/>
      </w:pPr>
      <w:rPr>
        <w:rFonts w:ascii="Wingdings" w:hAnsi="Wingdings" w:hint="default"/>
      </w:rPr>
    </w:lvl>
    <w:lvl w:ilvl="6" w:tplc="240AFFDE" w:tentative="1">
      <w:start w:val="1"/>
      <w:numFmt w:val="bullet"/>
      <w:lvlText w:val=""/>
      <w:lvlJc w:val="left"/>
      <w:pPr>
        <w:ind w:left="5040" w:hanging="360"/>
      </w:pPr>
      <w:rPr>
        <w:rFonts w:ascii="Symbol" w:hAnsi="Symbol" w:hint="default"/>
      </w:rPr>
    </w:lvl>
    <w:lvl w:ilvl="7" w:tplc="9CFAC87A" w:tentative="1">
      <w:start w:val="1"/>
      <w:numFmt w:val="bullet"/>
      <w:lvlText w:val="o"/>
      <w:lvlJc w:val="left"/>
      <w:pPr>
        <w:ind w:left="5760" w:hanging="360"/>
      </w:pPr>
      <w:rPr>
        <w:rFonts w:ascii="Courier New" w:cs="Courier New" w:hAnsi="Courier New" w:hint="default"/>
      </w:rPr>
    </w:lvl>
    <w:lvl w:ilvl="8" w:tplc="9B047EAA" w:tentative="1">
      <w:start w:val="1"/>
      <w:numFmt w:val="bullet"/>
      <w:lvlText w:val=""/>
      <w:lvlJc w:val="left"/>
      <w:pPr>
        <w:ind w:left="6480" w:hanging="360"/>
      </w:pPr>
      <w:rPr>
        <w:rFonts w:ascii="Wingdings" w:hAnsi="Wingdings" w:hint="default"/>
      </w:rPr>
    </w:lvl>
  </w:abstractNum>
  <w:abstractNum w:abstractNumId="4">
    <w:nsid w:val="00000004"/>
    <w:multiLevelType w:val="hybridMultilevel"/>
    <w:tmpl w:val="F0CC788E"/>
    <w:lvl w:ilvl="0" w:tplc="BCF20F10">
      <w:start w:val="1"/>
      <w:numFmt w:val="bullet"/>
      <w:lvlText w:val=""/>
      <w:lvlJc w:val="left"/>
      <w:pPr>
        <w:ind w:left="720" w:hanging="360"/>
      </w:pPr>
      <w:rPr>
        <w:rFonts w:ascii="Symbol" w:hAnsi="Symbol" w:hint="default"/>
      </w:rPr>
    </w:lvl>
    <w:lvl w:ilvl="1" w:tplc="4F64271C" w:tentative="1">
      <w:start w:val="1"/>
      <w:numFmt w:val="bullet"/>
      <w:lvlText w:val="o"/>
      <w:lvlJc w:val="left"/>
      <w:pPr>
        <w:ind w:left="1440" w:hanging="360"/>
      </w:pPr>
      <w:rPr>
        <w:rFonts w:ascii="Courier New" w:cs="Courier New" w:hAnsi="Courier New" w:hint="default"/>
      </w:rPr>
    </w:lvl>
    <w:lvl w:ilvl="2" w:tplc="D61699A2" w:tentative="1">
      <w:start w:val="1"/>
      <w:numFmt w:val="bullet"/>
      <w:lvlText w:val=""/>
      <w:lvlJc w:val="left"/>
      <w:pPr>
        <w:ind w:left="2160" w:hanging="360"/>
      </w:pPr>
      <w:rPr>
        <w:rFonts w:ascii="Wingdings" w:hAnsi="Wingdings" w:hint="default"/>
      </w:rPr>
    </w:lvl>
    <w:lvl w:ilvl="3" w:tplc="5F90729E" w:tentative="1">
      <w:start w:val="1"/>
      <w:numFmt w:val="bullet"/>
      <w:lvlText w:val=""/>
      <w:lvlJc w:val="left"/>
      <w:pPr>
        <w:ind w:left="2880" w:hanging="360"/>
      </w:pPr>
      <w:rPr>
        <w:rFonts w:ascii="Symbol" w:hAnsi="Symbol" w:hint="default"/>
      </w:rPr>
    </w:lvl>
    <w:lvl w:ilvl="4" w:tplc="72F8137A" w:tentative="1">
      <w:start w:val="1"/>
      <w:numFmt w:val="bullet"/>
      <w:lvlText w:val="o"/>
      <w:lvlJc w:val="left"/>
      <w:pPr>
        <w:ind w:left="3600" w:hanging="360"/>
      </w:pPr>
      <w:rPr>
        <w:rFonts w:ascii="Courier New" w:cs="Courier New" w:hAnsi="Courier New" w:hint="default"/>
      </w:rPr>
    </w:lvl>
    <w:lvl w:ilvl="5" w:tplc="92BEFCCC" w:tentative="1">
      <w:start w:val="1"/>
      <w:numFmt w:val="bullet"/>
      <w:lvlText w:val=""/>
      <w:lvlJc w:val="left"/>
      <w:pPr>
        <w:ind w:left="4320" w:hanging="360"/>
      </w:pPr>
      <w:rPr>
        <w:rFonts w:ascii="Wingdings" w:hAnsi="Wingdings" w:hint="default"/>
      </w:rPr>
    </w:lvl>
    <w:lvl w:ilvl="6" w:tplc="E17C0D82" w:tentative="1">
      <w:start w:val="1"/>
      <w:numFmt w:val="bullet"/>
      <w:lvlText w:val=""/>
      <w:lvlJc w:val="left"/>
      <w:pPr>
        <w:ind w:left="5040" w:hanging="360"/>
      </w:pPr>
      <w:rPr>
        <w:rFonts w:ascii="Symbol" w:hAnsi="Symbol" w:hint="default"/>
      </w:rPr>
    </w:lvl>
    <w:lvl w:ilvl="7" w:tplc="8C12F3BE" w:tentative="1">
      <w:start w:val="1"/>
      <w:numFmt w:val="bullet"/>
      <w:lvlText w:val="o"/>
      <w:lvlJc w:val="left"/>
      <w:pPr>
        <w:ind w:left="5760" w:hanging="360"/>
      </w:pPr>
      <w:rPr>
        <w:rFonts w:ascii="Courier New" w:cs="Courier New" w:hAnsi="Courier New" w:hint="default"/>
      </w:rPr>
    </w:lvl>
    <w:lvl w:ilvl="8" w:tplc="41442BD4"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1298B494"/>
    <w:lvl w:ilvl="0" w:tplc="79BCAAC8">
      <w:start w:val="1"/>
      <w:numFmt w:val="bullet"/>
      <w:lvlText w:val=""/>
      <w:lvlJc w:val="left"/>
      <w:pPr>
        <w:ind w:left="720" w:hanging="360"/>
      </w:pPr>
      <w:rPr>
        <w:rFonts w:ascii="Symbol" w:hAnsi="Symbol" w:hint="default"/>
      </w:rPr>
    </w:lvl>
    <w:lvl w:ilvl="1" w:tplc="5B9002A0" w:tentative="1">
      <w:start w:val="1"/>
      <w:numFmt w:val="bullet"/>
      <w:lvlText w:val="o"/>
      <w:lvlJc w:val="left"/>
      <w:pPr>
        <w:ind w:left="1440" w:hanging="360"/>
      </w:pPr>
      <w:rPr>
        <w:rFonts w:ascii="Courier New" w:cs="Courier New" w:hAnsi="Courier New" w:hint="default"/>
      </w:rPr>
    </w:lvl>
    <w:lvl w:ilvl="2" w:tplc="188C14BA" w:tentative="1">
      <w:start w:val="1"/>
      <w:numFmt w:val="bullet"/>
      <w:lvlText w:val=""/>
      <w:lvlJc w:val="left"/>
      <w:pPr>
        <w:ind w:left="2160" w:hanging="360"/>
      </w:pPr>
      <w:rPr>
        <w:rFonts w:ascii="Wingdings" w:hAnsi="Wingdings" w:hint="default"/>
      </w:rPr>
    </w:lvl>
    <w:lvl w:ilvl="3" w:tplc="A2B47224" w:tentative="1">
      <w:start w:val="1"/>
      <w:numFmt w:val="bullet"/>
      <w:lvlText w:val=""/>
      <w:lvlJc w:val="left"/>
      <w:pPr>
        <w:ind w:left="2880" w:hanging="360"/>
      </w:pPr>
      <w:rPr>
        <w:rFonts w:ascii="Symbol" w:hAnsi="Symbol" w:hint="default"/>
      </w:rPr>
    </w:lvl>
    <w:lvl w:ilvl="4" w:tplc="29027DD6" w:tentative="1">
      <w:start w:val="1"/>
      <w:numFmt w:val="bullet"/>
      <w:lvlText w:val="o"/>
      <w:lvlJc w:val="left"/>
      <w:pPr>
        <w:ind w:left="3600" w:hanging="360"/>
      </w:pPr>
      <w:rPr>
        <w:rFonts w:ascii="Courier New" w:cs="Courier New" w:hAnsi="Courier New" w:hint="default"/>
      </w:rPr>
    </w:lvl>
    <w:lvl w:ilvl="5" w:tplc="16BCA8A8" w:tentative="1">
      <w:start w:val="1"/>
      <w:numFmt w:val="bullet"/>
      <w:lvlText w:val=""/>
      <w:lvlJc w:val="left"/>
      <w:pPr>
        <w:ind w:left="4320" w:hanging="360"/>
      </w:pPr>
      <w:rPr>
        <w:rFonts w:ascii="Wingdings" w:hAnsi="Wingdings" w:hint="default"/>
      </w:rPr>
    </w:lvl>
    <w:lvl w:ilvl="6" w:tplc="B2969606" w:tentative="1">
      <w:start w:val="1"/>
      <w:numFmt w:val="bullet"/>
      <w:lvlText w:val=""/>
      <w:lvlJc w:val="left"/>
      <w:pPr>
        <w:ind w:left="5040" w:hanging="360"/>
      </w:pPr>
      <w:rPr>
        <w:rFonts w:ascii="Symbol" w:hAnsi="Symbol" w:hint="default"/>
      </w:rPr>
    </w:lvl>
    <w:lvl w:ilvl="7" w:tplc="0958E226" w:tentative="1">
      <w:start w:val="1"/>
      <w:numFmt w:val="bullet"/>
      <w:lvlText w:val="o"/>
      <w:lvlJc w:val="left"/>
      <w:pPr>
        <w:ind w:left="5760" w:hanging="360"/>
      </w:pPr>
      <w:rPr>
        <w:rFonts w:ascii="Courier New" w:cs="Courier New" w:hAnsi="Courier New" w:hint="default"/>
      </w:rPr>
    </w:lvl>
    <w:lvl w:ilvl="8" w:tplc="74EE3EBC" w:tentative="1">
      <w:start w:val="1"/>
      <w:numFmt w:val="bullet"/>
      <w:lvlText w:val=""/>
      <w:lvlJc w:val="left"/>
      <w:pPr>
        <w:ind w:left="6480" w:hanging="360"/>
      </w:pPr>
      <w:rPr>
        <w:rFonts w:ascii="Wingdings" w:hAnsi="Wingdings" w:hint="default"/>
      </w:rPr>
    </w:lvl>
  </w:abstractNum>
  <w:abstractNum w:abstractNumId="6">
    <w:nsid w:val="00000006"/>
    <w:multiLevelType w:val="hybridMultilevel"/>
    <w:tmpl w:val="4AB2F252"/>
    <w:lvl w:ilvl="0" w:tplc="BE1850AE">
      <w:start w:val="1"/>
      <w:numFmt w:val="bullet"/>
      <w:lvlText w:val=""/>
      <w:lvlJc w:val="left"/>
      <w:pPr>
        <w:ind w:left="720" w:hanging="360"/>
      </w:pPr>
      <w:rPr>
        <w:rFonts w:ascii="Symbol" w:hAnsi="Symbol" w:hint="default"/>
      </w:rPr>
    </w:lvl>
    <w:lvl w:ilvl="1" w:tplc="92961268" w:tentative="1">
      <w:start w:val="1"/>
      <w:numFmt w:val="bullet"/>
      <w:lvlText w:val="o"/>
      <w:lvlJc w:val="left"/>
      <w:pPr>
        <w:ind w:left="1440" w:hanging="360"/>
      </w:pPr>
      <w:rPr>
        <w:rFonts w:ascii="Courier New" w:cs="Courier New" w:hAnsi="Courier New" w:hint="default"/>
      </w:rPr>
    </w:lvl>
    <w:lvl w:ilvl="2" w:tplc="8EB643DC" w:tentative="1">
      <w:start w:val="1"/>
      <w:numFmt w:val="bullet"/>
      <w:lvlText w:val=""/>
      <w:lvlJc w:val="left"/>
      <w:pPr>
        <w:ind w:left="2160" w:hanging="360"/>
      </w:pPr>
      <w:rPr>
        <w:rFonts w:ascii="Wingdings" w:hAnsi="Wingdings" w:hint="default"/>
      </w:rPr>
    </w:lvl>
    <w:lvl w:ilvl="3" w:tplc="BD1C8E14" w:tentative="1">
      <w:start w:val="1"/>
      <w:numFmt w:val="bullet"/>
      <w:lvlText w:val=""/>
      <w:lvlJc w:val="left"/>
      <w:pPr>
        <w:ind w:left="2880" w:hanging="360"/>
      </w:pPr>
      <w:rPr>
        <w:rFonts w:ascii="Symbol" w:hAnsi="Symbol" w:hint="default"/>
      </w:rPr>
    </w:lvl>
    <w:lvl w:ilvl="4" w:tplc="05AAA93A" w:tentative="1">
      <w:start w:val="1"/>
      <w:numFmt w:val="bullet"/>
      <w:lvlText w:val="o"/>
      <w:lvlJc w:val="left"/>
      <w:pPr>
        <w:ind w:left="3600" w:hanging="360"/>
      </w:pPr>
      <w:rPr>
        <w:rFonts w:ascii="Courier New" w:cs="Courier New" w:hAnsi="Courier New" w:hint="default"/>
      </w:rPr>
    </w:lvl>
    <w:lvl w:ilvl="5" w:tplc="95406182" w:tentative="1">
      <w:start w:val="1"/>
      <w:numFmt w:val="bullet"/>
      <w:lvlText w:val=""/>
      <w:lvlJc w:val="left"/>
      <w:pPr>
        <w:ind w:left="4320" w:hanging="360"/>
      </w:pPr>
      <w:rPr>
        <w:rFonts w:ascii="Wingdings" w:hAnsi="Wingdings" w:hint="default"/>
      </w:rPr>
    </w:lvl>
    <w:lvl w:ilvl="6" w:tplc="16C27902" w:tentative="1">
      <w:start w:val="1"/>
      <w:numFmt w:val="bullet"/>
      <w:lvlText w:val=""/>
      <w:lvlJc w:val="left"/>
      <w:pPr>
        <w:ind w:left="5040" w:hanging="360"/>
      </w:pPr>
      <w:rPr>
        <w:rFonts w:ascii="Symbol" w:hAnsi="Symbol" w:hint="default"/>
      </w:rPr>
    </w:lvl>
    <w:lvl w:ilvl="7" w:tplc="ADBA3984" w:tentative="1">
      <w:start w:val="1"/>
      <w:numFmt w:val="bullet"/>
      <w:lvlText w:val="o"/>
      <w:lvlJc w:val="left"/>
      <w:pPr>
        <w:ind w:left="5760" w:hanging="360"/>
      </w:pPr>
      <w:rPr>
        <w:rFonts w:ascii="Courier New" w:cs="Courier New" w:hAnsi="Courier New" w:hint="default"/>
      </w:rPr>
    </w:lvl>
    <w:lvl w:ilvl="8" w:tplc="C91AA37A" w:tentative="1">
      <w:start w:val="1"/>
      <w:numFmt w:val="bullet"/>
      <w:lvlText w:val=""/>
      <w:lvlJc w:val="left"/>
      <w:pPr>
        <w:ind w:left="6480" w:hanging="360"/>
      </w:pPr>
      <w:rPr>
        <w:rFonts w:ascii="Wingdings" w:hAnsi="Wingdings" w:hint="default"/>
      </w:rPr>
    </w:lvl>
  </w:abstractNum>
  <w:abstractNum w:abstractNumId="7">
    <w:nsid w:val="00000007"/>
    <w:multiLevelType w:val="hybridMultilevel"/>
    <w:tmpl w:val="02828F5A"/>
    <w:lvl w:ilvl="0" w:tplc="E6F26ADC">
      <w:start w:val="1"/>
      <w:numFmt w:val="bullet"/>
      <w:lvlText w:val=""/>
      <w:lvlJc w:val="left"/>
      <w:pPr>
        <w:ind w:left="720" w:hanging="360"/>
      </w:pPr>
      <w:rPr>
        <w:rFonts w:ascii="Symbol" w:hAnsi="Symbol" w:hint="default"/>
      </w:rPr>
    </w:lvl>
    <w:lvl w:ilvl="1" w:tplc="147E9078" w:tentative="1">
      <w:start w:val="1"/>
      <w:numFmt w:val="bullet"/>
      <w:lvlText w:val="o"/>
      <w:lvlJc w:val="left"/>
      <w:pPr>
        <w:ind w:left="1440" w:hanging="360"/>
      </w:pPr>
      <w:rPr>
        <w:rFonts w:ascii="Courier New" w:cs="Courier New" w:hAnsi="Courier New" w:hint="default"/>
      </w:rPr>
    </w:lvl>
    <w:lvl w:ilvl="2" w:tplc="B204D978" w:tentative="1">
      <w:start w:val="1"/>
      <w:numFmt w:val="bullet"/>
      <w:lvlText w:val=""/>
      <w:lvlJc w:val="left"/>
      <w:pPr>
        <w:ind w:left="2160" w:hanging="360"/>
      </w:pPr>
      <w:rPr>
        <w:rFonts w:ascii="Wingdings" w:hAnsi="Wingdings" w:hint="default"/>
      </w:rPr>
    </w:lvl>
    <w:lvl w:ilvl="3" w:tplc="73F28CA2" w:tentative="1">
      <w:start w:val="1"/>
      <w:numFmt w:val="bullet"/>
      <w:lvlText w:val=""/>
      <w:lvlJc w:val="left"/>
      <w:pPr>
        <w:ind w:left="2880" w:hanging="360"/>
      </w:pPr>
      <w:rPr>
        <w:rFonts w:ascii="Symbol" w:hAnsi="Symbol" w:hint="default"/>
      </w:rPr>
    </w:lvl>
    <w:lvl w:ilvl="4" w:tplc="867CD3A8" w:tentative="1">
      <w:start w:val="1"/>
      <w:numFmt w:val="bullet"/>
      <w:lvlText w:val="o"/>
      <w:lvlJc w:val="left"/>
      <w:pPr>
        <w:ind w:left="3600" w:hanging="360"/>
      </w:pPr>
      <w:rPr>
        <w:rFonts w:ascii="Courier New" w:cs="Courier New" w:hAnsi="Courier New" w:hint="default"/>
      </w:rPr>
    </w:lvl>
    <w:lvl w:ilvl="5" w:tplc="84F42988" w:tentative="1">
      <w:start w:val="1"/>
      <w:numFmt w:val="bullet"/>
      <w:lvlText w:val=""/>
      <w:lvlJc w:val="left"/>
      <w:pPr>
        <w:ind w:left="4320" w:hanging="360"/>
      </w:pPr>
      <w:rPr>
        <w:rFonts w:ascii="Wingdings" w:hAnsi="Wingdings" w:hint="default"/>
      </w:rPr>
    </w:lvl>
    <w:lvl w:ilvl="6" w:tplc="AC500B0E" w:tentative="1">
      <w:start w:val="1"/>
      <w:numFmt w:val="bullet"/>
      <w:lvlText w:val=""/>
      <w:lvlJc w:val="left"/>
      <w:pPr>
        <w:ind w:left="5040" w:hanging="360"/>
      </w:pPr>
      <w:rPr>
        <w:rFonts w:ascii="Symbol" w:hAnsi="Symbol" w:hint="default"/>
      </w:rPr>
    </w:lvl>
    <w:lvl w:ilvl="7" w:tplc="8BF81DCE" w:tentative="1">
      <w:start w:val="1"/>
      <w:numFmt w:val="bullet"/>
      <w:lvlText w:val="o"/>
      <w:lvlJc w:val="left"/>
      <w:pPr>
        <w:ind w:left="5760" w:hanging="360"/>
      </w:pPr>
      <w:rPr>
        <w:rFonts w:ascii="Courier New" w:cs="Courier New" w:hAnsi="Courier New" w:hint="default"/>
      </w:rPr>
    </w:lvl>
    <w:lvl w:ilvl="8" w:tplc="BD44721E" w:tentative="1">
      <w:start w:val="1"/>
      <w:numFmt w:val="bullet"/>
      <w:lvlText w:val=""/>
      <w:lvlJc w:val="left"/>
      <w:pPr>
        <w:ind w:left="6480" w:hanging="360"/>
      </w:pPr>
      <w:rPr>
        <w:rFonts w:ascii="Wingdings" w:hAnsi="Wingdings" w:hint="default"/>
      </w:rPr>
    </w:lvl>
  </w:abstractNum>
  <w:abstractNum w:abstractNumId="8">
    <w:nsid w:val="00000008"/>
    <w:multiLevelType w:val="hybridMultilevel"/>
    <w:tmpl w:val="AAE215A4"/>
    <w:lvl w:ilvl="0" w:tplc="48CAC256">
      <w:start w:val="1"/>
      <w:numFmt w:val="bullet"/>
      <w:lvlText w:val=""/>
      <w:lvlJc w:val="left"/>
      <w:pPr>
        <w:ind w:left="720" w:hanging="360"/>
      </w:pPr>
      <w:rPr>
        <w:rFonts w:ascii="Symbol" w:hAnsi="Symbol" w:hint="default"/>
      </w:rPr>
    </w:lvl>
    <w:lvl w:ilvl="1" w:tplc="E752CC2E" w:tentative="1">
      <w:start w:val="1"/>
      <w:numFmt w:val="bullet"/>
      <w:lvlText w:val="o"/>
      <w:lvlJc w:val="left"/>
      <w:pPr>
        <w:ind w:left="1440" w:hanging="360"/>
      </w:pPr>
      <w:rPr>
        <w:rFonts w:ascii="Courier New" w:cs="Courier New" w:hAnsi="Courier New" w:hint="default"/>
      </w:rPr>
    </w:lvl>
    <w:lvl w:ilvl="2" w:tplc="7626F55C" w:tentative="1">
      <w:start w:val="1"/>
      <w:numFmt w:val="bullet"/>
      <w:lvlText w:val=""/>
      <w:lvlJc w:val="left"/>
      <w:pPr>
        <w:ind w:left="2160" w:hanging="360"/>
      </w:pPr>
      <w:rPr>
        <w:rFonts w:ascii="Wingdings" w:hAnsi="Wingdings" w:hint="default"/>
      </w:rPr>
    </w:lvl>
    <w:lvl w:ilvl="3" w:tplc="7F3245F2" w:tentative="1">
      <w:start w:val="1"/>
      <w:numFmt w:val="bullet"/>
      <w:lvlText w:val=""/>
      <w:lvlJc w:val="left"/>
      <w:pPr>
        <w:ind w:left="2880" w:hanging="360"/>
      </w:pPr>
      <w:rPr>
        <w:rFonts w:ascii="Symbol" w:hAnsi="Symbol" w:hint="default"/>
      </w:rPr>
    </w:lvl>
    <w:lvl w:ilvl="4" w:tplc="A4BC3844" w:tentative="1">
      <w:start w:val="1"/>
      <w:numFmt w:val="bullet"/>
      <w:lvlText w:val="o"/>
      <w:lvlJc w:val="left"/>
      <w:pPr>
        <w:ind w:left="3600" w:hanging="360"/>
      </w:pPr>
      <w:rPr>
        <w:rFonts w:ascii="Courier New" w:cs="Courier New" w:hAnsi="Courier New" w:hint="default"/>
      </w:rPr>
    </w:lvl>
    <w:lvl w:ilvl="5" w:tplc="FA9A745A" w:tentative="1">
      <w:start w:val="1"/>
      <w:numFmt w:val="bullet"/>
      <w:lvlText w:val=""/>
      <w:lvlJc w:val="left"/>
      <w:pPr>
        <w:ind w:left="4320" w:hanging="360"/>
      </w:pPr>
      <w:rPr>
        <w:rFonts w:ascii="Wingdings" w:hAnsi="Wingdings" w:hint="default"/>
      </w:rPr>
    </w:lvl>
    <w:lvl w:ilvl="6" w:tplc="35661178" w:tentative="1">
      <w:start w:val="1"/>
      <w:numFmt w:val="bullet"/>
      <w:lvlText w:val=""/>
      <w:lvlJc w:val="left"/>
      <w:pPr>
        <w:ind w:left="5040" w:hanging="360"/>
      </w:pPr>
      <w:rPr>
        <w:rFonts w:ascii="Symbol" w:hAnsi="Symbol" w:hint="default"/>
      </w:rPr>
    </w:lvl>
    <w:lvl w:ilvl="7" w:tplc="94E21A26" w:tentative="1">
      <w:start w:val="1"/>
      <w:numFmt w:val="bullet"/>
      <w:lvlText w:val="o"/>
      <w:lvlJc w:val="left"/>
      <w:pPr>
        <w:ind w:left="5760" w:hanging="360"/>
      </w:pPr>
      <w:rPr>
        <w:rFonts w:ascii="Courier New" w:cs="Courier New" w:hAnsi="Courier New" w:hint="default"/>
      </w:rPr>
    </w:lvl>
    <w:lvl w:ilvl="8" w:tplc="76BC9D70" w:tentative="1">
      <w:start w:val="1"/>
      <w:numFmt w:val="bullet"/>
      <w:lvlText w:val=""/>
      <w:lvlJc w:val="left"/>
      <w:pPr>
        <w:ind w:left="6480" w:hanging="360"/>
      </w:pPr>
      <w:rPr>
        <w:rFonts w:ascii="Wingdings" w:hAnsi="Wingdings" w:hint="default"/>
      </w:rPr>
    </w:lvl>
  </w:abstractNum>
  <w:abstractNum w:abstractNumId="9">
    <w:nsid w:val="00000009"/>
    <w:multiLevelType w:val="hybridMultilevel"/>
    <w:tmpl w:val="5362339A"/>
    <w:lvl w:ilvl="0" w:tplc="52A262C8">
      <w:start w:val="1"/>
      <w:numFmt w:val="bullet"/>
      <w:lvlText w:val=""/>
      <w:lvlJc w:val="left"/>
      <w:pPr>
        <w:ind w:left="720" w:hanging="360"/>
      </w:pPr>
      <w:rPr>
        <w:rFonts w:ascii="Symbol" w:hAnsi="Symbol" w:hint="default"/>
      </w:rPr>
    </w:lvl>
    <w:lvl w:ilvl="1" w:tplc="167CDBDC" w:tentative="1">
      <w:start w:val="1"/>
      <w:numFmt w:val="bullet"/>
      <w:lvlText w:val="o"/>
      <w:lvlJc w:val="left"/>
      <w:pPr>
        <w:ind w:left="1440" w:hanging="360"/>
      </w:pPr>
      <w:rPr>
        <w:rFonts w:ascii="Courier New" w:cs="Courier New" w:hAnsi="Courier New" w:hint="default"/>
      </w:rPr>
    </w:lvl>
    <w:lvl w:ilvl="2" w:tplc="4462E15A" w:tentative="1">
      <w:start w:val="1"/>
      <w:numFmt w:val="bullet"/>
      <w:lvlText w:val=""/>
      <w:lvlJc w:val="left"/>
      <w:pPr>
        <w:ind w:left="2160" w:hanging="360"/>
      </w:pPr>
      <w:rPr>
        <w:rFonts w:ascii="Wingdings" w:hAnsi="Wingdings" w:hint="default"/>
      </w:rPr>
    </w:lvl>
    <w:lvl w:ilvl="3" w:tplc="EEDE5C3E" w:tentative="1">
      <w:start w:val="1"/>
      <w:numFmt w:val="bullet"/>
      <w:lvlText w:val=""/>
      <w:lvlJc w:val="left"/>
      <w:pPr>
        <w:ind w:left="2880" w:hanging="360"/>
      </w:pPr>
      <w:rPr>
        <w:rFonts w:ascii="Symbol" w:hAnsi="Symbol" w:hint="default"/>
      </w:rPr>
    </w:lvl>
    <w:lvl w:ilvl="4" w:tplc="4CF84716" w:tentative="1">
      <w:start w:val="1"/>
      <w:numFmt w:val="bullet"/>
      <w:lvlText w:val="o"/>
      <w:lvlJc w:val="left"/>
      <w:pPr>
        <w:ind w:left="3600" w:hanging="360"/>
      </w:pPr>
      <w:rPr>
        <w:rFonts w:ascii="Courier New" w:cs="Courier New" w:hAnsi="Courier New" w:hint="default"/>
      </w:rPr>
    </w:lvl>
    <w:lvl w:ilvl="5" w:tplc="964440EA" w:tentative="1">
      <w:start w:val="1"/>
      <w:numFmt w:val="bullet"/>
      <w:lvlText w:val=""/>
      <w:lvlJc w:val="left"/>
      <w:pPr>
        <w:ind w:left="4320" w:hanging="360"/>
      </w:pPr>
      <w:rPr>
        <w:rFonts w:ascii="Wingdings" w:hAnsi="Wingdings" w:hint="default"/>
      </w:rPr>
    </w:lvl>
    <w:lvl w:ilvl="6" w:tplc="B690568A" w:tentative="1">
      <w:start w:val="1"/>
      <w:numFmt w:val="bullet"/>
      <w:lvlText w:val=""/>
      <w:lvlJc w:val="left"/>
      <w:pPr>
        <w:ind w:left="5040" w:hanging="360"/>
      </w:pPr>
      <w:rPr>
        <w:rFonts w:ascii="Symbol" w:hAnsi="Symbol" w:hint="default"/>
      </w:rPr>
    </w:lvl>
    <w:lvl w:ilvl="7" w:tplc="6A580D56" w:tentative="1">
      <w:start w:val="1"/>
      <w:numFmt w:val="bullet"/>
      <w:lvlText w:val="o"/>
      <w:lvlJc w:val="left"/>
      <w:pPr>
        <w:ind w:left="5760" w:hanging="360"/>
      </w:pPr>
      <w:rPr>
        <w:rFonts w:ascii="Courier New" w:cs="Courier New" w:hAnsi="Courier New" w:hint="default"/>
      </w:rPr>
    </w:lvl>
    <w:lvl w:ilvl="8" w:tplc="D912245A" w:tentative="1">
      <w:start w:val="1"/>
      <w:numFmt w:val="bullet"/>
      <w:lvlText w:val=""/>
      <w:lvlJc w:val="left"/>
      <w:pPr>
        <w:ind w:left="6480" w:hanging="360"/>
      </w:pPr>
      <w:rPr>
        <w:rFonts w:ascii="Wingdings" w:hAnsi="Wingdings" w:hint="default"/>
      </w:rPr>
    </w:lvl>
  </w:abstractNum>
  <w:abstractNum w:abstractNumId="10">
    <w:nsid w:val="0000000A"/>
    <w:multiLevelType w:val="hybridMultilevel"/>
    <w:tmpl w:val="C1067932"/>
    <w:lvl w:ilvl="0" w:tplc="9B1C255E">
      <w:start w:val="1"/>
      <w:numFmt w:val="bullet"/>
      <w:lvlText w:val=""/>
      <w:lvlJc w:val="left"/>
      <w:pPr>
        <w:ind w:left="720" w:hanging="360"/>
      </w:pPr>
      <w:rPr>
        <w:rFonts w:ascii="Symbol" w:hAnsi="Symbol" w:hint="default"/>
      </w:rPr>
    </w:lvl>
    <w:lvl w:ilvl="1" w:tplc="12E8CE04" w:tentative="1">
      <w:start w:val="1"/>
      <w:numFmt w:val="bullet"/>
      <w:lvlText w:val="o"/>
      <w:lvlJc w:val="left"/>
      <w:pPr>
        <w:ind w:left="1440" w:hanging="360"/>
      </w:pPr>
      <w:rPr>
        <w:rFonts w:ascii="Courier New" w:cs="Courier New" w:hAnsi="Courier New" w:hint="default"/>
      </w:rPr>
    </w:lvl>
    <w:lvl w:ilvl="2" w:tplc="2D3E175A" w:tentative="1">
      <w:start w:val="1"/>
      <w:numFmt w:val="bullet"/>
      <w:lvlText w:val=""/>
      <w:lvlJc w:val="left"/>
      <w:pPr>
        <w:ind w:left="2160" w:hanging="360"/>
      </w:pPr>
      <w:rPr>
        <w:rFonts w:ascii="Wingdings" w:hAnsi="Wingdings" w:hint="default"/>
      </w:rPr>
    </w:lvl>
    <w:lvl w:ilvl="3" w:tplc="351E4D66" w:tentative="1">
      <w:start w:val="1"/>
      <w:numFmt w:val="bullet"/>
      <w:lvlText w:val=""/>
      <w:lvlJc w:val="left"/>
      <w:pPr>
        <w:ind w:left="2880" w:hanging="360"/>
      </w:pPr>
      <w:rPr>
        <w:rFonts w:ascii="Symbol" w:hAnsi="Symbol" w:hint="default"/>
      </w:rPr>
    </w:lvl>
    <w:lvl w:ilvl="4" w:tplc="B86240C2" w:tentative="1">
      <w:start w:val="1"/>
      <w:numFmt w:val="bullet"/>
      <w:lvlText w:val="o"/>
      <w:lvlJc w:val="left"/>
      <w:pPr>
        <w:ind w:left="3600" w:hanging="360"/>
      </w:pPr>
      <w:rPr>
        <w:rFonts w:ascii="Courier New" w:cs="Courier New" w:hAnsi="Courier New" w:hint="default"/>
      </w:rPr>
    </w:lvl>
    <w:lvl w:ilvl="5" w:tplc="DF6E0880" w:tentative="1">
      <w:start w:val="1"/>
      <w:numFmt w:val="bullet"/>
      <w:lvlText w:val=""/>
      <w:lvlJc w:val="left"/>
      <w:pPr>
        <w:ind w:left="4320" w:hanging="360"/>
      </w:pPr>
      <w:rPr>
        <w:rFonts w:ascii="Wingdings" w:hAnsi="Wingdings" w:hint="default"/>
      </w:rPr>
    </w:lvl>
    <w:lvl w:ilvl="6" w:tplc="70BA0C4A" w:tentative="1">
      <w:start w:val="1"/>
      <w:numFmt w:val="bullet"/>
      <w:lvlText w:val=""/>
      <w:lvlJc w:val="left"/>
      <w:pPr>
        <w:ind w:left="5040" w:hanging="360"/>
      </w:pPr>
      <w:rPr>
        <w:rFonts w:ascii="Symbol" w:hAnsi="Symbol" w:hint="default"/>
      </w:rPr>
    </w:lvl>
    <w:lvl w:ilvl="7" w:tplc="BDD876DE" w:tentative="1">
      <w:start w:val="1"/>
      <w:numFmt w:val="bullet"/>
      <w:lvlText w:val="o"/>
      <w:lvlJc w:val="left"/>
      <w:pPr>
        <w:ind w:left="5760" w:hanging="360"/>
      </w:pPr>
      <w:rPr>
        <w:rFonts w:ascii="Courier New" w:cs="Courier New" w:hAnsi="Courier New" w:hint="default"/>
      </w:rPr>
    </w:lvl>
    <w:lvl w:ilvl="8" w:tplc="9F0C220A" w:tentative="1">
      <w:start w:val="1"/>
      <w:numFmt w:val="bullet"/>
      <w:lvlText w:val=""/>
      <w:lvlJc w:val="left"/>
      <w:pPr>
        <w:ind w:left="6480" w:hanging="360"/>
      </w:pPr>
      <w:rPr>
        <w:rFonts w:ascii="Wingdings" w:hAnsi="Wingdings" w:hint="default"/>
      </w:rPr>
    </w:lvl>
  </w:abstractNum>
  <w:abstractNum w:abstractNumId="11">
    <w:nsid w:val="0000000B"/>
    <w:multiLevelType w:val="hybridMultilevel"/>
    <w:tmpl w:val="33940228"/>
    <w:lvl w:ilvl="0" w:tplc="1C624BBC">
      <w:start w:val="1"/>
      <w:numFmt w:val="bullet"/>
      <w:lvlText w:val=""/>
      <w:lvlJc w:val="left"/>
      <w:pPr>
        <w:ind w:left="720" w:hanging="360"/>
      </w:pPr>
      <w:rPr>
        <w:rFonts w:ascii="Symbol" w:hAnsi="Symbol" w:hint="default"/>
      </w:rPr>
    </w:lvl>
    <w:lvl w:ilvl="1" w:tplc="FF6696C0" w:tentative="1">
      <w:start w:val="1"/>
      <w:numFmt w:val="bullet"/>
      <w:lvlText w:val="o"/>
      <w:lvlJc w:val="left"/>
      <w:pPr>
        <w:ind w:left="1440" w:hanging="360"/>
      </w:pPr>
      <w:rPr>
        <w:rFonts w:ascii="Courier New" w:cs="Courier New" w:hAnsi="Courier New" w:hint="default"/>
      </w:rPr>
    </w:lvl>
    <w:lvl w:ilvl="2" w:tplc="D5164754" w:tentative="1">
      <w:start w:val="1"/>
      <w:numFmt w:val="bullet"/>
      <w:lvlText w:val=""/>
      <w:lvlJc w:val="left"/>
      <w:pPr>
        <w:ind w:left="2160" w:hanging="360"/>
      </w:pPr>
      <w:rPr>
        <w:rFonts w:ascii="Wingdings" w:hAnsi="Wingdings" w:hint="default"/>
      </w:rPr>
    </w:lvl>
    <w:lvl w:ilvl="3" w:tplc="F27E8244" w:tentative="1">
      <w:start w:val="1"/>
      <w:numFmt w:val="bullet"/>
      <w:lvlText w:val=""/>
      <w:lvlJc w:val="left"/>
      <w:pPr>
        <w:ind w:left="2880" w:hanging="360"/>
      </w:pPr>
      <w:rPr>
        <w:rFonts w:ascii="Symbol" w:hAnsi="Symbol" w:hint="default"/>
      </w:rPr>
    </w:lvl>
    <w:lvl w:ilvl="4" w:tplc="D646F9EC" w:tentative="1">
      <w:start w:val="1"/>
      <w:numFmt w:val="bullet"/>
      <w:lvlText w:val="o"/>
      <w:lvlJc w:val="left"/>
      <w:pPr>
        <w:ind w:left="3600" w:hanging="360"/>
      </w:pPr>
      <w:rPr>
        <w:rFonts w:ascii="Courier New" w:cs="Courier New" w:hAnsi="Courier New" w:hint="default"/>
      </w:rPr>
    </w:lvl>
    <w:lvl w:ilvl="5" w:tplc="6F12894C" w:tentative="1">
      <w:start w:val="1"/>
      <w:numFmt w:val="bullet"/>
      <w:lvlText w:val=""/>
      <w:lvlJc w:val="left"/>
      <w:pPr>
        <w:ind w:left="4320" w:hanging="360"/>
      </w:pPr>
      <w:rPr>
        <w:rFonts w:ascii="Wingdings" w:hAnsi="Wingdings" w:hint="default"/>
      </w:rPr>
    </w:lvl>
    <w:lvl w:ilvl="6" w:tplc="D120469C" w:tentative="1">
      <w:start w:val="1"/>
      <w:numFmt w:val="bullet"/>
      <w:lvlText w:val=""/>
      <w:lvlJc w:val="left"/>
      <w:pPr>
        <w:ind w:left="5040" w:hanging="360"/>
      </w:pPr>
      <w:rPr>
        <w:rFonts w:ascii="Symbol" w:hAnsi="Symbol" w:hint="default"/>
      </w:rPr>
    </w:lvl>
    <w:lvl w:ilvl="7" w:tplc="2FB00344" w:tentative="1">
      <w:start w:val="1"/>
      <w:numFmt w:val="bullet"/>
      <w:lvlText w:val="o"/>
      <w:lvlJc w:val="left"/>
      <w:pPr>
        <w:ind w:left="5760" w:hanging="360"/>
      </w:pPr>
      <w:rPr>
        <w:rFonts w:ascii="Courier New" w:cs="Courier New" w:hAnsi="Courier New" w:hint="default"/>
      </w:rPr>
    </w:lvl>
    <w:lvl w:ilvl="8" w:tplc="A936085E" w:tentative="1">
      <w:start w:val="1"/>
      <w:numFmt w:val="bullet"/>
      <w:lvlText w:val=""/>
      <w:lvlJc w:val="left"/>
      <w:pPr>
        <w:ind w:left="6480" w:hanging="360"/>
      </w:pPr>
      <w:rPr>
        <w:rFonts w:ascii="Wingdings" w:hAnsi="Wingdings" w:hint="default"/>
      </w:rPr>
    </w:lvl>
  </w:abstractNum>
  <w:abstractNum w:abstractNumId="12">
    <w:nsid w:val="0000000C"/>
    <w:multiLevelType w:val="hybridMultilevel"/>
    <w:tmpl w:val="3E048A28"/>
    <w:lvl w:ilvl="0" w:tplc="6748A11C">
      <w:start w:val="1"/>
      <w:numFmt w:val="bullet"/>
      <w:lvlText w:val=""/>
      <w:lvlJc w:val="left"/>
      <w:pPr>
        <w:ind w:left="720" w:hanging="360"/>
      </w:pPr>
      <w:rPr>
        <w:rFonts w:ascii="Symbol" w:hAnsi="Symbol" w:hint="default"/>
      </w:rPr>
    </w:lvl>
    <w:lvl w:ilvl="1" w:tplc="3676B2F8" w:tentative="1">
      <w:start w:val="1"/>
      <w:numFmt w:val="bullet"/>
      <w:lvlText w:val="o"/>
      <w:lvlJc w:val="left"/>
      <w:pPr>
        <w:ind w:left="1440" w:hanging="360"/>
      </w:pPr>
      <w:rPr>
        <w:rFonts w:ascii="Courier New" w:cs="Courier New" w:hAnsi="Courier New" w:hint="default"/>
      </w:rPr>
    </w:lvl>
    <w:lvl w:ilvl="2" w:tplc="694CFEA0" w:tentative="1">
      <w:start w:val="1"/>
      <w:numFmt w:val="bullet"/>
      <w:lvlText w:val=""/>
      <w:lvlJc w:val="left"/>
      <w:pPr>
        <w:ind w:left="2160" w:hanging="360"/>
      </w:pPr>
      <w:rPr>
        <w:rFonts w:ascii="Wingdings" w:hAnsi="Wingdings" w:hint="default"/>
      </w:rPr>
    </w:lvl>
    <w:lvl w:ilvl="3" w:tplc="F394FB6E" w:tentative="1">
      <w:start w:val="1"/>
      <w:numFmt w:val="bullet"/>
      <w:lvlText w:val=""/>
      <w:lvlJc w:val="left"/>
      <w:pPr>
        <w:ind w:left="2880" w:hanging="360"/>
      </w:pPr>
      <w:rPr>
        <w:rFonts w:ascii="Symbol" w:hAnsi="Symbol" w:hint="default"/>
      </w:rPr>
    </w:lvl>
    <w:lvl w:ilvl="4" w:tplc="771CF1D4" w:tentative="1">
      <w:start w:val="1"/>
      <w:numFmt w:val="bullet"/>
      <w:lvlText w:val="o"/>
      <w:lvlJc w:val="left"/>
      <w:pPr>
        <w:ind w:left="3600" w:hanging="360"/>
      </w:pPr>
      <w:rPr>
        <w:rFonts w:ascii="Courier New" w:cs="Courier New" w:hAnsi="Courier New" w:hint="default"/>
      </w:rPr>
    </w:lvl>
    <w:lvl w:ilvl="5" w:tplc="DECCBD3A" w:tentative="1">
      <w:start w:val="1"/>
      <w:numFmt w:val="bullet"/>
      <w:lvlText w:val=""/>
      <w:lvlJc w:val="left"/>
      <w:pPr>
        <w:ind w:left="4320" w:hanging="360"/>
      </w:pPr>
      <w:rPr>
        <w:rFonts w:ascii="Wingdings" w:hAnsi="Wingdings" w:hint="default"/>
      </w:rPr>
    </w:lvl>
    <w:lvl w:ilvl="6" w:tplc="CCF20B56" w:tentative="1">
      <w:start w:val="1"/>
      <w:numFmt w:val="bullet"/>
      <w:lvlText w:val=""/>
      <w:lvlJc w:val="left"/>
      <w:pPr>
        <w:ind w:left="5040" w:hanging="360"/>
      </w:pPr>
      <w:rPr>
        <w:rFonts w:ascii="Symbol" w:hAnsi="Symbol" w:hint="default"/>
      </w:rPr>
    </w:lvl>
    <w:lvl w:ilvl="7" w:tplc="61B011A8" w:tentative="1">
      <w:start w:val="1"/>
      <w:numFmt w:val="bullet"/>
      <w:lvlText w:val="o"/>
      <w:lvlJc w:val="left"/>
      <w:pPr>
        <w:ind w:left="5760" w:hanging="360"/>
      </w:pPr>
      <w:rPr>
        <w:rFonts w:ascii="Courier New" w:cs="Courier New" w:hAnsi="Courier New" w:hint="default"/>
      </w:rPr>
    </w:lvl>
    <w:lvl w:ilvl="8" w:tplc="CE48352C" w:tentative="1">
      <w:start w:val="1"/>
      <w:numFmt w:val="bullet"/>
      <w:lvlText w:val=""/>
      <w:lvlJc w:val="left"/>
      <w:pPr>
        <w:ind w:left="6480" w:hanging="360"/>
      </w:pPr>
      <w:rPr>
        <w:rFonts w:ascii="Wingdings" w:hAnsi="Wingdings" w:hint="default"/>
      </w:rPr>
    </w:lvl>
  </w:abstractNum>
  <w:abstractNum w:abstractNumId="13">
    <w:nsid w:val="0000000D"/>
    <w:multiLevelType w:val="hybridMultilevel"/>
    <w:tmpl w:val="33FC951C"/>
    <w:lvl w:ilvl="0" w:tplc="49FCE0DC">
      <w:start w:val="1"/>
      <w:numFmt w:val="bullet"/>
      <w:lvlText w:val=""/>
      <w:lvlJc w:val="left"/>
      <w:pPr>
        <w:ind w:left="720" w:hanging="360"/>
      </w:pPr>
      <w:rPr>
        <w:rFonts w:ascii="Symbol" w:hAnsi="Symbol" w:hint="default"/>
      </w:rPr>
    </w:lvl>
    <w:lvl w:ilvl="1" w:tplc="D55A7EE6" w:tentative="1">
      <w:start w:val="1"/>
      <w:numFmt w:val="bullet"/>
      <w:lvlText w:val="o"/>
      <w:lvlJc w:val="left"/>
      <w:pPr>
        <w:ind w:left="1440" w:hanging="360"/>
      </w:pPr>
      <w:rPr>
        <w:rFonts w:ascii="Courier New" w:cs="Courier New" w:hAnsi="Courier New" w:hint="default"/>
      </w:rPr>
    </w:lvl>
    <w:lvl w:ilvl="2" w:tplc="B622B524" w:tentative="1">
      <w:start w:val="1"/>
      <w:numFmt w:val="bullet"/>
      <w:lvlText w:val=""/>
      <w:lvlJc w:val="left"/>
      <w:pPr>
        <w:ind w:left="2160" w:hanging="360"/>
      </w:pPr>
      <w:rPr>
        <w:rFonts w:ascii="Wingdings" w:hAnsi="Wingdings" w:hint="default"/>
      </w:rPr>
    </w:lvl>
    <w:lvl w:ilvl="3" w:tplc="D7929F96" w:tentative="1">
      <w:start w:val="1"/>
      <w:numFmt w:val="bullet"/>
      <w:lvlText w:val=""/>
      <w:lvlJc w:val="left"/>
      <w:pPr>
        <w:ind w:left="2880" w:hanging="360"/>
      </w:pPr>
      <w:rPr>
        <w:rFonts w:ascii="Symbol" w:hAnsi="Symbol" w:hint="default"/>
      </w:rPr>
    </w:lvl>
    <w:lvl w:ilvl="4" w:tplc="A5E6EC5E" w:tentative="1">
      <w:start w:val="1"/>
      <w:numFmt w:val="bullet"/>
      <w:lvlText w:val="o"/>
      <w:lvlJc w:val="left"/>
      <w:pPr>
        <w:ind w:left="3600" w:hanging="360"/>
      </w:pPr>
      <w:rPr>
        <w:rFonts w:ascii="Courier New" w:cs="Courier New" w:hAnsi="Courier New" w:hint="default"/>
      </w:rPr>
    </w:lvl>
    <w:lvl w:ilvl="5" w:tplc="89309504" w:tentative="1">
      <w:start w:val="1"/>
      <w:numFmt w:val="bullet"/>
      <w:lvlText w:val=""/>
      <w:lvlJc w:val="left"/>
      <w:pPr>
        <w:ind w:left="4320" w:hanging="360"/>
      </w:pPr>
      <w:rPr>
        <w:rFonts w:ascii="Wingdings" w:hAnsi="Wingdings" w:hint="default"/>
      </w:rPr>
    </w:lvl>
    <w:lvl w:ilvl="6" w:tplc="25324746" w:tentative="1">
      <w:start w:val="1"/>
      <w:numFmt w:val="bullet"/>
      <w:lvlText w:val=""/>
      <w:lvlJc w:val="left"/>
      <w:pPr>
        <w:ind w:left="5040" w:hanging="360"/>
      </w:pPr>
      <w:rPr>
        <w:rFonts w:ascii="Symbol" w:hAnsi="Symbol" w:hint="default"/>
      </w:rPr>
    </w:lvl>
    <w:lvl w:ilvl="7" w:tplc="A24E1106" w:tentative="1">
      <w:start w:val="1"/>
      <w:numFmt w:val="bullet"/>
      <w:lvlText w:val="o"/>
      <w:lvlJc w:val="left"/>
      <w:pPr>
        <w:ind w:left="5760" w:hanging="360"/>
      </w:pPr>
      <w:rPr>
        <w:rFonts w:ascii="Courier New" w:cs="Courier New" w:hAnsi="Courier New" w:hint="default"/>
      </w:rPr>
    </w:lvl>
    <w:lvl w:ilvl="8" w:tplc="76BA4FA2" w:tentative="1">
      <w:start w:val="1"/>
      <w:numFmt w:val="bullet"/>
      <w:lvlText w:val=""/>
      <w:lvlJc w:val="left"/>
      <w:pPr>
        <w:ind w:left="6480" w:hanging="360"/>
      </w:pPr>
      <w:rPr>
        <w:rFonts w:ascii="Wingdings" w:hAnsi="Wingdings" w:hint="default"/>
      </w:rPr>
    </w:lvl>
  </w:abstractNum>
  <w:abstractNum w:abstractNumId="14">
    <w:nsid w:val="0000000E"/>
    <w:multiLevelType w:val="hybridMultilevel"/>
    <w:tmpl w:val="702850DA"/>
    <w:lvl w:ilvl="0" w:tplc="0DFA9A14">
      <w:start w:val="1"/>
      <w:numFmt w:val="bullet"/>
      <w:lvlText w:val=""/>
      <w:lvlJc w:val="left"/>
      <w:pPr>
        <w:ind w:left="720" w:hanging="360"/>
      </w:pPr>
      <w:rPr>
        <w:rFonts w:ascii="Symbol" w:hAnsi="Symbol" w:hint="default"/>
      </w:rPr>
    </w:lvl>
    <w:lvl w:ilvl="1" w:tplc="A17A34AA" w:tentative="1">
      <w:start w:val="1"/>
      <w:numFmt w:val="bullet"/>
      <w:lvlText w:val="o"/>
      <w:lvlJc w:val="left"/>
      <w:pPr>
        <w:ind w:left="1440" w:hanging="360"/>
      </w:pPr>
      <w:rPr>
        <w:rFonts w:ascii="Courier New" w:cs="Courier New" w:hAnsi="Courier New" w:hint="default"/>
      </w:rPr>
    </w:lvl>
    <w:lvl w:ilvl="2" w:tplc="CECC0180" w:tentative="1">
      <w:start w:val="1"/>
      <w:numFmt w:val="bullet"/>
      <w:lvlText w:val=""/>
      <w:lvlJc w:val="left"/>
      <w:pPr>
        <w:ind w:left="2160" w:hanging="360"/>
      </w:pPr>
      <w:rPr>
        <w:rFonts w:ascii="Wingdings" w:hAnsi="Wingdings" w:hint="default"/>
      </w:rPr>
    </w:lvl>
    <w:lvl w:ilvl="3" w:tplc="0C1015B4" w:tentative="1">
      <w:start w:val="1"/>
      <w:numFmt w:val="bullet"/>
      <w:lvlText w:val=""/>
      <w:lvlJc w:val="left"/>
      <w:pPr>
        <w:ind w:left="2880" w:hanging="360"/>
      </w:pPr>
      <w:rPr>
        <w:rFonts w:ascii="Symbol" w:hAnsi="Symbol" w:hint="default"/>
      </w:rPr>
    </w:lvl>
    <w:lvl w:ilvl="4" w:tplc="089A35EA" w:tentative="1">
      <w:start w:val="1"/>
      <w:numFmt w:val="bullet"/>
      <w:lvlText w:val="o"/>
      <w:lvlJc w:val="left"/>
      <w:pPr>
        <w:ind w:left="3600" w:hanging="360"/>
      </w:pPr>
      <w:rPr>
        <w:rFonts w:ascii="Courier New" w:cs="Courier New" w:hAnsi="Courier New" w:hint="default"/>
      </w:rPr>
    </w:lvl>
    <w:lvl w:ilvl="5" w:tplc="B316F724" w:tentative="1">
      <w:start w:val="1"/>
      <w:numFmt w:val="bullet"/>
      <w:lvlText w:val=""/>
      <w:lvlJc w:val="left"/>
      <w:pPr>
        <w:ind w:left="4320" w:hanging="360"/>
      </w:pPr>
      <w:rPr>
        <w:rFonts w:ascii="Wingdings" w:hAnsi="Wingdings" w:hint="default"/>
      </w:rPr>
    </w:lvl>
    <w:lvl w:ilvl="6" w:tplc="D068C4D8" w:tentative="1">
      <w:start w:val="1"/>
      <w:numFmt w:val="bullet"/>
      <w:lvlText w:val=""/>
      <w:lvlJc w:val="left"/>
      <w:pPr>
        <w:ind w:left="5040" w:hanging="360"/>
      </w:pPr>
      <w:rPr>
        <w:rFonts w:ascii="Symbol" w:hAnsi="Symbol" w:hint="default"/>
      </w:rPr>
    </w:lvl>
    <w:lvl w:ilvl="7" w:tplc="19868990" w:tentative="1">
      <w:start w:val="1"/>
      <w:numFmt w:val="bullet"/>
      <w:lvlText w:val="o"/>
      <w:lvlJc w:val="left"/>
      <w:pPr>
        <w:ind w:left="5760" w:hanging="360"/>
      </w:pPr>
      <w:rPr>
        <w:rFonts w:ascii="Courier New" w:cs="Courier New" w:hAnsi="Courier New" w:hint="default"/>
      </w:rPr>
    </w:lvl>
    <w:lvl w:ilvl="8" w:tplc="DEC4AAE8" w:tentative="1">
      <w:start w:val="1"/>
      <w:numFmt w:val="bullet"/>
      <w:lvlText w:val=""/>
      <w:lvlJc w:val="left"/>
      <w:pPr>
        <w:ind w:left="6480" w:hanging="360"/>
      </w:pPr>
      <w:rPr>
        <w:rFonts w:ascii="Wingdings" w:hAnsi="Wingdings" w:hint="default"/>
      </w:rPr>
    </w:lvl>
  </w:abstractNum>
  <w:abstractNum w:abstractNumId="15">
    <w:nsid w:val="0000000F"/>
    <w:multiLevelType w:val="hybridMultilevel"/>
    <w:tmpl w:val="79F2B8E6"/>
    <w:lvl w:ilvl="0" w:tplc="6D688CCE">
      <w:start w:val="1"/>
      <w:numFmt w:val="bullet"/>
      <w:lvlText w:val=""/>
      <w:lvlJc w:val="left"/>
      <w:pPr>
        <w:ind w:left="720" w:hanging="360"/>
      </w:pPr>
      <w:rPr>
        <w:rFonts w:ascii="Symbol" w:hAnsi="Symbol" w:hint="default"/>
      </w:rPr>
    </w:lvl>
    <w:lvl w:ilvl="1" w:tplc="2E0E53F6" w:tentative="1">
      <w:start w:val="1"/>
      <w:numFmt w:val="bullet"/>
      <w:lvlText w:val="o"/>
      <w:lvlJc w:val="left"/>
      <w:pPr>
        <w:ind w:left="1440" w:hanging="360"/>
      </w:pPr>
      <w:rPr>
        <w:rFonts w:ascii="Courier New" w:cs="Courier New" w:hAnsi="Courier New" w:hint="default"/>
      </w:rPr>
    </w:lvl>
    <w:lvl w:ilvl="2" w:tplc="911C54CC" w:tentative="1">
      <w:start w:val="1"/>
      <w:numFmt w:val="bullet"/>
      <w:lvlText w:val=""/>
      <w:lvlJc w:val="left"/>
      <w:pPr>
        <w:ind w:left="2160" w:hanging="360"/>
      </w:pPr>
      <w:rPr>
        <w:rFonts w:ascii="Wingdings" w:hAnsi="Wingdings" w:hint="default"/>
      </w:rPr>
    </w:lvl>
    <w:lvl w:ilvl="3" w:tplc="6A92E4DA" w:tentative="1">
      <w:start w:val="1"/>
      <w:numFmt w:val="bullet"/>
      <w:lvlText w:val=""/>
      <w:lvlJc w:val="left"/>
      <w:pPr>
        <w:ind w:left="2880" w:hanging="360"/>
      </w:pPr>
      <w:rPr>
        <w:rFonts w:ascii="Symbol" w:hAnsi="Symbol" w:hint="default"/>
      </w:rPr>
    </w:lvl>
    <w:lvl w:ilvl="4" w:tplc="FD8C793A" w:tentative="1">
      <w:start w:val="1"/>
      <w:numFmt w:val="bullet"/>
      <w:lvlText w:val="o"/>
      <w:lvlJc w:val="left"/>
      <w:pPr>
        <w:ind w:left="3600" w:hanging="360"/>
      </w:pPr>
      <w:rPr>
        <w:rFonts w:ascii="Courier New" w:cs="Courier New" w:hAnsi="Courier New" w:hint="default"/>
      </w:rPr>
    </w:lvl>
    <w:lvl w:ilvl="5" w:tplc="4C9689C4" w:tentative="1">
      <w:start w:val="1"/>
      <w:numFmt w:val="bullet"/>
      <w:lvlText w:val=""/>
      <w:lvlJc w:val="left"/>
      <w:pPr>
        <w:ind w:left="4320" w:hanging="360"/>
      </w:pPr>
      <w:rPr>
        <w:rFonts w:ascii="Wingdings" w:hAnsi="Wingdings" w:hint="default"/>
      </w:rPr>
    </w:lvl>
    <w:lvl w:ilvl="6" w:tplc="9E966F76" w:tentative="1">
      <w:start w:val="1"/>
      <w:numFmt w:val="bullet"/>
      <w:lvlText w:val=""/>
      <w:lvlJc w:val="left"/>
      <w:pPr>
        <w:ind w:left="5040" w:hanging="360"/>
      </w:pPr>
      <w:rPr>
        <w:rFonts w:ascii="Symbol" w:hAnsi="Symbol" w:hint="default"/>
      </w:rPr>
    </w:lvl>
    <w:lvl w:ilvl="7" w:tplc="91501C1A" w:tentative="1">
      <w:start w:val="1"/>
      <w:numFmt w:val="bullet"/>
      <w:lvlText w:val="o"/>
      <w:lvlJc w:val="left"/>
      <w:pPr>
        <w:ind w:left="5760" w:hanging="360"/>
      </w:pPr>
      <w:rPr>
        <w:rFonts w:ascii="Courier New" w:cs="Courier New" w:hAnsi="Courier New" w:hint="default"/>
      </w:rPr>
    </w:lvl>
    <w:lvl w:ilvl="8" w:tplc="5D30505E" w:tentative="1">
      <w:start w:val="1"/>
      <w:numFmt w:val="bullet"/>
      <w:lvlText w:val=""/>
      <w:lvlJc w:val="left"/>
      <w:pPr>
        <w:ind w:left="6480" w:hanging="360"/>
      </w:pPr>
      <w:rPr>
        <w:rFonts w:ascii="Wingdings" w:hAnsi="Wingdings" w:hint="default"/>
      </w:rPr>
    </w:lvl>
  </w:abstractNum>
  <w:abstractNum w:abstractNumId="16">
    <w:nsid w:val="00000010"/>
    <w:multiLevelType w:val="hybridMultilevel"/>
    <w:tmpl w:val="4F9A2FFA"/>
    <w:lvl w:ilvl="0" w:tplc="19122C1A">
      <w:start w:val="1"/>
      <w:numFmt w:val="bullet"/>
      <w:lvlText w:val=""/>
      <w:lvlJc w:val="left"/>
      <w:pPr>
        <w:ind w:left="720" w:hanging="360"/>
      </w:pPr>
      <w:rPr>
        <w:rFonts w:ascii="Symbol" w:hAnsi="Symbol" w:hint="default"/>
      </w:rPr>
    </w:lvl>
    <w:lvl w:ilvl="1" w:tplc="60AC00EE" w:tentative="1">
      <w:start w:val="1"/>
      <w:numFmt w:val="bullet"/>
      <w:lvlText w:val="o"/>
      <w:lvlJc w:val="left"/>
      <w:pPr>
        <w:ind w:left="1440" w:hanging="360"/>
      </w:pPr>
      <w:rPr>
        <w:rFonts w:ascii="Courier New" w:cs="Courier New" w:hAnsi="Courier New" w:hint="default"/>
      </w:rPr>
    </w:lvl>
    <w:lvl w:ilvl="2" w:tplc="E88ABA64" w:tentative="1">
      <w:start w:val="1"/>
      <w:numFmt w:val="bullet"/>
      <w:lvlText w:val=""/>
      <w:lvlJc w:val="left"/>
      <w:pPr>
        <w:ind w:left="2160" w:hanging="360"/>
      </w:pPr>
      <w:rPr>
        <w:rFonts w:ascii="Wingdings" w:hAnsi="Wingdings" w:hint="default"/>
      </w:rPr>
    </w:lvl>
    <w:lvl w:ilvl="3" w:tplc="3B3E04B2" w:tentative="1">
      <w:start w:val="1"/>
      <w:numFmt w:val="bullet"/>
      <w:lvlText w:val=""/>
      <w:lvlJc w:val="left"/>
      <w:pPr>
        <w:ind w:left="2880" w:hanging="360"/>
      </w:pPr>
      <w:rPr>
        <w:rFonts w:ascii="Symbol" w:hAnsi="Symbol" w:hint="default"/>
      </w:rPr>
    </w:lvl>
    <w:lvl w:ilvl="4" w:tplc="9FCCF1AA" w:tentative="1">
      <w:start w:val="1"/>
      <w:numFmt w:val="bullet"/>
      <w:lvlText w:val="o"/>
      <w:lvlJc w:val="left"/>
      <w:pPr>
        <w:ind w:left="3600" w:hanging="360"/>
      </w:pPr>
      <w:rPr>
        <w:rFonts w:ascii="Courier New" w:cs="Courier New" w:hAnsi="Courier New" w:hint="default"/>
      </w:rPr>
    </w:lvl>
    <w:lvl w:ilvl="5" w:tplc="99363316" w:tentative="1">
      <w:start w:val="1"/>
      <w:numFmt w:val="bullet"/>
      <w:lvlText w:val=""/>
      <w:lvlJc w:val="left"/>
      <w:pPr>
        <w:ind w:left="4320" w:hanging="360"/>
      </w:pPr>
      <w:rPr>
        <w:rFonts w:ascii="Wingdings" w:hAnsi="Wingdings" w:hint="default"/>
      </w:rPr>
    </w:lvl>
    <w:lvl w:ilvl="6" w:tplc="3DF8DE4E" w:tentative="1">
      <w:start w:val="1"/>
      <w:numFmt w:val="bullet"/>
      <w:lvlText w:val=""/>
      <w:lvlJc w:val="left"/>
      <w:pPr>
        <w:ind w:left="5040" w:hanging="360"/>
      </w:pPr>
      <w:rPr>
        <w:rFonts w:ascii="Symbol" w:hAnsi="Symbol" w:hint="default"/>
      </w:rPr>
    </w:lvl>
    <w:lvl w:ilvl="7" w:tplc="158601BA" w:tentative="1">
      <w:start w:val="1"/>
      <w:numFmt w:val="bullet"/>
      <w:lvlText w:val="o"/>
      <w:lvlJc w:val="left"/>
      <w:pPr>
        <w:ind w:left="5760" w:hanging="360"/>
      </w:pPr>
      <w:rPr>
        <w:rFonts w:ascii="Courier New" w:cs="Courier New" w:hAnsi="Courier New" w:hint="default"/>
      </w:rPr>
    </w:lvl>
    <w:lvl w:ilvl="8" w:tplc="9586B91A" w:tentative="1">
      <w:start w:val="1"/>
      <w:numFmt w:val="bullet"/>
      <w:lvlText w:val=""/>
      <w:lvlJc w:val="left"/>
      <w:pPr>
        <w:ind w:left="6480" w:hanging="360"/>
      </w:pPr>
      <w:rPr>
        <w:rFonts w:ascii="Wingdings" w:hAnsi="Wingdings" w:hint="default"/>
      </w:rPr>
    </w:lvl>
  </w:abstractNum>
  <w:abstractNum w:abstractNumId="17">
    <w:nsid w:val="00000011"/>
    <w:multiLevelType w:val="hybridMultilevel"/>
    <w:tmpl w:val="CB58A46C"/>
    <w:lvl w:ilvl="0" w:tplc="8B5011C0">
      <w:start w:val="1"/>
      <w:numFmt w:val="bullet"/>
      <w:lvlText w:val=""/>
      <w:lvlJc w:val="left"/>
      <w:pPr>
        <w:ind w:left="720" w:hanging="360"/>
      </w:pPr>
      <w:rPr>
        <w:rFonts w:ascii="Symbol" w:hAnsi="Symbol" w:hint="default"/>
      </w:rPr>
    </w:lvl>
    <w:lvl w:ilvl="1" w:tplc="385A37CA" w:tentative="1">
      <w:start w:val="1"/>
      <w:numFmt w:val="bullet"/>
      <w:lvlText w:val="o"/>
      <w:lvlJc w:val="left"/>
      <w:pPr>
        <w:ind w:left="1440" w:hanging="360"/>
      </w:pPr>
      <w:rPr>
        <w:rFonts w:ascii="Courier New" w:cs="Courier New" w:hAnsi="Courier New" w:hint="default"/>
      </w:rPr>
    </w:lvl>
    <w:lvl w:ilvl="2" w:tplc="87D2F9E2" w:tentative="1">
      <w:start w:val="1"/>
      <w:numFmt w:val="bullet"/>
      <w:lvlText w:val=""/>
      <w:lvlJc w:val="left"/>
      <w:pPr>
        <w:ind w:left="2160" w:hanging="360"/>
      </w:pPr>
      <w:rPr>
        <w:rFonts w:ascii="Wingdings" w:hAnsi="Wingdings" w:hint="default"/>
      </w:rPr>
    </w:lvl>
    <w:lvl w:ilvl="3" w:tplc="1D244FCC" w:tentative="1">
      <w:start w:val="1"/>
      <w:numFmt w:val="bullet"/>
      <w:lvlText w:val=""/>
      <w:lvlJc w:val="left"/>
      <w:pPr>
        <w:ind w:left="2880" w:hanging="360"/>
      </w:pPr>
      <w:rPr>
        <w:rFonts w:ascii="Symbol" w:hAnsi="Symbol" w:hint="default"/>
      </w:rPr>
    </w:lvl>
    <w:lvl w:ilvl="4" w:tplc="AFBA04B4" w:tentative="1">
      <w:start w:val="1"/>
      <w:numFmt w:val="bullet"/>
      <w:lvlText w:val="o"/>
      <w:lvlJc w:val="left"/>
      <w:pPr>
        <w:ind w:left="3600" w:hanging="360"/>
      </w:pPr>
      <w:rPr>
        <w:rFonts w:ascii="Courier New" w:cs="Courier New" w:hAnsi="Courier New" w:hint="default"/>
      </w:rPr>
    </w:lvl>
    <w:lvl w:ilvl="5" w:tplc="A5900F24" w:tentative="1">
      <w:start w:val="1"/>
      <w:numFmt w:val="bullet"/>
      <w:lvlText w:val=""/>
      <w:lvlJc w:val="left"/>
      <w:pPr>
        <w:ind w:left="4320" w:hanging="360"/>
      </w:pPr>
      <w:rPr>
        <w:rFonts w:ascii="Wingdings" w:hAnsi="Wingdings" w:hint="default"/>
      </w:rPr>
    </w:lvl>
    <w:lvl w:ilvl="6" w:tplc="45146AE0" w:tentative="1">
      <w:start w:val="1"/>
      <w:numFmt w:val="bullet"/>
      <w:lvlText w:val=""/>
      <w:lvlJc w:val="left"/>
      <w:pPr>
        <w:ind w:left="5040" w:hanging="360"/>
      </w:pPr>
      <w:rPr>
        <w:rFonts w:ascii="Symbol" w:hAnsi="Symbol" w:hint="default"/>
      </w:rPr>
    </w:lvl>
    <w:lvl w:ilvl="7" w:tplc="941431A4" w:tentative="1">
      <w:start w:val="1"/>
      <w:numFmt w:val="bullet"/>
      <w:lvlText w:val="o"/>
      <w:lvlJc w:val="left"/>
      <w:pPr>
        <w:ind w:left="5760" w:hanging="360"/>
      </w:pPr>
      <w:rPr>
        <w:rFonts w:ascii="Courier New" w:cs="Courier New" w:hAnsi="Courier New" w:hint="default"/>
      </w:rPr>
    </w:lvl>
    <w:lvl w:ilvl="8" w:tplc="AF0CD650" w:tentative="1">
      <w:start w:val="1"/>
      <w:numFmt w:val="bullet"/>
      <w:lvlText w:val=""/>
      <w:lvlJc w:val="left"/>
      <w:pPr>
        <w:ind w:left="6480" w:hanging="360"/>
      </w:pPr>
      <w:rPr>
        <w:rFonts w:ascii="Wingdings" w:hAnsi="Wingdings" w:hint="default"/>
      </w:rPr>
    </w:lvl>
  </w:abstractNum>
  <w:abstractNum w:abstractNumId="18">
    <w:nsid w:val="00000012"/>
    <w:multiLevelType w:val="hybridMultilevel"/>
    <w:tmpl w:val="F0C0A786"/>
    <w:lvl w:ilvl="0" w:tplc="302426CA">
      <w:start w:val="1"/>
      <w:numFmt w:val="bullet"/>
      <w:lvlText w:val=""/>
      <w:lvlJc w:val="left"/>
      <w:pPr>
        <w:ind w:left="720" w:hanging="360"/>
      </w:pPr>
      <w:rPr>
        <w:rFonts w:ascii="Symbol" w:hAnsi="Symbol" w:hint="default"/>
      </w:rPr>
    </w:lvl>
    <w:lvl w:ilvl="1" w:tplc="7D6C09F2" w:tentative="1">
      <w:start w:val="1"/>
      <w:numFmt w:val="bullet"/>
      <w:lvlText w:val="o"/>
      <w:lvlJc w:val="left"/>
      <w:pPr>
        <w:ind w:left="1440" w:hanging="360"/>
      </w:pPr>
      <w:rPr>
        <w:rFonts w:ascii="Courier New" w:cs="Courier New" w:hAnsi="Courier New" w:hint="default"/>
      </w:rPr>
    </w:lvl>
    <w:lvl w:ilvl="2" w:tplc="E3D61A28" w:tentative="1">
      <w:start w:val="1"/>
      <w:numFmt w:val="bullet"/>
      <w:lvlText w:val=""/>
      <w:lvlJc w:val="left"/>
      <w:pPr>
        <w:ind w:left="2160" w:hanging="360"/>
      </w:pPr>
      <w:rPr>
        <w:rFonts w:ascii="Wingdings" w:hAnsi="Wingdings" w:hint="default"/>
      </w:rPr>
    </w:lvl>
    <w:lvl w:ilvl="3" w:tplc="BF023CA2" w:tentative="1">
      <w:start w:val="1"/>
      <w:numFmt w:val="bullet"/>
      <w:lvlText w:val=""/>
      <w:lvlJc w:val="left"/>
      <w:pPr>
        <w:ind w:left="2880" w:hanging="360"/>
      </w:pPr>
      <w:rPr>
        <w:rFonts w:ascii="Symbol" w:hAnsi="Symbol" w:hint="default"/>
      </w:rPr>
    </w:lvl>
    <w:lvl w:ilvl="4" w:tplc="7382B198" w:tentative="1">
      <w:start w:val="1"/>
      <w:numFmt w:val="bullet"/>
      <w:lvlText w:val="o"/>
      <w:lvlJc w:val="left"/>
      <w:pPr>
        <w:ind w:left="3600" w:hanging="360"/>
      </w:pPr>
      <w:rPr>
        <w:rFonts w:ascii="Courier New" w:cs="Courier New" w:hAnsi="Courier New" w:hint="default"/>
      </w:rPr>
    </w:lvl>
    <w:lvl w:ilvl="5" w:tplc="C360F3D6" w:tentative="1">
      <w:start w:val="1"/>
      <w:numFmt w:val="bullet"/>
      <w:lvlText w:val=""/>
      <w:lvlJc w:val="left"/>
      <w:pPr>
        <w:ind w:left="4320" w:hanging="360"/>
      </w:pPr>
      <w:rPr>
        <w:rFonts w:ascii="Wingdings" w:hAnsi="Wingdings" w:hint="default"/>
      </w:rPr>
    </w:lvl>
    <w:lvl w:ilvl="6" w:tplc="1CB46AA8" w:tentative="1">
      <w:start w:val="1"/>
      <w:numFmt w:val="bullet"/>
      <w:lvlText w:val=""/>
      <w:lvlJc w:val="left"/>
      <w:pPr>
        <w:ind w:left="5040" w:hanging="360"/>
      </w:pPr>
      <w:rPr>
        <w:rFonts w:ascii="Symbol" w:hAnsi="Symbol" w:hint="default"/>
      </w:rPr>
    </w:lvl>
    <w:lvl w:ilvl="7" w:tplc="2A1A8FC0" w:tentative="1">
      <w:start w:val="1"/>
      <w:numFmt w:val="bullet"/>
      <w:lvlText w:val="o"/>
      <w:lvlJc w:val="left"/>
      <w:pPr>
        <w:ind w:left="5760" w:hanging="360"/>
      </w:pPr>
      <w:rPr>
        <w:rFonts w:ascii="Courier New" w:cs="Courier New" w:hAnsi="Courier New" w:hint="default"/>
      </w:rPr>
    </w:lvl>
    <w:lvl w:ilvl="8" w:tplc="2A1006F4" w:tentative="1">
      <w:start w:val="1"/>
      <w:numFmt w:val="bullet"/>
      <w:lvlText w:val=""/>
      <w:lvlJc w:val="left"/>
      <w:pPr>
        <w:ind w:left="6480" w:hanging="360"/>
      </w:pPr>
      <w:rPr>
        <w:rFonts w:ascii="Wingdings" w:hAnsi="Wingdings" w:hint="default"/>
      </w:rPr>
    </w:lvl>
  </w:abstractNum>
  <w:abstractNum w:abstractNumId="19">
    <w:nsid w:val="00000013"/>
    <w:multiLevelType w:val="hybridMultilevel"/>
    <w:tmpl w:val="785E1F6A"/>
    <w:lvl w:ilvl="0" w:tplc="0C7A26E0">
      <w:start w:val="1"/>
      <w:numFmt w:val="bullet"/>
      <w:lvlText w:val=""/>
      <w:lvlJc w:val="left"/>
      <w:pPr>
        <w:ind w:left="720" w:hanging="360"/>
      </w:pPr>
      <w:rPr>
        <w:rFonts w:ascii="Symbol" w:hAnsi="Symbol" w:hint="default"/>
      </w:rPr>
    </w:lvl>
    <w:lvl w:ilvl="1" w:tplc="B0809AC6" w:tentative="1">
      <w:start w:val="1"/>
      <w:numFmt w:val="bullet"/>
      <w:lvlText w:val="o"/>
      <w:lvlJc w:val="left"/>
      <w:pPr>
        <w:ind w:left="1440" w:hanging="360"/>
      </w:pPr>
      <w:rPr>
        <w:rFonts w:ascii="Courier New" w:cs="Courier New" w:hAnsi="Courier New" w:hint="default"/>
      </w:rPr>
    </w:lvl>
    <w:lvl w:ilvl="2" w:tplc="1C4260C8" w:tentative="1">
      <w:start w:val="1"/>
      <w:numFmt w:val="bullet"/>
      <w:lvlText w:val=""/>
      <w:lvlJc w:val="left"/>
      <w:pPr>
        <w:ind w:left="2160" w:hanging="360"/>
      </w:pPr>
      <w:rPr>
        <w:rFonts w:ascii="Wingdings" w:hAnsi="Wingdings" w:hint="default"/>
      </w:rPr>
    </w:lvl>
    <w:lvl w:ilvl="3" w:tplc="601A61A6" w:tentative="1">
      <w:start w:val="1"/>
      <w:numFmt w:val="bullet"/>
      <w:lvlText w:val=""/>
      <w:lvlJc w:val="left"/>
      <w:pPr>
        <w:ind w:left="2880" w:hanging="360"/>
      </w:pPr>
      <w:rPr>
        <w:rFonts w:ascii="Symbol" w:hAnsi="Symbol" w:hint="default"/>
      </w:rPr>
    </w:lvl>
    <w:lvl w:ilvl="4" w:tplc="96BE6BAA" w:tentative="1">
      <w:start w:val="1"/>
      <w:numFmt w:val="bullet"/>
      <w:lvlText w:val="o"/>
      <w:lvlJc w:val="left"/>
      <w:pPr>
        <w:ind w:left="3600" w:hanging="360"/>
      </w:pPr>
      <w:rPr>
        <w:rFonts w:ascii="Courier New" w:cs="Courier New" w:hAnsi="Courier New" w:hint="default"/>
      </w:rPr>
    </w:lvl>
    <w:lvl w:ilvl="5" w:tplc="ED02076A" w:tentative="1">
      <w:start w:val="1"/>
      <w:numFmt w:val="bullet"/>
      <w:lvlText w:val=""/>
      <w:lvlJc w:val="left"/>
      <w:pPr>
        <w:ind w:left="4320" w:hanging="360"/>
      </w:pPr>
      <w:rPr>
        <w:rFonts w:ascii="Wingdings" w:hAnsi="Wingdings" w:hint="default"/>
      </w:rPr>
    </w:lvl>
    <w:lvl w:ilvl="6" w:tplc="BE4E65BA" w:tentative="1">
      <w:start w:val="1"/>
      <w:numFmt w:val="bullet"/>
      <w:lvlText w:val=""/>
      <w:lvlJc w:val="left"/>
      <w:pPr>
        <w:ind w:left="5040" w:hanging="360"/>
      </w:pPr>
      <w:rPr>
        <w:rFonts w:ascii="Symbol" w:hAnsi="Symbol" w:hint="default"/>
      </w:rPr>
    </w:lvl>
    <w:lvl w:ilvl="7" w:tplc="0C5C75D4" w:tentative="1">
      <w:start w:val="1"/>
      <w:numFmt w:val="bullet"/>
      <w:lvlText w:val="o"/>
      <w:lvlJc w:val="left"/>
      <w:pPr>
        <w:ind w:left="5760" w:hanging="360"/>
      </w:pPr>
      <w:rPr>
        <w:rFonts w:ascii="Courier New" w:cs="Courier New" w:hAnsi="Courier New" w:hint="default"/>
      </w:rPr>
    </w:lvl>
    <w:lvl w:ilvl="8" w:tplc="AD6EE74A" w:tentative="1">
      <w:start w:val="1"/>
      <w:numFmt w:val="bullet"/>
      <w:lvlText w:val=""/>
      <w:lvlJc w:val="left"/>
      <w:pPr>
        <w:ind w:left="6480" w:hanging="360"/>
      </w:pPr>
      <w:rPr>
        <w:rFonts w:ascii="Wingdings" w:hAnsi="Wingdings" w:hint="default"/>
      </w:rPr>
    </w:lvl>
  </w:abstractNum>
  <w:abstractNum w:abstractNumId="20">
    <w:nsid w:val="00000014"/>
    <w:multiLevelType w:val="hybridMultilevel"/>
    <w:tmpl w:val="9A006F44"/>
    <w:lvl w:ilvl="0" w:tplc="45901FD2">
      <w:start w:val="1"/>
      <w:numFmt w:val="bullet"/>
      <w:lvlText w:val=""/>
      <w:lvlJc w:val="left"/>
      <w:pPr>
        <w:ind w:left="720" w:hanging="360"/>
      </w:pPr>
      <w:rPr>
        <w:rFonts w:ascii="Symbol" w:hAnsi="Symbol" w:hint="default"/>
      </w:rPr>
    </w:lvl>
    <w:lvl w:ilvl="1" w:tplc="02BADBC6" w:tentative="1">
      <w:start w:val="1"/>
      <w:numFmt w:val="bullet"/>
      <w:lvlText w:val="o"/>
      <w:lvlJc w:val="left"/>
      <w:pPr>
        <w:ind w:left="1440" w:hanging="360"/>
      </w:pPr>
      <w:rPr>
        <w:rFonts w:ascii="Courier New" w:cs="Courier New" w:hAnsi="Courier New" w:hint="default"/>
      </w:rPr>
    </w:lvl>
    <w:lvl w:ilvl="2" w:tplc="F5E4D964" w:tentative="1">
      <w:start w:val="1"/>
      <w:numFmt w:val="bullet"/>
      <w:lvlText w:val=""/>
      <w:lvlJc w:val="left"/>
      <w:pPr>
        <w:ind w:left="2160" w:hanging="360"/>
      </w:pPr>
      <w:rPr>
        <w:rFonts w:ascii="Wingdings" w:hAnsi="Wingdings" w:hint="default"/>
      </w:rPr>
    </w:lvl>
    <w:lvl w:ilvl="3" w:tplc="92FC65CC" w:tentative="1">
      <w:start w:val="1"/>
      <w:numFmt w:val="bullet"/>
      <w:lvlText w:val=""/>
      <w:lvlJc w:val="left"/>
      <w:pPr>
        <w:ind w:left="2880" w:hanging="360"/>
      </w:pPr>
      <w:rPr>
        <w:rFonts w:ascii="Symbol" w:hAnsi="Symbol" w:hint="default"/>
      </w:rPr>
    </w:lvl>
    <w:lvl w:ilvl="4" w:tplc="9BCC6FDC" w:tentative="1">
      <w:start w:val="1"/>
      <w:numFmt w:val="bullet"/>
      <w:lvlText w:val="o"/>
      <w:lvlJc w:val="left"/>
      <w:pPr>
        <w:ind w:left="3600" w:hanging="360"/>
      </w:pPr>
      <w:rPr>
        <w:rFonts w:ascii="Courier New" w:cs="Courier New" w:hAnsi="Courier New" w:hint="default"/>
      </w:rPr>
    </w:lvl>
    <w:lvl w:ilvl="5" w:tplc="E1DC4FF2" w:tentative="1">
      <w:start w:val="1"/>
      <w:numFmt w:val="bullet"/>
      <w:lvlText w:val=""/>
      <w:lvlJc w:val="left"/>
      <w:pPr>
        <w:ind w:left="4320" w:hanging="360"/>
      </w:pPr>
      <w:rPr>
        <w:rFonts w:ascii="Wingdings" w:hAnsi="Wingdings" w:hint="default"/>
      </w:rPr>
    </w:lvl>
    <w:lvl w:ilvl="6" w:tplc="7A28D110" w:tentative="1">
      <w:start w:val="1"/>
      <w:numFmt w:val="bullet"/>
      <w:lvlText w:val=""/>
      <w:lvlJc w:val="left"/>
      <w:pPr>
        <w:ind w:left="5040" w:hanging="360"/>
      </w:pPr>
      <w:rPr>
        <w:rFonts w:ascii="Symbol" w:hAnsi="Symbol" w:hint="default"/>
      </w:rPr>
    </w:lvl>
    <w:lvl w:ilvl="7" w:tplc="F8F8D128" w:tentative="1">
      <w:start w:val="1"/>
      <w:numFmt w:val="bullet"/>
      <w:lvlText w:val="o"/>
      <w:lvlJc w:val="left"/>
      <w:pPr>
        <w:ind w:left="5760" w:hanging="360"/>
      </w:pPr>
      <w:rPr>
        <w:rFonts w:ascii="Courier New" w:cs="Courier New" w:hAnsi="Courier New" w:hint="default"/>
      </w:rPr>
    </w:lvl>
    <w:lvl w:ilvl="8" w:tplc="8DDC9878" w:tentative="1">
      <w:start w:val="1"/>
      <w:numFmt w:val="bullet"/>
      <w:lvlText w:val=""/>
      <w:lvlJc w:val="left"/>
      <w:pPr>
        <w:ind w:left="6480" w:hanging="360"/>
      </w:pPr>
      <w:rPr>
        <w:rFonts w:ascii="Wingdings" w:hAnsi="Wingdings" w:hint="default"/>
      </w:rPr>
    </w:lvl>
  </w:abstractNum>
  <w:abstractNum w:abstractNumId="21">
    <w:nsid w:val="00000015"/>
    <w:multiLevelType w:val="hybridMultilevel"/>
    <w:tmpl w:val="8AB259DE"/>
    <w:lvl w:ilvl="0" w:tplc="79E017C6">
      <w:start w:val="1"/>
      <w:numFmt w:val="bullet"/>
      <w:lvlText w:val=""/>
      <w:lvlJc w:val="left"/>
      <w:pPr>
        <w:ind w:left="720" w:hanging="360"/>
      </w:pPr>
      <w:rPr>
        <w:rFonts w:ascii="Symbol" w:hAnsi="Symbol" w:hint="default"/>
      </w:rPr>
    </w:lvl>
    <w:lvl w:ilvl="1" w:tplc="77F435FE" w:tentative="1">
      <w:start w:val="1"/>
      <w:numFmt w:val="bullet"/>
      <w:lvlText w:val="o"/>
      <w:lvlJc w:val="left"/>
      <w:pPr>
        <w:ind w:left="1440" w:hanging="360"/>
      </w:pPr>
      <w:rPr>
        <w:rFonts w:ascii="Courier New" w:cs="Courier New" w:hAnsi="Courier New" w:hint="default"/>
      </w:rPr>
    </w:lvl>
    <w:lvl w:ilvl="2" w:tplc="AC40B8B4" w:tentative="1">
      <w:start w:val="1"/>
      <w:numFmt w:val="bullet"/>
      <w:lvlText w:val=""/>
      <w:lvlJc w:val="left"/>
      <w:pPr>
        <w:ind w:left="2160" w:hanging="360"/>
      </w:pPr>
      <w:rPr>
        <w:rFonts w:ascii="Wingdings" w:hAnsi="Wingdings" w:hint="default"/>
      </w:rPr>
    </w:lvl>
    <w:lvl w:ilvl="3" w:tplc="86D64378" w:tentative="1">
      <w:start w:val="1"/>
      <w:numFmt w:val="bullet"/>
      <w:lvlText w:val=""/>
      <w:lvlJc w:val="left"/>
      <w:pPr>
        <w:ind w:left="2880" w:hanging="360"/>
      </w:pPr>
      <w:rPr>
        <w:rFonts w:ascii="Symbol" w:hAnsi="Symbol" w:hint="default"/>
      </w:rPr>
    </w:lvl>
    <w:lvl w:ilvl="4" w:tplc="E05E3480" w:tentative="1">
      <w:start w:val="1"/>
      <w:numFmt w:val="bullet"/>
      <w:lvlText w:val="o"/>
      <w:lvlJc w:val="left"/>
      <w:pPr>
        <w:ind w:left="3600" w:hanging="360"/>
      </w:pPr>
      <w:rPr>
        <w:rFonts w:ascii="Courier New" w:cs="Courier New" w:hAnsi="Courier New" w:hint="default"/>
      </w:rPr>
    </w:lvl>
    <w:lvl w:ilvl="5" w:tplc="A2FE9AD0" w:tentative="1">
      <w:start w:val="1"/>
      <w:numFmt w:val="bullet"/>
      <w:lvlText w:val=""/>
      <w:lvlJc w:val="left"/>
      <w:pPr>
        <w:ind w:left="4320" w:hanging="360"/>
      </w:pPr>
      <w:rPr>
        <w:rFonts w:ascii="Wingdings" w:hAnsi="Wingdings" w:hint="default"/>
      </w:rPr>
    </w:lvl>
    <w:lvl w:ilvl="6" w:tplc="CDD868EA" w:tentative="1">
      <w:start w:val="1"/>
      <w:numFmt w:val="bullet"/>
      <w:lvlText w:val=""/>
      <w:lvlJc w:val="left"/>
      <w:pPr>
        <w:ind w:left="5040" w:hanging="360"/>
      </w:pPr>
      <w:rPr>
        <w:rFonts w:ascii="Symbol" w:hAnsi="Symbol" w:hint="default"/>
      </w:rPr>
    </w:lvl>
    <w:lvl w:ilvl="7" w:tplc="5950AD16" w:tentative="1">
      <w:start w:val="1"/>
      <w:numFmt w:val="bullet"/>
      <w:lvlText w:val="o"/>
      <w:lvlJc w:val="left"/>
      <w:pPr>
        <w:ind w:left="5760" w:hanging="360"/>
      </w:pPr>
      <w:rPr>
        <w:rFonts w:ascii="Courier New" w:cs="Courier New" w:hAnsi="Courier New" w:hint="default"/>
      </w:rPr>
    </w:lvl>
    <w:lvl w:ilvl="8" w:tplc="BD305B82" w:tentative="1">
      <w:start w:val="1"/>
      <w:numFmt w:val="bullet"/>
      <w:lvlText w:val=""/>
      <w:lvlJc w:val="left"/>
      <w:pPr>
        <w:ind w:left="6480" w:hanging="360"/>
      </w:pPr>
      <w:rPr>
        <w:rFonts w:ascii="Wingdings" w:hAnsi="Wingdings" w:hint="default"/>
      </w:rPr>
    </w:lvl>
  </w:abstractNum>
  <w:abstractNum w:abstractNumId="22">
    <w:nsid w:val="00000016"/>
    <w:multiLevelType w:val="hybridMultilevel"/>
    <w:tmpl w:val="6B5AB3B6"/>
    <w:lvl w:ilvl="0" w:tplc="F5881E1A">
      <w:start w:val="1"/>
      <w:numFmt w:val="bullet"/>
      <w:lvlText w:val=""/>
      <w:lvlJc w:val="left"/>
      <w:pPr>
        <w:ind w:left="720" w:hanging="360"/>
      </w:pPr>
      <w:rPr>
        <w:rFonts w:ascii="Symbol" w:hAnsi="Symbol" w:hint="default"/>
      </w:rPr>
    </w:lvl>
    <w:lvl w:ilvl="1" w:tplc="24D6A2C6" w:tentative="1">
      <w:start w:val="1"/>
      <w:numFmt w:val="bullet"/>
      <w:lvlText w:val="o"/>
      <w:lvlJc w:val="left"/>
      <w:pPr>
        <w:ind w:left="1440" w:hanging="360"/>
      </w:pPr>
      <w:rPr>
        <w:rFonts w:ascii="Courier New" w:cs="Courier New" w:hAnsi="Courier New" w:hint="default"/>
      </w:rPr>
    </w:lvl>
    <w:lvl w:ilvl="2" w:tplc="17D0D868" w:tentative="1">
      <w:start w:val="1"/>
      <w:numFmt w:val="bullet"/>
      <w:lvlText w:val=""/>
      <w:lvlJc w:val="left"/>
      <w:pPr>
        <w:ind w:left="2160" w:hanging="360"/>
      </w:pPr>
      <w:rPr>
        <w:rFonts w:ascii="Wingdings" w:hAnsi="Wingdings" w:hint="default"/>
      </w:rPr>
    </w:lvl>
    <w:lvl w:ilvl="3" w:tplc="A372E872" w:tentative="1">
      <w:start w:val="1"/>
      <w:numFmt w:val="bullet"/>
      <w:lvlText w:val=""/>
      <w:lvlJc w:val="left"/>
      <w:pPr>
        <w:ind w:left="2880" w:hanging="360"/>
      </w:pPr>
      <w:rPr>
        <w:rFonts w:ascii="Symbol" w:hAnsi="Symbol" w:hint="default"/>
      </w:rPr>
    </w:lvl>
    <w:lvl w:ilvl="4" w:tplc="DC0A0EB4" w:tentative="1">
      <w:start w:val="1"/>
      <w:numFmt w:val="bullet"/>
      <w:lvlText w:val="o"/>
      <w:lvlJc w:val="left"/>
      <w:pPr>
        <w:ind w:left="3600" w:hanging="360"/>
      </w:pPr>
      <w:rPr>
        <w:rFonts w:ascii="Courier New" w:cs="Courier New" w:hAnsi="Courier New" w:hint="default"/>
      </w:rPr>
    </w:lvl>
    <w:lvl w:ilvl="5" w:tplc="886E60FE" w:tentative="1">
      <w:start w:val="1"/>
      <w:numFmt w:val="bullet"/>
      <w:lvlText w:val=""/>
      <w:lvlJc w:val="left"/>
      <w:pPr>
        <w:ind w:left="4320" w:hanging="360"/>
      </w:pPr>
      <w:rPr>
        <w:rFonts w:ascii="Wingdings" w:hAnsi="Wingdings" w:hint="default"/>
      </w:rPr>
    </w:lvl>
    <w:lvl w:ilvl="6" w:tplc="819CDD2C" w:tentative="1">
      <w:start w:val="1"/>
      <w:numFmt w:val="bullet"/>
      <w:lvlText w:val=""/>
      <w:lvlJc w:val="left"/>
      <w:pPr>
        <w:ind w:left="5040" w:hanging="360"/>
      </w:pPr>
      <w:rPr>
        <w:rFonts w:ascii="Symbol" w:hAnsi="Symbol" w:hint="default"/>
      </w:rPr>
    </w:lvl>
    <w:lvl w:ilvl="7" w:tplc="7C3C7E02" w:tentative="1">
      <w:start w:val="1"/>
      <w:numFmt w:val="bullet"/>
      <w:lvlText w:val="o"/>
      <w:lvlJc w:val="left"/>
      <w:pPr>
        <w:ind w:left="5760" w:hanging="360"/>
      </w:pPr>
      <w:rPr>
        <w:rFonts w:ascii="Courier New" w:cs="Courier New" w:hAnsi="Courier New" w:hint="default"/>
      </w:rPr>
    </w:lvl>
    <w:lvl w:ilvl="8" w:tplc="82B60E48"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0"/>
  </w:num>
  <w:num w:numId="4">
    <w:abstractNumId w:val="13"/>
  </w:num>
  <w:num w:numId="5">
    <w:abstractNumId w:val="19"/>
  </w:num>
  <w:num w:numId="6">
    <w:abstractNumId w:val="20"/>
  </w:num>
  <w:num w:numId="7">
    <w:abstractNumId w:val="9"/>
  </w:num>
  <w:num w:numId="8">
    <w:abstractNumId w:val="12"/>
  </w:num>
  <w:num w:numId="9">
    <w:abstractNumId w:val="8"/>
  </w:num>
  <w:num w:numId="10">
    <w:abstractNumId w:val="11"/>
  </w:num>
  <w:num w:numId="11">
    <w:abstractNumId w:val="16"/>
  </w:num>
  <w:num w:numId="12">
    <w:abstractNumId w:val="0"/>
  </w:num>
  <w:num w:numId="13">
    <w:abstractNumId w:val="17"/>
  </w:num>
  <w:num w:numId="14">
    <w:abstractNumId w:val="7"/>
  </w:num>
  <w:num w:numId="15">
    <w:abstractNumId w:val="15"/>
  </w:num>
  <w:num w:numId="16">
    <w:abstractNumId w:val="14"/>
  </w:num>
  <w:num w:numId="17">
    <w:abstractNumId w:val="5"/>
  </w:num>
  <w:num w:numId="18">
    <w:abstractNumId w:val="22"/>
  </w:num>
  <w:num w:numId="19">
    <w:abstractNumId w:val="21"/>
  </w:num>
  <w:num w:numId="20">
    <w:abstractNumId w:val="6"/>
  </w:num>
  <w:num w:numId="21">
    <w:abstractNumId w:val="4"/>
  </w:num>
  <w:num w:numId="22">
    <w:abstractNumId w:val="18"/>
  </w:num>
  <w:num w:numId="23">
    <w:abstractNumId w:val="1"/>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1"/>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spacing w:lineRule="auto" w:line="360"/>
    </w:pPr>
    <w:rPr>
      <w:rFonts w:ascii="Times New Roman" w:hAnsi="Times New Roman"/>
      <w:sz w:val="24"/>
    </w:rPr>
  </w:style>
  <w:style w:type="paragraph" w:styleId="style1">
    <w:name w:val="heading 1"/>
    <w:basedOn w:val="style94"/>
    <w:next w:val="style0"/>
    <w:link w:val="style4098"/>
    <w:qFormat/>
    <w:uiPriority w:val="9"/>
    <w:pPr>
      <w:spacing w:before="0" w:beforeAutospacing="false" w:after="0" w:afterAutospacing="false" w:lineRule="auto" w:line="360"/>
      <w:jc w:val="both"/>
      <w:outlineLvl w:val="0"/>
    </w:pPr>
    <w:rPr>
      <w:b/>
      <w:bCs/>
      <w:color w:val="000000"/>
      <w:sz w:val="28"/>
    </w:rPr>
  </w:style>
  <w:style w:type="paragraph" w:styleId="style2">
    <w:name w:val="heading 2"/>
    <w:basedOn w:val="style0"/>
    <w:next w:val="style0"/>
    <w:link w:val="style4099"/>
    <w:qFormat/>
    <w:uiPriority w:val="9"/>
    <w:pPr>
      <w:spacing w:after="0"/>
      <w:outlineLvl w:val="1"/>
    </w:pPr>
    <w:rPr>
      <w:b/>
      <w:szCs w:val="24"/>
    </w:rPr>
  </w:style>
  <w:style w:type="paragraph" w:styleId="style3">
    <w:name w:val="heading 3"/>
    <w:basedOn w:val="style94"/>
    <w:next w:val="style0"/>
    <w:link w:val="style4100"/>
    <w:qFormat/>
    <w:uiPriority w:val="9"/>
    <w:pPr>
      <w:spacing w:before="0" w:beforeAutospacing="false" w:after="0" w:afterAutospacing="false" w:lineRule="auto" w:line="360"/>
      <w:jc w:val="both"/>
      <w:outlineLvl w:val="2"/>
    </w:pPr>
    <w:rPr>
      <w:b/>
      <w:color w:val="000000"/>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53">
    <w:name w:val="Balloon Text"/>
    <w:basedOn w:val="style0"/>
    <w:next w:val="style153"/>
    <w:link w:val="style4097"/>
    <w:uiPriority w:val="99"/>
    <w:pPr>
      <w:spacing w:after="0" w:lineRule="auto" w:line="240"/>
    </w:pPr>
    <w:rPr>
      <w:rFonts w:ascii="Tahoma" w:cs="Tahoma" w:hAnsi="Tahoma"/>
      <w:sz w:val="16"/>
      <w:szCs w:val="16"/>
    </w:rPr>
  </w:style>
  <w:style w:type="character" w:customStyle="1" w:styleId="style4097">
    <w:name w:val="Balloon Text Char"/>
    <w:basedOn w:val="style65"/>
    <w:next w:val="style4097"/>
    <w:link w:val="style153"/>
    <w:uiPriority w:val="99"/>
    <w:rPr>
      <w:rFonts w:ascii="Tahoma" w:cs="Tahoma" w:hAnsi="Tahoma"/>
      <w:sz w:val="16"/>
      <w:szCs w:val="16"/>
    </w:rPr>
  </w:style>
  <w:style w:type="paragraph" w:styleId="style94">
    <w:name w:val="Normal (Web)"/>
    <w:basedOn w:val="style0"/>
    <w:next w:val="style94"/>
    <w:uiPriority w:val="99"/>
    <w:pPr>
      <w:spacing w:before="100" w:beforeAutospacing="true" w:after="100" w:afterAutospacing="true" w:lineRule="auto" w:line="240"/>
    </w:pPr>
    <w:rPr>
      <w:rFonts w:cs="Times New Roman" w:eastAsia="Times New Roman"/>
      <w:szCs w:val="24"/>
    </w:rPr>
  </w:style>
  <w:style w:type="paragraph" w:styleId="style179">
    <w:name w:val="List Paragraph"/>
    <w:basedOn w:val="style0"/>
    <w:next w:val="style179"/>
    <w:qFormat/>
    <w:uiPriority w:val="34"/>
    <w:pPr>
      <w:ind w:left="720"/>
      <w:contextualSpacing/>
    </w:pPr>
    <w:rPr/>
  </w:style>
  <w:style w:type="table" w:styleId="style248">
    <w:name w:val="Light Grid Accent 6"/>
    <w:basedOn w:val="style105"/>
    <w:next w:val="style248"/>
    <w:uiPriority w:val="62"/>
    <w:pPr>
      <w:spacing w:after="0" w:lineRule="auto" w:line="240"/>
    </w:pPr>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Rule="auto" w:line="240"/>
      </w:pPr>
      <w:rPr>
        <w:rFonts w:ascii="Calibri Light" w:cs="宋体" w:eastAsia="宋体" w:hAnsi="Calibri Light"/>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Rule="auto" w:line="240"/>
      </w:pPr>
      <w:rPr>
        <w:rFonts w:ascii="Calibri Light" w:cs="宋体" w:eastAsia="宋体" w:hAnsi="Calibri Light"/>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band1Horz">
      <w:pPr/>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pPr/>
      <w:tblPr/>
      <w:tcPr>
        <w:tcBorders>
          <w:top w:val="single" w:sz="8" w:space="0" w:color="70ad47"/>
          <w:left w:val="single" w:sz="8" w:space="0" w:color="70ad47"/>
          <w:bottom w:val="single" w:sz="8" w:space="0" w:color="70ad47"/>
          <w:right w:val="single" w:sz="8" w:space="0" w:color="70ad47"/>
          <w:insideV w:val="single" w:sz="8" w:space="0" w:color="70ad47"/>
        </w:tcBorders>
      </w:tcPr>
    </w:tblStylePr>
    <w:tblStylePr w:type="firstCol">
      <w:pPr/>
      <w:rPr>
        <w:rFonts w:ascii="Calibri Light" w:cs="宋体" w:eastAsia="宋体" w:hAnsi="Calibri Light"/>
        <w:b/>
        <w:bCs/>
      </w:rPr>
      <w:tcPr>
        <w:tcBorders/>
      </w:tcPr>
    </w:tblStylePr>
    <w:tblStylePr w:type="lastCol">
      <w:pPr/>
      <w:rPr>
        <w:rFonts w:ascii="Calibri Light" w:cs="宋体" w:eastAsia="宋体" w:hAnsi="Calibri Light"/>
        <w:b/>
        <w:bCs/>
      </w:rPr>
      <w:tblPr/>
      <w:tcPr>
        <w:tcBorders>
          <w:top w:val="single" w:sz="8" w:space="0" w:color="70ad47"/>
          <w:left w:val="single" w:sz="8" w:space="0" w:color="70ad47"/>
          <w:bottom w:val="single" w:sz="8" w:space="0" w:color="70ad47"/>
          <w:right w:val="single" w:sz="8" w:space="0" w:color="70ad47"/>
        </w:tcBorders>
      </w:tcPr>
    </w:tblStylePr>
    <w:tblStylePr w:type="band1Vert">
      <w:pPr/>
      <w:tblPr/>
      <w:tcPr>
        <w:tcBorders>
          <w:top w:val="single" w:sz="8" w:space="0" w:color="70ad47"/>
          <w:left w:val="single" w:sz="8" w:space="0" w:color="70ad47"/>
          <w:bottom w:val="single" w:sz="8" w:space="0" w:color="70ad47"/>
          <w:right w:val="single" w:sz="8" w:space="0" w:color="70ad47"/>
        </w:tcBorders>
        <w:shd w:val="clear" w:color="auto" w:fill="dbebd0"/>
      </w:tcPr>
    </w:tblStylePr>
    <w:tcPr>
      <w:tcBorders/>
    </w:tcPr>
  </w:style>
  <w:style w:type="character" w:customStyle="1" w:styleId="style4098">
    <w:name w:val="Heading 1 Char_19bf5aca-c810-4a20-bbe1-305d31a5caf7"/>
    <w:basedOn w:val="style65"/>
    <w:next w:val="style4098"/>
    <w:link w:val="style1"/>
    <w:uiPriority w:val="9"/>
    <w:rPr>
      <w:rFonts w:ascii="Times New Roman" w:cs="Times New Roman" w:eastAsia="Times New Roman" w:hAnsi="Times New Roman"/>
      <w:b/>
      <w:bCs/>
      <w:color w:val="000000"/>
      <w:sz w:val="28"/>
      <w:szCs w:val="24"/>
    </w:rPr>
  </w:style>
  <w:style w:type="paragraph" w:styleId="style266">
    <w:name w:val="TOC Heading"/>
    <w:basedOn w:val="style1"/>
    <w:next w:val="style0"/>
    <w:qFormat/>
    <w:uiPriority w:val="39"/>
    <w:pPr>
      <w:spacing w:lineRule="auto" w:line="276"/>
      <w:outlineLvl w:val="9"/>
    </w:pPr>
    <w:rPr>
      <w:lang w:eastAsia="ja-JP"/>
    </w:rPr>
  </w:style>
  <w:style w:type="character" w:customStyle="1" w:styleId="style4099">
    <w:name w:val="Heading 2 Char_99d956d6-693d-4c7b-a468-01dd85b29bd3"/>
    <w:basedOn w:val="style65"/>
    <w:next w:val="style4099"/>
    <w:link w:val="style2"/>
    <w:uiPriority w:val="9"/>
    <w:rPr>
      <w:rFonts w:ascii="Times New Roman" w:hAnsi="Times New Roman"/>
      <w:b/>
      <w:sz w:val="24"/>
      <w:szCs w:val="24"/>
    </w:rPr>
  </w:style>
  <w:style w:type="character" w:customStyle="1" w:styleId="style4100">
    <w:name w:val="Heading 3 Char_9c4bad1f-aa86-4d4b-8233-3c788760c182"/>
    <w:basedOn w:val="style65"/>
    <w:next w:val="style4100"/>
    <w:link w:val="style3"/>
    <w:uiPriority w:val="9"/>
    <w:rPr>
      <w:rFonts w:ascii="Times New Roman" w:cs="Times New Roman" w:eastAsia="Times New Roman" w:hAnsi="Times New Roman"/>
      <w:b/>
      <w:color w:val="000000"/>
      <w:sz w:val="24"/>
      <w:szCs w:val="24"/>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 w:type="paragraph" w:styleId="style21">
    <w:name w:val="toc 3"/>
    <w:basedOn w:val="style0"/>
    <w:next w:val="style0"/>
    <w:uiPriority w:val="39"/>
    <w:pPr>
      <w:spacing w:after="100"/>
      <w:ind w:left="480"/>
    </w:pPr>
    <w:rPr/>
  </w:style>
  <w:style w:type="character" w:styleId="style85">
    <w:name w:val="Hyperlink"/>
    <w:basedOn w:val="style65"/>
    <w:next w:val="style85"/>
    <w:uiPriority w:val="99"/>
    <w:rPr>
      <w:color w:val="0563c1"/>
      <w:u w:val="single"/>
    </w:rPr>
  </w:style>
  <w:style w:type="paragraph" w:styleId="style31">
    <w:name w:val="header"/>
    <w:basedOn w:val="style0"/>
    <w:next w:val="style31"/>
    <w:link w:val="style4101"/>
    <w:uiPriority w:val="99"/>
    <w:pPr>
      <w:tabs>
        <w:tab w:val="center" w:leader="none" w:pos="4513"/>
        <w:tab w:val="right" w:leader="none" w:pos="9026"/>
      </w:tabs>
      <w:spacing w:after="0" w:lineRule="auto" w:line="240"/>
    </w:pPr>
    <w:rPr/>
  </w:style>
  <w:style w:type="character" w:customStyle="1" w:styleId="style4101">
    <w:name w:val="Header Char_5dd1478b-82a7-4a7c-a4bc-ee4af947a747"/>
    <w:basedOn w:val="style65"/>
    <w:next w:val="style4101"/>
    <w:link w:val="style31"/>
    <w:uiPriority w:val="99"/>
    <w:rPr>
      <w:rFonts w:ascii="Times New Roman" w:hAnsi="Times New Roman"/>
      <w:sz w:val="24"/>
    </w:rPr>
  </w:style>
  <w:style w:type="paragraph" w:styleId="style32">
    <w:name w:val="footer"/>
    <w:basedOn w:val="style0"/>
    <w:next w:val="style32"/>
    <w:link w:val="style4102"/>
    <w:uiPriority w:val="99"/>
    <w:pPr>
      <w:tabs>
        <w:tab w:val="center" w:leader="none" w:pos="4513"/>
        <w:tab w:val="right" w:leader="none" w:pos="9026"/>
      </w:tabs>
      <w:spacing w:after="0" w:lineRule="auto" w:line="240"/>
    </w:pPr>
    <w:rPr/>
  </w:style>
  <w:style w:type="character" w:customStyle="1" w:styleId="style4102">
    <w:name w:val="Footer Char_25eb0cef-0f32-4e8d-b92e-d41b9a80d7f6"/>
    <w:basedOn w:val="style65"/>
    <w:next w:val="style4102"/>
    <w:link w:val="style32"/>
    <w:uiPriority w:val="99"/>
    <w:rPr>
      <w:rFonts w:ascii="Times New Roman" w:hAnsi="Times New Roman"/>
      <w:sz w:val="24"/>
    </w:rPr>
  </w:style>
</w:styles>
</file>

<file path=word/_rels/document.xml.rels><?xml version="1.0" encoding="UTF-8"?>
<Relationships xmlns="http://schemas.openxmlformats.org/package/2006/relationships"><Relationship Id="rId20" Type="http://schemas.openxmlformats.org/officeDocument/2006/relationships/customXml" Target="../customXml/item1.xml"/><Relationship Id="rId11" Type="http://schemas.openxmlformats.org/officeDocument/2006/relationships/image" Target="media/image4.png"/><Relationship Id="rId10" Type="http://schemas.openxmlformats.org/officeDocument/2006/relationships/image" Target="media/image3.png"/><Relationship Id="rId13" Type="http://schemas.microsoft.com/office/2007/relationships/diagramDrawing" Target="diagrams/drawing1.xml"/><Relationship Id="rId12" Type="http://schemas.openxmlformats.org/officeDocument/2006/relationships/image" Target="media/image5.png"/><Relationship Id="rId1" Type="http://schemas.openxmlformats.org/officeDocument/2006/relationships/numbering" Target="numbering.xml"/><Relationship Id="rId2" Type="http://schemas.openxmlformats.org/officeDocument/2006/relationships/image" Target="media/image1.jpeg"/><Relationship Id="rId4" Type="http://schemas.openxmlformats.org/officeDocument/2006/relationships/diagramData" Target="diagrams/data1.xml"/><Relationship Id="rId9" Type="http://schemas.openxmlformats.org/officeDocument/2006/relationships/image" Target="media/image2.jpeg"/><Relationship Id="rId15" Type="http://schemas.openxmlformats.org/officeDocument/2006/relationships/footer" Target="footer1.xml"/><Relationship Id="rId14" Type="http://schemas.openxmlformats.org/officeDocument/2006/relationships/image" Target="media/image6.png"/><Relationship Id="rId17" Type="http://schemas.openxmlformats.org/officeDocument/2006/relationships/fontTable" Target="fontTable.xml"/><Relationship Id="rId16" Type="http://schemas.openxmlformats.org/officeDocument/2006/relationships/styles" Target="styles.xml"/><Relationship Id="rId5" Type="http://schemas.openxmlformats.org/officeDocument/2006/relationships/diagramLayout" Target="diagrams/layout1.xml"/><Relationship Id="rId19" Type="http://schemas.openxmlformats.org/officeDocument/2006/relationships/theme" Target="theme/theme1.xml"/><Relationship Id="rId6" Type="http://schemas.openxmlformats.org/officeDocument/2006/relationships/diagramQuickStyle" Target="diagrams/quickStyle1.xml"/><Relationship Id="rId18" Type="http://schemas.openxmlformats.org/officeDocument/2006/relationships/settings" Target="settings.xml"/><Relationship Id="rId7" Type="http://schemas.openxmlformats.org/officeDocument/2006/relationships/diagramColors" Target="diagrams/colors1.xml"/><Relationship Id="rId8"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7AA59F0-1BA7-4B29-8103-C84D8D0C9CDD}" type="doc">
      <dgm:prSet loTypeId="urn:microsoft.com/office/officeart/2005/8/layout/hList3" loCatId="list" qsTypeId="urn:microsoft.com/office/officeart/2005/8/quickstyle/simple1" qsCatId="simple" csTypeId="urn:microsoft.com/office/officeart/2005/8/colors/colorful5" csCatId="colorful" phldr="1"/>
      <dgm:spPr/>
      <dgm:t>
        <a:bodyPr/>
        <a:lstStyle/>
        <a:p>
          <a:endParaRPr lang="en-US"/>
        </a:p>
      </dgm:t>
    </dgm:pt>
    <dgm:pt modelId="{ABE13BA3-7F27-4EAB-AC6D-B06EC133434C}">
      <dgm:prSet phldrT="[Text]" custT="1"/>
      <dgm:spPr/>
      <dgm:t>
        <a:bodyPr/>
        <a:lstStyle/>
        <a:p>
          <a:r>
            <a:rPr lang="en-US" sz="2800" b="1">
              <a:solidFill>
                <a:schemeClr val="tx1"/>
              </a:solidFill>
              <a:latin typeface="Times New Roman" panose="02020603050405020304" pitchFamily="18" charset="0"/>
              <a:cs typeface="Times New Roman" panose="02020603050405020304" pitchFamily="18" charset="0"/>
            </a:rPr>
            <a:t>PESTLE analysis</a:t>
          </a:r>
          <a:endParaRPr lang="en-US" sz="1100" b="1">
            <a:solidFill>
              <a:schemeClr val="tx1"/>
            </a:solidFill>
            <a:latin typeface="Times New Roman" panose="02020603050405020304" pitchFamily="18" charset="0"/>
            <a:cs typeface="Times New Roman" panose="02020603050405020304" pitchFamily="18" charset="0"/>
          </a:endParaRPr>
        </a:p>
      </dgm:t>
    </dgm:pt>
    <dgm:pt modelId="{F4746DF3-17CF-40CD-9401-77597C7A4018}" type="parTrans" cxnId="{FDD75B4F-D9FA-4718-A191-0817F388C097}">
      <dgm:prSet/>
      <dgm:spPr/>
      <dgm:t>
        <a:bodyPr/>
        <a:lstStyle/>
        <a:p>
          <a:endParaRPr lang="en-US"/>
        </a:p>
      </dgm:t>
    </dgm:pt>
    <dgm:pt modelId="{0541C582-C3E8-4841-A8CA-61220FEADB7D}" type="sibTrans" cxnId="{FDD75B4F-D9FA-4718-A191-0817F388C097}">
      <dgm:prSet/>
      <dgm:spPr/>
      <dgm:t>
        <a:bodyPr/>
        <a:lstStyle/>
        <a:p>
          <a:endParaRPr lang="en-US"/>
        </a:p>
      </dgm:t>
    </dgm:pt>
    <dgm:pt modelId="{3BBD6C24-54BB-47C7-AE13-451F8525BE71}">
      <dgm:prSet phldrT="[Text]" custT="1"/>
      <dgm:spPr/>
      <dgm:t>
        <a:bodyPr/>
        <a:lstStyle/>
        <a:p>
          <a:pPr algn="ctr"/>
          <a:r>
            <a:rPr lang="en-US" sz="1100" b="1" i="0" u="none">
              <a:solidFill>
                <a:schemeClr val="tx1"/>
              </a:solidFill>
              <a:latin typeface="Times New Roman" panose="02020603050405020304" pitchFamily="18" charset="0"/>
              <a:cs typeface="Times New Roman" panose="02020603050405020304" pitchFamily="18" charset="0"/>
            </a:rPr>
            <a:t>Political</a:t>
          </a:r>
          <a:endParaRPr lang="en-US" sz="1100" b="1">
            <a:solidFill>
              <a:schemeClr val="tx1"/>
            </a:solidFill>
            <a:latin typeface="Times New Roman" panose="02020603050405020304" pitchFamily="18" charset="0"/>
            <a:cs typeface="Times New Roman" panose="02020603050405020304" pitchFamily="18" charset="0"/>
          </a:endParaRPr>
        </a:p>
        <a:p>
          <a:pPr algn="l" rtl="0"/>
          <a:r>
            <a:rPr lang="en-US" sz="1100" b="0" i="0" u="none">
              <a:solidFill>
                <a:schemeClr val="tx1"/>
              </a:solidFill>
              <a:latin typeface="Times New Roman" panose="02020603050405020304" pitchFamily="18" charset="0"/>
              <a:cs typeface="Times New Roman" panose="02020603050405020304" pitchFamily="18" charset="0"/>
            </a:rPr>
            <a:t>Brexit impact</a:t>
          </a:r>
          <a:endParaRPr lang="en-US" sz="1100" b="0">
            <a:solidFill>
              <a:schemeClr val="tx1"/>
            </a:solidFill>
            <a:latin typeface="Times New Roman" panose="02020603050405020304" pitchFamily="18" charset="0"/>
            <a:cs typeface="Times New Roman" panose="02020603050405020304" pitchFamily="18" charset="0"/>
          </a:endParaRPr>
        </a:p>
        <a:p>
          <a:pPr algn="l" rtl="0"/>
          <a:r>
            <a:rPr lang="en-US" sz="1100" b="0" i="0" u="none">
              <a:solidFill>
                <a:schemeClr val="tx1"/>
              </a:solidFill>
              <a:latin typeface="Times New Roman" panose="02020603050405020304" pitchFamily="18" charset="0"/>
              <a:cs typeface="Times New Roman" panose="02020603050405020304" pitchFamily="18" charset="0"/>
            </a:rPr>
            <a:t>Political Instability</a:t>
          </a:r>
          <a:endParaRPr lang="en-US" sz="1100" b="0">
            <a:solidFill>
              <a:schemeClr val="tx1"/>
            </a:solidFill>
            <a:latin typeface="Times New Roman" panose="02020603050405020304" pitchFamily="18" charset="0"/>
            <a:cs typeface="Times New Roman" panose="02020603050405020304" pitchFamily="18" charset="0"/>
          </a:endParaRPr>
        </a:p>
        <a:p>
          <a:pPr algn="l" rtl="0"/>
          <a:r>
            <a:rPr lang="en-US" sz="1100" b="0" i="0" u="none">
              <a:solidFill>
                <a:schemeClr val="tx1"/>
              </a:solidFill>
              <a:latin typeface="Times New Roman" panose="02020603050405020304" pitchFamily="18" charset="0"/>
              <a:cs typeface="Times New Roman" panose="02020603050405020304" pitchFamily="18" charset="0"/>
            </a:rPr>
            <a:t>Political leadership</a:t>
          </a:r>
          <a:endParaRPr lang="en-US" sz="1100" b="0">
            <a:solidFill>
              <a:schemeClr val="tx1"/>
            </a:solidFill>
            <a:latin typeface="Times New Roman" panose="02020603050405020304" pitchFamily="18" charset="0"/>
            <a:cs typeface="Times New Roman" panose="02020603050405020304" pitchFamily="18" charset="0"/>
          </a:endParaRPr>
        </a:p>
        <a:p>
          <a:pPr algn="l" rtl="0"/>
          <a:r>
            <a:rPr lang="en-US" sz="1100" b="0" i="0" u="none">
              <a:solidFill>
                <a:schemeClr val="tx1"/>
              </a:solidFill>
              <a:latin typeface="Times New Roman" panose="02020603050405020304" pitchFamily="18" charset="0"/>
              <a:cs typeface="Times New Roman" panose="02020603050405020304" pitchFamily="18" charset="0"/>
            </a:rPr>
            <a:t>Export barriers</a:t>
          </a:r>
          <a:endParaRPr lang="en-US" sz="1100" b="0">
            <a:solidFill>
              <a:schemeClr val="tx1"/>
            </a:solidFill>
            <a:latin typeface="Times New Roman" panose="02020603050405020304" pitchFamily="18" charset="0"/>
            <a:cs typeface="Times New Roman" panose="02020603050405020304" pitchFamily="18" charset="0"/>
          </a:endParaRPr>
        </a:p>
        <a:p>
          <a:pPr algn="ctr" rtl="0"/>
          <a:endParaRPr lang="en-US" sz="1100">
            <a:solidFill>
              <a:schemeClr val="tx1"/>
            </a:solidFill>
            <a:latin typeface="Times New Roman" panose="02020603050405020304" pitchFamily="18" charset="0"/>
            <a:cs typeface="Times New Roman" panose="02020603050405020304" pitchFamily="18" charset="0"/>
          </a:endParaRPr>
        </a:p>
      </dgm:t>
    </dgm:pt>
    <dgm:pt modelId="{3C56A7A5-7E1C-4E6B-BD79-08B8D3AFDAAB}" type="parTrans" cxnId="{72198D6A-FACA-4A5E-9777-D4B048124743}">
      <dgm:prSet/>
      <dgm:spPr/>
      <dgm:t>
        <a:bodyPr/>
        <a:lstStyle/>
        <a:p>
          <a:endParaRPr lang="en-US"/>
        </a:p>
      </dgm:t>
    </dgm:pt>
    <dgm:pt modelId="{571A7CBF-2E9C-4339-BC1B-3A1E36640D65}" type="sibTrans" cxnId="{72198D6A-FACA-4A5E-9777-D4B048124743}">
      <dgm:prSet/>
      <dgm:spPr/>
      <dgm:t>
        <a:bodyPr/>
        <a:lstStyle/>
        <a:p>
          <a:endParaRPr lang="en-US"/>
        </a:p>
      </dgm:t>
    </dgm:pt>
    <dgm:pt modelId="{D59ECB52-F640-48F3-974F-3A5B64652ED8}">
      <dgm:prSet phldrT="[Text]" custT="1"/>
      <dgm:spPr/>
      <dgm:t>
        <a:bodyPr/>
        <a:lstStyle/>
        <a:p>
          <a:pPr algn="ctr"/>
          <a:r>
            <a:rPr lang="en-US" sz="1100" b="1" i="0" u="none">
              <a:solidFill>
                <a:schemeClr val="tx1"/>
              </a:solidFill>
              <a:latin typeface="Times New Roman" panose="02020603050405020304" pitchFamily="18" charset="0"/>
              <a:cs typeface="Times New Roman" panose="02020603050405020304" pitchFamily="18" charset="0"/>
            </a:rPr>
            <a:t>Economic</a:t>
          </a:r>
          <a:endParaRPr lang="en-US" sz="1100" b="1">
            <a:solidFill>
              <a:schemeClr val="tx1"/>
            </a:solidFill>
            <a:latin typeface="Times New Roman" panose="02020603050405020304" pitchFamily="18" charset="0"/>
            <a:cs typeface="Times New Roman" panose="02020603050405020304" pitchFamily="18" charset="0"/>
          </a:endParaRPr>
        </a:p>
        <a:p>
          <a:pPr algn="l" rtl="0"/>
          <a:r>
            <a:rPr lang="en-US" sz="1100" b="0" i="0" u="none">
              <a:solidFill>
                <a:schemeClr val="tx1"/>
              </a:solidFill>
              <a:latin typeface="Times New Roman" panose="02020603050405020304" pitchFamily="18" charset="0"/>
              <a:cs typeface="Times New Roman" panose="02020603050405020304" pitchFamily="18" charset="0"/>
            </a:rPr>
            <a:t>High GDP</a:t>
          </a:r>
          <a:endParaRPr lang="en-US" sz="1100" b="0">
            <a:solidFill>
              <a:schemeClr val="tx1"/>
            </a:solidFill>
            <a:latin typeface="Times New Roman" panose="02020603050405020304" pitchFamily="18" charset="0"/>
            <a:cs typeface="Times New Roman" panose="02020603050405020304" pitchFamily="18" charset="0"/>
          </a:endParaRPr>
        </a:p>
        <a:p>
          <a:pPr algn="l" rtl="0"/>
          <a:r>
            <a:rPr lang="en-US" sz="1100" b="0" i="0" u="none">
              <a:solidFill>
                <a:schemeClr val="tx1"/>
              </a:solidFill>
              <a:latin typeface="Times New Roman" panose="02020603050405020304" pitchFamily="18" charset="0"/>
              <a:cs typeface="Times New Roman" panose="02020603050405020304" pitchFamily="18" charset="0"/>
            </a:rPr>
            <a:t>Investment freedom </a:t>
          </a:r>
          <a:endParaRPr lang="en-US" sz="1100" b="0">
            <a:solidFill>
              <a:schemeClr val="tx1"/>
            </a:solidFill>
            <a:latin typeface="Times New Roman" panose="02020603050405020304" pitchFamily="18" charset="0"/>
            <a:cs typeface="Times New Roman" panose="02020603050405020304" pitchFamily="18" charset="0"/>
          </a:endParaRPr>
        </a:p>
        <a:p>
          <a:pPr algn="l" rtl="0"/>
          <a:r>
            <a:rPr lang="en-US" sz="1100" b="0" i="0" u="none">
              <a:solidFill>
                <a:schemeClr val="tx1"/>
              </a:solidFill>
              <a:latin typeface="Times New Roman" panose="02020603050405020304" pitchFamily="18" charset="0"/>
              <a:cs typeface="Times New Roman" panose="02020603050405020304" pitchFamily="18" charset="0"/>
            </a:rPr>
            <a:t>Business freedom </a:t>
          </a:r>
          <a:endParaRPr lang="en-US" sz="1100" b="0">
            <a:solidFill>
              <a:schemeClr val="tx1"/>
            </a:solidFill>
            <a:latin typeface="Times New Roman" panose="02020603050405020304" pitchFamily="18" charset="0"/>
            <a:cs typeface="Times New Roman" panose="02020603050405020304" pitchFamily="18" charset="0"/>
          </a:endParaRPr>
        </a:p>
        <a:p>
          <a:pPr algn="l" rtl="0"/>
          <a:r>
            <a:rPr lang="en-US" sz="1100" b="0" i="0" u="none">
              <a:solidFill>
                <a:schemeClr val="tx1"/>
              </a:solidFill>
              <a:latin typeface="Times New Roman" panose="02020603050405020304" pitchFamily="18" charset="0"/>
              <a:cs typeface="Times New Roman" panose="02020603050405020304" pitchFamily="18" charset="0"/>
            </a:rPr>
            <a:t>High investment</a:t>
          </a:r>
          <a:endParaRPr lang="en-US" sz="1100" b="0">
            <a:solidFill>
              <a:schemeClr val="tx1"/>
            </a:solidFill>
            <a:latin typeface="Times New Roman" panose="02020603050405020304" pitchFamily="18" charset="0"/>
            <a:cs typeface="Times New Roman" panose="02020603050405020304" pitchFamily="18" charset="0"/>
          </a:endParaRPr>
        </a:p>
        <a:p>
          <a:pPr algn="ctr" rtl="0"/>
          <a:endParaRPr lang="en-US" sz="1100">
            <a:solidFill>
              <a:schemeClr val="tx1"/>
            </a:solidFill>
            <a:latin typeface="Times New Roman" panose="02020603050405020304" pitchFamily="18" charset="0"/>
            <a:cs typeface="Times New Roman" panose="02020603050405020304" pitchFamily="18" charset="0"/>
          </a:endParaRPr>
        </a:p>
      </dgm:t>
    </dgm:pt>
    <dgm:pt modelId="{03C7F9FF-F30E-4EE4-95A9-1B8A5F04A6D2}" type="parTrans" cxnId="{74ACD163-279B-4383-932E-9A2E2A9F6D54}">
      <dgm:prSet/>
      <dgm:spPr/>
      <dgm:t>
        <a:bodyPr/>
        <a:lstStyle/>
        <a:p>
          <a:endParaRPr lang="en-US"/>
        </a:p>
      </dgm:t>
    </dgm:pt>
    <dgm:pt modelId="{414DC94A-E525-4F35-9FAD-C1AD6B49C33B}" type="sibTrans" cxnId="{74ACD163-279B-4383-932E-9A2E2A9F6D54}">
      <dgm:prSet/>
      <dgm:spPr/>
      <dgm:t>
        <a:bodyPr/>
        <a:lstStyle/>
        <a:p>
          <a:endParaRPr lang="en-US"/>
        </a:p>
      </dgm:t>
    </dgm:pt>
    <dgm:pt modelId="{28DE5FB6-0882-4282-85BC-8C4F4549FF2C}">
      <dgm:prSet phldrT="[Text]" custT="1"/>
      <dgm:spPr/>
      <dgm:t>
        <a:bodyPr/>
        <a:lstStyle/>
        <a:p>
          <a:pPr algn="ctr"/>
          <a:r>
            <a:rPr lang="en-US" sz="1100" b="1" i="0" u="none">
              <a:solidFill>
                <a:schemeClr val="tx1"/>
              </a:solidFill>
              <a:latin typeface="Times New Roman" panose="02020603050405020304" pitchFamily="18" charset="0"/>
              <a:cs typeface="Times New Roman" panose="02020603050405020304" pitchFamily="18" charset="0"/>
            </a:rPr>
            <a:t>Social </a:t>
          </a:r>
          <a:endParaRPr lang="en-US" sz="1100" b="1">
            <a:solidFill>
              <a:schemeClr val="tx1"/>
            </a:solidFill>
            <a:latin typeface="Times New Roman" panose="02020603050405020304" pitchFamily="18" charset="0"/>
            <a:cs typeface="Times New Roman" panose="02020603050405020304" pitchFamily="18" charset="0"/>
          </a:endParaRPr>
        </a:p>
        <a:p>
          <a:pPr algn="l" rtl="0"/>
          <a:r>
            <a:rPr lang="en-US" sz="1100" b="0" i="0" u="none">
              <a:solidFill>
                <a:schemeClr val="tx1"/>
              </a:solidFill>
              <a:latin typeface="Times New Roman" panose="02020603050405020304" pitchFamily="18" charset="0"/>
              <a:cs typeface="Times New Roman" panose="02020603050405020304" pitchFamily="18" charset="0"/>
            </a:rPr>
            <a:t>Customer support</a:t>
          </a:r>
          <a:endParaRPr lang="en-US" sz="1100" b="0">
            <a:solidFill>
              <a:schemeClr val="tx1"/>
            </a:solidFill>
            <a:latin typeface="Times New Roman" panose="02020603050405020304" pitchFamily="18" charset="0"/>
            <a:cs typeface="Times New Roman" panose="02020603050405020304" pitchFamily="18" charset="0"/>
          </a:endParaRPr>
        </a:p>
        <a:p>
          <a:pPr algn="l" rtl="0"/>
          <a:r>
            <a:rPr lang="en-US" sz="1100" b="0" i="0" u="none">
              <a:solidFill>
                <a:schemeClr val="tx1"/>
              </a:solidFill>
              <a:latin typeface="Times New Roman" panose="02020603050405020304" pitchFamily="18" charset="0"/>
              <a:cs typeface="Times New Roman" panose="02020603050405020304" pitchFamily="18" charset="0"/>
            </a:rPr>
            <a:t>High demand of retail </a:t>
          </a:r>
          <a:endParaRPr lang="en-US" sz="1100" b="0">
            <a:solidFill>
              <a:schemeClr val="tx1"/>
            </a:solidFill>
            <a:latin typeface="Times New Roman" panose="02020603050405020304" pitchFamily="18" charset="0"/>
            <a:cs typeface="Times New Roman" panose="02020603050405020304" pitchFamily="18" charset="0"/>
          </a:endParaRPr>
        </a:p>
        <a:p>
          <a:pPr algn="l" rtl="0"/>
          <a:r>
            <a:rPr lang="en-US" sz="1100" b="0" i="0" u="none">
              <a:solidFill>
                <a:schemeClr val="tx1"/>
              </a:solidFill>
              <a:latin typeface="Times New Roman" panose="02020603050405020304" pitchFamily="18" charset="0"/>
              <a:cs typeface="Times New Roman" panose="02020603050405020304" pitchFamily="18" charset="0"/>
            </a:rPr>
            <a:t>Fresh product demand </a:t>
          </a:r>
          <a:endParaRPr lang="en-US" sz="1100" b="0">
            <a:solidFill>
              <a:schemeClr val="tx1"/>
            </a:solidFill>
            <a:latin typeface="Times New Roman" panose="02020603050405020304" pitchFamily="18" charset="0"/>
            <a:cs typeface="Times New Roman" panose="02020603050405020304" pitchFamily="18" charset="0"/>
          </a:endParaRPr>
        </a:p>
        <a:p>
          <a:pPr algn="l" rtl="0"/>
          <a:r>
            <a:rPr lang="en-US" sz="1100" b="0" i="0" u="none">
              <a:solidFill>
                <a:schemeClr val="tx1"/>
              </a:solidFill>
              <a:latin typeface="Times New Roman" panose="02020603050405020304" pitchFamily="18" charset="0"/>
              <a:cs typeface="Times New Roman" panose="02020603050405020304" pitchFamily="18" charset="0"/>
            </a:rPr>
            <a:t>Interested in shopping</a:t>
          </a:r>
          <a:endParaRPr lang="en-US" sz="1100" b="0">
            <a:solidFill>
              <a:schemeClr val="tx1"/>
            </a:solidFill>
            <a:latin typeface="Times New Roman" panose="02020603050405020304" pitchFamily="18" charset="0"/>
            <a:cs typeface="Times New Roman" panose="02020603050405020304" pitchFamily="18" charset="0"/>
          </a:endParaRPr>
        </a:p>
        <a:p>
          <a:pPr algn="ctr" rtl="0"/>
          <a:endParaRPr lang="en-US" sz="1100">
            <a:solidFill>
              <a:schemeClr val="tx1"/>
            </a:solidFill>
            <a:latin typeface="Times New Roman" panose="02020603050405020304" pitchFamily="18" charset="0"/>
            <a:cs typeface="Times New Roman" panose="02020603050405020304" pitchFamily="18" charset="0"/>
          </a:endParaRPr>
        </a:p>
      </dgm:t>
    </dgm:pt>
    <dgm:pt modelId="{391FB599-AFE8-4FA2-93C9-9A0B8DDF46B0}" type="parTrans" cxnId="{473615BD-F63E-4218-B65E-FE398AD3D810}">
      <dgm:prSet/>
      <dgm:spPr/>
      <dgm:t>
        <a:bodyPr/>
        <a:lstStyle/>
        <a:p>
          <a:endParaRPr lang="en-US"/>
        </a:p>
      </dgm:t>
    </dgm:pt>
    <dgm:pt modelId="{BF11179C-A018-451A-B418-E6BB98D069E3}" type="sibTrans" cxnId="{473615BD-F63E-4218-B65E-FE398AD3D810}">
      <dgm:prSet/>
      <dgm:spPr/>
      <dgm:t>
        <a:bodyPr/>
        <a:lstStyle/>
        <a:p>
          <a:endParaRPr lang="en-US"/>
        </a:p>
      </dgm:t>
    </dgm:pt>
    <dgm:pt modelId="{6ABC1270-131A-4778-81CB-19EF148139FD}">
      <dgm:prSet custT="1"/>
      <dgm:spPr/>
      <dgm:t>
        <a:bodyPr/>
        <a:lstStyle/>
        <a:p>
          <a:pPr algn="ctr"/>
          <a:r>
            <a:rPr lang="en-US" sz="1100" b="1" i="0" u="none">
              <a:solidFill>
                <a:schemeClr val="tx1"/>
              </a:solidFill>
              <a:latin typeface="Times New Roman" panose="02020603050405020304" pitchFamily="18" charset="0"/>
              <a:cs typeface="Times New Roman" panose="02020603050405020304" pitchFamily="18" charset="0"/>
            </a:rPr>
            <a:t>Technological</a:t>
          </a:r>
          <a:endParaRPr lang="en-US" sz="1100" b="1">
            <a:solidFill>
              <a:schemeClr val="tx1"/>
            </a:solidFill>
            <a:latin typeface="Times New Roman" panose="02020603050405020304" pitchFamily="18" charset="0"/>
            <a:cs typeface="Times New Roman" panose="02020603050405020304" pitchFamily="18" charset="0"/>
          </a:endParaRPr>
        </a:p>
        <a:p>
          <a:pPr algn="l" rtl="0"/>
          <a:r>
            <a:rPr lang="en-US" sz="1100" b="0" i="0" u="none">
              <a:solidFill>
                <a:schemeClr val="tx1"/>
              </a:solidFill>
              <a:latin typeface="Times New Roman" panose="02020603050405020304" pitchFamily="18" charset="0"/>
              <a:cs typeface="Times New Roman" panose="02020603050405020304" pitchFamily="18" charset="0"/>
            </a:rPr>
            <a:t>Advanced technologies</a:t>
          </a:r>
          <a:endParaRPr lang="en-US" sz="1100" b="0">
            <a:solidFill>
              <a:schemeClr val="tx1"/>
            </a:solidFill>
            <a:latin typeface="Times New Roman" panose="02020603050405020304" pitchFamily="18" charset="0"/>
            <a:cs typeface="Times New Roman" panose="02020603050405020304" pitchFamily="18" charset="0"/>
          </a:endParaRPr>
        </a:p>
        <a:p>
          <a:pPr algn="l" rtl="0"/>
          <a:r>
            <a:rPr lang="en-US" sz="1100" b="0" i="0" u="none">
              <a:solidFill>
                <a:schemeClr val="tx1"/>
              </a:solidFill>
              <a:latin typeface="Times New Roman" panose="02020603050405020304" pitchFamily="18" charset="0"/>
              <a:cs typeface="Times New Roman" panose="02020603050405020304" pitchFamily="18" charset="0"/>
            </a:rPr>
            <a:t>High revenue </a:t>
          </a:r>
          <a:endParaRPr lang="en-US" sz="1100" b="0">
            <a:solidFill>
              <a:schemeClr val="tx1"/>
            </a:solidFill>
            <a:latin typeface="Times New Roman" panose="02020603050405020304" pitchFamily="18" charset="0"/>
            <a:cs typeface="Times New Roman" panose="02020603050405020304" pitchFamily="18" charset="0"/>
          </a:endParaRPr>
        </a:p>
        <a:p>
          <a:pPr algn="l" rtl="0"/>
          <a:r>
            <a:rPr lang="en-US" sz="1100" b="0" i="0" u="none">
              <a:solidFill>
                <a:schemeClr val="tx1"/>
              </a:solidFill>
              <a:latin typeface="Times New Roman" panose="02020603050405020304" pitchFamily="18" charset="0"/>
              <a:cs typeface="Times New Roman" panose="02020603050405020304" pitchFamily="18" charset="0"/>
            </a:rPr>
            <a:t>Support to other industries</a:t>
          </a:r>
          <a:endParaRPr lang="en-US" sz="1100" b="0">
            <a:solidFill>
              <a:schemeClr val="tx1"/>
            </a:solidFill>
            <a:latin typeface="Times New Roman" panose="02020603050405020304" pitchFamily="18" charset="0"/>
            <a:cs typeface="Times New Roman" panose="02020603050405020304" pitchFamily="18" charset="0"/>
          </a:endParaRPr>
        </a:p>
        <a:p>
          <a:pPr algn="l" rtl="0"/>
          <a:r>
            <a:rPr lang="en-US" sz="1100" b="0" i="0" u="none">
              <a:solidFill>
                <a:schemeClr val="tx1"/>
              </a:solidFill>
              <a:latin typeface="Times New Roman" panose="02020603050405020304" pitchFamily="18" charset="0"/>
              <a:cs typeface="Times New Roman" panose="02020603050405020304" pitchFamily="18" charset="0"/>
            </a:rPr>
            <a:t>Available communication technologies </a:t>
          </a:r>
          <a:endParaRPr lang="en-US" sz="1100" b="0">
            <a:solidFill>
              <a:schemeClr val="tx1"/>
            </a:solidFill>
            <a:latin typeface="Times New Roman" panose="02020603050405020304" pitchFamily="18" charset="0"/>
            <a:cs typeface="Times New Roman" panose="02020603050405020304" pitchFamily="18" charset="0"/>
          </a:endParaRPr>
        </a:p>
        <a:p>
          <a:pPr algn="ctr" rtl="0"/>
          <a:endParaRPr lang="en-US" sz="1100">
            <a:solidFill>
              <a:schemeClr val="tx1"/>
            </a:solidFill>
            <a:latin typeface="Times New Roman" panose="02020603050405020304" pitchFamily="18" charset="0"/>
            <a:cs typeface="Times New Roman" panose="02020603050405020304" pitchFamily="18" charset="0"/>
          </a:endParaRPr>
        </a:p>
      </dgm:t>
    </dgm:pt>
    <dgm:pt modelId="{3E7040FA-D114-42E1-A8D1-18740E650705}" type="parTrans" cxnId="{3CEC6F03-EAA2-46B7-B11D-D92F834903D9}">
      <dgm:prSet/>
      <dgm:spPr/>
      <dgm:t>
        <a:bodyPr/>
        <a:lstStyle/>
        <a:p>
          <a:endParaRPr lang="en-US"/>
        </a:p>
      </dgm:t>
    </dgm:pt>
    <dgm:pt modelId="{8202A51D-2CE3-487D-BEF2-BDC60DE22F1D}" type="sibTrans" cxnId="{3CEC6F03-EAA2-46B7-B11D-D92F834903D9}">
      <dgm:prSet/>
      <dgm:spPr/>
      <dgm:t>
        <a:bodyPr/>
        <a:lstStyle/>
        <a:p>
          <a:endParaRPr lang="en-US"/>
        </a:p>
      </dgm:t>
    </dgm:pt>
    <dgm:pt modelId="{AF589381-4F6C-43E6-AB5A-0BA7129EF0B5}">
      <dgm:prSet custT="1"/>
      <dgm:spPr/>
      <dgm:t>
        <a:bodyPr/>
        <a:lstStyle/>
        <a:p>
          <a:pPr algn="ctr"/>
          <a:r>
            <a:rPr lang="en-US" sz="1100" b="1" i="0" u="none">
              <a:solidFill>
                <a:schemeClr val="tx1"/>
              </a:solidFill>
              <a:latin typeface="Times New Roman" panose="02020603050405020304" pitchFamily="18" charset="0"/>
              <a:cs typeface="Times New Roman" panose="02020603050405020304" pitchFamily="18" charset="0"/>
            </a:rPr>
            <a:t>Legal </a:t>
          </a:r>
          <a:endParaRPr lang="en-US" sz="1100" b="1">
            <a:solidFill>
              <a:schemeClr val="tx1"/>
            </a:solidFill>
            <a:latin typeface="Times New Roman" panose="02020603050405020304" pitchFamily="18" charset="0"/>
            <a:cs typeface="Times New Roman" panose="02020603050405020304" pitchFamily="18" charset="0"/>
          </a:endParaRPr>
        </a:p>
        <a:p>
          <a:pPr algn="l" rtl="0"/>
          <a:r>
            <a:rPr lang="en-US" sz="1100" b="0" i="0" u="none">
              <a:solidFill>
                <a:schemeClr val="tx1"/>
              </a:solidFill>
              <a:latin typeface="Times New Roman" panose="02020603050405020304" pitchFamily="18" charset="0"/>
              <a:cs typeface="Times New Roman" panose="02020603050405020304" pitchFamily="18" charset="0"/>
            </a:rPr>
            <a:t>Tax burden </a:t>
          </a:r>
          <a:endParaRPr lang="en-US" sz="1100" b="0">
            <a:solidFill>
              <a:schemeClr val="tx1"/>
            </a:solidFill>
            <a:latin typeface="Times New Roman" panose="02020603050405020304" pitchFamily="18" charset="0"/>
            <a:cs typeface="Times New Roman" panose="02020603050405020304" pitchFamily="18" charset="0"/>
          </a:endParaRPr>
        </a:p>
        <a:p>
          <a:pPr algn="l" rtl="0"/>
          <a:r>
            <a:rPr lang="en-US" sz="1100" b="0" i="0" u="none">
              <a:solidFill>
                <a:schemeClr val="tx1"/>
              </a:solidFill>
              <a:latin typeface="Times New Roman" panose="02020603050405020304" pitchFamily="18" charset="0"/>
              <a:cs typeface="Times New Roman" panose="02020603050405020304" pitchFamily="18" charset="0"/>
            </a:rPr>
            <a:t>Foreign market regulation</a:t>
          </a:r>
          <a:endParaRPr lang="en-US" sz="1100" b="0">
            <a:solidFill>
              <a:schemeClr val="tx1"/>
            </a:solidFill>
            <a:latin typeface="Times New Roman" panose="02020603050405020304" pitchFamily="18" charset="0"/>
            <a:cs typeface="Times New Roman" panose="02020603050405020304" pitchFamily="18" charset="0"/>
          </a:endParaRPr>
        </a:p>
        <a:p>
          <a:pPr algn="l" rtl="0"/>
          <a:r>
            <a:rPr lang="en-US" sz="1100" b="0" i="0" u="none">
              <a:solidFill>
                <a:schemeClr val="tx1"/>
              </a:solidFill>
              <a:latin typeface="Times New Roman" panose="02020603050405020304" pitchFamily="18" charset="0"/>
              <a:cs typeface="Times New Roman" panose="02020603050405020304" pitchFamily="18" charset="0"/>
            </a:rPr>
            <a:t>Trade barriers </a:t>
          </a:r>
          <a:endParaRPr lang="en-US" sz="1100" b="0">
            <a:solidFill>
              <a:schemeClr val="tx1"/>
            </a:solidFill>
            <a:latin typeface="Times New Roman" panose="02020603050405020304" pitchFamily="18" charset="0"/>
            <a:cs typeface="Times New Roman" panose="02020603050405020304" pitchFamily="18" charset="0"/>
          </a:endParaRPr>
        </a:p>
        <a:p>
          <a:pPr algn="l" rtl="0"/>
          <a:r>
            <a:rPr lang="en-US" sz="1100" b="0" i="0" u="none">
              <a:solidFill>
                <a:schemeClr val="tx1"/>
              </a:solidFill>
              <a:latin typeface="Times New Roman" panose="02020603050405020304" pitchFamily="18" charset="0"/>
              <a:cs typeface="Times New Roman" panose="02020603050405020304" pitchFamily="18" charset="0"/>
            </a:rPr>
            <a:t>Changing government rules</a:t>
          </a:r>
          <a:endParaRPr lang="en-US" sz="1100" b="0">
            <a:solidFill>
              <a:schemeClr val="tx1"/>
            </a:solidFill>
            <a:latin typeface="Times New Roman" panose="02020603050405020304" pitchFamily="18" charset="0"/>
            <a:cs typeface="Times New Roman" panose="02020603050405020304" pitchFamily="18" charset="0"/>
          </a:endParaRPr>
        </a:p>
        <a:p>
          <a:pPr algn="ctr" rtl="0"/>
          <a:endParaRPr lang="en-US" sz="1100">
            <a:solidFill>
              <a:schemeClr val="tx1"/>
            </a:solidFill>
            <a:latin typeface="Times New Roman" panose="02020603050405020304" pitchFamily="18" charset="0"/>
            <a:cs typeface="Times New Roman" panose="02020603050405020304" pitchFamily="18" charset="0"/>
          </a:endParaRPr>
        </a:p>
      </dgm:t>
    </dgm:pt>
    <dgm:pt modelId="{CD2B160D-67D9-4C94-B437-8ED556E6CF2A}" type="parTrans" cxnId="{9157D2F6-4110-4ADE-94DE-CB11BA45C82D}">
      <dgm:prSet/>
      <dgm:spPr/>
      <dgm:t>
        <a:bodyPr/>
        <a:lstStyle/>
        <a:p>
          <a:endParaRPr lang="en-US"/>
        </a:p>
      </dgm:t>
    </dgm:pt>
    <dgm:pt modelId="{32C80DDD-E9A4-4CC6-8E4E-5E1932AC2A79}" type="sibTrans" cxnId="{9157D2F6-4110-4ADE-94DE-CB11BA45C82D}">
      <dgm:prSet/>
      <dgm:spPr/>
      <dgm:t>
        <a:bodyPr/>
        <a:lstStyle/>
        <a:p>
          <a:endParaRPr lang="en-US"/>
        </a:p>
      </dgm:t>
    </dgm:pt>
    <dgm:pt modelId="{73F71279-40F0-4180-9F66-FADA37175C88}">
      <dgm:prSet custT="1"/>
      <dgm:spPr/>
      <dgm:t>
        <a:bodyPr/>
        <a:lstStyle/>
        <a:p>
          <a:pPr algn="ctr"/>
          <a:r>
            <a:rPr lang="en-US" sz="1100" b="1" i="0" u="none">
              <a:solidFill>
                <a:schemeClr val="tx1"/>
              </a:solidFill>
              <a:latin typeface="Times New Roman" panose="02020603050405020304" pitchFamily="18" charset="0"/>
              <a:cs typeface="Times New Roman" panose="02020603050405020304" pitchFamily="18" charset="0"/>
            </a:rPr>
            <a:t>Environmenta</a:t>
          </a:r>
          <a:r>
            <a:rPr lang="en-US" sz="1100" b="0" i="0" u="none">
              <a:solidFill>
                <a:schemeClr val="tx1"/>
              </a:solidFill>
              <a:latin typeface="Times New Roman" panose="02020603050405020304" pitchFamily="18" charset="0"/>
              <a:cs typeface="Times New Roman" panose="02020603050405020304" pitchFamily="18" charset="0"/>
            </a:rPr>
            <a:t>l</a:t>
          </a:r>
          <a:endParaRPr lang="en-US" sz="1100" b="0">
            <a:solidFill>
              <a:schemeClr val="tx1"/>
            </a:solidFill>
            <a:latin typeface="Times New Roman" panose="02020603050405020304" pitchFamily="18" charset="0"/>
            <a:cs typeface="Times New Roman" panose="02020603050405020304" pitchFamily="18" charset="0"/>
          </a:endParaRPr>
        </a:p>
        <a:p>
          <a:pPr algn="l" rtl="0"/>
          <a:r>
            <a:rPr lang="en-US" sz="1100" b="0" i="0" u="none">
              <a:solidFill>
                <a:schemeClr val="tx1"/>
              </a:solidFill>
              <a:latin typeface="Times New Roman" panose="02020603050405020304" pitchFamily="18" charset="0"/>
              <a:cs typeface="Times New Roman" panose="02020603050405020304" pitchFamily="18" charset="0"/>
            </a:rPr>
            <a:t>Sustainability issue </a:t>
          </a:r>
          <a:endParaRPr lang="en-US" sz="1100" b="0">
            <a:solidFill>
              <a:schemeClr val="tx1"/>
            </a:solidFill>
            <a:latin typeface="Times New Roman" panose="02020603050405020304" pitchFamily="18" charset="0"/>
            <a:cs typeface="Times New Roman" panose="02020603050405020304" pitchFamily="18" charset="0"/>
          </a:endParaRPr>
        </a:p>
        <a:p>
          <a:pPr algn="l" rtl="0"/>
          <a:r>
            <a:rPr lang="en-US" sz="1100" b="0" i="0" u="none">
              <a:solidFill>
                <a:schemeClr val="tx1"/>
              </a:solidFill>
              <a:latin typeface="Times New Roman" panose="02020603050405020304" pitchFamily="18" charset="0"/>
              <a:cs typeface="Times New Roman" panose="02020603050405020304" pitchFamily="18" charset="0"/>
            </a:rPr>
            <a:t>Growing carbon footprint</a:t>
          </a:r>
          <a:endParaRPr lang="en-US" sz="1100" b="0">
            <a:solidFill>
              <a:schemeClr val="tx1"/>
            </a:solidFill>
            <a:latin typeface="Times New Roman" panose="02020603050405020304" pitchFamily="18" charset="0"/>
            <a:cs typeface="Times New Roman" panose="02020603050405020304" pitchFamily="18" charset="0"/>
          </a:endParaRPr>
        </a:p>
        <a:p>
          <a:pPr algn="l" rtl="0"/>
          <a:r>
            <a:rPr lang="en-US" sz="1100" b="0" i="0" u="none">
              <a:solidFill>
                <a:schemeClr val="tx1"/>
              </a:solidFill>
              <a:latin typeface="Times New Roman" panose="02020603050405020304" pitchFamily="18" charset="0"/>
              <a:cs typeface="Times New Roman" panose="02020603050405020304" pitchFamily="18" charset="0"/>
            </a:rPr>
            <a:t>Agenda of environmental wellness </a:t>
          </a:r>
          <a:endParaRPr lang="en-US" sz="1100" b="0">
            <a:solidFill>
              <a:schemeClr val="tx1"/>
            </a:solidFill>
            <a:latin typeface="Times New Roman" panose="02020603050405020304" pitchFamily="18" charset="0"/>
            <a:cs typeface="Times New Roman" panose="02020603050405020304" pitchFamily="18" charset="0"/>
          </a:endParaRPr>
        </a:p>
        <a:p>
          <a:pPr algn="l" rtl="0"/>
          <a:r>
            <a:rPr lang="en-US" sz="1100" b="0" i="0" u="none">
              <a:solidFill>
                <a:schemeClr val="tx1"/>
              </a:solidFill>
              <a:latin typeface="Times New Roman" panose="02020603050405020304" pitchFamily="18" charset="0"/>
              <a:cs typeface="Times New Roman" panose="02020603050405020304" pitchFamily="18" charset="0"/>
            </a:rPr>
            <a:t>Reduce waste</a:t>
          </a:r>
          <a:endParaRPr lang="en-US" sz="1100" b="0">
            <a:solidFill>
              <a:schemeClr val="tx1"/>
            </a:solidFill>
            <a:latin typeface="Times New Roman" panose="02020603050405020304" pitchFamily="18" charset="0"/>
            <a:cs typeface="Times New Roman" panose="02020603050405020304" pitchFamily="18" charset="0"/>
          </a:endParaRPr>
        </a:p>
        <a:p>
          <a:pPr algn="ctr" rtl="0"/>
          <a:endParaRPr lang="en-US" sz="1100">
            <a:solidFill>
              <a:schemeClr val="tx1"/>
            </a:solidFill>
            <a:latin typeface="Times New Roman" panose="02020603050405020304" pitchFamily="18" charset="0"/>
            <a:cs typeface="Times New Roman" panose="02020603050405020304" pitchFamily="18" charset="0"/>
          </a:endParaRPr>
        </a:p>
      </dgm:t>
    </dgm:pt>
    <dgm:pt modelId="{A61DBAE4-7773-491F-8BEC-7DFA18CCB910}" type="parTrans" cxnId="{B6963BD0-5063-4E72-B2BC-B1058973C023}">
      <dgm:prSet/>
      <dgm:spPr/>
      <dgm:t>
        <a:bodyPr/>
        <a:lstStyle/>
        <a:p>
          <a:endParaRPr lang="en-US"/>
        </a:p>
      </dgm:t>
    </dgm:pt>
    <dgm:pt modelId="{CED86E85-1BE7-4A99-99BB-73327C4AA8A4}" type="sibTrans" cxnId="{B6963BD0-5063-4E72-B2BC-B1058973C023}">
      <dgm:prSet/>
      <dgm:spPr/>
      <dgm:t>
        <a:bodyPr/>
        <a:lstStyle/>
        <a:p>
          <a:endParaRPr lang="en-US"/>
        </a:p>
      </dgm:t>
    </dgm:pt>
    <dgm:pt modelId="{A8F75A0B-FF39-41F5-B276-A8FF0A0B4C57}" type="pres">
      <dgm:prSet presAssocID="{A7AA59F0-1BA7-4B29-8103-C84D8D0C9CDD}" presName="composite" presStyleCnt="0">
        <dgm:presLayoutVars>
          <dgm:chMax val="1"/>
          <dgm:dir/>
          <dgm:resizeHandles val="exact"/>
        </dgm:presLayoutVars>
      </dgm:prSet>
      <dgm:spPr/>
    </dgm:pt>
    <dgm:pt modelId="{023064BB-75F7-4322-B204-633B4666EBB1}" type="pres">
      <dgm:prSet presAssocID="{ABE13BA3-7F27-4EAB-AC6D-B06EC133434C}" presName="roof" presStyleLbl="dkBgShp" presStyleIdx="0" presStyleCnt="2"/>
      <dgm:spPr/>
    </dgm:pt>
    <dgm:pt modelId="{E5572E2F-ED3A-4345-ADBA-84C0D41F0903}" type="pres">
      <dgm:prSet presAssocID="{ABE13BA3-7F27-4EAB-AC6D-B06EC133434C}" presName="pillars" presStyleCnt="0"/>
      <dgm:spPr/>
    </dgm:pt>
    <dgm:pt modelId="{903F8B06-1D14-45AA-AB84-A908C94548F1}" type="pres">
      <dgm:prSet presAssocID="{ABE13BA3-7F27-4EAB-AC6D-B06EC133434C}" presName="pillar1" presStyleLbl="node1" presStyleIdx="0" presStyleCnt="6">
        <dgm:presLayoutVars>
          <dgm:bulletEnabled val="1"/>
        </dgm:presLayoutVars>
      </dgm:prSet>
      <dgm:spPr/>
    </dgm:pt>
    <dgm:pt modelId="{A3D6FDED-654F-4878-89C7-6947BB7C9524}" type="pres">
      <dgm:prSet presAssocID="{D59ECB52-F640-48F3-974F-3A5B64652ED8}" presName="pillarX" presStyleLbl="node1" presStyleIdx="1" presStyleCnt="6">
        <dgm:presLayoutVars>
          <dgm:bulletEnabled val="1"/>
        </dgm:presLayoutVars>
      </dgm:prSet>
      <dgm:spPr/>
    </dgm:pt>
    <dgm:pt modelId="{14F0F615-6E39-4075-8FA2-66C0BC092353}" type="pres">
      <dgm:prSet presAssocID="{28DE5FB6-0882-4282-85BC-8C4F4549FF2C}" presName="pillarX" presStyleLbl="node1" presStyleIdx="2" presStyleCnt="6">
        <dgm:presLayoutVars>
          <dgm:bulletEnabled val="1"/>
        </dgm:presLayoutVars>
      </dgm:prSet>
      <dgm:spPr/>
    </dgm:pt>
    <dgm:pt modelId="{E1ECA420-32D2-4E5C-BFCA-7F247AAAE3ED}" type="pres">
      <dgm:prSet presAssocID="{6ABC1270-131A-4778-81CB-19EF148139FD}" presName="pillarX" presStyleLbl="node1" presStyleIdx="3" presStyleCnt="6">
        <dgm:presLayoutVars>
          <dgm:bulletEnabled val="1"/>
        </dgm:presLayoutVars>
      </dgm:prSet>
      <dgm:spPr/>
    </dgm:pt>
    <dgm:pt modelId="{4F3DC5AC-E5F9-4791-9155-054F1C48EF5D}" type="pres">
      <dgm:prSet presAssocID="{AF589381-4F6C-43E6-AB5A-0BA7129EF0B5}" presName="pillarX" presStyleLbl="node1" presStyleIdx="4" presStyleCnt="6">
        <dgm:presLayoutVars>
          <dgm:bulletEnabled val="1"/>
        </dgm:presLayoutVars>
      </dgm:prSet>
      <dgm:spPr/>
    </dgm:pt>
    <dgm:pt modelId="{D641E62E-BE91-43E0-BA70-72596FF2100B}" type="pres">
      <dgm:prSet presAssocID="{73F71279-40F0-4180-9F66-FADA37175C88}" presName="pillarX" presStyleLbl="node1" presStyleIdx="5" presStyleCnt="6" custLinFactNeighborX="293" custLinFactNeighborY="393">
        <dgm:presLayoutVars>
          <dgm:bulletEnabled val="1"/>
        </dgm:presLayoutVars>
      </dgm:prSet>
      <dgm:spPr/>
    </dgm:pt>
    <dgm:pt modelId="{5260ECC2-5238-4B95-8A7A-E24244F6F6B3}" type="pres">
      <dgm:prSet presAssocID="{ABE13BA3-7F27-4EAB-AC6D-B06EC133434C}" presName="base" presStyleLbl="dkBgShp" presStyleIdx="1" presStyleCnt="2"/>
      <dgm:spPr/>
    </dgm:pt>
  </dgm:ptLst>
  <dgm:cxnLst>
    <dgm:cxn modelId="{3CEC6F03-EAA2-46B7-B11D-D92F834903D9}" srcId="{ABE13BA3-7F27-4EAB-AC6D-B06EC133434C}" destId="{6ABC1270-131A-4778-81CB-19EF148139FD}" srcOrd="3" destOrd="0" parTransId="{3E7040FA-D114-42E1-A8D1-18740E650705}" sibTransId="{8202A51D-2CE3-487D-BEF2-BDC60DE22F1D}"/>
    <dgm:cxn modelId="{47EC0B0D-165B-4E9E-A20A-66369FA70670}" type="presOf" srcId="{3BBD6C24-54BB-47C7-AE13-451F8525BE71}" destId="{903F8B06-1D14-45AA-AB84-A908C94548F1}" srcOrd="0" destOrd="0" presId="urn:microsoft.com/office/officeart/2005/8/layout/hList3"/>
    <dgm:cxn modelId="{8F63581A-5EAE-40D0-B4F4-E60DEE57E5B3}" type="presOf" srcId="{ABE13BA3-7F27-4EAB-AC6D-B06EC133434C}" destId="{023064BB-75F7-4322-B204-633B4666EBB1}" srcOrd="0" destOrd="0" presId="urn:microsoft.com/office/officeart/2005/8/layout/hList3"/>
    <dgm:cxn modelId="{74ACD163-279B-4383-932E-9A2E2A9F6D54}" srcId="{ABE13BA3-7F27-4EAB-AC6D-B06EC133434C}" destId="{D59ECB52-F640-48F3-974F-3A5B64652ED8}" srcOrd="1" destOrd="0" parTransId="{03C7F9FF-F30E-4EE4-95A9-1B8A5F04A6D2}" sibTransId="{414DC94A-E525-4F35-9FAD-C1AD6B49C33B}"/>
    <dgm:cxn modelId="{72198D6A-FACA-4A5E-9777-D4B048124743}" srcId="{ABE13BA3-7F27-4EAB-AC6D-B06EC133434C}" destId="{3BBD6C24-54BB-47C7-AE13-451F8525BE71}" srcOrd="0" destOrd="0" parTransId="{3C56A7A5-7E1C-4E6B-BD79-08B8D3AFDAAB}" sibTransId="{571A7CBF-2E9C-4339-BC1B-3A1E36640D65}"/>
    <dgm:cxn modelId="{FDD75B4F-D9FA-4718-A191-0817F388C097}" srcId="{A7AA59F0-1BA7-4B29-8103-C84D8D0C9CDD}" destId="{ABE13BA3-7F27-4EAB-AC6D-B06EC133434C}" srcOrd="0" destOrd="0" parTransId="{F4746DF3-17CF-40CD-9401-77597C7A4018}" sibTransId="{0541C582-C3E8-4841-A8CA-61220FEADB7D}"/>
    <dgm:cxn modelId="{652CDA53-BA5D-4C39-9790-8453CF9102F9}" type="presOf" srcId="{6ABC1270-131A-4778-81CB-19EF148139FD}" destId="{E1ECA420-32D2-4E5C-BFCA-7F247AAAE3ED}" srcOrd="0" destOrd="0" presId="urn:microsoft.com/office/officeart/2005/8/layout/hList3"/>
    <dgm:cxn modelId="{6C433857-9BCC-4F7A-AE94-BAF86EA18D70}" type="presOf" srcId="{AF589381-4F6C-43E6-AB5A-0BA7129EF0B5}" destId="{4F3DC5AC-E5F9-4791-9155-054F1C48EF5D}" srcOrd="0" destOrd="0" presId="urn:microsoft.com/office/officeart/2005/8/layout/hList3"/>
    <dgm:cxn modelId="{54A81B88-9A7D-46BF-A666-791AAF77D578}" type="presOf" srcId="{28DE5FB6-0882-4282-85BC-8C4F4549FF2C}" destId="{14F0F615-6E39-4075-8FA2-66C0BC092353}" srcOrd="0" destOrd="0" presId="urn:microsoft.com/office/officeart/2005/8/layout/hList3"/>
    <dgm:cxn modelId="{AA2EB99C-468A-4B3A-BB55-70CD93C1E4B9}" type="presOf" srcId="{73F71279-40F0-4180-9F66-FADA37175C88}" destId="{D641E62E-BE91-43E0-BA70-72596FF2100B}" srcOrd="0" destOrd="0" presId="urn:microsoft.com/office/officeart/2005/8/layout/hList3"/>
    <dgm:cxn modelId="{C40E7FA1-DDEB-4D4F-B277-2D3D8E62E571}" type="presOf" srcId="{A7AA59F0-1BA7-4B29-8103-C84D8D0C9CDD}" destId="{A8F75A0B-FF39-41F5-B276-A8FF0A0B4C57}" srcOrd="0" destOrd="0" presId="urn:microsoft.com/office/officeart/2005/8/layout/hList3"/>
    <dgm:cxn modelId="{473615BD-F63E-4218-B65E-FE398AD3D810}" srcId="{ABE13BA3-7F27-4EAB-AC6D-B06EC133434C}" destId="{28DE5FB6-0882-4282-85BC-8C4F4549FF2C}" srcOrd="2" destOrd="0" parTransId="{391FB599-AFE8-4FA2-93C9-9A0B8DDF46B0}" sibTransId="{BF11179C-A018-451A-B418-E6BB98D069E3}"/>
    <dgm:cxn modelId="{B6963BD0-5063-4E72-B2BC-B1058973C023}" srcId="{ABE13BA3-7F27-4EAB-AC6D-B06EC133434C}" destId="{73F71279-40F0-4180-9F66-FADA37175C88}" srcOrd="5" destOrd="0" parTransId="{A61DBAE4-7773-491F-8BEC-7DFA18CCB910}" sibTransId="{CED86E85-1BE7-4A99-99BB-73327C4AA8A4}"/>
    <dgm:cxn modelId="{9157D2F6-4110-4ADE-94DE-CB11BA45C82D}" srcId="{ABE13BA3-7F27-4EAB-AC6D-B06EC133434C}" destId="{AF589381-4F6C-43E6-AB5A-0BA7129EF0B5}" srcOrd="4" destOrd="0" parTransId="{CD2B160D-67D9-4C94-B437-8ED556E6CF2A}" sibTransId="{32C80DDD-E9A4-4CC6-8E4E-5E1932AC2A79}"/>
    <dgm:cxn modelId="{9019F4FA-09E1-4C04-968D-21ADF44ED4D9}" type="presOf" srcId="{D59ECB52-F640-48F3-974F-3A5B64652ED8}" destId="{A3D6FDED-654F-4878-89C7-6947BB7C9524}" srcOrd="0" destOrd="0" presId="urn:microsoft.com/office/officeart/2005/8/layout/hList3"/>
    <dgm:cxn modelId="{5D308E28-4756-4B82-8486-39BFCAAD671C}" type="presParOf" srcId="{A8F75A0B-FF39-41F5-B276-A8FF0A0B4C57}" destId="{023064BB-75F7-4322-B204-633B4666EBB1}" srcOrd="0" destOrd="0" presId="urn:microsoft.com/office/officeart/2005/8/layout/hList3"/>
    <dgm:cxn modelId="{6431E729-729C-4855-871E-7B3B9E6612B6}" type="presParOf" srcId="{A8F75A0B-FF39-41F5-B276-A8FF0A0B4C57}" destId="{E5572E2F-ED3A-4345-ADBA-84C0D41F0903}" srcOrd="1" destOrd="0" presId="urn:microsoft.com/office/officeart/2005/8/layout/hList3"/>
    <dgm:cxn modelId="{E9A85EF3-A969-463B-8F48-03B92A16FD0C}" type="presParOf" srcId="{E5572E2F-ED3A-4345-ADBA-84C0D41F0903}" destId="{903F8B06-1D14-45AA-AB84-A908C94548F1}" srcOrd="0" destOrd="0" presId="urn:microsoft.com/office/officeart/2005/8/layout/hList3"/>
    <dgm:cxn modelId="{409CFD61-9C50-4B57-940B-63BAD7B269FD}" type="presParOf" srcId="{E5572E2F-ED3A-4345-ADBA-84C0D41F0903}" destId="{A3D6FDED-654F-4878-89C7-6947BB7C9524}" srcOrd="1" destOrd="0" presId="urn:microsoft.com/office/officeart/2005/8/layout/hList3"/>
    <dgm:cxn modelId="{4842E98F-E99D-46E6-94F3-D4FBBD1A936C}" type="presParOf" srcId="{E5572E2F-ED3A-4345-ADBA-84C0D41F0903}" destId="{14F0F615-6E39-4075-8FA2-66C0BC092353}" srcOrd="2" destOrd="0" presId="urn:microsoft.com/office/officeart/2005/8/layout/hList3"/>
    <dgm:cxn modelId="{0215EA90-C53D-4D53-9D62-96D6D93F8114}" type="presParOf" srcId="{E5572E2F-ED3A-4345-ADBA-84C0D41F0903}" destId="{E1ECA420-32D2-4E5C-BFCA-7F247AAAE3ED}" srcOrd="3" destOrd="0" presId="urn:microsoft.com/office/officeart/2005/8/layout/hList3"/>
    <dgm:cxn modelId="{B5FFC3B9-89C7-4C2B-A5F7-FAF237707EB6}" type="presParOf" srcId="{E5572E2F-ED3A-4345-ADBA-84C0D41F0903}" destId="{4F3DC5AC-E5F9-4791-9155-054F1C48EF5D}" srcOrd="4" destOrd="0" presId="urn:microsoft.com/office/officeart/2005/8/layout/hList3"/>
    <dgm:cxn modelId="{4C1861D4-D924-43CE-93E6-CE29F2FAA795}" type="presParOf" srcId="{E5572E2F-ED3A-4345-ADBA-84C0D41F0903}" destId="{D641E62E-BE91-43E0-BA70-72596FF2100B}" srcOrd="5" destOrd="0" presId="urn:microsoft.com/office/officeart/2005/8/layout/hList3"/>
    <dgm:cxn modelId="{50398A22-0F76-4455-AA81-4A0ABE1A1005}" type="presParOf" srcId="{A8F75A0B-FF39-41F5-B276-A8FF0A0B4C57}" destId="{5260ECC2-5238-4B95-8A7A-E24244F6F6B3}" srcOrd="2" destOrd="0" presId="urn:microsoft.com/office/officeart/2005/8/layout/hList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23064BB-75F7-4322-B204-633B4666EBB1}">
      <dsp:nvSpPr>
        <dsp:cNvPr id="0" name=""/>
        <dsp:cNvSpPr/>
      </dsp:nvSpPr>
      <dsp:spPr>
        <a:xfrm>
          <a:off x="0" y="0"/>
          <a:ext cx="6191250" cy="1122997"/>
        </a:xfrm>
        <a:prstGeom prst="rect">
          <a:avLst/>
        </a:prstGeom>
        <a:solidFill>
          <a:schemeClr val="accent5">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en-US" sz="2800" b="1" kern="1200">
              <a:solidFill>
                <a:schemeClr val="tx1"/>
              </a:solidFill>
              <a:latin typeface="Times New Roman" panose="02020603050405020304" pitchFamily="18" charset="0"/>
              <a:cs typeface="Times New Roman" panose="02020603050405020304" pitchFamily="18" charset="0"/>
            </a:rPr>
            <a:t>PESTLE analysis</a:t>
          </a:r>
          <a:endParaRPr lang="en-US" sz="1100" b="1" kern="1200">
            <a:solidFill>
              <a:schemeClr val="tx1"/>
            </a:solidFill>
            <a:latin typeface="Times New Roman" panose="02020603050405020304" pitchFamily="18" charset="0"/>
            <a:cs typeface="Times New Roman" panose="02020603050405020304" pitchFamily="18" charset="0"/>
          </a:endParaRPr>
        </a:p>
      </dsp:txBody>
      <dsp:txXfrm>
        <a:off x="0" y="0"/>
        <a:ext cx="6191250" cy="1122997"/>
      </dsp:txXfrm>
    </dsp:sp>
    <dsp:sp modelId="{903F8B06-1D14-45AA-AB84-A908C94548F1}">
      <dsp:nvSpPr>
        <dsp:cNvPr id="0" name=""/>
        <dsp:cNvSpPr/>
      </dsp:nvSpPr>
      <dsp:spPr>
        <a:xfrm>
          <a:off x="3023" y="1122997"/>
          <a:ext cx="1030867" cy="2358294"/>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i="0" u="none" kern="1200">
              <a:solidFill>
                <a:schemeClr val="tx1"/>
              </a:solidFill>
              <a:latin typeface="Times New Roman" panose="02020603050405020304" pitchFamily="18" charset="0"/>
              <a:cs typeface="Times New Roman" panose="02020603050405020304" pitchFamily="18" charset="0"/>
            </a:rPr>
            <a:t>Political</a:t>
          </a:r>
          <a:endParaRPr lang="en-US" sz="1100" b="1" kern="1200">
            <a:solidFill>
              <a:schemeClr val="tx1"/>
            </a:solidFill>
            <a:latin typeface="Times New Roman" panose="02020603050405020304" pitchFamily="18" charset="0"/>
            <a:cs typeface="Times New Roman" panose="02020603050405020304" pitchFamily="18" charset="0"/>
          </a:endParaRPr>
        </a:p>
        <a:p>
          <a:pPr marL="0" lvl="0" indent="0" algn="l" defTabSz="488950" rtl="0">
            <a:lnSpc>
              <a:spcPct val="90000"/>
            </a:lnSpc>
            <a:spcBef>
              <a:spcPct val="0"/>
            </a:spcBef>
            <a:spcAft>
              <a:spcPct val="35000"/>
            </a:spcAft>
            <a:buNone/>
          </a:pPr>
          <a:r>
            <a:rPr lang="en-US" sz="1100" b="0" i="0" u="none" kern="1200">
              <a:solidFill>
                <a:schemeClr val="tx1"/>
              </a:solidFill>
              <a:latin typeface="Times New Roman" panose="02020603050405020304" pitchFamily="18" charset="0"/>
              <a:cs typeface="Times New Roman" panose="02020603050405020304" pitchFamily="18" charset="0"/>
            </a:rPr>
            <a:t>Brexit impact</a:t>
          </a:r>
          <a:endParaRPr lang="en-US" sz="1100" b="0" kern="1200">
            <a:solidFill>
              <a:schemeClr val="tx1"/>
            </a:solidFill>
            <a:latin typeface="Times New Roman" panose="02020603050405020304" pitchFamily="18" charset="0"/>
            <a:cs typeface="Times New Roman" panose="02020603050405020304" pitchFamily="18" charset="0"/>
          </a:endParaRPr>
        </a:p>
        <a:p>
          <a:pPr marL="0" lvl="0" indent="0" algn="l" defTabSz="488950" rtl="0">
            <a:lnSpc>
              <a:spcPct val="90000"/>
            </a:lnSpc>
            <a:spcBef>
              <a:spcPct val="0"/>
            </a:spcBef>
            <a:spcAft>
              <a:spcPct val="35000"/>
            </a:spcAft>
            <a:buNone/>
          </a:pPr>
          <a:r>
            <a:rPr lang="en-US" sz="1100" b="0" i="0" u="none" kern="1200">
              <a:solidFill>
                <a:schemeClr val="tx1"/>
              </a:solidFill>
              <a:latin typeface="Times New Roman" panose="02020603050405020304" pitchFamily="18" charset="0"/>
              <a:cs typeface="Times New Roman" panose="02020603050405020304" pitchFamily="18" charset="0"/>
            </a:rPr>
            <a:t>Political Instability</a:t>
          </a:r>
          <a:endParaRPr lang="en-US" sz="1100" b="0" kern="1200">
            <a:solidFill>
              <a:schemeClr val="tx1"/>
            </a:solidFill>
            <a:latin typeface="Times New Roman" panose="02020603050405020304" pitchFamily="18" charset="0"/>
            <a:cs typeface="Times New Roman" panose="02020603050405020304" pitchFamily="18" charset="0"/>
          </a:endParaRPr>
        </a:p>
        <a:p>
          <a:pPr marL="0" lvl="0" indent="0" algn="l" defTabSz="488950" rtl="0">
            <a:lnSpc>
              <a:spcPct val="90000"/>
            </a:lnSpc>
            <a:spcBef>
              <a:spcPct val="0"/>
            </a:spcBef>
            <a:spcAft>
              <a:spcPct val="35000"/>
            </a:spcAft>
            <a:buNone/>
          </a:pPr>
          <a:r>
            <a:rPr lang="en-US" sz="1100" b="0" i="0" u="none" kern="1200">
              <a:solidFill>
                <a:schemeClr val="tx1"/>
              </a:solidFill>
              <a:latin typeface="Times New Roman" panose="02020603050405020304" pitchFamily="18" charset="0"/>
              <a:cs typeface="Times New Roman" panose="02020603050405020304" pitchFamily="18" charset="0"/>
            </a:rPr>
            <a:t>Political leadership</a:t>
          </a:r>
          <a:endParaRPr lang="en-US" sz="1100" b="0" kern="1200">
            <a:solidFill>
              <a:schemeClr val="tx1"/>
            </a:solidFill>
            <a:latin typeface="Times New Roman" panose="02020603050405020304" pitchFamily="18" charset="0"/>
            <a:cs typeface="Times New Roman" panose="02020603050405020304" pitchFamily="18" charset="0"/>
          </a:endParaRPr>
        </a:p>
        <a:p>
          <a:pPr marL="0" lvl="0" indent="0" algn="l" defTabSz="488950" rtl="0">
            <a:lnSpc>
              <a:spcPct val="90000"/>
            </a:lnSpc>
            <a:spcBef>
              <a:spcPct val="0"/>
            </a:spcBef>
            <a:spcAft>
              <a:spcPct val="35000"/>
            </a:spcAft>
            <a:buNone/>
          </a:pPr>
          <a:r>
            <a:rPr lang="en-US" sz="1100" b="0" i="0" u="none" kern="1200">
              <a:solidFill>
                <a:schemeClr val="tx1"/>
              </a:solidFill>
              <a:latin typeface="Times New Roman" panose="02020603050405020304" pitchFamily="18" charset="0"/>
              <a:cs typeface="Times New Roman" panose="02020603050405020304" pitchFamily="18" charset="0"/>
            </a:rPr>
            <a:t>Export barriers</a:t>
          </a:r>
          <a:endParaRPr lang="en-US" sz="1100" b="0" kern="1200">
            <a:solidFill>
              <a:schemeClr val="tx1"/>
            </a:solidFill>
            <a:latin typeface="Times New Roman" panose="02020603050405020304" pitchFamily="18" charset="0"/>
            <a:cs typeface="Times New Roman" panose="02020603050405020304" pitchFamily="18" charset="0"/>
          </a:endParaRPr>
        </a:p>
        <a:p>
          <a:pPr marL="0" lvl="0" indent="0" algn="ctr" defTabSz="488950" rtl="0">
            <a:lnSpc>
              <a:spcPct val="90000"/>
            </a:lnSpc>
            <a:spcBef>
              <a:spcPct val="0"/>
            </a:spcBef>
            <a:spcAft>
              <a:spcPct val="35000"/>
            </a:spcAft>
            <a:buNone/>
          </a:pPr>
          <a:endParaRPr lang="en-US" sz="1100" kern="1200">
            <a:solidFill>
              <a:schemeClr val="tx1"/>
            </a:solidFill>
            <a:latin typeface="Times New Roman" panose="02020603050405020304" pitchFamily="18" charset="0"/>
            <a:cs typeface="Times New Roman" panose="02020603050405020304" pitchFamily="18" charset="0"/>
          </a:endParaRPr>
        </a:p>
      </dsp:txBody>
      <dsp:txXfrm>
        <a:off x="3023" y="1122997"/>
        <a:ext cx="1030867" cy="2358294"/>
      </dsp:txXfrm>
    </dsp:sp>
    <dsp:sp modelId="{A3D6FDED-654F-4878-89C7-6947BB7C9524}">
      <dsp:nvSpPr>
        <dsp:cNvPr id="0" name=""/>
        <dsp:cNvSpPr/>
      </dsp:nvSpPr>
      <dsp:spPr>
        <a:xfrm>
          <a:off x="1033890" y="1122997"/>
          <a:ext cx="1030867" cy="2358294"/>
        </a:xfrm>
        <a:prstGeom prst="rect">
          <a:avLst/>
        </a:prstGeom>
        <a:solidFill>
          <a:schemeClr val="accent5">
            <a:hueOff val="-1470669"/>
            <a:satOff val="-2046"/>
            <a:lumOff val="-78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i="0" u="none" kern="1200">
              <a:solidFill>
                <a:schemeClr val="tx1"/>
              </a:solidFill>
              <a:latin typeface="Times New Roman" panose="02020603050405020304" pitchFamily="18" charset="0"/>
              <a:cs typeface="Times New Roman" panose="02020603050405020304" pitchFamily="18" charset="0"/>
            </a:rPr>
            <a:t>Economic</a:t>
          </a:r>
          <a:endParaRPr lang="en-US" sz="1100" b="1" kern="1200">
            <a:solidFill>
              <a:schemeClr val="tx1"/>
            </a:solidFill>
            <a:latin typeface="Times New Roman" panose="02020603050405020304" pitchFamily="18" charset="0"/>
            <a:cs typeface="Times New Roman" panose="02020603050405020304" pitchFamily="18" charset="0"/>
          </a:endParaRPr>
        </a:p>
        <a:p>
          <a:pPr marL="0" lvl="0" indent="0" algn="l" defTabSz="488950" rtl="0">
            <a:lnSpc>
              <a:spcPct val="90000"/>
            </a:lnSpc>
            <a:spcBef>
              <a:spcPct val="0"/>
            </a:spcBef>
            <a:spcAft>
              <a:spcPct val="35000"/>
            </a:spcAft>
            <a:buNone/>
          </a:pPr>
          <a:r>
            <a:rPr lang="en-US" sz="1100" b="0" i="0" u="none" kern="1200">
              <a:solidFill>
                <a:schemeClr val="tx1"/>
              </a:solidFill>
              <a:latin typeface="Times New Roman" panose="02020603050405020304" pitchFamily="18" charset="0"/>
              <a:cs typeface="Times New Roman" panose="02020603050405020304" pitchFamily="18" charset="0"/>
            </a:rPr>
            <a:t>High GDP</a:t>
          </a:r>
          <a:endParaRPr lang="en-US" sz="1100" b="0" kern="1200">
            <a:solidFill>
              <a:schemeClr val="tx1"/>
            </a:solidFill>
            <a:latin typeface="Times New Roman" panose="02020603050405020304" pitchFamily="18" charset="0"/>
            <a:cs typeface="Times New Roman" panose="02020603050405020304" pitchFamily="18" charset="0"/>
          </a:endParaRPr>
        </a:p>
        <a:p>
          <a:pPr marL="0" lvl="0" indent="0" algn="l" defTabSz="488950" rtl="0">
            <a:lnSpc>
              <a:spcPct val="90000"/>
            </a:lnSpc>
            <a:spcBef>
              <a:spcPct val="0"/>
            </a:spcBef>
            <a:spcAft>
              <a:spcPct val="35000"/>
            </a:spcAft>
            <a:buNone/>
          </a:pPr>
          <a:r>
            <a:rPr lang="en-US" sz="1100" b="0" i="0" u="none" kern="1200">
              <a:solidFill>
                <a:schemeClr val="tx1"/>
              </a:solidFill>
              <a:latin typeface="Times New Roman" panose="02020603050405020304" pitchFamily="18" charset="0"/>
              <a:cs typeface="Times New Roman" panose="02020603050405020304" pitchFamily="18" charset="0"/>
            </a:rPr>
            <a:t>Investment freedom </a:t>
          </a:r>
          <a:endParaRPr lang="en-US" sz="1100" b="0" kern="1200">
            <a:solidFill>
              <a:schemeClr val="tx1"/>
            </a:solidFill>
            <a:latin typeface="Times New Roman" panose="02020603050405020304" pitchFamily="18" charset="0"/>
            <a:cs typeface="Times New Roman" panose="02020603050405020304" pitchFamily="18" charset="0"/>
          </a:endParaRPr>
        </a:p>
        <a:p>
          <a:pPr marL="0" lvl="0" indent="0" algn="l" defTabSz="488950" rtl="0">
            <a:lnSpc>
              <a:spcPct val="90000"/>
            </a:lnSpc>
            <a:spcBef>
              <a:spcPct val="0"/>
            </a:spcBef>
            <a:spcAft>
              <a:spcPct val="35000"/>
            </a:spcAft>
            <a:buNone/>
          </a:pPr>
          <a:r>
            <a:rPr lang="en-US" sz="1100" b="0" i="0" u="none" kern="1200">
              <a:solidFill>
                <a:schemeClr val="tx1"/>
              </a:solidFill>
              <a:latin typeface="Times New Roman" panose="02020603050405020304" pitchFamily="18" charset="0"/>
              <a:cs typeface="Times New Roman" panose="02020603050405020304" pitchFamily="18" charset="0"/>
            </a:rPr>
            <a:t>Business freedom </a:t>
          </a:r>
          <a:endParaRPr lang="en-US" sz="1100" b="0" kern="1200">
            <a:solidFill>
              <a:schemeClr val="tx1"/>
            </a:solidFill>
            <a:latin typeface="Times New Roman" panose="02020603050405020304" pitchFamily="18" charset="0"/>
            <a:cs typeface="Times New Roman" panose="02020603050405020304" pitchFamily="18" charset="0"/>
          </a:endParaRPr>
        </a:p>
        <a:p>
          <a:pPr marL="0" lvl="0" indent="0" algn="l" defTabSz="488950" rtl="0">
            <a:lnSpc>
              <a:spcPct val="90000"/>
            </a:lnSpc>
            <a:spcBef>
              <a:spcPct val="0"/>
            </a:spcBef>
            <a:spcAft>
              <a:spcPct val="35000"/>
            </a:spcAft>
            <a:buNone/>
          </a:pPr>
          <a:r>
            <a:rPr lang="en-US" sz="1100" b="0" i="0" u="none" kern="1200">
              <a:solidFill>
                <a:schemeClr val="tx1"/>
              </a:solidFill>
              <a:latin typeface="Times New Roman" panose="02020603050405020304" pitchFamily="18" charset="0"/>
              <a:cs typeface="Times New Roman" panose="02020603050405020304" pitchFamily="18" charset="0"/>
            </a:rPr>
            <a:t>High investment</a:t>
          </a:r>
          <a:endParaRPr lang="en-US" sz="1100" b="0" kern="1200">
            <a:solidFill>
              <a:schemeClr val="tx1"/>
            </a:solidFill>
            <a:latin typeface="Times New Roman" panose="02020603050405020304" pitchFamily="18" charset="0"/>
            <a:cs typeface="Times New Roman" panose="02020603050405020304" pitchFamily="18" charset="0"/>
          </a:endParaRPr>
        </a:p>
        <a:p>
          <a:pPr marL="0" lvl="0" indent="0" algn="ctr" defTabSz="488950" rtl="0">
            <a:lnSpc>
              <a:spcPct val="90000"/>
            </a:lnSpc>
            <a:spcBef>
              <a:spcPct val="0"/>
            </a:spcBef>
            <a:spcAft>
              <a:spcPct val="35000"/>
            </a:spcAft>
            <a:buNone/>
          </a:pPr>
          <a:endParaRPr lang="en-US" sz="1100" kern="1200">
            <a:solidFill>
              <a:schemeClr val="tx1"/>
            </a:solidFill>
            <a:latin typeface="Times New Roman" panose="02020603050405020304" pitchFamily="18" charset="0"/>
            <a:cs typeface="Times New Roman" panose="02020603050405020304" pitchFamily="18" charset="0"/>
          </a:endParaRPr>
        </a:p>
      </dsp:txBody>
      <dsp:txXfrm>
        <a:off x="1033890" y="1122997"/>
        <a:ext cx="1030867" cy="2358294"/>
      </dsp:txXfrm>
    </dsp:sp>
    <dsp:sp modelId="{14F0F615-6E39-4075-8FA2-66C0BC092353}">
      <dsp:nvSpPr>
        <dsp:cNvPr id="0" name=""/>
        <dsp:cNvSpPr/>
      </dsp:nvSpPr>
      <dsp:spPr>
        <a:xfrm>
          <a:off x="2064757" y="1122997"/>
          <a:ext cx="1030867" cy="2358294"/>
        </a:xfrm>
        <a:prstGeom prst="rect">
          <a:avLst/>
        </a:prstGeom>
        <a:solidFill>
          <a:schemeClr val="accent5">
            <a:hueOff val="-2941338"/>
            <a:satOff val="-4091"/>
            <a:lumOff val="-156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i="0" u="none" kern="1200">
              <a:solidFill>
                <a:schemeClr val="tx1"/>
              </a:solidFill>
              <a:latin typeface="Times New Roman" panose="02020603050405020304" pitchFamily="18" charset="0"/>
              <a:cs typeface="Times New Roman" panose="02020603050405020304" pitchFamily="18" charset="0"/>
            </a:rPr>
            <a:t>Social </a:t>
          </a:r>
          <a:endParaRPr lang="en-US" sz="1100" b="1" kern="1200">
            <a:solidFill>
              <a:schemeClr val="tx1"/>
            </a:solidFill>
            <a:latin typeface="Times New Roman" panose="02020603050405020304" pitchFamily="18" charset="0"/>
            <a:cs typeface="Times New Roman" panose="02020603050405020304" pitchFamily="18" charset="0"/>
          </a:endParaRPr>
        </a:p>
        <a:p>
          <a:pPr marL="0" lvl="0" indent="0" algn="l" defTabSz="488950" rtl="0">
            <a:lnSpc>
              <a:spcPct val="90000"/>
            </a:lnSpc>
            <a:spcBef>
              <a:spcPct val="0"/>
            </a:spcBef>
            <a:spcAft>
              <a:spcPct val="35000"/>
            </a:spcAft>
            <a:buNone/>
          </a:pPr>
          <a:r>
            <a:rPr lang="en-US" sz="1100" b="0" i="0" u="none" kern="1200">
              <a:solidFill>
                <a:schemeClr val="tx1"/>
              </a:solidFill>
              <a:latin typeface="Times New Roman" panose="02020603050405020304" pitchFamily="18" charset="0"/>
              <a:cs typeface="Times New Roman" panose="02020603050405020304" pitchFamily="18" charset="0"/>
            </a:rPr>
            <a:t>Customer support</a:t>
          </a:r>
          <a:endParaRPr lang="en-US" sz="1100" b="0" kern="1200">
            <a:solidFill>
              <a:schemeClr val="tx1"/>
            </a:solidFill>
            <a:latin typeface="Times New Roman" panose="02020603050405020304" pitchFamily="18" charset="0"/>
            <a:cs typeface="Times New Roman" panose="02020603050405020304" pitchFamily="18" charset="0"/>
          </a:endParaRPr>
        </a:p>
        <a:p>
          <a:pPr marL="0" lvl="0" indent="0" algn="l" defTabSz="488950" rtl="0">
            <a:lnSpc>
              <a:spcPct val="90000"/>
            </a:lnSpc>
            <a:spcBef>
              <a:spcPct val="0"/>
            </a:spcBef>
            <a:spcAft>
              <a:spcPct val="35000"/>
            </a:spcAft>
            <a:buNone/>
          </a:pPr>
          <a:r>
            <a:rPr lang="en-US" sz="1100" b="0" i="0" u="none" kern="1200">
              <a:solidFill>
                <a:schemeClr val="tx1"/>
              </a:solidFill>
              <a:latin typeface="Times New Roman" panose="02020603050405020304" pitchFamily="18" charset="0"/>
              <a:cs typeface="Times New Roman" panose="02020603050405020304" pitchFamily="18" charset="0"/>
            </a:rPr>
            <a:t>High demand of retail </a:t>
          </a:r>
          <a:endParaRPr lang="en-US" sz="1100" b="0" kern="1200">
            <a:solidFill>
              <a:schemeClr val="tx1"/>
            </a:solidFill>
            <a:latin typeface="Times New Roman" panose="02020603050405020304" pitchFamily="18" charset="0"/>
            <a:cs typeface="Times New Roman" panose="02020603050405020304" pitchFamily="18" charset="0"/>
          </a:endParaRPr>
        </a:p>
        <a:p>
          <a:pPr marL="0" lvl="0" indent="0" algn="l" defTabSz="488950" rtl="0">
            <a:lnSpc>
              <a:spcPct val="90000"/>
            </a:lnSpc>
            <a:spcBef>
              <a:spcPct val="0"/>
            </a:spcBef>
            <a:spcAft>
              <a:spcPct val="35000"/>
            </a:spcAft>
            <a:buNone/>
          </a:pPr>
          <a:r>
            <a:rPr lang="en-US" sz="1100" b="0" i="0" u="none" kern="1200">
              <a:solidFill>
                <a:schemeClr val="tx1"/>
              </a:solidFill>
              <a:latin typeface="Times New Roman" panose="02020603050405020304" pitchFamily="18" charset="0"/>
              <a:cs typeface="Times New Roman" panose="02020603050405020304" pitchFamily="18" charset="0"/>
            </a:rPr>
            <a:t>Fresh product demand </a:t>
          </a:r>
          <a:endParaRPr lang="en-US" sz="1100" b="0" kern="1200">
            <a:solidFill>
              <a:schemeClr val="tx1"/>
            </a:solidFill>
            <a:latin typeface="Times New Roman" panose="02020603050405020304" pitchFamily="18" charset="0"/>
            <a:cs typeface="Times New Roman" panose="02020603050405020304" pitchFamily="18" charset="0"/>
          </a:endParaRPr>
        </a:p>
        <a:p>
          <a:pPr marL="0" lvl="0" indent="0" algn="l" defTabSz="488950" rtl="0">
            <a:lnSpc>
              <a:spcPct val="90000"/>
            </a:lnSpc>
            <a:spcBef>
              <a:spcPct val="0"/>
            </a:spcBef>
            <a:spcAft>
              <a:spcPct val="35000"/>
            </a:spcAft>
            <a:buNone/>
          </a:pPr>
          <a:r>
            <a:rPr lang="en-US" sz="1100" b="0" i="0" u="none" kern="1200">
              <a:solidFill>
                <a:schemeClr val="tx1"/>
              </a:solidFill>
              <a:latin typeface="Times New Roman" panose="02020603050405020304" pitchFamily="18" charset="0"/>
              <a:cs typeface="Times New Roman" panose="02020603050405020304" pitchFamily="18" charset="0"/>
            </a:rPr>
            <a:t>Interested in shopping</a:t>
          </a:r>
          <a:endParaRPr lang="en-US" sz="1100" b="0" kern="1200">
            <a:solidFill>
              <a:schemeClr val="tx1"/>
            </a:solidFill>
            <a:latin typeface="Times New Roman" panose="02020603050405020304" pitchFamily="18" charset="0"/>
            <a:cs typeface="Times New Roman" panose="02020603050405020304" pitchFamily="18" charset="0"/>
          </a:endParaRPr>
        </a:p>
        <a:p>
          <a:pPr marL="0" lvl="0" indent="0" algn="ctr" defTabSz="488950" rtl="0">
            <a:lnSpc>
              <a:spcPct val="90000"/>
            </a:lnSpc>
            <a:spcBef>
              <a:spcPct val="0"/>
            </a:spcBef>
            <a:spcAft>
              <a:spcPct val="35000"/>
            </a:spcAft>
            <a:buNone/>
          </a:pPr>
          <a:endParaRPr lang="en-US" sz="1100" kern="1200">
            <a:solidFill>
              <a:schemeClr val="tx1"/>
            </a:solidFill>
            <a:latin typeface="Times New Roman" panose="02020603050405020304" pitchFamily="18" charset="0"/>
            <a:cs typeface="Times New Roman" panose="02020603050405020304" pitchFamily="18" charset="0"/>
          </a:endParaRPr>
        </a:p>
      </dsp:txBody>
      <dsp:txXfrm>
        <a:off x="2064757" y="1122997"/>
        <a:ext cx="1030867" cy="2358294"/>
      </dsp:txXfrm>
    </dsp:sp>
    <dsp:sp modelId="{E1ECA420-32D2-4E5C-BFCA-7F247AAAE3ED}">
      <dsp:nvSpPr>
        <dsp:cNvPr id="0" name=""/>
        <dsp:cNvSpPr/>
      </dsp:nvSpPr>
      <dsp:spPr>
        <a:xfrm>
          <a:off x="3095625" y="1122997"/>
          <a:ext cx="1030867" cy="2358294"/>
        </a:xfrm>
        <a:prstGeom prst="rect">
          <a:avLst/>
        </a:prstGeom>
        <a:solidFill>
          <a:schemeClr val="accent5">
            <a:hueOff val="-4412007"/>
            <a:satOff val="-6137"/>
            <a:lumOff val="-2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i="0" u="none" kern="1200">
              <a:solidFill>
                <a:schemeClr val="tx1"/>
              </a:solidFill>
              <a:latin typeface="Times New Roman" panose="02020603050405020304" pitchFamily="18" charset="0"/>
              <a:cs typeface="Times New Roman" panose="02020603050405020304" pitchFamily="18" charset="0"/>
            </a:rPr>
            <a:t>Technological</a:t>
          </a:r>
          <a:endParaRPr lang="en-US" sz="1100" b="1" kern="1200">
            <a:solidFill>
              <a:schemeClr val="tx1"/>
            </a:solidFill>
            <a:latin typeface="Times New Roman" panose="02020603050405020304" pitchFamily="18" charset="0"/>
            <a:cs typeface="Times New Roman" panose="02020603050405020304" pitchFamily="18" charset="0"/>
          </a:endParaRPr>
        </a:p>
        <a:p>
          <a:pPr marL="0" lvl="0" indent="0" algn="l" defTabSz="488950" rtl="0">
            <a:lnSpc>
              <a:spcPct val="90000"/>
            </a:lnSpc>
            <a:spcBef>
              <a:spcPct val="0"/>
            </a:spcBef>
            <a:spcAft>
              <a:spcPct val="35000"/>
            </a:spcAft>
            <a:buNone/>
          </a:pPr>
          <a:r>
            <a:rPr lang="en-US" sz="1100" b="0" i="0" u="none" kern="1200">
              <a:solidFill>
                <a:schemeClr val="tx1"/>
              </a:solidFill>
              <a:latin typeface="Times New Roman" panose="02020603050405020304" pitchFamily="18" charset="0"/>
              <a:cs typeface="Times New Roman" panose="02020603050405020304" pitchFamily="18" charset="0"/>
            </a:rPr>
            <a:t>Advanced technologies</a:t>
          </a:r>
          <a:endParaRPr lang="en-US" sz="1100" b="0" kern="1200">
            <a:solidFill>
              <a:schemeClr val="tx1"/>
            </a:solidFill>
            <a:latin typeface="Times New Roman" panose="02020603050405020304" pitchFamily="18" charset="0"/>
            <a:cs typeface="Times New Roman" panose="02020603050405020304" pitchFamily="18" charset="0"/>
          </a:endParaRPr>
        </a:p>
        <a:p>
          <a:pPr marL="0" lvl="0" indent="0" algn="l" defTabSz="488950" rtl="0">
            <a:lnSpc>
              <a:spcPct val="90000"/>
            </a:lnSpc>
            <a:spcBef>
              <a:spcPct val="0"/>
            </a:spcBef>
            <a:spcAft>
              <a:spcPct val="35000"/>
            </a:spcAft>
            <a:buNone/>
          </a:pPr>
          <a:r>
            <a:rPr lang="en-US" sz="1100" b="0" i="0" u="none" kern="1200">
              <a:solidFill>
                <a:schemeClr val="tx1"/>
              </a:solidFill>
              <a:latin typeface="Times New Roman" panose="02020603050405020304" pitchFamily="18" charset="0"/>
              <a:cs typeface="Times New Roman" panose="02020603050405020304" pitchFamily="18" charset="0"/>
            </a:rPr>
            <a:t>High revenue </a:t>
          </a:r>
          <a:endParaRPr lang="en-US" sz="1100" b="0" kern="1200">
            <a:solidFill>
              <a:schemeClr val="tx1"/>
            </a:solidFill>
            <a:latin typeface="Times New Roman" panose="02020603050405020304" pitchFamily="18" charset="0"/>
            <a:cs typeface="Times New Roman" panose="02020603050405020304" pitchFamily="18" charset="0"/>
          </a:endParaRPr>
        </a:p>
        <a:p>
          <a:pPr marL="0" lvl="0" indent="0" algn="l" defTabSz="488950" rtl="0">
            <a:lnSpc>
              <a:spcPct val="90000"/>
            </a:lnSpc>
            <a:spcBef>
              <a:spcPct val="0"/>
            </a:spcBef>
            <a:spcAft>
              <a:spcPct val="35000"/>
            </a:spcAft>
            <a:buNone/>
          </a:pPr>
          <a:r>
            <a:rPr lang="en-US" sz="1100" b="0" i="0" u="none" kern="1200">
              <a:solidFill>
                <a:schemeClr val="tx1"/>
              </a:solidFill>
              <a:latin typeface="Times New Roman" panose="02020603050405020304" pitchFamily="18" charset="0"/>
              <a:cs typeface="Times New Roman" panose="02020603050405020304" pitchFamily="18" charset="0"/>
            </a:rPr>
            <a:t>Support to other industries</a:t>
          </a:r>
          <a:endParaRPr lang="en-US" sz="1100" b="0" kern="1200">
            <a:solidFill>
              <a:schemeClr val="tx1"/>
            </a:solidFill>
            <a:latin typeface="Times New Roman" panose="02020603050405020304" pitchFamily="18" charset="0"/>
            <a:cs typeface="Times New Roman" panose="02020603050405020304" pitchFamily="18" charset="0"/>
          </a:endParaRPr>
        </a:p>
        <a:p>
          <a:pPr marL="0" lvl="0" indent="0" algn="l" defTabSz="488950" rtl="0">
            <a:lnSpc>
              <a:spcPct val="90000"/>
            </a:lnSpc>
            <a:spcBef>
              <a:spcPct val="0"/>
            </a:spcBef>
            <a:spcAft>
              <a:spcPct val="35000"/>
            </a:spcAft>
            <a:buNone/>
          </a:pPr>
          <a:r>
            <a:rPr lang="en-US" sz="1100" b="0" i="0" u="none" kern="1200">
              <a:solidFill>
                <a:schemeClr val="tx1"/>
              </a:solidFill>
              <a:latin typeface="Times New Roman" panose="02020603050405020304" pitchFamily="18" charset="0"/>
              <a:cs typeface="Times New Roman" panose="02020603050405020304" pitchFamily="18" charset="0"/>
            </a:rPr>
            <a:t>Available communication technologies </a:t>
          </a:r>
          <a:endParaRPr lang="en-US" sz="1100" b="0" kern="1200">
            <a:solidFill>
              <a:schemeClr val="tx1"/>
            </a:solidFill>
            <a:latin typeface="Times New Roman" panose="02020603050405020304" pitchFamily="18" charset="0"/>
            <a:cs typeface="Times New Roman" panose="02020603050405020304" pitchFamily="18" charset="0"/>
          </a:endParaRPr>
        </a:p>
        <a:p>
          <a:pPr marL="0" lvl="0" indent="0" algn="ctr" defTabSz="488950" rtl="0">
            <a:lnSpc>
              <a:spcPct val="90000"/>
            </a:lnSpc>
            <a:spcBef>
              <a:spcPct val="0"/>
            </a:spcBef>
            <a:spcAft>
              <a:spcPct val="35000"/>
            </a:spcAft>
            <a:buNone/>
          </a:pPr>
          <a:endParaRPr lang="en-US" sz="1100" kern="1200">
            <a:solidFill>
              <a:schemeClr val="tx1"/>
            </a:solidFill>
            <a:latin typeface="Times New Roman" panose="02020603050405020304" pitchFamily="18" charset="0"/>
            <a:cs typeface="Times New Roman" panose="02020603050405020304" pitchFamily="18" charset="0"/>
          </a:endParaRPr>
        </a:p>
      </dsp:txBody>
      <dsp:txXfrm>
        <a:off x="3095625" y="1122997"/>
        <a:ext cx="1030867" cy="2358294"/>
      </dsp:txXfrm>
    </dsp:sp>
    <dsp:sp modelId="{4F3DC5AC-E5F9-4791-9155-054F1C48EF5D}">
      <dsp:nvSpPr>
        <dsp:cNvPr id="0" name=""/>
        <dsp:cNvSpPr/>
      </dsp:nvSpPr>
      <dsp:spPr>
        <a:xfrm>
          <a:off x="4126492" y="1122997"/>
          <a:ext cx="1030867" cy="2358294"/>
        </a:xfrm>
        <a:prstGeom prst="rect">
          <a:avLst/>
        </a:prstGeom>
        <a:solidFill>
          <a:schemeClr val="accent5">
            <a:hueOff val="-5882676"/>
            <a:satOff val="-8182"/>
            <a:lumOff val="-313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i="0" u="none" kern="1200">
              <a:solidFill>
                <a:schemeClr val="tx1"/>
              </a:solidFill>
              <a:latin typeface="Times New Roman" panose="02020603050405020304" pitchFamily="18" charset="0"/>
              <a:cs typeface="Times New Roman" panose="02020603050405020304" pitchFamily="18" charset="0"/>
            </a:rPr>
            <a:t>Legal </a:t>
          </a:r>
          <a:endParaRPr lang="en-US" sz="1100" b="1" kern="1200">
            <a:solidFill>
              <a:schemeClr val="tx1"/>
            </a:solidFill>
            <a:latin typeface="Times New Roman" panose="02020603050405020304" pitchFamily="18" charset="0"/>
            <a:cs typeface="Times New Roman" panose="02020603050405020304" pitchFamily="18" charset="0"/>
          </a:endParaRPr>
        </a:p>
        <a:p>
          <a:pPr marL="0" lvl="0" indent="0" algn="l" defTabSz="488950" rtl="0">
            <a:lnSpc>
              <a:spcPct val="90000"/>
            </a:lnSpc>
            <a:spcBef>
              <a:spcPct val="0"/>
            </a:spcBef>
            <a:spcAft>
              <a:spcPct val="35000"/>
            </a:spcAft>
            <a:buNone/>
          </a:pPr>
          <a:r>
            <a:rPr lang="en-US" sz="1100" b="0" i="0" u="none" kern="1200">
              <a:solidFill>
                <a:schemeClr val="tx1"/>
              </a:solidFill>
              <a:latin typeface="Times New Roman" panose="02020603050405020304" pitchFamily="18" charset="0"/>
              <a:cs typeface="Times New Roman" panose="02020603050405020304" pitchFamily="18" charset="0"/>
            </a:rPr>
            <a:t>Tax burden </a:t>
          </a:r>
          <a:endParaRPr lang="en-US" sz="1100" b="0" kern="1200">
            <a:solidFill>
              <a:schemeClr val="tx1"/>
            </a:solidFill>
            <a:latin typeface="Times New Roman" panose="02020603050405020304" pitchFamily="18" charset="0"/>
            <a:cs typeface="Times New Roman" panose="02020603050405020304" pitchFamily="18" charset="0"/>
          </a:endParaRPr>
        </a:p>
        <a:p>
          <a:pPr marL="0" lvl="0" indent="0" algn="l" defTabSz="488950" rtl="0">
            <a:lnSpc>
              <a:spcPct val="90000"/>
            </a:lnSpc>
            <a:spcBef>
              <a:spcPct val="0"/>
            </a:spcBef>
            <a:spcAft>
              <a:spcPct val="35000"/>
            </a:spcAft>
            <a:buNone/>
          </a:pPr>
          <a:r>
            <a:rPr lang="en-US" sz="1100" b="0" i="0" u="none" kern="1200">
              <a:solidFill>
                <a:schemeClr val="tx1"/>
              </a:solidFill>
              <a:latin typeface="Times New Roman" panose="02020603050405020304" pitchFamily="18" charset="0"/>
              <a:cs typeface="Times New Roman" panose="02020603050405020304" pitchFamily="18" charset="0"/>
            </a:rPr>
            <a:t>Foreign market regulation</a:t>
          </a:r>
          <a:endParaRPr lang="en-US" sz="1100" b="0" kern="1200">
            <a:solidFill>
              <a:schemeClr val="tx1"/>
            </a:solidFill>
            <a:latin typeface="Times New Roman" panose="02020603050405020304" pitchFamily="18" charset="0"/>
            <a:cs typeface="Times New Roman" panose="02020603050405020304" pitchFamily="18" charset="0"/>
          </a:endParaRPr>
        </a:p>
        <a:p>
          <a:pPr marL="0" lvl="0" indent="0" algn="l" defTabSz="488950" rtl="0">
            <a:lnSpc>
              <a:spcPct val="90000"/>
            </a:lnSpc>
            <a:spcBef>
              <a:spcPct val="0"/>
            </a:spcBef>
            <a:spcAft>
              <a:spcPct val="35000"/>
            </a:spcAft>
            <a:buNone/>
          </a:pPr>
          <a:r>
            <a:rPr lang="en-US" sz="1100" b="0" i="0" u="none" kern="1200">
              <a:solidFill>
                <a:schemeClr val="tx1"/>
              </a:solidFill>
              <a:latin typeface="Times New Roman" panose="02020603050405020304" pitchFamily="18" charset="0"/>
              <a:cs typeface="Times New Roman" panose="02020603050405020304" pitchFamily="18" charset="0"/>
            </a:rPr>
            <a:t>Trade barriers </a:t>
          </a:r>
          <a:endParaRPr lang="en-US" sz="1100" b="0" kern="1200">
            <a:solidFill>
              <a:schemeClr val="tx1"/>
            </a:solidFill>
            <a:latin typeface="Times New Roman" panose="02020603050405020304" pitchFamily="18" charset="0"/>
            <a:cs typeface="Times New Roman" panose="02020603050405020304" pitchFamily="18" charset="0"/>
          </a:endParaRPr>
        </a:p>
        <a:p>
          <a:pPr marL="0" lvl="0" indent="0" algn="l" defTabSz="488950" rtl="0">
            <a:lnSpc>
              <a:spcPct val="90000"/>
            </a:lnSpc>
            <a:spcBef>
              <a:spcPct val="0"/>
            </a:spcBef>
            <a:spcAft>
              <a:spcPct val="35000"/>
            </a:spcAft>
            <a:buNone/>
          </a:pPr>
          <a:r>
            <a:rPr lang="en-US" sz="1100" b="0" i="0" u="none" kern="1200">
              <a:solidFill>
                <a:schemeClr val="tx1"/>
              </a:solidFill>
              <a:latin typeface="Times New Roman" panose="02020603050405020304" pitchFamily="18" charset="0"/>
              <a:cs typeface="Times New Roman" panose="02020603050405020304" pitchFamily="18" charset="0"/>
            </a:rPr>
            <a:t>Changing government rules</a:t>
          </a:r>
          <a:endParaRPr lang="en-US" sz="1100" b="0" kern="1200">
            <a:solidFill>
              <a:schemeClr val="tx1"/>
            </a:solidFill>
            <a:latin typeface="Times New Roman" panose="02020603050405020304" pitchFamily="18" charset="0"/>
            <a:cs typeface="Times New Roman" panose="02020603050405020304" pitchFamily="18" charset="0"/>
          </a:endParaRPr>
        </a:p>
        <a:p>
          <a:pPr marL="0" lvl="0" indent="0" algn="ctr" defTabSz="488950" rtl="0">
            <a:lnSpc>
              <a:spcPct val="90000"/>
            </a:lnSpc>
            <a:spcBef>
              <a:spcPct val="0"/>
            </a:spcBef>
            <a:spcAft>
              <a:spcPct val="35000"/>
            </a:spcAft>
            <a:buNone/>
          </a:pPr>
          <a:endParaRPr lang="en-US" sz="1100" kern="1200">
            <a:solidFill>
              <a:schemeClr val="tx1"/>
            </a:solidFill>
            <a:latin typeface="Times New Roman" panose="02020603050405020304" pitchFamily="18" charset="0"/>
            <a:cs typeface="Times New Roman" panose="02020603050405020304" pitchFamily="18" charset="0"/>
          </a:endParaRPr>
        </a:p>
      </dsp:txBody>
      <dsp:txXfrm>
        <a:off x="4126492" y="1122997"/>
        <a:ext cx="1030867" cy="2358294"/>
      </dsp:txXfrm>
    </dsp:sp>
    <dsp:sp modelId="{D641E62E-BE91-43E0-BA70-72596FF2100B}">
      <dsp:nvSpPr>
        <dsp:cNvPr id="0" name=""/>
        <dsp:cNvSpPr/>
      </dsp:nvSpPr>
      <dsp:spPr>
        <a:xfrm>
          <a:off x="5160380" y="1132265"/>
          <a:ext cx="1030867" cy="2358294"/>
        </a:xfrm>
        <a:prstGeom prst="rect">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i="0" u="none" kern="1200">
              <a:solidFill>
                <a:schemeClr val="tx1"/>
              </a:solidFill>
              <a:latin typeface="Times New Roman" panose="02020603050405020304" pitchFamily="18" charset="0"/>
              <a:cs typeface="Times New Roman" panose="02020603050405020304" pitchFamily="18" charset="0"/>
            </a:rPr>
            <a:t>Environmenta</a:t>
          </a:r>
          <a:r>
            <a:rPr lang="en-US" sz="1100" b="0" i="0" u="none" kern="1200">
              <a:solidFill>
                <a:schemeClr val="tx1"/>
              </a:solidFill>
              <a:latin typeface="Times New Roman" panose="02020603050405020304" pitchFamily="18" charset="0"/>
              <a:cs typeface="Times New Roman" panose="02020603050405020304" pitchFamily="18" charset="0"/>
            </a:rPr>
            <a:t>l</a:t>
          </a:r>
          <a:endParaRPr lang="en-US" sz="1100" b="0" kern="1200">
            <a:solidFill>
              <a:schemeClr val="tx1"/>
            </a:solidFill>
            <a:latin typeface="Times New Roman" panose="02020603050405020304" pitchFamily="18" charset="0"/>
            <a:cs typeface="Times New Roman" panose="02020603050405020304" pitchFamily="18" charset="0"/>
          </a:endParaRPr>
        </a:p>
        <a:p>
          <a:pPr marL="0" lvl="0" indent="0" algn="l" defTabSz="488950" rtl="0">
            <a:lnSpc>
              <a:spcPct val="90000"/>
            </a:lnSpc>
            <a:spcBef>
              <a:spcPct val="0"/>
            </a:spcBef>
            <a:spcAft>
              <a:spcPct val="35000"/>
            </a:spcAft>
            <a:buNone/>
          </a:pPr>
          <a:r>
            <a:rPr lang="en-US" sz="1100" b="0" i="0" u="none" kern="1200">
              <a:solidFill>
                <a:schemeClr val="tx1"/>
              </a:solidFill>
              <a:latin typeface="Times New Roman" panose="02020603050405020304" pitchFamily="18" charset="0"/>
              <a:cs typeface="Times New Roman" panose="02020603050405020304" pitchFamily="18" charset="0"/>
            </a:rPr>
            <a:t>Sustainability issue </a:t>
          </a:r>
          <a:endParaRPr lang="en-US" sz="1100" b="0" kern="1200">
            <a:solidFill>
              <a:schemeClr val="tx1"/>
            </a:solidFill>
            <a:latin typeface="Times New Roman" panose="02020603050405020304" pitchFamily="18" charset="0"/>
            <a:cs typeface="Times New Roman" panose="02020603050405020304" pitchFamily="18" charset="0"/>
          </a:endParaRPr>
        </a:p>
        <a:p>
          <a:pPr marL="0" lvl="0" indent="0" algn="l" defTabSz="488950" rtl="0">
            <a:lnSpc>
              <a:spcPct val="90000"/>
            </a:lnSpc>
            <a:spcBef>
              <a:spcPct val="0"/>
            </a:spcBef>
            <a:spcAft>
              <a:spcPct val="35000"/>
            </a:spcAft>
            <a:buNone/>
          </a:pPr>
          <a:r>
            <a:rPr lang="en-US" sz="1100" b="0" i="0" u="none" kern="1200">
              <a:solidFill>
                <a:schemeClr val="tx1"/>
              </a:solidFill>
              <a:latin typeface="Times New Roman" panose="02020603050405020304" pitchFamily="18" charset="0"/>
              <a:cs typeface="Times New Roman" panose="02020603050405020304" pitchFamily="18" charset="0"/>
            </a:rPr>
            <a:t>Growing carbon footprint</a:t>
          </a:r>
          <a:endParaRPr lang="en-US" sz="1100" b="0" kern="1200">
            <a:solidFill>
              <a:schemeClr val="tx1"/>
            </a:solidFill>
            <a:latin typeface="Times New Roman" panose="02020603050405020304" pitchFamily="18" charset="0"/>
            <a:cs typeface="Times New Roman" panose="02020603050405020304" pitchFamily="18" charset="0"/>
          </a:endParaRPr>
        </a:p>
        <a:p>
          <a:pPr marL="0" lvl="0" indent="0" algn="l" defTabSz="488950" rtl="0">
            <a:lnSpc>
              <a:spcPct val="90000"/>
            </a:lnSpc>
            <a:spcBef>
              <a:spcPct val="0"/>
            </a:spcBef>
            <a:spcAft>
              <a:spcPct val="35000"/>
            </a:spcAft>
            <a:buNone/>
          </a:pPr>
          <a:r>
            <a:rPr lang="en-US" sz="1100" b="0" i="0" u="none" kern="1200">
              <a:solidFill>
                <a:schemeClr val="tx1"/>
              </a:solidFill>
              <a:latin typeface="Times New Roman" panose="02020603050405020304" pitchFamily="18" charset="0"/>
              <a:cs typeface="Times New Roman" panose="02020603050405020304" pitchFamily="18" charset="0"/>
            </a:rPr>
            <a:t>Agenda of environmental wellness </a:t>
          </a:r>
          <a:endParaRPr lang="en-US" sz="1100" b="0" kern="1200">
            <a:solidFill>
              <a:schemeClr val="tx1"/>
            </a:solidFill>
            <a:latin typeface="Times New Roman" panose="02020603050405020304" pitchFamily="18" charset="0"/>
            <a:cs typeface="Times New Roman" panose="02020603050405020304" pitchFamily="18" charset="0"/>
          </a:endParaRPr>
        </a:p>
        <a:p>
          <a:pPr marL="0" lvl="0" indent="0" algn="l" defTabSz="488950" rtl="0">
            <a:lnSpc>
              <a:spcPct val="90000"/>
            </a:lnSpc>
            <a:spcBef>
              <a:spcPct val="0"/>
            </a:spcBef>
            <a:spcAft>
              <a:spcPct val="35000"/>
            </a:spcAft>
            <a:buNone/>
          </a:pPr>
          <a:r>
            <a:rPr lang="en-US" sz="1100" b="0" i="0" u="none" kern="1200">
              <a:solidFill>
                <a:schemeClr val="tx1"/>
              </a:solidFill>
              <a:latin typeface="Times New Roman" panose="02020603050405020304" pitchFamily="18" charset="0"/>
              <a:cs typeface="Times New Roman" panose="02020603050405020304" pitchFamily="18" charset="0"/>
            </a:rPr>
            <a:t>Reduce waste</a:t>
          </a:r>
          <a:endParaRPr lang="en-US" sz="1100" b="0" kern="1200">
            <a:solidFill>
              <a:schemeClr val="tx1"/>
            </a:solidFill>
            <a:latin typeface="Times New Roman" panose="02020603050405020304" pitchFamily="18" charset="0"/>
            <a:cs typeface="Times New Roman" panose="02020603050405020304" pitchFamily="18" charset="0"/>
          </a:endParaRPr>
        </a:p>
        <a:p>
          <a:pPr marL="0" lvl="0" indent="0" algn="ctr" defTabSz="488950" rtl="0">
            <a:lnSpc>
              <a:spcPct val="90000"/>
            </a:lnSpc>
            <a:spcBef>
              <a:spcPct val="0"/>
            </a:spcBef>
            <a:spcAft>
              <a:spcPct val="35000"/>
            </a:spcAft>
            <a:buNone/>
          </a:pPr>
          <a:endParaRPr lang="en-US" sz="1100" kern="1200">
            <a:solidFill>
              <a:schemeClr val="tx1"/>
            </a:solidFill>
            <a:latin typeface="Times New Roman" panose="02020603050405020304" pitchFamily="18" charset="0"/>
            <a:cs typeface="Times New Roman" panose="02020603050405020304" pitchFamily="18" charset="0"/>
          </a:endParaRPr>
        </a:p>
      </dsp:txBody>
      <dsp:txXfrm>
        <a:off x="5160380" y="1132265"/>
        <a:ext cx="1030867" cy="2358294"/>
      </dsp:txXfrm>
    </dsp:sp>
    <dsp:sp modelId="{5260ECC2-5238-4B95-8A7A-E24244F6F6B3}">
      <dsp:nvSpPr>
        <dsp:cNvPr id="0" name=""/>
        <dsp:cNvSpPr/>
      </dsp:nvSpPr>
      <dsp:spPr>
        <a:xfrm>
          <a:off x="0" y="3481292"/>
          <a:ext cx="6191250" cy="262032"/>
        </a:xfrm>
        <a:prstGeom prst="rect">
          <a:avLst/>
        </a:prstGeom>
        <a:solidFill>
          <a:schemeClr val="accent5">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hList3">
  <dgm:title val=""/>
  <dgm:desc val=""/>
  <dgm:catLst>
    <dgm:cat type="list" pri="1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1" destId="2" srcOrd="0" destOrd="0"/>
        <dgm:cxn modelId="7" srcId="1" destId="3" srcOrd="1" destOrd="0"/>
        <dgm:cxn modelId="8" srcId="1" destId="4" srcOrd="2" destOrd="0"/>
      </dgm:cxnLst>
      <dgm:bg/>
      <dgm:whole/>
    </dgm:dataModel>
  </dgm:sampData>
  <dgm:styleData>
    <dgm:dataModel>
      <dgm:ptLst>
        <dgm:pt modelId="0" type="doc"/>
        <dgm:pt modelId="1"/>
        <dgm:pt modelId="2"/>
        <dgm:pt modelId="3"/>
      </dgm:ptLst>
      <dgm:cxnLst>
        <dgm:cxn modelId="5" srcId="0" destId="1" srcOrd="0" destOrd="0"/>
        <dgm:cxn modelId="6" srcId="1" destId="2" srcOrd="0" destOrd="0"/>
        <dgm:cxn modelId="7" srcId="1" destId="3" srcOrd="1" destOrd="0"/>
      </dgm:cxnLst>
      <dgm:bg/>
      <dgm:whole/>
    </dgm:dataModel>
  </dgm:styleData>
  <dgm:clrData>
    <dgm:dataModel>
      <dgm:ptLst>
        <dgm:pt modelId="0" type="doc"/>
        <dgm:pt modelId="1"/>
        <dgm:pt modelId="2"/>
        <dgm:pt modelId="3"/>
        <dgm:pt modelId="4"/>
        <dgm:pt modelId="5"/>
      </dgm:ptLst>
      <dgm:cxnLst>
        <dgm:cxn modelId="6" srcId="0" destId="1" srcOrd="0" destOrd="0"/>
        <dgm:cxn modelId="7" srcId="1" destId="2" srcOrd="0" destOrd="0"/>
        <dgm:cxn modelId="8" srcId="1" destId="3" srcOrd="1" destOrd="0"/>
        <dgm:cxn modelId="9" srcId="1" destId="4" srcOrd="2" destOrd="0"/>
        <dgm:cxn modelId="10" srcId="1" destId="5" srcOrd="3" destOrd="0"/>
      </dgm:cxnLst>
      <dgm:bg/>
      <dgm:whole/>
    </dgm:dataModel>
  </dgm:clrData>
  <dgm:layoutNode name="composite">
    <dgm:varLst>
      <dgm:chMax val="1"/>
      <dgm:dir/>
      <dgm:resizeHandles val="exact"/>
    </dgm:varLst>
    <dgm:alg type="composite"/>
    <dgm:shape xmlns:r="http://schemas.openxmlformats.org/officeDocument/2006/relationships" r:blip="">
      <dgm:adjLst/>
    </dgm:shape>
    <dgm:presOf/>
    <dgm:constrLst>
      <dgm:constr type="w" for="ch" forName="roof" refType="w"/>
      <dgm:constr type="h" for="ch" forName="roof" refType="h" fact="0.3"/>
      <dgm:constr type="primFontSz" for="ch" forName="roof" val="65"/>
      <dgm:constr type="w" for="ch" forName="pillars" refType="w"/>
      <dgm:constr type="h" for="ch" forName="pillars" refType="h" fact="0.63"/>
      <dgm:constr type="t" for="ch" forName="pillars" refType="h" fact="0.3"/>
      <dgm:constr type="primFontSz" for="des" forName="pillar1" val="65"/>
      <dgm:constr type="primFontSz" for="des" forName="pillarX" refType="primFontSz" refFor="des" refForName="pillar1" op="equ"/>
      <dgm:constr type="w" for="ch" forName="base" refType="w"/>
      <dgm:constr type="h" for="ch" forName="base" refType="h" fact="0.07"/>
      <dgm:constr type="t" for="ch" forName="base" refType="h" fact="0.93"/>
    </dgm:constrLst>
    <dgm:ruleLst/>
    <dgm:forEach name="Name0" axis="ch" ptType="node" cnt="1">
      <dgm:layoutNode name="roof" styleLbl="dkBgShp">
        <dgm:alg type="tx"/>
        <dgm:shape xmlns:r="http://schemas.openxmlformats.org/officeDocument/2006/relationships" type="rect" r:blip="">
          <dgm:adjLst/>
        </dgm:shape>
        <dgm:presOf axis="self"/>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illars" styleLbl="node1">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pillar1" refType="w"/>
          <dgm:constr type="h" for="ch" forName="pillar1" refType="h"/>
          <dgm:constr type="w" for="ch" forName="pillarX" refType="w"/>
          <dgm:constr type="h" for="ch" forName="pillarX" refType="h"/>
        </dgm:constrLst>
        <dgm:ruleLst/>
        <dgm:layoutNode name="pillar1" styleLbl="node1">
          <dgm:varLst>
            <dgm:bulletEnabled val="1"/>
          </dgm:varLst>
          <dgm:alg type="tx"/>
          <dgm:shape xmlns:r="http://schemas.openxmlformats.org/officeDocument/2006/relationships" type="rect" r:blip="">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ch" ptType="node" st="2">
          <dgm:layoutNode name="pillarX" styleLbl="node1">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dgm:layoutNode>
      <dgm:layoutNode name="base" styleLbl="dkBgShp">
        <dgm:alg type="sp"/>
        <dgm:shape xmlns:r="http://schemas.openxmlformats.org/officeDocument/2006/relationships" type="rect" r:blip="">
          <dgm:adjLst/>
        </dgm:shape>
        <dgm:presOf/>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C3E4AD-5B12-4841-A959-7349C8871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Words>2411</Words>
  <Pages>16</Pages>
  <Characters>15106</Characters>
  <Application>WPS Office</Application>
  <DocSecurity>0</DocSecurity>
  <Paragraphs>229</Paragraphs>
  <ScaleCrop>false</ScaleCrop>
  <LinksUpToDate>false</LinksUpToDate>
  <CharactersWithSpaces>17439</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2023-08-28T14:46:00Z</dcterms:created>
  <dc:creator>user</dc:creator>
  <lastModifiedBy>SM-A736B</lastModifiedBy>
  <dcterms:modified xsi:type="dcterms:W3CDTF">2023-08-31T10:21:16Z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5660b4b783914b909781819b0966b4f1</vt:lpwstr>
  </property>
</Properties>
</file>