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C0445" w:rsidRDefault="00AC0445">
      <w:pPr>
        <w:jc w:val="center"/>
        <w:rPr>
          <w:color w:val="FF0000"/>
          <w:sz w:val="32"/>
          <w:szCs w:val="32"/>
        </w:rPr>
      </w:pPr>
      <w:bookmarkStart w:id="0" w:name="_heading=h.17dp8vu" w:colFirst="0" w:colLast="0"/>
      <w:bookmarkEnd w:id="0"/>
    </w:p>
    <w:p w:rsidR="00AC0445" w:rsidRDefault="00AC0445">
      <w:pPr>
        <w:jc w:val="center"/>
        <w:rPr>
          <w:b/>
          <w:sz w:val="32"/>
          <w:szCs w:val="32"/>
        </w:rPr>
      </w:pPr>
    </w:p>
    <w:p w:rsidR="00AC0445" w:rsidRDefault="00AC0445">
      <w:pPr>
        <w:jc w:val="center"/>
        <w:rPr>
          <w:b/>
          <w:sz w:val="32"/>
          <w:szCs w:val="32"/>
        </w:rPr>
      </w:pPr>
    </w:p>
    <w:p w:rsidR="00AC0445" w:rsidRDefault="00AC0445">
      <w:pPr>
        <w:jc w:val="center"/>
        <w:rPr>
          <w:b/>
          <w:sz w:val="32"/>
          <w:szCs w:val="32"/>
        </w:rPr>
      </w:pPr>
    </w:p>
    <w:p w:rsidR="00AC0445" w:rsidRDefault="00AC0445">
      <w:pPr>
        <w:jc w:val="center"/>
        <w:rPr>
          <w:b/>
          <w:sz w:val="32"/>
          <w:szCs w:val="32"/>
        </w:rPr>
      </w:pPr>
    </w:p>
    <w:p w:rsidR="00AC0445" w:rsidRDefault="00AC0445">
      <w:pPr>
        <w:jc w:val="center"/>
        <w:rPr>
          <w:b/>
          <w:sz w:val="32"/>
          <w:szCs w:val="32"/>
        </w:rPr>
      </w:pPr>
    </w:p>
    <w:p w:rsidR="00AC0445" w:rsidRDefault="00AC0445">
      <w:pPr>
        <w:jc w:val="center"/>
        <w:rPr>
          <w:b/>
          <w:sz w:val="32"/>
          <w:szCs w:val="32"/>
        </w:rPr>
      </w:pPr>
    </w:p>
    <w:p w:rsidR="00AC0445" w:rsidRDefault="00AC0445">
      <w:pPr>
        <w:jc w:val="center"/>
        <w:rPr>
          <w:b/>
          <w:sz w:val="32"/>
          <w:szCs w:val="32"/>
        </w:rPr>
      </w:pPr>
    </w:p>
    <w:p w:rsidR="00561CB3" w:rsidRPr="003C4745" w:rsidRDefault="00561CB3">
      <w:pPr>
        <w:jc w:val="center"/>
        <w:rPr>
          <w:b/>
          <w:sz w:val="56"/>
          <w:szCs w:val="56"/>
        </w:rPr>
      </w:pPr>
      <w:r w:rsidRPr="003C4745">
        <w:rPr>
          <w:b/>
          <w:sz w:val="56"/>
          <w:szCs w:val="56"/>
        </w:rPr>
        <w:t>INTERNATIONAL BUSINESS</w:t>
      </w:r>
    </w:p>
    <w:p w:rsidR="003C4745" w:rsidRDefault="00561CB3" w:rsidP="003C4745">
      <w:pPr>
        <w:jc w:val="left"/>
        <w:rPr>
          <w:b/>
          <w:sz w:val="32"/>
          <w:szCs w:val="32"/>
        </w:rPr>
      </w:pPr>
      <w:r>
        <w:rPr>
          <w:b/>
          <w:sz w:val="32"/>
          <w:szCs w:val="32"/>
        </w:rPr>
        <w:t>MODULE NUMBER: LCMB7014</w:t>
      </w:r>
    </w:p>
    <w:p w:rsidR="00561CB3" w:rsidRDefault="00561CB3" w:rsidP="003C4745">
      <w:pPr>
        <w:jc w:val="left"/>
        <w:rPr>
          <w:b/>
          <w:sz w:val="32"/>
          <w:szCs w:val="32"/>
        </w:rPr>
      </w:pPr>
      <w:r>
        <w:rPr>
          <w:b/>
          <w:sz w:val="32"/>
          <w:szCs w:val="32"/>
        </w:rPr>
        <w:t xml:space="preserve"> STUDENT NAME</w:t>
      </w:r>
      <w:proofErr w:type="gramStart"/>
      <w:r>
        <w:rPr>
          <w:b/>
          <w:sz w:val="32"/>
          <w:szCs w:val="32"/>
        </w:rPr>
        <w:t>:NAVALDEEP</w:t>
      </w:r>
      <w:proofErr w:type="gramEnd"/>
      <w:r>
        <w:rPr>
          <w:b/>
          <w:sz w:val="32"/>
          <w:szCs w:val="32"/>
        </w:rPr>
        <w:t xml:space="preserve"> KAUR</w:t>
      </w:r>
    </w:p>
    <w:p w:rsidR="00561CB3" w:rsidRDefault="00561CB3" w:rsidP="003C4745">
      <w:pPr>
        <w:jc w:val="left"/>
        <w:rPr>
          <w:b/>
          <w:sz w:val="32"/>
          <w:szCs w:val="32"/>
        </w:rPr>
      </w:pPr>
      <w:r>
        <w:rPr>
          <w:b/>
          <w:sz w:val="32"/>
          <w:szCs w:val="32"/>
        </w:rPr>
        <w:t>STUDENT NUMBER</w:t>
      </w:r>
      <w:proofErr w:type="gramStart"/>
      <w:r>
        <w:rPr>
          <w:b/>
          <w:sz w:val="32"/>
          <w:szCs w:val="32"/>
        </w:rPr>
        <w:t>:224977</w:t>
      </w:r>
      <w:proofErr w:type="gramEnd"/>
    </w:p>
    <w:p w:rsidR="003C4745" w:rsidRDefault="00561CB3" w:rsidP="003C4745">
      <w:pPr>
        <w:jc w:val="left"/>
        <w:rPr>
          <w:b/>
          <w:sz w:val="32"/>
          <w:szCs w:val="32"/>
        </w:rPr>
      </w:pPr>
      <w:r>
        <w:rPr>
          <w:b/>
          <w:sz w:val="32"/>
          <w:szCs w:val="32"/>
        </w:rPr>
        <w:t>SUBMISSION DATE</w:t>
      </w:r>
      <w:proofErr w:type="gramStart"/>
      <w:r>
        <w:rPr>
          <w:b/>
          <w:sz w:val="32"/>
          <w:szCs w:val="32"/>
        </w:rPr>
        <w:t>:28</w:t>
      </w:r>
      <w:proofErr w:type="gramEnd"/>
      <w:r>
        <w:rPr>
          <w:b/>
          <w:sz w:val="32"/>
          <w:szCs w:val="32"/>
        </w:rPr>
        <w:t>/7/23</w:t>
      </w:r>
    </w:p>
    <w:p w:rsidR="00AC0445" w:rsidRDefault="003C4745" w:rsidP="003C4745">
      <w:pPr>
        <w:jc w:val="left"/>
        <w:rPr>
          <w:b/>
          <w:sz w:val="32"/>
          <w:szCs w:val="32"/>
        </w:rPr>
      </w:pPr>
      <w:r>
        <w:rPr>
          <w:b/>
          <w:sz w:val="32"/>
          <w:szCs w:val="32"/>
        </w:rPr>
        <w:t>LECTURER: LAN DANG</w:t>
      </w:r>
      <w:r w:rsidR="00C772AC">
        <w:br w:type="page"/>
      </w:r>
    </w:p>
    <w:p w:rsidR="00AC0445" w:rsidRDefault="00C772AC">
      <w:pPr>
        <w:keepNext/>
        <w:keepLines/>
        <w:pBdr>
          <w:top w:val="nil"/>
          <w:left w:val="nil"/>
          <w:bottom w:val="nil"/>
          <w:right w:val="nil"/>
          <w:between w:val="nil"/>
        </w:pBdr>
        <w:spacing w:before="240" w:line="259" w:lineRule="auto"/>
        <w:jc w:val="center"/>
        <w:rPr>
          <w:b/>
          <w:color w:val="000000"/>
          <w:sz w:val="28"/>
          <w:szCs w:val="28"/>
        </w:rPr>
      </w:pPr>
      <w:r>
        <w:rPr>
          <w:b/>
          <w:color w:val="000000"/>
          <w:sz w:val="28"/>
          <w:szCs w:val="28"/>
        </w:rPr>
        <w:lastRenderedPageBreak/>
        <w:t>Table of Contents</w:t>
      </w:r>
    </w:p>
    <w:sdt>
      <w:sdtPr>
        <w:id w:val="-356126750"/>
        <w:docPartObj>
          <w:docPartGallery w:val="Table of Contents"/>
          <w:docPartUnique/>
        </w:docPartObj>
      </w:sdtPr>
      <w:sdtEndPr/>
      <w:sdtContent>
        <w:p w:rsidR="00EC57CB" w:rsidRPr="00EC57CB" w:rsidRDefault="00C772AC">
          <w:pPr>
            <w:pStyle w:val="TOC1"/>
            <w:tabs>
              <w:tab w:val="right" w:pos="9350"/>
            </w:tabs>
            <w:rPr>
              <w:rFonts w:asciiTheme="minorHAnsi" w:eastAsiaTheme="minorEastAsia" w:hAnsiTheme="minorHAnsi" w:cstheme="minorBidi"/>
              <w:noProof/>
              <w:sz w:val="22"/>
              <w:szCs w:val="22"/>
              <w:lang w:val="en-IN"/>
            </w:rPr>
          </w:pPr>
          <w:r w:rsidRPr="00EC57CB">
            <w:fldChar w:fldCharType="begin"/>
          </w:r>
          <w:r w:rsidRPr="00EC57CB">
            <w:instrText xml:space="preserve"> TOC \h \u \z \t "Heading 1,1,Heading 2,2,Heading 3,3,"</w:instrText>
          </w:r>
          <w:r w:rsidRPr="00EC57CB">
            <w:fldChar w:fldCharType="separate"/>
          </w:r>
          <w:hyperlink w:anchor="_Toc140746974" w:history="1">
            <w:r w:rsidR="00EC57CB" w:rsidRPr="00EC57CB">
              <w:rPr>
                <w:rStyle w:val="Hyperlink"/>
                <w:noProof/>
              </w:rPr>
              <w:t>Introduction</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_Toc140746974 \h </w:instrText>
            </w:r>
            <w:r w:rsidR="00EC57CB" w:rsidRPr="00EC57CB">
              <w:rPr>
                <w:noProof/>
                <w:webHidden/>
              </w:rPr>
            </w:r>
            <w:r w:rsidR="00EC57CB" w:rsidRPr="00EC57CB">
              <w:rPr>
                <w:noProof/>
                <w:webHidden/>
              </w:rPr>
              <w:fldChar w:fldCharType="separate"/>
            </w:r>
            <w:r w:rsidR="00EC57CB" w:rsidRPr="00EC57CB">
              <w:rPr>
                <w:noProof/>
                <w:webHidden/>
              </w:rPr>
              <w:t>3</w:t>
            </w:r>
            <w:r w:rsidR="00EC57CB" w:rsidRPr="00EC57CB">
              <w:rPr>
                <w:noProof/>
                <w:webHidden/>
              </w:rPr>
              <w:fldChar w:fldCharType="end"/>
            </w:r>
          </w:hyperlink>
        </w:p>
        <w:p w:rsidR="00EC57CB" w:rsidRPr="00EC57CB" w:rsidRDefault="00B30FD9">
          <w:pPr>
            <w:pStyle w:val="TOC1"/>
            <w:tabs>
              <w:tab w:val="right" w:pos="9350"/>
            </w:tabs>
            <w:rPr>
              <w:rFonts w:asciiTheme="minorHAnsi" w:eastAsiaTheme="minorEastAsia" w:hAnsiTheme="minorHAnsi" w:cstheme="minorBidi"/>
              <w:noProof/>
              <w:sz w:val="22"/>
              <w:szCs w:val="22"/>
              <w:lang w:val="en-IN"/>
            </w:rPr>
          </w:pPr>
          <w:hyperlink w:anchor="_Toc140746975" w:history="1">
            <w:r w:rsidR="00EC57CB" w:rsidRPr="00EC57CB">
              <w:rPr>
                <w:rStyle w:val="Hyperlink"/>
                <w:noProof/>
              </w:rPr>
              <w:t>International Business Environment</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_Toc140746975 \h </w:instrText>
            </w:r>
            <w:r w:rsidR="00EC57CB" w:rsidRPr="00EC57CB">
              <w:rPr>
                <w:noProof/>
                <w:webHidden/>
              </w:rPr>
            </w:r>
            <w:r w:rsidR="00EC57CB" w:rsidRPr="00EC57CB">
              <w:rPr>
                <w:noProof/>
                <w:webHidden/>
              </w:rPr>
              <w:fldChar w:fldCharType="separate"/>
            </w:r>
            <w:r w:rsidR="00EC57CB" w:rsidRPr="00EC57CB">
              <w:rPr>
                <w:noProof/>
                <w:webHidden/>
              </w:rPr>
              <w:t>3</w:t>
            </w:r>
            <w:r w:rsidR="00EC57CB" w:rsidRPr="00EC57CB">
              <w:rPr>
                <w:noProof/>
                <w:webHidden/>
              </w:rPr>
              <w:fldChar w:fldCharType="end"/>
            </w:r>
          </w:hyperlink>
        </w:p>
        <w:p w:rsidR="00EC57CB" w:rsidRPr="00EC57CB" w:rsidRDefault="00B30FD9">
          <w:pPr>
            <w:pStyle w:val="TOC1"/>
            <w:tabs>
              <w:tab w:val="right" w:pos="9350"/>
            </w:tabs>
            <w:rPr>
              <w:rFonts w:asciiTheme="minorHAnsi" w:eastAsiaTheme="minorEastAsia" w:hAnsiTheme="minorHAnsi" w:cstheme="minorBidi"/>
              <w:noProof/>
              <w:sz w:val="22"/>
              <w:szCs w:val="22"/>
              <w:lang w:val="en-IN"/>
            </w:rPr>
          </w:pPr>
          <w:hyperlink w:anchor="_Toc140746976" w:history="1">
            <w:r w:rsidR="00EC57CB" w:rsidRPr="00EC57CB">
              <w:rPr>
                <w:rStyle w:val="Hyperlink"/>
                <w:noProof/>
              </w:rPr>
              <w:t>International Strategy</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_Toc140746976 \h </w:instrText>
            </w:r>
            <w:r w:rsidR="00EC57CB" w:rsidRPr="00EC57CB">
              <w:rPr>
                <w:noProof/>
                <w:webHidden/>
              </w:rPr>
            </w:r>
            <w:r w:rsidR="00EC57CB" w:rsidRPr="00EC57CB">
              <w:rPr>
                <w:noProof/>
                <w:webHidden/>
              </w:rPr>
              <w:fldChar w:fldCharType="separate"/>
            </w:r>
            <w:r w:rsidR="00EC57CB" w:rsidRPr="00EC57CB">
              <w:rPr>
                <w:noProof/>
                <w:webHidden/>
              </w:rPr>
              <w:t>10</w:t>
            </w:r>
            <w:r w:rsidR="00EC57CB" w:rsidRPr="00EC57CB">
              <w:rPr>
                <w:noProof/>
                <w:webHidden/>
              </w:rPr>
              <w:fldChar w:fldCharType="end"/>
            </w:r>
          </w:hyperlink>
        </w:p>
        <w:p w:rsidR="00EC57CB" w:rsidRPr="00EC57CB" w:rsidRDefault="00B30FD9">
          <w:pPr>
            <w:pStyle w:val="TOC2"/>
            <w:tabs>
              <w:tab w:val="right" w:pos="9350"/>
            </w:tabs>
            <w:rPr>
              <w:noProof/>
            </w:rPr>
          </w:pPr>
          <w:hyperlink w:anchor="_Toc140746977" w:history="1">
            <w:r w:rsidR="00EC57CB" w:rsidRPr="00EC57CB">
              <w:rPr>
                <w:rStyle w:val="Hyperlink"/>
                <w:noProof/>
              </w:rPr>
              <w:t>Ethnocentric Strategy</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_Toc140746977 \h </w:instrText>
            </w:r>
            <w:r w:rsidR="00EC57CB" w:rsidRPr="00EC57CB">
              <w:rPr>
                <w:noProof/>
                <w:webHidden/>
              </w:rPr>
            </w:r>
            <w:r w:rsidR="00EC57CB" w:rsidRPr="00EC57CB">
              <w:rPr>
                <w:noProof/>
                <w:webHidden/>
              </w:rPr>
              <w:fldChar w:fldCharType="separate"/>
            </w:r>
            <w:r w:rsidR="00EC57CB" w:rsidRPr="00EC57CB">
              <w:rPr>
                <w:noProof/>
                <w:webHidden/>
              </w:rPr>
              <w:t>10</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78" w:history="1">
            <w:r w:rsidR="00EC57CB" w:rsidRPr="00EC57CB">
              <w:rPr>
                <w:rStyle w:val="Hyperlink"/>
                <w:noProof/>
              </w:rPr>
              <w:t>Definition</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_Toc140746978 \h </w:instrText>
            </w:r>
            <w:r w:rsidR="00EC57CB" w:rsidRPr="00EC57CB">
              <w:rPr>
                <w:noProof/>
                <w:webHidden/>
              </w:rPr>
            </w:r>
            <w:r w:rsidR="00EC57CB" w:rsidRPr="00EC57CB">
              <w:rPr>
                <w:noProof/>
                <w:webHidden/>
              </w:rPr>
              <w:fldChar w:fldCharType="separate"/>
            </w:r>
            <w:r w:rsidR="00EC57CB" w:rsidRPr="00EC57CB">
              <w:rPr>
                <w:noProof/>
                <w:webHidden/>
              </w:rPr>
              <w:t>10</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79" w:history="1">
            <w:r w:rsidR="00EC57CB" w:rsidRPr="00EC57CB">
              <w:rPr>
                <w:rStyle w:val="Hyperlink"/>
                <w:noProof/>
              </w:rPr>
              <w:t>Function</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_Toc140746979 \h </w:instrText>
            </w:r>
            <w:r w:rsidR="00EC57CB" w:rsidRPr="00EC57CB">
              <w:rPr>
                <w:noProof/>
                <w:webHidden/>
              </w:rPr>
            </w:r>
            <w:r w:rsidR="00EC57CB" w:rsidRPr="00EC57CB">
              <w:rPr>
                <w:noProof/>
                <w:webHidden/>
              </w:rPr>
              <w:fldChar w:fldCharType="separate"/>
            </w:r>
            <w:r w:rsidR="00EC57CB" w:rsidRPr="00EC57CB">
              <w:rPr>
                <w:noProof/>
                <w:webHidden/>
              </w:rPr>
              <w:t>10</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80" w:history="1">
            <w:r w:rsidR="00EC57CB" w:rsidRPr="00EC57CB">
              <w:rPr>
                <w:rStyle w:val="Hyperlink"/>
                <w:noProof/>
              </w:rPr>
              <w:t>Advantages</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_Toc140746980 \h </w:instrText>
            </w:r>
            <w:r w:rsidR="00EC57CB" w:rsidRPr="00EC57CB">
              <w:rPr>
                <w:noProof/>
                <w:webHidden/>
              </w:rPr>
            </w:r>
            <w:r w:rsidR="00EC57CB" w:rsidRPr="00EC57CB">
              <w:rPr>
                <w:noProof/>
                <w:webHidden/>
              </w:rPr>
              <w:fldChar w:fldCharType="separate"/>
            </w:r>
            <w:r w:rsidR="00EC57CB" w:rsidRPr="00EC57CB">
              <w:rPr>
                <w:noProof/>
                <w:webHidden/>
              </w:rPr>
              <w:t>10</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81" w:history="1">
            <w:r w:rsidR="00EC57CB" w:rsidRPr="00EC57CB">
              <w:rPr>
                <w:rStyle w:val="Hyperlink"/>
                <w:noProof/>
              </w:rPr>
              <w:t>Disadvantages</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_Toc140746981 \h </w:instrText>
            </w:r>
            <w:r w:rsidR="00EC57CB" w:rsidRPr="00EC57CB">
              <w:rPr>
                <w:noProof/>
                <w:webHidden/>
              </w:rPr>
            </w:r>
            <w:r w:rsidR="00EC57CB" w:rsidRPr="00EC57CB">
              <w:rPr>
                <w:noProof/>
                <w:webHidden/>
              </w:rPr>
              <w:fldChar w:fldCharType="separate"/>
            </w:r>
            <w:r w:rsidR="00EC57CB" w:rsidRPr="00EC57CB">
              <w:rPr>
                <w:noProof/>
                <w:webHidden/>
              </w:rPr>
              <w:t>10</w:t>
            </w:r>
            <w:r w:rsidR="00EC57CB" w:rsidRPr="00EC57CB">
              <w:rPr>
                <w:noProof/>
                <w:webHidden/>
              </w:rPr>
              <w:fldChar w:fldCharType="end"/>
            </w:r>
          </w:hyperlink>
        </w:p>
        <w:p w:rsidR="00EC57CB" w:rsidRPr="00EC57CB" w:rsidRDefault="00B30FD9">
          <w:pPr>
            <w:pStyle w:val="TOC2"/>
            <w:tabs>
              <w:tab w:val="right" w:pos="9350"/>
            </w:tabs>
            <w:rPr>
              <w:noProof/>
            </w:rPr>
          </w:pPr>
          <w:hyperlink w:anchor="_Toc140746982" w:history="1">
            <w:r w:rsidR="00EC57CB" w:rsidRPr="00EC57CB">
              <w:rPr>
                <w:rStyle w:val="Hyperlink"/>
                <w:noProof/>
              </w:rPr>
              <w:t>Polycentric Strategy</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_Toc140746982 \h </w:instrText>
            </w:r>
            <w:r w:rsidR="00EC57CB" w:rsidRPr="00EC57CB">
              <w:rPr>
                <w:noProof/>
                <w:webHidden/>
              </w:rPr>
            </w:r>
            <w:r w:rsidR="00EC57CB" w:rsidRPr="00EC57CB">
              <w:rPr>
                <w:noProof/>
                <w:webHidden/>
              </w:rPr>
              <w:fldChar w:fldCharType="separate"/>
            </w:r>
            <w:r w:rsidR="00EC57CB" w:rsidRPr="00EC57CB">
              <w:rPr>
                <w:noProof/>
                <w:webHidden/>
              </w:rPr>
              <w:t>11</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83" w:history="1">
            <w:r w:rsidR="00EC57CB" w:rsidRPr="00EC57CB">
              <w:rPr>
                <w:rStyle w:val="Hyperlink"/>
                <w:noProof/>
              </w:rPr>
              <w:t>Definition</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_Toc140746983 \h </w:instrText>
            </w:r>
            <w:r w:rsidR="00EC57CB" w:rsidRPr="00EC57CB">
              <w:rPr>
                <w:noProof/>
                <w:webHidden/>
              </w:rPr>
            </w:r>
            <w:r w:rsidR="00EC57CB" w:rsidRPr="00EC57CB">
              <w:rPr>
                <w:noProof/>
                <w:webHidden/>
              </w:rPr>
              <w:fldChar w:fldCharType="separate"/>
            </w:r>
            <w:r w:rsidR="00EC57CB" w:rsidRPr="00EC57CB">
              <w:rPr>
                <w:noProof/>
                <w:webHidden/>
              </w:rPr>
              <w:t>11</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84" w:history="1">
            <w:r w:rsidR="00EC57CB" w:rsidRPr="00EC57CB">
              <w:rPr>
                <w:rStyle w:val="Hyperlink"/>
                <w:noProof/>
              </w:rPr>
              <w:t>Function</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_Toc140746984 \h </w:instrText>
            </w:r>
            <w:r w:rsidR="00EC57CB" w:rsidRPr="00EC57CB">
              <w:rPr>
                <w:noProof/>
                <w:webHidden/>
              </w:rPr>
            </w:r>
            <w:r w:rsidR="00EC57CB" w:rsidRPr="00EC57CB">
              <w:rPr>
                <w:noProof/>
                <w:webHidden/>
              </w:rPr>
              <w:fldChar w:fldCharType="separate"/>
            </w:r>
            <w:r w:rsidR="00EC57CB" w:rsidRPr="00EC57CB">
              <w:rPr>
                <w:noProof/>
                <w:webHidden/>
              </w:rPr>
              <w:t>11</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85" w:history="1">
            <w:r w:rsidR="00EC57CB" w:rsidRPr="00EC57CB">
              <w:rPr>
                <w:rStyle w:val="Hyperlink"/>
                <w:noProof/>
              </w:rPr>
              <w:t>Advantages</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_Toc140746985 \h </w:instrText>
            </w:r>
            <w:r w:rsidR="00EC57CB" w:rsidRPr="00EC57CB">
              <w:rPr>
                <w:noProof/>
                <w:webHidden/>
              </w:rPr>
            </w:r>
            <w:r w:rsidR="00EC57CB" w:rsidRPr="00EC57CB">
              <w:rPr>
                <w:noProof/>
                <w:webHidden/>
              </w:rPr>
              <w:fldChar w:fldCharType="separate"/>
            </w:r>
            <w:r w:rsidR="00EC57CB" w:rsidRPr="00EC57CB">
              <w:rPr>
                <w:noProof/>
                <w:webHidden/>
              </w:rPr>
              <w:t>11</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86" w:history="1">
            <w:r w:rsidR="00EC57CB" w:rsidRPr="00EC57CB">
              <w:rPr>
                <w:rStyle w:val="Hyperlink"/>
                <w:noProof/>
              </w:rPr>
              <w:t>Disadvantages</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_Toc140746986 \h </w:instrText>
            </w:r>
            <w:r w:rsidR="00EC57CB" w:rsidRPr="00EC57CB">
              <w:rPr>
                <w:noProof/>
                <w:webHidden/>
              </w:rPr>
            </w:r>
            <w:r w:rsidR="00EC57CB" w:rsidRPr="00EC57CB">
              <w:rPr>
                <w:noProof/>
                <w:webHidden/>
              </w:rPr>
              <w:fldChar w:fldCharType="separate"/>
            </w:r>
            <w:r w:rsidR="00EC57CB" w:rsidRPr="00EC57CB">
              <w:rPr>
                <w:noProof/>
                <w:webHidden/>
              </w:rPr>
              <w:t>11</w:t>
            </w:r>
            <w:r w:rsidR="00EC57CB" w:rsidRPr="00EC57CB">
              <w:rPr>
                <w:noProof/>
                <w:webHidden/>
              </w:rPr>
              <w:fldChar w:fldCharType="end"/>
            </w:r>
          </w:hyperlink>
        </w:p>
        <w:p w:rsidR="00EC57CB" w:rsidRPr="00EC57CB" w:rsidRDefault="00B30FD9">
          <w:pPr>
            <w:pStyle w:val="TOC2"/>
            <w:tabs>
              <w:tab w:val="right" w:pos="9350"/>
            </w:tabs>
            <w:rPr>
              <w:noProof/>
            </w:rPr>
          </w:pPr>
          <w:hyperlink w:anchor="_Toc140746987" w:history="1">
            <w:r w:rsidR="00EC57CB" w:rsidRPr="00EC57CB">
              <w:rPr>
                <w:rStyle w:val="Hyperlink"/>
                <w:noProof/>
              </w:rPr>
              <w:t>Geocentric Strategy</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_Toc140746987 \h </w:instrText>
            </w:r>
            <w:r w:rsidR="00EC57CB" w:rsidRPr="00EC57CB">
              <w:rPr>
                <w:noProof/>
                <w:webHidden/>
              </w:rPr>
            </w:r>
            <w:r w:rsidR="00EC57CB" w:rsidRPr="00EC57CB">
              <w:rPr>
                <w:noProof/>
                <w:webHidden/>
              </w:rPr>
              <w:fldChar w:fldCharType="separate"/>
            </w:r>
            <w:r w:rsidR="00EC57CB" w:rsidRPr="00EC57CB">
              <w:rPr>
                <w:noProof/>
                <w:webHidden/>
              </w:rPr>
              <w:t>11</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88" w:history="1">
            <w:r w:rsidR="00EC57CB" w:rsidRPr="00EC57CB">
              <w:rPr>
                <w:rStyle w:val="Hyperlink"/>
                <w:noProof/>
              </w:rPr>
              <w:t>Definition</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_Toc140746988 \h </w:instrText>
            </w:r>
            <w:r w:rsidR="00EC57CB" w:rsidRPr="00EC57CB">
              <w:rPr>
                <w:noProof/>
                <w:webHidden/>
              </w:rPr>
            </w:r>
            <w:r w:rsidR="00EC57CB" w:rsidRPr="00EC57CB">
              <w:rPr>
                <w:noProof/>
                <w:webHidden/>
              </w:rPr>
              <w:fldChar w:fldCharType="separate"/>
            </w:r>
            <w:r w:rsidR="00EC57CB" w:rsidRPr="00EC57CB">
              <w:rPr>
                <w:noProof/>
                <w:webHidden/>
              </w:rPr>
              <w:t>11</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89" w:history="1">
            <w:r w:rsidR="00EC57CB" w:rsidRPr="00EC57CB">
              <w:rPr>
                <w:rStyle w:val="Hyperlink"/>
                <w:noProof/>
              </w:rPr>
              <w:t>Function</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_Toc140746989 \h </w:instrText>
            </w:r>
            <w:r w:rsidR="00EC57CB" w:rsidRPr="00EC57CB">
              <w:rPr>
                <w:noProof/>
                <w:webHidden/>
              </w:rPr>
            </w:r>
            <w:r w:rsidR="00EC57CB" w:rsidRPr="00EC57CB">
              <w:rPr>
                <w:noProof/>
                <w:webHidden/>
              </w:rPr>
              <w:fldChar w:fldCharType="separate"/>
            </w:r>
            <w:r w:rsidR="00EC57CB" w:rsidRPr="00EC57CB">
              <w:rPr>
                <w:noProof/>
                <w:webHidden/>
              </w:rPr>
              <w:t>12</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90" w:history="1">
            <w:r w:rsidR="00EC57CB" w:rsidRPr="00EC57CB">
              <w:rPr>
                <w:rStyle w:val="Hyperlink"/>
                <w:noProof/>
              </w:rPr>
              <w:t>Advantages</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_Toc140746990 \h </w:instrText>
            </w:r>
            <w:r w:rsidR="00EC57CB" w:rsidRPr="00EC57CB">
              <w:rPr>
                <w:noProof/>
                <w:webHidden/>
              </w:rPr>
            </w:r>
            <w:r w:rsidR="00EC57CB" w:rsidRPr="00EC57CB">
              <w:rPr>
                <w:noProof/>
                <w:webHidden/>
              </w:rPr>
              <w:fldChar w:fldCharType="separate"/>
            </w:r>
            <w:r w:rsidR="00EC57CB" w:rsidRPr="00EC57CB">
              <w:rPr>
                <w:noProof/>
                <w:webHidden/>
              </w:rPr>
              <w:t>12</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91" w:history="1">
            <w:r w:rsidR="00EC57CB" w:rsidRPr="00EC57CB">
              <w:rPr>
                <w:rStyle w:val="Hyperlink"/>
                <w:noProof/>
              </w:rPr>
              <w:t>Disadvantages</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_Toc140746991 \h </w:instrText>
            </w:r>
            <w:r w:rsidR="00EC57CB" w:rsidRPr="00EC57CB">
              <w:rPr>
                <w:noProof/>
                <w:webHidden/>
              </w:rPr>
            </w:r>
            <w:r w:rsidR="00EC57CB" w:rsidRPr="00EC57CB">
              <w:rPr>
                <w:noProof/>
                <w:webHidden/>
              </w:rPr>
              <w:fldChar w:fldCharType="separate"/>
            </w:r>
            <w:r w:rsidR="00EC57CB" w:rsidRPr="00EC57CB">
              <w:rPr>
                <w:noProof/>
                <w:webHidden/>
              </w:rPr>
              <w:t>12</w:t>
            </w:r>
            <w:r w:rsidR="00EC57CB" w:rsidRPr="00EC57CB">
              <w:rPr>
                <w:noProof/>
                <w:webHidden/>
              </w:rPr>
              <w:fldChar w:fldCharType="end"/>
            </w:r>
          </w:hyperlink>
        </w:p>
        <w:p w:rsidR="00EC57CB" w:rsidRPr="00EC57CB" w:rsidRDefault="00B30FD9">
          <w:pPr>
            <w:pStyle w:val="TOC1"/>
            <w:tabs>
              <w:tab w:val="right" w:pos="9350"/>
            </w:tabs>
            <w:rPr>
              <w:rFonts w:asciiTheme="minorHAnsi" w:eastAsiaTheme="minorEastAsia" w:hAnsiTheme="minorHAnsi" w:cstheme="minorBidi"/>
              <w:noProof/>
              <w:sz w:val="22"/>
              <w:szCs w:val="22"/>
              <w:lang w:val="en-IN"/>
            </w:rPr>
          </w:pPr>
          <w:hyperlink w:anchor="_Toc140746992" w:history="1">
            <w:r w:rsidR="00EC57CB" w:rsidRPr="00EC57CB">
              <w:rPr>
                <w:rStyle w:val="Hyperlink"/>
                <w:noProof/>
              </w:rPr>
              <w:t>Key Decisions for its International Organisational Strategy used</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_Toc140746992 \h </w:instrText>
            </w:r>
            <w:r w:rsidR="00EC57CB" w:rsidRPr="00EC57CB">
              <w:rPr>
                <w:noProof/>
                <w:webHidden/>
              </w:rPr>
            </w:r>
            <w:r w:rsidR="00EC57CB" w:rsidRPr="00EC57CB">
              <w:rPr>
                <w:noProof/>
                <w:webHidden/>
              </w:rPr>
              <w:fldChar w:fldCharType="separate"/>
            </w:r>
            <w:r w:rsidR="00EC57CB" w:rsidRPr="00EC57CB">
              <w:rPr>
                <w:noProof/>
                <w:webHidden/>
              </w:rPr>
              <w:t>12</w:t>
            </w:r>
            <w:r w:rsidR="00EC57CB" w:rsidRPr="00EC57CB">
              <w:rPr>
                <w:noProof/>
                <w:webHidden/>
              </w:rPr>
              <w:fldChar w:fldCharType="end"/>
            </w:r>
          </w:hyperlink>
        </w:p>
        <w:p w:rsidR="00EC57CB" w:rsidRPr="00EC57CB" w:rsidRDefault="00B30FD9">
          <w:pPr>
            <w:pStyle w:val="TOC3"/>
            <w:tabs>
              <w:tab w:val="right" w:pos="9350"/>
            </w:tabs>
            <w:rPr>
              <w:rFonts w:asciiTheme="minorHAnsi" w:eastAsiaTheme="minorEastAsia" w:hAnsiTheme="minorHAnsi" w:cstheme="minorBidi"/>
              <w:noProof/>
              <w:sz w:val="22"/>
              <w:szCs w:val="22"/>
              <w:lang w:val="en-IN"/>
            </w:rPr>
          </w:pPr>
          <w:hyperlink w:anchor="_Toc140746993" w:history="1">
            <w:r w:rsidR="00EC57CB" w:rsidRPr="00EC57CB">
              <w:rPr>
                <w:rStyle w:val="Hyperlink"/>
                <w:noProof/>
              </w:rPr>
              <w:t>Figure 5: Global Market share of British American Tobacco</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_Toc140746993 \h </w:instrText>
            </w:r>
            <w:r w:rsidR="00EC57CB" w:rsidRPr="00EC57CB">
              <w:rPr>
                <w:noProof/>
                <w:webHidden/>
              </w:rPr>
            </w:r>
            <w:r w:rsidR="00EC57CB" w:rsidRPr="00EC57CB">
              <w:rPr>
                <w:noProof/>
                <w:webHidden/>
              </w:rPr>
              <w:fldChar w:fldCharType="separate"/>
            </w:r>
            <w:r w:rsidR="00EC57CB" w:rsidRPr="00EC57CB">
              <w:rPr>
                <w:noProof/>
                <w:webHidden/>
              </w:rPr>
              <w:t>13</w:t>
            </w:r>
            <w:r w:rsidR="00EC57CB" w:rsidRPr="00EC57CB">
              <w:rPr>
                <w:noProof/>
                <w:webHidden/>
              </w:rPr>
              <w:fldChar w:fldCharType="end"/>
            </w:r>
          </w:hyperlink>
        </w:p>
        <w:p w:rsidR="00EC57CB" w:rsidRPr="00EC57CB" w:rsidRDefault="00B30FD9">
          <w:pPr>
            <w:pStyle w:val="TOC1"/>
            <w:tabs>
              <w:tab w:val="right" w:pos="9350"/>
            </w:tabs>
            <w:rPr>
              <w:rFonts w:asciiTheme="minorHAnsi" w:eastAsiaTheme="minorEastAsia" w:hAnsiTheme="minorHAnsi" w:cstheme="minorBidi"/>
              <w:noProof/>
              <w:sz w:val="22"/>
              <w:szCs w:val="22"/>
              <w:lang w:val="en-IN"/>
            </w:rPr>
          </w:pPr>
          <w:hyperlink w:anchor="_Toc140746994" w:history="1">
            <w:r w:rsidR="00EC57CB" w:rsidRPr="00EC57CB">
              <w:rPr>
                <w:rStyle w:val="Hyperlink"/>
                <w:noProof/>
              </w:rPr>
              <w:t>Modes of engagement with the international market and its interconnectedness with the business environment</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_Toc140746994 \h </w:instrText>
            </w:r>
            <w:r w:rsidR="00EC57CB" w:rsidRPr="00EC57CB">
              <w:rPr>
                <w:noProof/>
                <w:webHidden/>
              </w:rPr>
            </w:r>
            <w:r w:rsidR="00EC57CB" w:rsidRPr="00EC57CB">
              <w:rPr>
                <w:noProof/>
                <w:webHidden/>
              </w:rPr>
              <w:fldChar w:fldCharType="separate"/>
            </w:r>
            <w:r w:rsidR="00EC57CB" w:rsidRPr="00EC57CB">
              <w:rPr>
                <w:noProof/>
                <w:webHidden/>
              </w:rPr>
              <w:t>16</w:t>
            </w:r>
            <w:r w:rsidR="00EC57CB" w:rsidRPr="00EC57CB">
              <w:rPr>
                <w:noProof/>
                <w:webHidden/>
              </w:rPr>
              <w:fldChar w:fldCharType="end"/>
            </w:r>
          </w:hyperlink>
        </w:p>
        <w:p w:rsidR="00EC57CB" w:rsidRPr="00EC57CB" w:rsidRDefault="00B30FD9">
          <w:pPr>
            <w:pStyle w:val="TOC1"/>
            <w:tabs>
              <w:tab w:val="right" w:pos="9350"/>
            </w:tabs>
            <w:rPr>
              <w:rFonts w:asciiTheme="minorHAnsi" w:eastAsiaTheme="minorEastAsia" w:hAnsiTheme="minorHAnsi" w:cstheme="minorBidi"/>
              <w:noProof/>
              <w:sz w:val="22"/>
              <w:szCs w:val="22"/>
              <w:lang w:val="en-IN"/>
            </w:rPr>
          </w:pPr>
          <w:hyperlink w:anchor="_Toc140746995" w:history="1">
            <w:r w:rsidR="00EC57CB" w:rsidRPr="00EC57CB">
              <w:rPr>
                <w:rStyle w:val="Hyperlink"/>
                <w:noProof/>
              </w:rPr>
              <w:t>Issues faced by the company in their international strategies</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_Toc140746995 \h </w:instrText>
            </w:r>
            <w:r w:rsidR="00EC57CB" w:rsidRPr="00EC57CB">
              <w:rPr>
                <w:noProof/>
                <w:webHidden/>
              </w:rPr>
            </w:r>
            <w:r w:rsidR="00EC57CB" w:rsidRPr="00EC57CB">
              <w:rPr>
                <w:noProof/>
                <w:webHidden/>
              </w:rPr>
              <w:fldChar w:fldCharType="separate"/>
            </w:r>
            <w:r w:rsidR="00EC57CB" w:rsidRPr="00EC57CB">
              <w:rPr>
                <w:noProof/>
                <w:webHidden/>
              </w:rPr>
              <w:t>20</w:t>
            </w:r>
            <w:r w:rsidR="00EC57CB" w:rsidRPr="00EC57CB">
              <w:rPr>
                <w:noProof/>
                <w:webHidden/>
              </w:rPr>
              <w:fldChar w:fldCharType="end"/>
            </w:r>
          </w:hyperlink>
        </w:p>
        <w:p w:rsidR="00EC57CB" w:rsidRPr="00EC57CB" w:rsidRDefault="00B30FD9">
          <w:pPr>
            <w:pStyle w:val="TOC1"/>
            <w:tabs>
              <w:tab w:val="right" w:pos="9350"/>
            </w:tabs>
            <w:rPr>
              <w:rFonts w:asciiTheme="minorHAnsi" w:eastAsiaTheme="minorEastAsia" w:hAnsiTheme="minorHAnsi" w:cstheme="minorBidi"/>
              <w:noProof/>
              <w:sz w:val="22"/>
              <w:szCs w:val="22"/>
              <w:lang w:val="en-IN"/>
            </w:rPr>
          </w:pPr>
          <w:hyperlink w:anchor="_Toc140746998" w:history="1">
            <w:r w:rsidR="00EC57CB" w:rsidRPr="00EC57CB">
              <w:rPr>
                <w:rStyle w:val="Hyperlink"/>
                <w:noProof/>
              </w:rPr>
              <w:t>Reference List</w:t>
            </w:r>
            <w:r w:rsidR="00EC57CB" w:rsidRPr="00EC57CB">
              <w:rPr>
                <w:noProof/>
                <w:webHidden/>
              </w:rPr>
              <w:tab/>
            </w:r>
            <w:r w:rsidR="00EC57CB" w:rsidRPr="00EC57CB">
              <w:rPr>
                <w:noProof/>
                <w:webHidden/>
              </w:rPr>
              <w:fldChar w:fldCharType="begin"/>
            </w:r>
            <w:r w:rsidR="00EC57CB" w:rsidRPr="00EC57CB">
              <w:rPr>
                <w:noProof/>
                <w:webHidden/>
              </w:rPr>
              <w:instrText xml:space="preserve"> PAGEREF _Toc140746998 \h </w:instrText>
            </w:r>
            <w:r w:rsidR="00EC57CB" w:rsidRPr="00EC57CB">
              <w:rPr>
                <w:noProof/>
                <w:webHidden/>
              </w:rPr>
            </w:r>
            <w:r w:rsidR="00EC57CB" w:rsidRPr="00EC57CB">
              <w:rPr>
                <w:noProof/>
                <w:webHidden/>
              </w:rPr>
              <w:fldChar w:fldCharType="separate"/>
            </w:r>
            <w:r w:rsidR="00EC57CB" w:rsidRPr="00EC57CB">
              <w:rPr>
                <w:noProof/>
                <w:webHidden/>
              </w:rPr>
              <w:t>24</w:t>
            </w:r>
            <w:r w:rsidR="00EC57CB" w:rsidRPr="00EC57CB">
              <w:rPr>
                <w:noProof/>
                <w:webHidden/>
              </w:rPr>
              <w:fldChar w:fldCharType="end"/>
            </w:r>
          </w:hyperlink>
        </w:p>
        <w:p w:rsidR="00AC0445" w:rsidRDefault="00C772AC">
          <w:r w:rsidRPr="00EC57CB">
            <w:fldChar w:fldCharType="end"/>
          </w:r>
        </w:p>
      </w:sdtContent>
    </w:sdt>
    <w:p w:rsidR="005F7E00" w:rsidRDefault="005F7E00" w:rsidP="005F7E00">
      <w:pPr>
        <w:pStyle w:val="Heading1"/>
      </w:pPr>
      <w:r>
        <w:lastRenderedPageBreak/>
        <w:t xml:space="preserve">Introduction </w:t>
      </w:r>
    </w:p>
    <w:p w:rsidR="005F7E00" w:rsidRDefault="005F7E00" w:rsidP="005F7E00">
      <w:r>
        <w:t>British American Tobacco (BAT) is a large producer of tobacco products. The business, which manufactures luxury tobacco and related goods, has mastered the skill of coming up with creative solutions to difficulties and hence continues to hold a dominant position in its niche market (</w:t>
      </w:r>
      <w:proofErr w:type="spellStart"/>
      <w:r>
        <w:rPr>
          <w:color w:val="222222"/>
          <w:highlight w:val="white"/>
        </w:rPr>
        <w:t>Robichaud</w:t>
      </w:r>
      <w:proofErr w:type="spellEnd"/>
      <w:r>
        <w:rPr>
          <w:i/>
          <w:color w:val="222222"/>
          <w:highlight w:val="white"/>
        </w:rPr>
        <w:t xml:space="preserve"> et al.</w:t>
      </w:r>
      <w:r>
        <w:rPr>
          <w:color w:val="222222"/>
          <w:highlight w:val="white"/>
        </w:rPr>
        <w:t>, 2020)</w:t>
      </w:r>
      <w:r>
        <w:t>. Over time, responses and limitations have only marginally hurt the company. The Dow Jones Sustainability Indices (DJSI), an index encompassing the top 10% of those with more than 10,000 firms reviewed, included BAT for the twentieth consecutive year in November 2021 (</w:t>
      </w:r>
      <w:proofErr w:type="spellStart"/>
      <w:r>
        <w:rPr>
          <w:color w:val="222222"/>
          <w:highlight w:val="white"/>
        </w:rPr>
        <w:t>Heidt</w:t>
      </w:r>
      <w:proofErr w:type="spellEnd"/>
      <w:r>
        <w:rPr>
          <w:color w:val="222222"/>
          <w:highlight w:val="white"/>
        </w:rPr>
        <w:t xml:space="preserve"> </w:t>
      </w:r>
      <w:r>
        <w:rPr>
          <w:i/>
          <w:color w:val="222222"/>
          <w:highlight w:val="white"/>
        </w:rPr>
        <w:t>et al</w:t>
      </w:r>
      <w:r>
        <w:rPr>
          <w:color w:val="222222"/>
          <w:highlight w:val="white"/>
        </w:rPr>
        <w:t>., 2023)</w:t>
      </w:r>
      <w:r>
        <w:t xml:space="preserve">. Imperial Tobacco of the UK, Japan Tobacco </w:t>
      </w:r>
      <w:proofErr w:type="gramStart"/>
      <w:r>
        <w:t>Foreign(</w:t>
      </w:r>
      <w:proofErr w:type="gramEnd"/>
      <w:r>
        <w:t>JTI), and Philips Morris International (PMI) are BAT’s primary rivals in the UK and foreign markets. In the UK market, JTI and imperial cigarettes generate the greatest revenues.</w:t>
      </w:r>
    </w:p>
    <w:p w:rsidR="005F7E00" w:rsidRDefault="005F7E00" w:rsidP="005F7E00">
      <w:pPr>
        <w:pStyle w:val="Heading1"/>
      </w:pPr>
      <w:r>
        <w:t>International Business Environment</w:t>
      </w:r>
    </w:p>
    <w:p w:rsidR="005F7E00" w:rsidRDefault="005F7E00" w:rsidP="005F7E00">
      <w:r>
        <w:t>The assessment for an organisation to establish its sustainable expansion into foreign grounds will require understanding the various regulatory actions and the need for technological advancement to develop a smooth transition in the chosen external market (</w:t>
      </w:r>
      <w:proofErr w:type="spellStart"/>
      <w:r>
        <w:t>Antoshkina</w:t>
      </w:r>
      <w:proofErr w:type="spellEnd"/>
      <w:r>
        <w:t xml:space="preserve"> and </w:t>
      </w:r>
      <w:proofErr w:type="spellStart"/>
      <w:r>
        <w:t>Zinina</w:t>
      </w:r>
      <w:proofErr w:type="spellEnd"/>
      <w:r>
        <w:t xml:space="preserve">, 2019). Thus, the expansion of British American Tobacco to the Romanian markets has been possible due to the environmental analysis of the various factors that affect the market for the company. </w:t>
      </w:r>
    </w:p>
    <w:p w:rsidR="005F7E00" w:rsidRDefault="005F7E00" w:rsidP="005F7E00">
      <w:r>
        <w:rPr>
          <w:b/>
        </w:rPr>
        <w:t>Volatility:</w:t>
      </w:r>
    </w:p>
    <w:p w:rsidR="005F7E00" w:rsidRDefault="005F7E00" w:rsidP="005F7E00">
      <w:r>
        <w:rPr>
          <w:i/>
        </w:rPr>
        <w:t>Regulatory Changes:</w:t>
      </w:r>
      <w:r>
        <w:t xml:space="preserve"> In Romania, the regulatory actions surrounding tobacco advertising, promotion, and sponsorship are aimed at limiting the exposure of the population to tobacco-related content and reducing the attractiveness of tobacco products (Tobacco Control Laws, 2022). The regulations cover various forms of media and promotional activities.</w:t>
      </w:r>
    </w:p>
    <w:p w:rsidR="005F7E00" w:rsidRDefault="005F7E00" w:rsidP="005F7E00">
      <w:pPr>
        <w:numPr>
          <w:ilvl w:val="0"/>
          <w:numId w:val="10"/>
        </w:numPr>
      </w:pPr>
      <w:r>
        <w:t xml:space="preserve">In Romania, advertising of tobacco is not allowed on radio, TV, radio, newspapers, magazines, and other forms of print media. There are also restrictions on advertising in various contexts of magazines and newspapers on international bases. </w:t>
      </w:r>
    </w:p>
    <w:p w:rsidR="005F7E00" w:rsidRDefault="005F7E00" w:rsidP="005F7E00">
      <w:pPr>
        <w:numPr>
          <w:ilvl w:val="0"/>
          <w:numId w:val="10"/>
        </w:numPr>
      </w:pPr>
      <w:r>
        <w:t xml:space="preserve">Internet communications have some limitations, outdoor advertising is banned, and there are limitations on point-of-sale advertising and promotions. </w:t>
      </w:r>
    </w:p>
    <w:p w:rsidR="005F7E00" w:rsidRDefault="005F7E00" w:rsidP="005F7E00">
      <w:pPr>
        <w:numPr>
          <w:ilvl w:val="0"/>
          <w:numId w:val="10"/>
        </w:numPr>
      </w:pPr>
      <w:r>
        <w:t xml:space="preserve">Promotional activities regarding tobacco have certain obstacles such as the free distribution of tobacco products, while competitions are allowed regarding tobacco products. </w:t>
      </w:r>
    </w:p>
    <w:p w:rsidR="005F7E00" w:rsidRDefault="005F7E00" w:rsidP="005F7E00">
      <w:pPr>
        <w:rPr>
          <w:b/>
        </w:rPr>
      </w:pPr>
    </w:p>
    <w:p w:rsidR="00AC0445" w:rsidRDefault="00C772AC" w:rsidP="005F7E00">
      <w:pPr>
        <w:pStyle w:val="Heading1"/>
      </w:pPr>
      <w:r>
        <w:br w:type="page"/>
      </w:r>
      <w:r w:rsidR="00641613">
        <w:lastRenderedPageBreak/>
        <w:t xml:space="preserve">         </w:t>
      </w:r>
      <w:bookmarkStart w:id="1" w:name="_GoBack"/>
      <w:bookmarkEnd w:id="1"/>
      <w:r w:rsidR="005F7E00">
        <w:t xml:space="preserve"> </w:t>
      </w:r>
      <w:r>
        <w:t xml:space="preserve">Direct targeting of person oriented is permitted, as well as brand stretching for non-tobacco products using tobacco brand names. However, the use of toys or candy resembling tobacco products is prohibited. </w:t>
      </w:r>
    </w:p>
    <w:p w:rsidR="00AC0445" w:rsidRDefault="00C772AC">
      <w:pPr>
        <w:numPr>
          <w:ilvl w:val="0"/>
          <w:numId w:val="10"/>
        </w:numPr>
      </w:pPr>
      <w:r>
        <w:t>The sponsorship of events, individuals, or organisations by the tobacco industry is regulated, and the publicity of such sponsorships is limited.</w:t>
      </w:r>
    </w:p>
    <w:p w:rsidR="00AC0445" w:rsidRDefault="00C772AC">
      <w:r>
        <w:rPr>
          <w:i/>
        </w:rPr>
        <w:t xml:space="preserve">Market Demand: </w:t>
      </w:r>
      <w:r>
        <w:t>According to Global Data (2021), the market demand for Tobacco in Romania has always been high when compared to the growing data of 2020. The Romanian cigarettes market had a value of 5.4 billion pounds in 2020 and is projected to grow at a CAGR of over 3% from 2021 to 2025.</w:t>
      </w:r>
    </w:p>
    <w:p w:rsidR="00AC0445" w:rsidRDefault="00C772AC">
      <w:pPr>
        <w:jc w:val="left"/>
      </w:pPr>
      <w:r>
        <w:rPr>
          <w:noProof/>
          <w:lang w:val="en-IN"/>
        </w:rPr>
        <w:drawing>
          <wp:inline distT="114300" distB="114300" distL="114300" distR="114300">
            <wp:extent cx="5943600" cy="2489200"/>
            <wp:effectExtent l="0" t="0" r="0" b="0"/>
            <wp:docPr id="21"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5943600" cy="2489200"/>
                    </a:xfrm>
                    <a:prstGeom prst="rect">
                      <a:avLst/>
                    </a:prstGeom>
                    <a:ln/>
                  </pic:spPr>
                </pic:pic>
              </a:graphicData>
            </a:graphic>
          </wp:inline>
        </w:drawing>
      </w:r>
    </w:p>
    <w:p w:rsidR="00AC0445" w:rsidRDefault="00C772AC">
      <w:pPr>
        <w:jc w:val="center"/>
        <w:rPr>
          <w:b/>
        </w:rPr>
      </w:pPr>
      <w:r>
        <w:rPr>
          <w:b/>
        </w:rPr>
        <w:t>Figure 1: Tobacco Market in Romania 2020</w:t>
      </w:r>
    </w:p>
    <w:p w:rsidR="00AC0445" w:rsidRDefault="00C772AC">
      <w:pPr>
        <w:jc w:val="center"/>
      </w:pPr>
      <w:r>
        <w:t>(Source: Global Data, 2021)</w:t>
      </w:r>
    </w:p>
    <w:p w:rsidR="00AC0445" w:rsidRDefault="00C772AC">
      <w:r>
        <w:t xml:space="preserve">In terms of the recent data collected from </w:t>
      </w:r>
      <w:proofErr w:type="spellStart"/>
      <w:r>
        <w:t>Statista</w:t>
      </w:r>
      <w:proofErr w:type="spellEnd"/>
      <w:r>
        <w:t xml:space="preserve"> (2023), the figures have developed a significant growth demonstrating the demand nature of Tobacco in the Romanian markets. </w:t>
      </w:r>
    </w:p>
    <w:p w:rsidR="00AC0445" w:rsidRDefault="00C772AC">
      <w:pPr>
        <w:numPr>
          <w:ilvl w:val="0"/>
          <w:numId w:val="1"/>
        </w:numPr>
      </w:pPr>
      <w:r>
        <w:t xml:space="preserve">The projected reach for the total revenue of the Tobacco market in Romania was 7.83 billion pounds in 2023, with an expected annual growth rate of 4.43% between 2023 and 2027. </w:t>
      </w:r>
    </w:p>
    <w:p w:rsidR="00AC0445" w:rsidRDefault="00C772AC">
      <w:pPr>
        <w:numPr>
          <w:ilvl w:val="0"/>
          <w:numId w:val="1"/>
        </w:numPr>
      </w:pPr>
      <w:r>
        <w:t xml:space="preserve">Out of all the products promoting tobacco, cigarettes have had the largest holding segment which is anticipated to have a market volume of 7.63 billion pounds in 2023. </w:t>
      </w:r>
    </w:p>
    <w:p w:rsidR="00AC0445" w:rsidRDefault="00C772AC">
      <w:pPr>
        <w:numPr>
          <w:ilvl w:val="0"/>
          <w:numId w:val="1"/>
        </w:numPr>
      </w:pPr>
      <w:r>
        <w:t xml:space="preserve">Online sales are expected to contribute 0.1% of revenue to the tobacco market. </w:t>
      </w:r>
    </w:p>
    <w:p w:rsidR="00AC0445" w:rsidRDefault="00C772AC">
      <w:pPr>
        <w:numPr>
          <w:ilvl w:val="0"/>
          <w:numId w:val="1"/>
        </w:numPr>
      </w:pPr>
      <w:r>
        <w:t xml:space="preserve">In terms of per capita figures, each person is expected to generate revenues of 487.20 pounds in the Tobacco Products market in 2023. </w:t>
      </w:r>
    </w:p>
    <w:p w:rsidR="00AC0445" w:rsidRDefault="00C772AC">
      <w:pPr>
        <w:jc w:val="center"/>
      </w:pPr>
      <w:r>
        <w:rPr>
          <w:noProof/>
          <w:lang w:val="en-IN"/>
        </w:rPr>
        <w:lastRenderedPageBreak/>
        <w:drawing>
          <wp:inline distT="114300" distB="114300" distL="114300" distR="114300">
            <wp:extent cx="5943600" cy="2781300"/>
            <wp:effectExtent l="0" t="0" r="0" b="0"/>
            <wp:docPr id="23"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0"/>
                    <a:srcRect/>
                    <a:stretch>
                      <a:fillRect/>
                    </a:stretch>
                  </pic:blipFill>
                  <pic:spPr>
                    <a:xfrm>
                      <a:off x="0" y="0"/>
                      <a:ext cx="5943600" cy="2781300"/>
                    </a:xfrm>
                    <a:prstGeom prst="rect">
                      <a:avLst/>
                    </a:prstGeom>
                    <a:ln/>
                  </pic:spPr>
                </pic:pic>
              </a:graphicData>
            </a:graphic>
          </wp:inline>
        </w:drawing>
      </w:r>
    </w:p>
    <w:p w:rsidR="00AC0445" w:rsidRDefault="00C772AC">
      <w:pPr>
        <w:jc w:val="center"/>
        <w:rPr>
          <w:b/>
        </w:rPr>
      </w:pPr>
      <w:r>
        <w:rPr>
          <w:b/>
        </w:rPr>
        <w:t>Figure 2: Revenue by Segment for Tobacco in Romania</w:t>
      </w:r>
    </w:p>
    <w:p w:rsidR="00AC0445" w:rsidRDefault="00C772AC">
      <w:pPr>
        <w:jc w:val="center"/>
      </w:pPr>
      <w:r>
        <w:t xml:space="preserve">(Source: </w:t>
      </w:r>
      <w:proofErr w:type="spellStart"/>
      <w:r>
        <w:t>Statista</w:t>
      </w:r>
      <w:proofErr w:type="spellEnd"/>
      <w:r>
        <w:t>, 2023)</w:t>
      </w:r>
    </w:p>
    <w:p w:rsidR="00AC0445" w:rsidRDefault="00C772AC">
      <w:pPr>
        <w:jc w:val="left"/>
        <w:rPr>
          <w:b/>
        </w:rPr>
      </w:pPr>
      <w:r>
        <w:rPr>
          <w:b/>
        </w:rPr>
        <w:t xml:space="preserve">Uncertainty: </w:t>
      </w:r>
    </w:p>
    <w:p w:rsidR="00AC0445" w:rsidRDefault="00C772AC">
      <w:r>
        <w:rPr>
          <w:i/>
        </w:rPr>
        <w:t>Political Stability:</w:t>
      </w:r>
      <w:r>
        <w:t xml:space="preserve"> When it comes to uncertainty, Romania’s political stability plays a crucial role. Romania's average value in 1996 was 0.24 points, which reached its lowest value of -0.38 points in 2000 and its highest value of 0.6 points. The most recent value in 2021 is 0.53 points. In comparison, the global average in 2021, considering data from more than 190 countries, is -0.07 points (The Global Economy, 2022). This develops an unpredictable landscape of the political stability of Romania with shifts in government policies and priorities which hampers the stability of the tobacco organisations as well. </w:t>
      </w:r>
    </w:p>
    <w:p w:rsidR="00AC0445" w:rsidRDefault="00C772AC">
      <w:pPr>
        <w:jc w:val="center"/>
      </w:pPr>
      <w:r>
        <w:rPr>
          <w:noProof/>
          <w:lang w:val="en-IN"/>
        </w:rPr>
        <w:drawing>
          <wp:inline distT="114300" distB="114300" distL="114300" distR="114300">
            <wp:extent cx="5943600" cy="2565400"/>
            <wp:effectExtent l="0" t="0" r="0" b="0"/>
            <wp:docPr id="2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1"/>
                    <a:srcRect/>
                    <a:stretch>
                      <a:fillRect/>
                    </a:stretch>
                  </pic:blipFill>
                  <pic:spPr>
                    <a:xfrm>
                      <a:off x="0" y="0"/>
                      <a:ext cx="5943600" cy="2565400"/>
                    </a:xfrm>
                    <a:prstGeom prst="rect">
                      <a:avLst/>
                    </a:prstGeom>
                    <a:ln/>
                  </pic:spPr>
                </pic:pic>
              </a:graphicData>
            </a:graphic>
          </wp:inline>
        </w:drawing>
      </w:r>
    </w:p>
    <w:p w:rsidR="00AC0445" w:rsidRDefault="00C772AC">
      <w:pPr>
        <w:jc w:val="center"/>
        <w:rPr>
          <w:b/>
        </w:rPr>
      </w:pPr>
      <w:r>
        <w:rPr>
          <w:b/>
        </w:rPr>
        <w:lastRenderedPageBreak/>
        <w:t>Figure 3: Political Stability of Romania</w:t>
      </w:r>
    </w:p>
    <w:p w:rsidR="00AC0445" w:rsidRDefault="00C772AC">
      <w:pPr>
        <w:jc w:val="center"/>
      </w:pPr>
      <w:r>
        <w:t>(Source: The Global Economy, 2022)</w:t>
      </w:r>
    </w:p>
    <w:p w:rsidR="00AC0445" w:rsidRDefault="00C772AC">
      <w:pPr>
        <w:jc w:val="left"/>
      </w:pPr>
      <w:r>
        <w:rPr>
          <w:i/>
        </w:rPr>
        <w:t>Competitiveness:</w:t>
      </w:r>
      <w:r>
        <w:t xml:space="preserve"> The competitive market of the Tobacco Industry in Romania depends on a few factors. </w:t>
      </w:r>
    </w:p>
    <w:p w:rsidR="00AC0445" w:rsidRDefault="00C772AC">
      <w:pPr>
        <w:widowControl w:val="0"/>
        <w:numPr>
          <w:ilvl w:val="0"/>
          <w:numId w:val="3"/>
        </w:numPr>
        <w:pBdr>
          <w:top w:val="nil"/>
          <w:left w:val="nil"/>
          <w:bottom w:val="nil"/>
          <w:right w:val="nil"/>
          <w:between w:val="nil"/>
        </w:pBdr>
        <w:spacing w:line="276" w:lineRule="auto"/>
        <w:jc w:val="left"/>
      </w:pPr>
      <w:r>
        <w:t xml:space="preserve">The demographic distribution of Tobacco consumption is </w:t>
      </w:r>
      <w:proofErr w:type="gramStart"/>
      <w:r>
        <w:t>maximum</w:t>
      </w:r>
      <w:proofErr w:type="gramEnd"/>
      <w:r>
        <w:t xml:space="preserve"> within the age group of 35-44 years amounting to approximately 28.8% of the total consumption as shown in Figure 4 (</w:t>
      </w:r>
      <w:proofErr w:type="spellStart"/>
      <w:r>
        <w:t>Statista</w:t>
      </w:r>
      <w:proofErr w:type="spellEnd"/>
      <w:r>
        <w:t xml:space="preserve">, 2023). </w:t>
      </w:r>
    </w:p>
    <w:p w:rsidR="00AC0445" w:rsidRDefault="00C772AC">
      <w:pPr>
        <w:widowControl w:val="0"/>
        <w:pBdr>
          <w:top w:val="nil"/>
          <w:left w:val="nil"/>
          <w:bottom w:val="nil"/>
          <w:right w:val="nil"/>
          <w:between w:val="nil"/>
        </w:pBdr>
        <w:spacing w:line="276" w:lineRule="auto"/>
        <w:jc w:val="center"/>
      </w:pPr>
      <w:r>
        <w:rPr>
          <w:noProof/>
          <w:lang w:val="en-IN"/>
        </w:rPr>
        <w:drawing>
          <wp:inline distT="114300" distB="114300" distL="114300" distR="114300">
            <wp:extent cx="5943600" cy="2933700"/>
            <wp:effectExtent l="0" t="0" r="0" b="0"/>
            <wp:docPr id="2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2"/>
                    <a:srcRect/>
                    <a:stretch>
                      <a:fillRect/>
                    </a:stretch>
                  </pic:blipFill>
                  <pic:spPr>
                    <a:xfrm>
                      <a:off x="0" y="0"/>
                      <a:ext cx="5943600" cy="2933700"/>
                    </a:xfrm>
                    <a:prstGeom prst="rect">
                      <a:avLst/>
                    </a:prstGeom>
                    <a:ln/>
                  </pic:spPr>
                </pic:pic>
              </a:graphicData>
            </a:graphic>
          </wp:inline>
        </w:drawing>
      </w:r>
    </w:p>
    <w:p w:rsidR="00AC0445" w:rsidRDefault="00C772AC">
      <w:pPr>
        <w:widowControl w:val="0"/>
        <w:pBdr>
          <w:top w:val="nil"/>
          <w:left w:val="nil"/>
          <w:bottom w:val="nil"/>
          <w:right w:val="nil"/>
          <w:between w:val="nil"/>
        </w:pBdr>
        <w:spacing w:line="276" w:lineRule="auto"/>
        <w:jc w:val="center"/>
        <w:rPr>
          <w:b/>
        </w:rPr>
      </w:pPr>
      <w:r>
        <w:rPr>
          <w:b/>
        </w:rPr>
        <w:t>Figure 4: Demographic Tobacco users by age</w:t>
      </w:r>
    </w:p>
    <w:p w:rsidR="00AC0445" w:rsidRDefault="00C772AC">
      <w:pPr>
        <w:widowControl w:val="0"/>
        <w:pBdr>
          <w:top w:val="nil"/>
          <w:left w:val="nil"/>
          <w:bottom w:val="nil"/>
          <w:right w:val="nil"/>
          <w:between w:val="nil"/>
        </w:pBdr>
        <w:spacing w:line="276" w:lineRule="auto"/>
        <w:jc w:val="center"/>
      </w:pPr>
      <w:r>
        <w:t xml:space="preserve">(Source: </w:t>
      </w:r>
      <w:proofErr w:type="spellStart"/>
      <w:r>
        <w:t>Statista</w:t>
      </w:r>
      <w:proofErr w:type="spellEnd"/>
      <w:r>
        <w:t>, 2023)</w:t>
      </w:r>
    </w:p>
    <w:p w:rsidR="00AC0445" w:rsidRDefault="00C772AC">
      <w:pPr>
        <w:numPr>
          <w:ilvl w:val="0"/>
          <w:numId w:val="2"/>
        </w:numPr>
      </w:pPr>
      <w:r>
        <w:t>The income group distribution is average for the majority of the population with a consumption of 31.3% by low-income, 34.2% by medium-income and 34.5% by high-income (</w:t>
      </w:r>
      <w:proofErr w:type="spellStart"/>
      <w:r>
        <w:t>Statista</w:t>
      </w:r>
      <w:proofErr w:type="spellEnd"/>
      <w:r>
        <w:t xml:space="preserve">, 2023). Thus, providing a strong point against uncertainty for BAT. </w:t>
      </w:r>
    </w:p>
    <w:p w:rsidR="00AC0445" w:rsidRDefault="00C772AC">
      <w:pPr>
        <w:jc w:val="center"/>
      </w:pPr>
      <w:r>
        <w:rPr>
          <w:noProof/>
          <w:lang w:val="en-IN"/>
        </w:rPr>
        <w:lastRenderedPageBreak/>
        <w:drawing>
          <wp:inline distT="114300" distB="114300" distL="114300" distR="114300">
            <wp:extent cx="4191000" cy="3143250"/>
            <wp:effectExtent l="0" t="0" r="0" b="0"/>
            <wp:docPr id="24"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4191000" cy="3143250"/>
                    </a:xfrm>
                    <a:prstGeom prst="rect">
                      <a:avLst/>
                    </a:prstGeom>
                    <a:ln/>
                  </pic:spPr>
                </pic:pic>
              </a:graphicData>
            </a:graphic>
          </wp:inline>
        </w:drawing>
      </w:r>
    </w:p>
    <w:p w:rsidR="00AC0445" w:rsidRDefault="00C772AC">
      <w:pPr>
        <w:jc w:val="center"/>
        <w:rPr>
          <w:b/>
        </w:rPr>
      </w:pPr>
      <w:r>
        <w:rPr>
          <w:b/>
        </w:rPr>
        <w:t>Figure 5: Demographic Tobacco Users by Income</w:t>
      </w:r>
    </w:p>
    <w:p w:rsidR="00AC0445" w:rsidRDefault="00C772AC">
      <w:pPr>
        <w:jc w:val="center"/>
      </w:pPr>
      <w:r>
        <w:t xml:space="preserve">(Source: </w:t>
      </w:r>
      <w:proofErr w:type="spellStart"/>
      <w:r>
        <w:t>Statista</w:t>
      </w:r>
      <w:proofErr w:type="spellEnd"/>
      <w:r>
        <w:t>, 2023)</w:t>
      </w:r>
    </w:p>
    <w:p w:rsidR="00AC0445" w:rsidRDefault="00C772AC">
      <w:pPr>
        <w:numPr>
          <w:ilvl w:val="0"/>
          <w:numId w:val="5"/>
        </w:numPr>
        <w:jc w:val="left"/>
      </w:pPr>
      <w:r>
        <w:t xml:space="preserve">Lastly, the success of BAT has been significant in the competitive market of the Tobacco Industry in Romania. In 2020, British American Tobacco held the top position as the leading company in the Romanian tobacco industry, generating </w:t>
      </w:r>
      <w:proofErr w:type="gramStart"/>
      <w:r>
        <w:t>a revenue</w:t>
      </w:r>
      <w:proofErr w:type="gramEnd"/>
      <w:r>
        <w:t xml:space="preserve"> of 19.51 billion Pounds. J.T International secured the second position in terms of revenue in the same year (</w:t>
      </w:r>
      <w:proofErr w:type="spellStart"/>
      <w:r>
        <w:t>Statista</w:t>
      </w:r>
      <w:proofErr w:type="spellEnd"/>
      <w:r>
        <w:t xml:space="preserve"> Research Department, 2023).</w:t>
      </w:r>
    </w:p>
    <w:p w:rsidR="00AC0445" w:rsidRDefault="00C772AC">
      <w:pPr>
        <w:jc w:val="center"/>
      </w:pPr>
      <w:r>
        <w:rPr>
          <w:noProof/>
          <w:lang w:val="en-IN"/>
        </w:rPr>
        <w:drawing>
          <wp:inline distT="114300" distB="114300" distL="114300" distR="114300">
            <wp:extent cx="5133975" cy="3105150"/>
            <wp:effectExtent l="0" t="0" r="0" b="0"/>
            <wp:docPr id="2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5133975" cy="3105150"/>
                    </a:xfrm>
                    <a:prstGeom prst="rect">
                      <a:avLst/>
                    </a:prstGeom>
                    <a:ln/>
                  </pic:spPr>
                </pic:pic>
              </a:graphicData>
            </a:graphic>
          </wp:inline>
        </w:drawing>
      </w:r>
    </w:p>
    <w:p w:rsidR="00AC0445" w:rsidRDefault="00C772AC">
      <w:pPr>
        <w:jc w:val="center"/>
        <w:rPr>
          <w:b/>
        </w:rPr>
      </w:pPr>
      <w:r>
        <w:rPr>
          <w:b/>
        </w:rPr>
        <w:lastRenderedPageBreak/>
        <w:t>Figure 6: Competitive Market of Tobacco Industry in Romania</w:t>
      </w:r>
    </w:p>
    <w:p w:rsidR="00AC0445" w:rsidRDefault="00C772AC">
      <w:pPr>
        <w:jc w:val="center"/>
      </w:pPr>
      <w:r>
        <w:t xml:space="preserve">(Source: </w:t>
      </w:r>
      <w:proofErr w:type="spellStart"/>
      <w:r>
        <w:t>Statista</w:t>
      </w:r>
      <w:proofErr w:type="spellEnd"/>
      <w:r>
        <w:t xml:space="preserve"> Research Department, 2023)</w:t>
      </w:r>
    </w:p>
    <w:p w:rsidR="00AC0445" w:rsidRDefault="00C772AC">
      <w:pPr>
        <w:jc w:val="left"/>
        <w:rPr>
          <w:b/>
        </w:rPr>
      </w:pPr>
      <w:r>
        <w:rPr>
          <w:b/>
        </w:rPr>
        <w:t>Complexity:</w:t>
      </w:r>
    </w:p>
    <w:p w:rsidR="00AC0445" w:rsidRDefault="00C772AC">
      <w:pPr>
        <w:jc w:val="left"/>
      </w:pPr>
      <w:r>
        <w:t xml:space="preserve">As tobacco consumption causes severe health complications, the health considerations of the country can be defined as the core requirement. </w:t>
      </w:r>
    </w:p>
    <w:p w:rsidR="00AC0445" w:rsidRDefault="00C772AC">
      <w:pPr>
        <w:numPr>
          <w:ilvl w:val="0"/>
          <w:numId w:val="6"/>
        </w:numPr>
        <w:jc w:val="left"/>
      </w:pPr>
      <w:r>
        <w:t xml:space="preserve">Between the years 2000 and 2019, life expectancy in Romania saw an improvement of over four years. However, in 2020, it experienced a temporary decline of 1.4 years due to the impact of the COVID-19 pandemic (European Commission, 2021). </w:t>
      </w:r>
    </w:p>
    <w:p w:rsidR="00AC0445" w:rsidRDefault="00C772AC">
      <w:pPr>
        <w:jc w:val="center"/>
      </w:pPr>
      <w:r>
        <w:rPr>
          <w:noProof/>
          <w:lang w:val="en-IN"/>
        </w:rPr>
        <w:drawing>
          <wp:inline distT="114300" distB="114300" distL="114300" distR="114300">
            <wp:extent cx="2600325" cy="1733550"/>
            <wp:effectExtent l="0" t="0" r="0" b="0"/>
            <wp:docPr id="26"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5"/>
                    <a:srcRect/>
                    <a:stretch>
                      <a:fillRect/>
                    </a:stretch>
                  </pic:blipFill>
                  <pic:spPr>
                    <a:xfrm>
                      <a:off x="0" y="0"/>
                      <a:ext cx="2600325" cy="1733550"/>
                    </a:xfrm>
                    <a:prstGeom prst="rect">
                      <a:avLst/>
                    </a:prstGeom>
                    <a:ln/>
                  </pic:spPr>
                </pic:pic>
              </a:graphicData>
            </a:graphic>
          </wp:inline>
        </w:drawing>
      </w:r>
    </w:p>
    <w:p w:rsidR="00AC0445" w:rsidRDefault="00C772AC">
      <w:pPr>
        <w:jc w:val="center"/>
        <w:rPr>
          <w:b/>
        </w:rPr>
      </w:pPr>
      <w:r>
        <w:rPr>
          <w:b/>
        </w:rPr>
        <w:t>Figure 7: Life expectancy in Romania</w:t>
      </w:r>
    </w:p>
    <w:p w:rsidR="00AC0445" w:rsidRDefault="00C772AC">
      <w:pPr>
        <w:jc w:val="center"/>
      </w:pPr>
      <w:r>
        <w:t>(Source: European Commission, 2021)</w:t>
      </w:r>
    </w:p>
    <w:p w:rsidR="00AC0445" w:rsidRDefault="00C772AC">
      <w:pPr>
        <w:numPr>
          <w:ilvl w:val="0"/>
          <w:numId w:val="9"/>
        </w:numPr>
        <w:jc w:val="left"/>
      </w:pPr>
      <w:r>
        <w:t xml:space="preserve">Health risk factors are very vital as they contribute to approximately half of the death causes in Romania. When compared to alcohol consumption, smoking is comparatively lower according to the EU Average (European Commission, 2021). </w:t>
      </w:r>
    </w:p>
    <w:p w:rsidR="00AC0445" w:rsidRDefault="00C772AC">
      <w:pPr>
        <w:jc w:val="center"/>
      </w:pPr>
      <w:r>
        <w:rPr>
          <w:noProof/>
          <w:lang w:val="en-IN"/>
        </w:rPr>
        <w:drawing>
          <wp:inline distT="114300" distB="114300" distL="114300" distR="114300">
            <wp:extent cx="2476500" cy="1562100"/>
            <wp:effectExtent l="0" t="0" r="0" b="0"/>
            <wp:docPr id="29"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6"/>
                    <a:srcRect/>
                    <a:stretch>
                      <a:fillRect/>
                    </a:stretch>
                  </pic:blipFill>
                  <pic:spPr>
                    <a:xfrm>
                      <a:off x="0" y="0"/>
                      <a:ext cx="2476500" cy="1562100"/>
                    </a:xfrm>
                    <a:prstGeom prst="rect">
                      <a:avLst/>
                    </a:prstGeom>
                    <a:ln/>
                  </pic:spPr>
                </pic:pic>
              </a:graphicData>
            </a:graphic>
          </wp:inline>
        </w:drawing>
      </w:r>
    </w:p>
    <w:p w:rsidR="00AC0445" w:rsidRDefault="00C772AC">
      <w:pPr>
        <w:jc w:val="center"/>
        <w:rPr>
          <w:b/>
        </w:rPr>
      </w:pPr>
      <w:r>
        <w:rPr>
          <w:b/>
        </w:rPr>
        <w:t>Figure 8: Health Risk Factors in Romania</w:t>
      </w:r>
    </w:p>
    <w:p w:rsidR="00AC0445" w:rsidRDefault="00C772AC">
      <w:pPr>
        <w:jc w:val="center"/>
      </w:pPr>
      <w:r>
        <w:t>(Source: European Commission, 2021)</w:t>
      </w:r>
    </w:p>
    <w:p w:rsidR="00AC0445" w:rsidRDefault="00C772AC">
      <w:pPr>
        <w:numPr>
          <w:ilvl w:val="0"/>
          <w:numId w:val="8"/>
        </w:numPr>
        <w:jc w:val="left"/>
      </w:pPr>
      <w:r>
        <w:t xml:space="preserve">As tobacco brings the threat of cancer to a large amount, its vitality holds major grounds in the success of tobacco companies. According to projections, around 95,000 new cancer </w:t>
      </w:r>
      <w:r>
        <w:lastRenderedPageBreak/>
        <w:t xml:space="preserve">cases and 54,000 cancer-related deaths were expected in Romania in 2020 (European Commission, 2021). </w:t>
      </w:r>
    </w:p>
    <w:p w:rsidR="00AC0445" w:rsidRDefault="00C772AC">
      <w:pPr>
        <w:jc w:val="center"/>
      </w:pPr>
      <w:r>
        <w:rPr>
          <w:noProof/>
          <w:lang w:val="en-IN"/>
        </w:rPr>
        <w:drawing>
          <wp:inline distT="114300" distB="114300" distL="114300" distR="114300">
            <wp:extent cx="5943600" cy="2882900"/>
            <wp:effectExtent l="0" t="0" r="0" b="0"/>
            <wp:docPr id="28"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7"/>
                    <a:srcRect/>
                    <a:stretch>
                      <a:fillRect/>
                    </a:stretch>
                  </pic:blipFill>
                  <pic:spPr>
                    <a:xfrm>
                      <a:off x="0" y="0"/>
                      <a:ext cx="5943600" cy="2882900"/>
                    </a:xfrm>
                    <a:prstGeom prst="rect">
                      <a:avLst/>
                    </a:prstGeom>
                    <a:ln/>
                  </pic:spPr>
                </pic:pic>
              </a:graphicData>
            </a:graphic>
          </wp:inline>
        </w:drawing>
      </w:r>
    </w:p>
    <w:p w:rsidR="00AC0445" w:rsidRDefault="00C772AC">
      <w:pPr>
        <w:jc w:val="center"/>
        <w:rPr>
          <w:b/>
        </w:rPr>
      </w:pPr>
      <w:r>
        <w:rPr>
          <w:b/>
        </w:rPr>
        <w:t>Figure 9: Cancer Diagnosed rate in Romania</w:t>
      </w:r>
    </w:p>
    <w:p w:rsidR="00AC0445" w:rsidRDefault="00C772AC">
      <w:pPr>
        <w:jc w:val="center"/>
      </w:pPr>
      <w:r>
        <w:t>(Source: European Commission, 2021)</w:t>
      </w:r>
    </w:p>
    <w:p w:rsidR="00AC0445" w:rsidRDefault="00C772AC">
      <w:pPr>
        <w:jc w:val="left"/>
        <w:rPr>
          <w:b/>
        </w:rPr>
      </w:pPr>
      <w:r>
        <w:rPr>
          <w:b/>
        </w:rPr>
        <w:t>Ambiguity:</w:t>
      </w:r>
    </w:p>
    <w:p w:rsidR="00AC0445" w:rsidRDefault="00C772AC">
      <w:r>
        <w:t>The changing preferences of consumers towards smoking cigarettes have been due to the increasing death rates in Romania due to cigarettes as more than 36 thousand people die in Romania due to tobacco consumption. The revenue in the E-Cigarettes segment is projected to reach £99.58 million in 2023, with an anticipated annual growth rate of 2.32% between 2023 and 2027 (</w:t>
      </w:r>
      <w:proofErr w:type="spellStart"/>
      <w:r>
        <w:t>Statista</w:t>
      </w:r>
      <w:proofErr w:type="spellEnd"/>
      <w:r>
        <w:t xml:space="preserve">, 2023a). This demonstrates a change of preference towards e-cigarettes which is a consideration for BAT as it poses a major threat to the company. </w:t>
      </w:r>
    </w:p>
    <w:p w:rsidR="00AC0445" w:rsidRDefault="00C772AC">
      <w:pPr>
        <w:jc w:val="left"/>
      </w:pPr>
      <w:r>
        <w:br w:type="page"/>
      </w:r>
    </w:p>
    <w:p w:rsidR="00AC0445" w:rsidRDefault="00C772AC">
      <w:pPr>
        <w:pStyle w:val="Heading1"/>
        <w:spacing w:line="480" w:lineRule="auto"/>
        <w:rPr>
          <w:sz w:val="28"/>
          <w:szCs w:val="28"/>
          <w:highlight w:val="yellow"/>
        </w:rPr>
      </w:pPr>
      <w:bookmarkStart w:id="2" w:name="_heading=h.f583wt8ciq9" w:colFirst="0" w:colLast="0"/>
      <w:bookmarkStart w:id="3" w:name="_Toc140746976"/>
      <w:bookmarkEnd w:id="2"/>
      <w:r>
        <w:rPr>
          <w:sz w:val="28"/>
          <w:szCs w:val="28"/>
        </w:rPr>
        <w:lastRenderedPageBreak/>
        <w:t>International Strategy</w:t>
      </w:r>
      <w:bookmarkEnd w:id="3"/>
    </w:p>
    <w:p w:rsidR="00AC0445" w:rsidRPr="003C4745" w:rsidRDefault="00EC57CB">
      <w:pPr>
        <w:pStyle w:val="Heading2"/>
        <w:spacing w:before="0" w:after="0" w:line="480" w:lineRule="auto"/>
        <w:rPr>
          <w:b/>
          <w:sz w:val="26"/>
          <w:szCs w:val="26"/>
        </w:rPr>
      </w:pPr>
      <w:bookmarkStart w:id="4" w:name="_heading=h.vx3jo992t9kw" w:colFirst="0" w:colLast="0"/>
      <w:bookmarkStart w:id="5" w:name="_Toc140746977"/>
      <w:bookmarkEnd w:id="4"/>
      <w:r w:rsidRPr="003C4745">
        <w:rPr>
          <w:b/>
          <w:sz w:val="26"/>
          <w:szCs w:val="26"/>
        </w:rPr>
        <w:t>Ethnocentric Strategy</w:t>
      </w:r>
      <w:bookmarkEnd w:id="5"/>
      <w:r w:rsidRPr="003C4745">
        <w:rPr>
          <w:b/>
          <w:sz w:val="26"/>
          <w:szCs w:val="26"/>
        </w:rPr>
        <w:t xml:space="preserve"> </w:t>
      </w:r>
    </w:p>
    <w:p w:rsidR="00AC0445" w:rsidRPr="003C4745" w:rsidRDefault="00C772AC">
      <w:pPr>
        <w:pStyle w:val="Heading3"/>
        <w:rPr>
          <w:b/>
          <w:color w:val="auto"/>
          <w:sz w:val="22"/>
          <w:szCs w:val="22"/>
        </w:rPr>
      </w:pPr>
      <w:bookmarkStart w:id="6" w:name="_heading=h.s66s4yft1q65" w:colFirst="0" w:colLast="0"/>
      <w:bookmarkStart w:id="7" w:name="_Toc140746978"/>
      <w:bookmarkEnd w:id="6"/>
      <w:r w:rsidRPr="003C4745">
        <w:rPr>
          <w:b/>
          <w:color w:val="auto"/>
          <w:sz w:val="22"/>
          <w:szCs w:val="22"/>
        </w:rPr>
        <w:t>Definition</w:t>
      </w:r>
      <w:bookmarkEnd w:id="7"/>
    </w:p>
    <w:p w:rsidR="00AC0445" w:rsidRPr="003C4745" w:rsidRDefault="00C772AC">
      <w:r w:rsidRPr="003C4745">
        <w:t>A company from one nation manages its subsidiaries there using the same goods, services, and management methods as in its home country. This method is known as the ethnocentric strategy (</w:t>
      </w:r>
      <w:proofErr w:type="spellStart"/>
      <w:r w:rsidRPr="003C4745">
        <w:rPr>
          <w:highlight w:val="white"/>
        </w:rPr>
        <w:t>Sengupta</w:t>
      </w:r>
      <w:proofErr w:type="spellEnd"/>
      <w:r w:rsidRPr="003C4745">
        <w:rPr>
          <w:highlight w:val="white"/>
        </w:rPr>
        <w:t xml:space="preserve"> </w:t>
      </w:r>
      <w:r w:rsidRPr="003C4745">
        <w:rPr>
          <w:i/>
          <w:highlight w:val="white"/>
        </w:rPr>
        <w:t>et al.</w:t>
      </w:r>
      <w:r w:rsidRPr="003C4745">
        <w:rPr>
          <w:highlight w:val="white"/>
        </w:rPr>
        <w:t>, 2022)</w:t>
      </w:r>
      <w:r w:rsidRPr="003C4745">
        <w:t>. The company may disregard regional preferences and cultural variations by uniformly adopting the superior domestic processes that it believes to be superior.</w:t>
      </w:r>
    </w:p>
    <w:p w:rsidR="00AC0445" w:rsidRPr="003C4745" w:rsidRDefault="00C772AC">
      <w:pPr>
        <w:pStyle w:val="Heading3"/>
        <w:rPr>
          <w:b/>
          <w:color w:val="auto"/>
          <w:sz w:val="24"/>
          <w:szCs w:val="24"/>
        </w:rPr>
      </w:pPr>
      <w:bookmarkStart w:id="8" w:name="_heading=h.eg8556hl6xom" w:colFirst="0" w:colLast="0"/>
      <w:bookmarkStart w:id="9" w:name="_Toc140746979"/>
      <w:bookmarkEnd w:id="8"/>
      <w:r w:rsidRPr="003C4745">
        <w:rPr>
          <w:b/>
          <w:color w:val="auto"/>
          <w:sz w:val="24"/>
          <w:szCs w:val="24"/>
        </w:rPr>
        <w:t>Function</w:t>
      </w:r>
      <w:bookmarkEnd w:id="9"/>
    </w:p>
    <w:p w:rsidR="00AC0445" w:rsidRPr="003C4745" w:rsidRDefault="00C772AC">
      <w:r w:rsidRPr="003C4745">
        <w:t>The ethnocentric method maintains a centralised and consistent approach throughout all global businesses (</w:t>
      </w:r>
      <w:proofErr w:type="spellStart"/>
      <w:r w:rsidRPr="003C4745">
        <w:rPr>
          <w:highlight w:val="white"/>
        </w:rPr>
        <w:t>Dobrowolski</w:t>
      </w:r>
      <w:proofErr w:type="spellEnd"/>
      <w:r w:rsidRPr="003C4745">
        <w:rPr>
          <w:highlight w:val="white"/>
        </w:rPr>
        <w:t xml:space="preserve"> </w:t>
      </w:r>
      <w:r w:rsidRPr="003C4745">
        <w:rPr>
          <w:i/>
          <w:highlight w:val="white"/>
        </w:rPr>
        <w:t>et al.</w:t>
      </w:r>
      <w:r w:rsidRPr="003C4745">
        <w:rPr>
          <w:highlight w:val="white"/>
        </w:rPr>
        <w:t>, 2020)</w:t>
      </w:r>
      <w:r w:rsidRPr="003C4745">
        <w:t>. It helps the parent company to exercise control over international subsidiaries, ensuring adherence to the core values, culture, and operating procedures of the company.</w:t>
      </w:r>
    </w:p>
    <w:p w:rsidR="00AC0445" w:rsidRPr="003C4745" w:rsidRDefault="00C772AC">
      <w:pPr>
        <w:pStyle w:val="Heading3"/>
        <w:rPr>
          <w:b/>
          <w:color w:val="auto"/>
          <w:sz w:val="24"/>
          <w:szCs w:val="24"/>
        </w:rPr>
      </w:pPr>
      <w:bookmarkStart w:id="10" w:name="_heading=h.9yfeeq5jt1s6" w:colFirst="0" w:colLast="0"/>
      <w:bookmarkStart w:id="11" w:name="_Toc140746980"/>
      <w:bookmarkEnd w:id="10"/>
      <w:r w:rsidRPr="003C4745">
        <w:rPr>
          <w:b/>
          <w:color w:val="auto"/>
          <w:sz w:val="24"/>
          <w:szCs w:val="24"/>
        </w:rPr>
        <w:t>Advantages</w:t>
      </w:r>
      <w:bookmarkEnd w:id="11"/>
    </w:p>
    <w:p w:rsidR="00AC0445" w:rsidRPr="003C4745" w:rsidRDefault="00C772AC">
      <w:pPr>
        <w:numPr>
          <w:ilvl w:val="0"/>
          <w:numId w:val="7"/>
        </w:numPr>
      </w:pPr>
      <w:r w:rsidRPr="003C4745">
        <w:t>Maintains consistency in management practices, organisational values, and corporate culture across all foreign operations.</w:t>
      </w:r>
    </w:p>
    <w:p w:rsidR="00AC0445" w:rsidRPr="003C4745" w:rsidRDefault="00C772AC">
      <w:pPr>
        <w:numPr>
          <w:ilvl w:val="0"/>
          <w:numId w:val="7"/>
        </w:numPr>
      </w:pPr>
      <w:r w:rsidRPr="003C4745">
        <w:t xml:space="preserve"> Allows for improved utilisation of resources and decision-making by giving the parent company more control over its international subsidiaries.</w:t>
      </w:r>
    </w:p>
    <w:p w:rsidR="00AC0445" w:rsidRPr="003C4745" w:rsidRDefault="00C772AC">
      <w:pPr>
        <w:pStyle w:val="Heading3"/>
        <w:rPr>
          <w:b/>
          <w:color w:val="auto"/>
          <w:sz w:val="24"/>
          <w:szCs w:val="24"/>
        </w:rPr>
      </w:pPr>
      <w:bookmarkStart w:id="12" w:name="_heading=h.f4kgddupq6z3" w:colFirst="0" w:colLast="0"/>
      <w:bookmarkStart w:id="13" w:name="_Toc140746981"/>
      <w:bookmarkEnd w:id="12"/>
      <w:r w:rsidRPr="003C4745">
        <w:rPr>
          <w:b/>
          <w:color w:val="auto"/>
          <w:sz w:val="24"/>
          <w:szCs w:val="24"/>
        </w:rPr>
        <w:t>Disadvantages</w:t>
      </w:r>
      <w:bookmarkEnd w:id="13"/>
    </w:p>
    <w:p w:rsidR="00AC0445" w:rsidRPr="003C4745" w:rsidRDefault="00C772AC">
      <w:pPr>
        <w:numPr>
          <w:ilvl w:val="0"/>
          <w:numId w:val="4"/>
        </w:numPr>
        <w:spacing w:line="480" w:lineRule="auto"/>
      </w:pPr>
      <w:r w:rsidRPr="003C4745">
        <w:t>Overlooks cultural differences, which could cause misunderstanding and make it challenging to adapt to local customs and preferences.</w:t>
      </w:r>
    </w:p>
    <w:p w:rsidR="00AC0445" w:rsidRPr="003C4745" w:rsidRDefault="00C772AC">
      <w:pPr>
        <w:numPr>
          <w:ilvl w:val="0"/>
          <w:numId w:val="4"/>
        </w:numPr>
        <w:spacing w:line="480" w:lineRule="auto"/>
      </w:pPr>
      <w:r w:rsidRPr="003C4745">
        <w:t>Rigidity in responding to shifting consumer demands and emerging trends in global markets.</w:t>
      </w:r>
    </w:p>
    <w:p w:rsidR="00AC0445" w:rsidRPr="003C4745" w:rsidRDefault="00AC0445"/>
    <w:p w:rsidR="00AC0445" w:rsidRPr="003C4745" w:rsidRDefault="00C772AC">
      <w:pPr>
        <w:pStyle w:val="Heading2"/>
        <w:spacing w:before="0" w:after="0" w:line="480" w:lineRule="auto"/>
        <w:rPr>
          <w:b/>
          <w:sz w:val="26"/>
          <w:szCs w:val="26"/>
        </w:rPr>
      </w:pPr>
      <w:bookmarkStart w:id="14" w:name="_heading=h.9f0ipoqydkbn" w:colFirst="0" w:colLast="0"/>
      <w:bookmarkStart w:id="15" w:name="_Toc140746982"/>
      <w:bookmarkEnd w:id="14"/>
      <w:r w:rsidRPr="003C4745">
        <w:rPr>
          <w:b/>
          <w:sz w:val="26"/>
          <w:szCs w:val="26"/>
        </w:rPr>
        <w:lastRenderedPageBreak/>
        <w:t>Polycentric Strategy</w:t>
      </w:r>
      <w:bookmarkEnd w:id="15"/>
      <w:r w:rsidRPr="003C4745">
        <w:rPr>
          <w:b/>
          <w:sz w:val="26"/>
          <w:szCs w:val="26"/>
        </w:rPr>
        <w:t xml:space="preserve"> </w:t>
      </w:r>
    </w:p>
    <w:p w:rsidR="00AC0445" w:rsidRPr="003C4745" w:rsidRDefault="00C772AC">
      <w:pPr>
        <w:pStyle w:val="Heading3"/>
        <w:rPr>
          <w:b/>
          <w:color w:val="auto"/>
          <w:sz w:val="22"/>
          <w:szCs w:val="22"/>
        </w:rPr>
      </w:pPr>
      <w:bookmarkStart w:id="16" w:name="_heading=h.aqaaca2yj5lg" w:colFirst="0" w:colLast="0"/>
      <w:bookmarkStart w:id="17" w:name="_Toc140746983"/>
      <w:bookmarkEnd w:id="16"/>
      <w:r w:rsidRPr="003C4745">
        <w:rPr>
          <w:b/>
          <w:color w:val="auto"/>
          <w:sz w:val="22"/>
          <w:szCs w:val="22"/>
        </w:rPr>
        <w:t>Definition</w:t>
      </w:r>
      <w:bookmarkEnd w:id="17"/>
    </w:p>
    <w:p w:rsidR="00AC0445" w:rsidRPr="003C4745" w:rsidRDefault="00C772AC">
      <w:r w:rsidRPr="003C4745">
        <w:t xml:space="preserve">It is essentially an approach through which organisations recruit and hire employees based on the international subsidiaries of a certain nation so that the team member of the firm can host the nation instead of demonstrating the parent nation’s location. With the help of this, subsidiaries can be comprehended in a better manner so that it can easily operate within a specific community so that the chosen company can excel. </w:t>
      </w:r>
    </w:p>
    <w:p w:rsidR="00AC0445" w:rsidRPr="003C4745" w:rsidRDefault="00C772AC">
      <w:pPr>
        <w:pStyle w:val="Heading3"/>
        <w:rPr>
          <w:b/>
          <w:color w:val="auto"/>
          <w:sz w:val="24"/>
          <w:szCs w:val="24"/>
        </w:rPr>
      </w:pPr>
      <w:bookmarkStart w:id="18" w:name="_heading=h.k3myp71cvvzu" w:colFirst="0" w:colLast="0"/>
      <w:bookmarkStart w:id="19" w:name="_Toc140746984"/>
      <w:bookmarkEnd w:id="18"/>
      <w:r w:rsidRPr="003C4745">
        <w:rPr>
          <w:b/>
          <w:color w:val="auto"/>
          <w:sz w:val="24"/>
          <w:szCs w:val="24"/>
        </w:rPr>
        <w:t>Function</w:t>
      </w:r>
      <w:bookmarkEnd w:id="19"/>
    </w:p>
    <w:p w:rsidR="00AC0445" w:rsidRPr="003C4745" w:rsidRDefault="00C772AC">
      <w:proofErr w:type="gramStart"/>
      <w:r w:rsidRPr="003C4745">
        <w:t>organisations</w:t>
      </w:r>
      <w:proofErr w:type="gramEnd"/>
      <w:r w:rsidRPr="003C4745">
        <w:t xml:space="preserve"> that can acquire their goods to a suitable location in the competition so that it can reach the maximum number of people which are intended to sell in the market. One of the prime functions of this approach is that with the help of this, the entire procedure of hiring as well as recruiting employees becomes easier and the entire procedure becomes less expensive.  </w:t>
      </w:r>
    </w:p>
    <w:p w:rsidR="00AC0445" w:rsidRPr="003C4745" w:rsidRDefault="00C772AC">
      <w:pPr>
        <w:pStyle w:val="Heading3"/>
        <w:rPr>
          <w:b/>
          <w:color w:val="auto"/>
          <w:sz w:val="24"/>
          <w:szCs w:val="24"/>
        </w:rPr>
      </w:pPr>
      <w:bookmarkStart w:id="20" w:name="_heading=h.go9gciygeitb" w:colFirst="0" w:colLast="0"/>
      <w:bookmarkStart w:id="21" w:name="_Toc140746985"/>
      <w:bookmarkEnd w:id="20"/>
      <w:r w:rsidRPr="003C4745">
        <w:rPr>
          <w:b/>
          <w:color w:val="auto"/>
          <w:sz w:val="24"/>
          <w:szCs w:val="24"/>
        </w:rPr>
        <w:t>Advantages</w:t>
      </w:r>
      <w:bookmarkEnd w:id="21"/>
    </w:p>
    <w:p w:rsidR="00AC0445" w:rsidRPr="003C4745" w:rsidRDefault="00C772AC">
      <w:r w:rsidRPr="003C4745">
        <w:t xml:space="preserve">It is easy to implement and it is budget friendly and with the help of this company can attain success. </w:t>
      </w:r>
    </w:p>
    <w:p w:rsidR="00AC0445" w:rsidRPr="003C4745" w:rsidRDefault="00C772AC">
      <w:pPr>
        <w:pStyle w:val="Heading3"/>
        <w:rPr>
          <w:b/>
          <w:color w:val="auto"/>
          <w:sz w:val="24"/>
          <w:szCs w:val="24"/>
        </w:rPr>
      </w:pPr>
      <w:bookmarkStart w:id="22" w:name="_heading=h.jv8jcc93vor2" w:colFirst="0" w:colLast="0"/>
      <w:bookmarkStart w:id="23" w:name="_Toc140746986"/>
      <w:bookmarkEnd w:id="22"/>
      <w:r w:rsidRPr="003C4745">
        <w:rPr>
          <w:b/>
          <w:color w:val="auto"/>
          <w:sz w:val="24"/>
          <w:szCs w:val="24"/>
        </w:rPr>
        <w:t>Disadvantages</w:t>
      </w:r>
      <w:bookmarkEnd w:id="23"/>
    </w:p>
    <w:p w:rsidR="00AC0445" w:rsidRPr="003C4745" w:rsidRDefault="00C772AC">
      <w:r w:rsidRPr="003C4745">
        <w:t xml:space="preserve">As this is time consuming, in order to excel, most of the firms do not have so much time, thus it can be a waste of time and energy. </w:t>
      </w:r>
    </w:p>
    <w:p w:rsidR="00AC0445" w:rsidRPr="003C4745" w:rsidRDefault="00C772AC">
      <w:pPr>
        <w:pStyle w:val="Heading2"/>
        <w:spacing w:before="0" w:after="0" w:line="480" w:lineRule="auto"/>
        <w:rPr>
          <w:b/>
          <w:sz w:val="24"/>
          <w:szCs w:val="24"/>
        </w:rPr>
      </w:pPr>
      <w:bookmarkStart w:id="24" w:name="_heading=h.287p5ju8l56c" w:colFirst="0" w:colLast="0"/>
      <w:bookmarkStart w:id="25" w:name="_Toc140746987"/>
      <w:bookmarkEnd w:id="24"/>
      <w:r w:rsidRPr="003C4745">
        <w:rPr>
          <w:b/>
          <w:sz w:val="24"/>
          <w:szCs w:val="24"/>
        </w:rPr>
        <w:t>Geocentric Strategy</w:t>
      </w:r>
      <w:bookmarkEnd w:id="25"/>
      <w:r w:rsidRPr="003C4745">
        <w:rPr>
          <w:b/>
          <w:sz w:val="24"/>
          <w:szCs w:val="24"/>
        </w:rPr>
        <w:t xml:space="preserve"> </w:t>
      </w:r>
    </w:p>
    <w:p w:rsidR="00AC0445" w:rsidRPr="003C4745" w:rsidRDefault="00C772AC">
      <w:pPr>
        <w:pStyle w:val="Heading3"/>
        <w:rPr>
          <w:b/>
          <w:color w:val="auto"/>
          <w:sz w:val="22"/>
          <w:szCs w:val="22"/>
        </w:rPr>
      </w:pPr>
      <w:bookmarkStart w:id="26" w:name="_heading=h.albwhug9uu4m" w:colFirst="0" w:colLast="0"/>
      <w:bookmarkStart w:id="27" w:name="_Toc140746988"/>
      <w:bookmarkEnd w:id="26"/>
      <w:r w:rsidRPr="003C4745">
        <w:rPr>
          <w:b/>
          <w:color w:val="auto"/>
          <w:sz w:val="22"/>
          <w:szCs w:val="22"/>
        </w:rPr>
        <w:t>Definition</w:t>
      </w:r>
      <w:bookmarkEnd w:id="27"/>
    </w:p>
    <w:p w:rsidR="00AC0445" w:rsidRPr="003C4745" w:rsidRDefault="00C772AC">
      <w:r w:rsidRPr="003C4745">
        <w:t>The term "</w:t>
      </w:r>
      <w:proofErr w:type="spellStart"/>
      <w:r w:rsidRPr="003C4745">
        <w:t>geocentrism</w:t>
      </w:r>
      <w:proofErr w:type="spellEnd"/>
      <w:r w:rsidRPr="003C4745">
        <w:t>" in the context of business refers to an approach where businesses take into account the particular requirements and preferences of each local market while developing strategies. In order to support successful global operations, it entails adjusting products, services, and marketing initiatives to meet the cultural, economic, and regulatory peculiarities of particular locations (</w:t>
      </w:r>
      <w:r w:rsidRPr="003C4745">
        <w:rPr>
          <w:highlight w:val="white"/>
        </w:rPr>
        <w:t>Herrmann-</w:t>
      </w:r>
      <w:proofErr w:type="spellStart"/>
      <w:r w:rsidRPr="003C4745">
        <w:rPr>
          <w:highlight w:val="white"/>
        </w:rPr>
        <w:t>Pillath</w:t>
      </w:r>
      <w:proofErr w:type="spellEnd"/>
      <w:r w:rsidRPr="003C4745">
        <w:rPr>
          <w:highlight w:val="white"/>
        </w:rPr>
        <w:t>. 2021).</w:t>
      </w:r>
    </w:p>
    <w:p w:rsidR="00AC0445" w:rsidRPr="003C4745" w:rsidRDefault="00C772AC">
      <w:pPr>
        <w:pStyle w:val="Heading3"/>
        <w:rPr>
          <w:b/>
          <w:color w:val="auto"/>
          <w:sz w:val="24"/>
          <w:szCs w:val="24"/>
        </w:rPr>
      </w:pPr>
      <w:bookmarkStart w:id="28" w:name="_heading=h.l4xwsijzep60" w:colFirst="0" w:colLast="0"/>
      <w:bookmarkStart w:id="29" w:name="_Toc140746989"/>
      <w:bookmarkEnd w:id="28"/>
      <w:r w:rsidRPr="003C4745">
        <w:rPr>
          <w:b/>
          <w:color w:val="auto"/>
          <w:sz w:val="24"/>
          <w:szCs w:val="24"/>
        </w:rPr>
        <w:lastRenderedPageBreak/>
        <w:t>Function</w:t>
      </w:r>
      <w:bookmarkEnd w:id="29"/>
    </w:p>
    <w:p w:rsidR="00AC0445" w:rsidRPr="003C4745" w:rsidRDefault="00C772AC">
      <w:proofErr w:type="spellStart"/>
      <w:r w:rsidRPr="003C4745">
        <w:t>Geocentrism</w:t>
      </w:r>
      <w:proofErr w:type="spellEnd"/>
      <w:r w:rsidRPr="003C4745">
        <w:t xml:space="preserve"> combines local and global viewpoints to serve corporate objectives. It enables businesses to recognize parallels and discrepancies across many markets, encouraging adaptable strategies that take into account cultural quirks and preferences (</w:t>
      </w:r>
      <w:r w:rsidRPr="003C4745">
        <w:rPr>
          <w:highlight w:val="white"/>
        </w:rPr>
        <w:t xml:space="preserve">Guan </w:t>
      </w:r>
      <w:r w:rsidRPr="003C4745">
        <w:rPr>
          <w:i/>
          <w:highlight w:val="white"/>
        </w:rPr>
        <w:t xml:space="preserve">et al., </w:t>
      </w:r>
      <w:r w:rsidRPr="003C4745">
        <w:rPr>
          <w:highlight w:val="white"/>
        </w:rPr>
        <w:t>2022)</w:t>
      </w:r>
      <w:r w:rsidRPr="003C4745">
        <w:t xml:space="preserve">. Businesses can establish a balanced strategy that promotes global efficiency while respecting local sensitivities and leads to lasting success by adopting </w:t>
      </w:r>
      <w:proofErr w:type="spellStart"/>
      <w:r w:rsidRPr="003C4745">
        <w:t>geocentrism</w:t>
      </w:r>
      <w:proofErr w:type="spellEnd"/>
      <w:r w:rsidRPr="003C4745">
        <w:t>.</w:t>
      </w:r>
    </w:p>
    <w:p w:rsidR="00AC0445" w:rsidRPr="003C4745" w:rsidRDefault="00C772AC">
      <w:pPr>
        <w:pStyle w:val="Heading3"/>
        <w:rPr>
          <w:b/>
          <w:color w:val="auto"/>
          <w:sz w:val="24"/>
          <w:szCs w:val="24"/>
        </w:rPr>
      </w:pPr>
      <w:bookmarkStart w:id="30" w:name="_heading=h.f4hrcmg878n" w:colFirst="0" w:colLast="0"/>
      <w:bookmarkStart w:id="31" w:name="_Toc140746990"/>
      <w:bookmarkEnd w:id="30"/>
      <w:r w:rsidRPr="003C4745">
        <w:rPr>
          <w:b/>
          <w:color w:val="auto"/>
          <w:sz w:val="24"/>
          <w:szCs w:val="24"/>
        </w:rPr>
        <w:t>Advantages</w:t>
      </w:r>
      <w:bookmarkEnd w:id="31"/>
    </w:p>
    <w:p w:rsidR="00AC0445" w:rsidRPr="003C4745" w:rsidRDefault="00C772AC">
      <w:r w:rsidRPr="003C4745">
        <w:t xml:space="preserve">Business </w:t>
      </w:r>
      <w:proofErr w:type="spellStart"/>
      <w:r w:rsidRPr="003C4745">
        <w:t>geocentrism</w:t>
      </w:r>
      <w:proofErr w:type="spellEnd"/>
      <w:r w:rsidRPr="003C4745">
        <w:t xml:space="preserve"> has benefits including customised strategy for various markets, more cultural sensitivity, higher customer acceptance, increased global efficiency, and improved long-term competitiveness.</w:t>
      </w:r>
    </w:p>
    <w:p w:rsidR="00AC0445" w:rsidRPr="003C4745" w:rsidRDefault="00C772AC">
      <w:pPr>
        <w:pStyle w:val="Heading3"/>
        <w:rPr>
          <w:b/>
          <w:color w:val="auto"/>
          <w:sz w:val="24"/>
          <w:szCs w:val="24"/>
        </w:rPr>
      </w:pPr>
      <w:bookmarkStart w:id="32" w:name="_heading=h.tj2j6dnn4ua2" w:colFirst="0" w:colLast="0"/>
      <w:bookmarkStart w:id="33" w:name="_Toc140746991"/>
      <w:bookmarkEnd w:id="32"/>
      <w:r w:rsidRPr="003C4745">
        <w:rPr>
          <w:b/>
          <w:color w:val="auto"/>
          <w:sz w:val="24"/>
          <w:szCs w:val="24"/>
        </w:rPr>
        <w:t>Disadvantages</w:t>
      </w:r>
      <w:bookmarkEnd w:id="33"/>
    </w:p>
    <w:p w:rsidR="00AC0445" w:rsidRPr="003C4745" w:rsidRDefault="00C772AC">
      <w:r w:rsidRPr="003C4745">
        <w:t xml:space="preserve">Business </w:t>
      </w:r>
      <w:proofErr w:type="spellStart"/>
      <w:r w:rsidRPr="003C4745">
        <w:t>geocentrism</w:t>
      </w:r>
      <w:proofErr w:type="spellEnd"/>
      <w:r w:rsidRPr="003C4745">
        <w:t xml:space="preserve"> may result in implementation difficulties, increased customised costs, potential conflicts between local and global interests, and difficulties sustaining a consistent corporate identity across several markets.</w:t>
      </w:r>
    </w:p>
    <w:p w:rsidR="00AC0445" w:rsidRPr="003C4745" w:rsidRDefault="00AC0445"/>
    <w:p w:rsidR="00AC0445" w:rsidRPr="003C4745" w:rsidRDefault="00C772AC">
      <w:pPr>
        <w:pStyle w:val="Heading1"/>
      </w:pPr>
      <w:bookmarkStart w:id="34" w:name="_Toc140746992"/>
      <w:r w:rsidRPr="003C4745">
        <w:t>Key Decisions for its International Organisational Strategy used</w:t>
      </w:r>
      <w:bookmarkEnd w:id="34"/>
    </w:p>
    <w:p w:rsidR="00AC0445" w:rsidRDefault="00C772AC">
      <w:r w:rsidRPr="003C4745">
        <w:t>The tobacco industry has become a key part of the debate over corporations due to the use of CSR, or social responsibility for businesses, which refers to voluntary business action that implies that it professes to operate within the public interest by putting social goals over profit. However, a lot of the time this is just a publicity ploy with no real changes to business practices. CSR initiatives in the context of the tobacco industry are characterised by the World Health Organisation (WHO) as a support of "voluntary actions as an effective way to address the cessation of smoking and create an appearance that was shifting, as well as to build relationships with well-being interests" (</w:t>
      </w:r>
      <w:proofErr w:type="spellStart"/>
      <w:r w:rsidRPr="003C4745">
        <w:rPr>
          <w:highlight w:val="white"/>
        </w:rPr>
        <w:t>Gornall</w:t>
      </w:r>
      <w:proofErr w:type="spellEnd"/>
      <w:r w:rsidRPr="003C4745">
        <w:rPr>
          <w:highlight w:val="white"/>
        </w:rPr>
        <w:t xml:space="preserve"> </w:t>
      </w:r>
      <w:r w:rsidRPr="003C4745">
        <w:rPr>
          <w:i/>
          <w:highlight w:val="white"/>
        </w:rPr>
        <w:t>et al.</w:t>
      </w:r>
      <w:r w:rsidRPr="003C4745">
        <w:rPr>
          <w:highlight w:val="white"/>
        </w:rPr>
        <w:t>, 2019)</w:t>
      </w:r>
      <w:r w:rsidRPr="003C4745">
        <w:t xml:space="preserve">. The implementation of the concepts offered will only be successful if the organisation has the right mentality. One needs an organised strategy and a leadership team with a distinct vision in order to accomplish the change. According to </w:t>
      </w:r>
      <w:proofErr w:type="spellStart"/>
      <w:r w:rsidRPr="003C4745">
        <w:rPr>
          <w:highlight w:val="white"/>
        </w:rPr>
        <w:t>Niloy</w:t>
      </w:r>
      <w:proofErr w:type="spellEnd"/>
      <w:r w:rsidRPr="003C4745">
        <w:rPr>
          <w:highlight w:val="white"/>
        </w:rPr>
        <w:t xml:space="preserve"> </w:t>
      </w:r>
      <w:r w:rsidRPr="003C4745">
        <w:rPr>
          <w:i/>
          <w:highlight w:val="white"/>
        </w:rPr>
        <w:t>et al.,</w:t>
      </w:r>
      <w:r w:rsidRPr="003C4745">
        <w:rPr>
          <w:highlight w:val="white"/>
        </w:rPr>
        <w:t xml:space="preserve"> (2020)</w:t>
      </w:r>
      <w:r w:rsidRPr="003C4745">
        <w:rPr>
          <w:rFonts w:ascii="Arial" w:eastAsia="Arial" w:hAnsi="Arial" w:cs="Arial"/>
          <w:sz w:val="20"/>
          <w:szCs w:val="20"/>
          <w:highlight w:val="white"/>
        </w:rPr>
        <w:t xml:space="preserve">, </w:t>
      </w:r>
      <w:r w:rsidRPr="003C4745">
        <w:t xml:space="preserve">British American Tobacco was conscious of the speed at which technology was developing in the sector and thinks that its employees need to be aspirational, inventive, and resilient. To work in an ecologically sound environment, they must also develop </w:t>
      </w:r>
      <w:r>
        <w:t xml:space="preserve">the ability to </w:t>
      </w:r>
      <w:r>
        <w:lastRenderedPageBreak/>
        <w:t>respond to opportunities and update their abilities (</w:t>
      </w:r>
      <w:r>
        <w:rPr>
          <w:color w:val="222222"/>
          <w:highlight w:val="white"/>
        </w:rPr>
        <w:t xml:space="preserve">Camacho </w:t>
      </w:r>
      <w:r>
        <w:rPr>
          <w:i/>
          <w:color w:val="222222"/>
          <w:highlight w:val="white"/>
        </w:rPr>
        <w:t>et al.,</w:t>
      </w:r>
      <w:r>
        <w:rPr>
          <w:color w:val="222222"/>
          <w:highlight w:val="white"/>
        </w:rPr>
        <w:t xml:space="preserve"> 2021)</w:t>
      </w:r>
      <w:r>
        <w:t xml:space="preserve">. </w:t>
      </w:r>
      <w:r w:rsidRPr="003C4745">
        <w:t>The ethnocentric strategy of British American Tobacco incorporates centralised decision-making that was adapted to the requirements of each local market (</w:t>
      </w:r>
      <w:r w:rsidRPr="003C4745">
        <w:rPr>
          <w:highlight w:val="white"/>
        </w:rPr>
        <w:t xml:space="preserve">Morrison </w:t>
      </w:r>
      <w:r w:rsidRPr="003C4745">
        <w:rPr>
          <w:i/>
          <w:highlight w:val="white"/>
        </w:rPr>
        <w:t>et al.</w:t>
      </w:r>
      <w:r w:rsidRPr="003C4745">
        <w:rPr>
          <w:highlight w:val="white"/>
        </w:rPr>
        <w:t>, 2023)</w:t>
      </w:r>
      <w:r w:rsidRPr="003C4745">
        <w:t xml:space="preserve">. It gives subsidiaries the freedom to run independently in many nations while adjusting the cost of advertising and products to suit local regulations and tastes. BAT may effectively navigate a variety of political, social, and commercial environments by using this strategy. A strong corporate culture can provide a </w:t>
      </w:r>
      <w:r>
        <w:t>smooth exit from the current resource-intensive and fragile approach.</w:t>
      </w:r>
    </w:p>
    <w:p w:rsidR="00AC0445" w:rsidRDefault="00C772AC">
      <w:r>
        <w:t>According to British American Tobacco, developing internal talent and the next generation of leaders was a top priority (</w:t>
      </w:r>
      <w:r>
        <w:rPr>
          <w:color w:val="222222"/>
          <w:highlight w:val="white"/>
        </w:rPr>
        <w:t xml:space="preserve">Watts </w:t>
      </w:r>
      <w:r>
        <w:rPr>
          <w:i/>
          <w:color w:val="222222"/>
          <w:highlight w:val="white"/>
        </w:rPr>
        <w:t>et al.</w:t>
      </w:r>
      <w:r>
        <w:rPr>
          <w:color w:val="222222"/>
          <w:highlight w:val="white"/>
        </w:rPr>
        <w:t>, 2019)</w:t>
      </w:r>
      <w:r>
        <w:t xml:space="preserve">. They claim that the 'Be </w:t>
      </w:r>
      <w:proofErr w:type="gramStart"/>
      <w:r>
        <w:t>The</w:t>
      </w:r>
      <w:proofErr w:type="gramEnd"/>
      <w:r>
        <w:t xml:space="preserve"> Change' company image is well-represented on social media. The company was open to other perspectives and specialties in order to broaden its reach, and such an organisational atmosphere exists because it needs to happen for the strategic objectives to be achieved successfully. The incoming personnel will surely be interested in the organisational culture, tasks, and long-term sustainability plans.  According to </w:t>
      </w:r>
      <w:proofErr w:type="spellStart"/>
      <w:r>
        <w:rPr>
          <w:color w:val="222222"/>
          <w:highlight w:val="white"/>
        </w:rPr>
        <w:t>Yadav</w:t>
      </w:r>
      <w:proofErr w:type="spellEnd"/>
      <w:r>
        <w:rPr>
          <w:color w:val="222222"/>
          <w:highlight w:val="white"/>
        </w:rPr>
        <w:t xml:space="preserve"> </w:t>
      </w:r>
      <w:r>
        <w:rPr>
          <w:i/>
          <w:color w:val="222222"/>
          <w:highlight w:val="white"/>
        </w:rPr>
        <w:t>et al.</w:t>
      </w:r>
      <w:r>
        <w:rPr>
          <w:color w:val="222222"/>
          <w:highlight w:val="white"/>
        </w:rPr>
        <w:t>, (2022),</w:t>
      </w:r>
      <w:r>
        <w:rPr>
          <w:rFonts w:ascii="Arial" w:eastAsia="Arial" w:hAnsi="Arial" w:cs="Arial"/>
          <w:color w:val="222222"/>
          <w:sz w:val="20"/>
          <w:szCs w:val="20"/>
          <w:highlight w:val="white"/>
        </w:rPr>
        <w:t xml:space="preserve"> </w:t>
      </w:r>
      <w:r>
        <w:t>BAT can respond to these inquiries by putting the sustainable strategies described into practice and luring fresh talent.</w:t>
      </w:r>
    </w:p>
    <w:p w:rsidR="00AC0445" w:rsidRDefault="00C772AC">
      <w:pPr>
        <w:jc w:val="center"/>
      </w:pPr>
      <w:r>
        <w:rPr>
          <w:noProof/>
          <w:lang w:val="en-IN"/>
        </w:rPr>
        <w:drawing>
          <wp:inline distT="114300" distB="114300" distL="114300" distR="114300">
            <wp:extent cx="4662488" cy="3466978"/>
            <wp:effectExtent l="0" t="0" r="0" b="0"/>
            <wp:docPr id="30"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8"/>
                    <a:srcRect/>
                    <a:stretch>
                      <a:fillRect/>
                    </a:stretch>
                  </pic:blipFill>
                  <pic:spPr>
                    <a:xfrm>
                      <a:off x="0" y="0"/>
                      <a:ext cx="4662488" cy="3466978"/>
                    </a:xfrm>
                    <a:prstGeom prst="rect">
                      <a:avLst/>
                    </a:prstGeom>
                    <a:ln/>
                  </pic:spPr>
                </pic:pic>
              </a:graphicData>
            </a:graphic>
          </wp:inline>
        </w:drawing>
      </w:r>
    </w:p>
    <w:p w:rsidR="00AC0445" w:rsidRDefault="00C772AC">
      <w:pPr>
        <w:pStyle w:val="Heading3"/>
        <w:jc w:val="center"/>
        <w:rPr>
          <w:b/>
          <w:color w:val="000000"/>
          <w:sz w:val="24"/>
          <w:szCs w:val="24"/>
        </w:rPr>
      </w:pPr>
      <w:bookmarkStart w:id="35" w:name="_heading=h.3znysh7" w:colFirst="0" w:colLast="0"/>
      <w:bookmarkStart w:id="36" w:name="_Toc140746993"/>
      <w:bookmarkEnd w:id="35"/>
      <w:r>
        <w:rPr>
          <w:b/>
          <w:color w:val="000000"/>
          <w:sz w:val="24"/>
          <w:szCs w:val="24"/>
        </w:rPr>
        <w:t>Figure 5: Global Market share of British American Tobacco</w:t>
      </w:r>
      <w:bookmarkEnd w:id="36"/>
    </w:p>
    <w:p w:rsidR="00AC0445" w:rsidRDefault="00C772AC">
      <w:pPr>
        <w:jc w:val="center"/>
      </w:pPr>
      <w:r>
        <w:t xml:space="preserve">(Source: </w:t>
      </w:r>
      <w:proofErr w:type="spellStart"/>
      <w:r>
        <w:t>Statista</w:t>
      </w:r>
      <w:proofErr w:type="spellEnd"/>
      <w:r>
        <w:t>, 2023)</w:t>
      </w:r>
    </w:p>
    <w:p w:rsidR="00AC0445" w:rsidRDefault="00C772AC">
      <w:r>
        <w:lastRenderedPageBreak/>
        <w:t xml:space="preserve">According to figure 5, (BAT) 2015 global market share is broken down by region in this fact sheet. In that year, British American Tobacco accounted for about 51.4% of all tobacco products in Latin America. British American Tobacco was currently one of the leading manufacturers and distributors of tobacco and associated products. BAT owns 12.2% of the global cigarette market, but unlike ITC, it has not ventured into other sectors (Lee et al., 2021). The company has demonstrated its commitment to programmes that develop society and protect the environment. According to </w:t>
      </w:r>
      <w:proofErr w:type="spellStart"/>
      <w:r>
        <w:t>Siskind</w:t>
      </w:r>
      <w:proofErr w:type="spellEnd"/>
      <w:r>
        <w:t xml:space="preserve"> et al., (2020), BAT's investment in technology has increased service and productivity. For many countries, business has been a substantial source of income. Due to its influence on the national economy, it has been able to gain the backing of financiers and other significant </w:t>
      </w:r>
      <w:proofErr w:type="spellStart"/>
      <w:r>
        <w:t>stakeholders.The</w:t>
      </w:r>
      <w:proofErr w:type="spellEnd"/>
      <w:r>
        <w:t xml:space="preserve"> US was the London-based company's single largest consumer market in 2022, representing over 45% of its income distribution by geography, with US sales exceeding $15 billion (</w:t>
      </w:r>
      <w:proofErr w:type="spellStart"/>
      <w:r>
        <w:t>Znyk</w:t>
      </w:r>
      <w:proofErr w:type="spellEnd"/>
      <w:r>
        <w:t xml:space="preserve"> et al., 2021). BAT's leadership style has improved communication between the company's management and stakeholders. BAT's primary goal was to dominate the global market and provide consumers with excellent goods, but it also strongly emphasises sustainable practices for the long run (Gilmore et al., 2019). The corporation made the right choice to venture outside of tobacco and into technology and personal health. </w:t>
      </w:r>
    </w:p>
    <w:p w:rsidR="00AC0445" w:rsidRDefault="00C772AC">
      <w:r>
        <w:t xml:space="preserve">The second most valuable tobacco company in the world is </w:t>
      </w:r>
      <w:proofErr w:type="gramStart"/>
      <w:r>
        <w:t>BAT.</w:t>
      </w:r>
      <w:proofErr w:type="gramEnd"/>
      <w:r>
        <w:t xml:space="preserve"> This has been made feasible by the collaboration of extraordinary individuals that prioritise NGOs, administration, and their shareholders while sharing a goal to provide improved performance (</w:t>
      </w:r>
      <w:proofErr w:type="spellStart"/>
      <w:r>
        <w:rPr>
          <w:color w:val="222222"/>
          <w:highlight w:val="white"/>
        </w:rPr>
        <w:t>Nargis</w:t>
      </w:r>
      <w:proofErr w:type="spellEnd"/>
      <w:r>
        <w:rPr>
          <w:i/>
          <w:color w:val="222222"/>
          <w:highlight w:val="white"/>
        </w:rPr>
        <w:t xml:space="preserve"> et al.</w:t>
      </w:r>
      <w:r>
        <w:rPr>
          <w:color w:val="222222"/>
          <w:highlight w:val="white"/>
        </w:rPr>
        <w:t>, 2020)</w:t>
      </w:r>
      <w:r>
        <w:t>. Tobacco companies use experiential marketing in a variety of locations that appeal to young people. Cigarette and free-of-nicotine tobacco companies were prohibited from sponsoring sports, musical, and artistic performances under the 1998 Master Agreements Agreement, but they are still allowed to attend these events. Tobacco businesses like British American Tobacco employed this marketing tactic to boost sales. BAT invested £2.5 million in an entirely fresh website that will serve visitors from all around the world (</w:t>
      </w:r>
      <w:proofErr w:type="spellStart"/>
      <w:r>
        <w:rPr>
          <w:color w:val="222222"/>
          <w:highlight w:val="white"/>
        </w:rPr>
        <w:t>Erinoso</w:t>
      </w:r>
      <w:proofErr w:type="spellEnd"/>
      <w:r>
        <w:rPr>
          <w:color w:val="222222"/>
          <w:highlight w:val="white"/>
        </w:rPr>
        <w:t xml:space="preserve"> </w:t>
      </w:r>
      <w:r>
        <w:rPr>
          <w:i/>
          <w:color w:val="222222"/>
          <w:highlight w:val="white"/>
        </w:rPr>
        <w:t>et al</w:t>
      </w:r>
      <w:r>
        <w:rPr>
          <w:color w:val="222222"/>
          <w:highlight w:val="white"/>
        </w:rPr>
        <w:t>., 2021)</w:t>
      </w:r>
      <w:r>
        <w:t>. It seems BAT wants to promote the Lucky Strike and the National Express 555 brands to young smokers at a time when advertising for tobacco is outlawed in many countries.</w:t>
      </w:r>
    </w:p>
    <w:p w:rsidR="00AC0445" w:rsidRDefault="00C772AC">
      <w:r>
        <w:t>BAT has recognised the January launch of a prototype website named City Gorilla that highlighted Poland (</w:t>
      </w:r>
      <w:proofErr w:type="spellStart"/>
      <w:r>
        <w:rPr>
          <w:color w:val="222222"/>
          <w:highlight w:val="white"/>
        </w:rPr>
        <w:t>Hefler</w:t>
      </w:r>
      <w:proofErr w:type="spellEnd"/>
      <w:r>
        <w:rPr>
          <w:color w:val="222222"/>
          <w:highlight w:val="white"/>
        </w:rPr>
        <w:t xml:space="preserve"> </w:t>
      </w:r>
      <w:r>
        <w:rPr>
          <w:i/>
          <w:color w:val="222222"/>
          <w:highlight w:val="white"/>
        </w:rPr>
        <w:t>et al.</w:t>
      </w:r>
      <w:r>
        <w:rPr>
          <w:color w:val="222222"/>
          <w:highlight w:val="white"/>
        </w:rPr>
        <w:t>, 2020)</w:t>
      </w:r>
      <w:r>
        <w:t xml:space="preserve">. Despite not being affiliated with BAT or having any other overt ties to tobacco, venues that promote and sell BAT smokes are given prominent placement on the website and profess to provide neutral nightlife recommendations. In order to </w:t>
      </w:r>
      <w:r>
        <w:lastRenderedPageBreak/>
        <w:t>sway them towards taking or purchasing BAT brands of cigarettes, young web users will really be directed to pubs and restaurants where they can do so. The BAT website may also be used to collect user data for direct marketing purposes in the future (</w:t>
      </w:r>
      <w:r>
        <w:rPr>
          <w:color w:val="222222"/>
          <w:highlight w:val="white"/>
        </w:rPr>
        <w:t xml:space="preserve">O’Neill </w:t>
      </w:r>
      <w:r>
        <w:rPr>
          <w:i/>
          <w:color w:val="222222"/>
          <w:highlight w:val="white"/>
        </w:rPr>
        <w:t>et al</w:t>
      </w:r>
      <w:r>
        <w:rPr>
          <w:color w:val="222222"/>
          <w:highlight w:val="white"/>
        </w:rPr>
        <w:t>., 2021)</w:t>
      </w:r>
      <w:r>
        <w:t>. BAT intends to create an inventory of 40.000 smokers in its first year (</w:t>
      </w:r>
      <w:proofErr w:type="spellStart"/>
      <w:r>
        <w:rPr>
          <w:color w:val="222222"/>
          <w:highlight w:val="white"/>
        </w:rPr>
        <w:t>Gole</w:t>
      </w:r>
      <w:proofErr w:type="spellEnd"/>
      <w:r>
        <w:rPr>
          <w:color w:val="222222"/>
          <w:highlight w:val="white"/>
        </w:rPr>
        <w:t xml:space="preserve"> </w:t>
      </w:r>
      <w:r>
        <w:rPr>
          <w:i/>
          <w:color w:val="222222"/>
          <w:highlight w:val="white"/>
        </w:rPr>
        <w:t>et al.</w:t>
      </w:r>
      <w:r>
        <w:rPr>
          <w:color w:val="222222"/>
          <w:highlight w:val="white"/>
        </w:rPr>
        <w:t>, 2020)</w:t>
      </w:r>
      <w:r>
        <w:t>. With the use of this "permission marketing" strategy, there may be yet another gap in anti-tobacco legislation. Yet as we all understand, a tobacco company will always find a way to get around any obstacles.</w:t>
      </w:r>
    </w:p>
    <w:p w:rsidR="00AC0445" w:rsidRDefault="00C772AC">
      <w:pPr>
        <w:rPr>
          <w:color w:val="222222"/>
          <w:highlight w:val="white"/>
        </w:rPr>
      </w:pPr>
      <w:r>
        <w:t xml:space="preserve">The key decisions implemented by British American Tobacco involve several aspects and one of them is the entry mode selection. Entry mode selection refers to the process of choosing the most appropriate method or approach to enter a market in a foreign country. Entry mode selection involves the evaluation of various options like exports, foreign direct investment (FDI), joint ventures, licensing of the agreements and the establishment of strategic alliances that allows the company to establish control and operate in foreign markets. According to </w:t>
      </w:r>
      <w:proofErr w:type="spellStart"/>
      <w:r>
        <w:rPr>
          <w:color w:val="222222"/>
          <w:highlight w:val="white"/>
        </w:rPr>
        <w:t>Nippa</w:t>
      </w:r>
      <w:proofErr w:type="spellEnd"/>
      <w:r>
        <w:rPr>
          <w:color w:val="222222"/>
          <w:highlight w:val="white"/>
        </w:rPr>
        <w:t xml:space="preserve"> </w:t>
      </w:r>
      <w:r>
        <w:rPr>
          <w:i/>
          <w:color w:val="222222"/>
          <w:highlight w:val="white"/>
        </w:rPr>
        <w:t>et</w:t>
      </w:r>
      <w:r>
        <w:rPr>
          <w:color w:val="222222"/>
          <w:highlight w:val="white"/>
        </w:rPr>
        <w:t xml:space="preserve"> </w:t>
      </w:r>
      <w:r>
        <w:rPr>
          <w:i/>
          <w:color w:val="222222"/>
          <w:highlight w:val="white"/>
        </w:rPr>
        <w:t>al</w:t>
      </w:r>
      <w:r>
        <w:rPr>
          <w:color w:val="222222"/>
          <w:highlight w:val="white"/>
        </w:rPr>
        <w:t xml:space="preserve">., (2019), the international joint ventures provide a lot of empirical evidence for the companies to implement in their future endeavours. This allows the company to carry out a proper assessment of the policies implemented by companies in the past and allows the company to analyse the success rate of the strategies implemented and also create an in-depth analysis of the assessment of risks to minimise the issue of failure. According to the British American Tobacco (2023), the company had decided to change the trajectory of their business operations and had decided to go international in 1902.After gaining success in the tobacco industry in the United Kingdom, the company decided to enter the global market. The British American Tobacco, considering the circumstances of the time, opted for direct investment entry mode. The company took measures to acquire the existing tobacco companies in the USA and Canada to gain a strong control in the market. This allowed British American Tobacco to directly control the procedures pertaining to quality control and brand image and consistency. The company also gained full control over the supply chain management segment of the business operations and ensured efficient and timely distribution of the company’s products to the customers.  The operations run by the company on a global level allowed the company to run operations with a customer-centric approach. According to Dewhirst (2019), the company has diversified the operations by providing various products with nicotine like e-cigarettes and </w:t>
      </w:r>
      <w:proofErr w:type="spellStart"/>
      <w:r>
        <w:rPr>
          <w:color w:val="222222"/>
          <w:highlight w:val="white"/>
        </w:rPr>
        <w:t>vapes</w:t>
      </w:r>
      <w:proofErr w:type="spellEnd"/>
      <w:r>
        <w:rPr>
          <w:color w:val="222222"/>
          <w:highlight w:val="white"/>
        </w:rPr>
        <w:t xml:space="preserve"> in order to keep up with the recent trends in the global market, instead of sticking to the traditional products.</w:t>
      </w:r>
    </w:p>
    <w:p w:rsidR="00AC0445" w:rsidRDefault="00AC0445">
      <w:pPr>
        <w:rPr>
          <w:color w:val="222222"/>
          <w:highlight w:val="white"/>
        </w:rPr>
      </w:pPr>
    </w:p>
    <w:p w:rsidR="00AC0445" w:rsidRDefault="00AC0445">
      <w:pPr>
        <w:rPr>
          <w:color w:val="222222"/>
          <w:highlight w:val="white"/>
        </w:rPr>
      </w:pPr>
    </w:p>
    <w:p w:rsidR="00AC0445" w:rsidRDefault="00C772AC">
      <w:pPr>
        <w:pStyle w:val="Heading1"/>
      </w:pPr>
      <w:bookmarkStart w:id="37" w:name="_Toc140746994"/>
      <w:r>
        <w:t>Modes of engagement with the international market and its interconnectedness with the business environment</w:t>
      </w:r>
      <w:bookmarkEnd w:id="37"/>
    </w:p>
    <w:p w:rsidR="00AC0445" w:rsidRDefault="00C772AC">
      <w:r>
        <w:t xml:space="preserve">Based on global statistics, it has been found that most of the global firms rely directly and indirectly on software development as well as on IT outsourcing services. At times, it becomes difficult to choose one particular engagement model for the growth and development of a company. As per the perception of </w:t>
      </w:r>
      <w:r>
        <w:rPr>
          <w:color w:val="222222"/>
          <w:highlight w:val="white"/>
        </w:rPr>
        <w:t xml:space="preserve">Tariq </w:t>
      </w:r>
      <w:r>
        <w:rPr>
          <w:i/>
          <w:color w:val="222222"/>
          <w:highlight w:val="white"/>
        </w:rPr>
        <w:t xml:space="preserve">et al., </w:t>
      </w:r>
      <w:r>
        <w:rPr>
          <w:color w:val="222222"/>
          <w:highlight w:val="white"/>
        </w:rPr>
        <w:t>(2022)</w:t>
      </w:r>
      <w:r>
        <w:t xml:space="preserve"> engagement model can be defined as the working relationship between different parties which includes various works. It works as a guide and offers an outline for structure which encompasses pricing, communication, management and collaboration. When it comes to the models of engagement, different firms based on their work processes implement the mode accordingly. From the materials that have been provided it can be stated that the organisation named British American Tobacco in order to make deals in the international market and to enhance their rate of growth can make use of the engagement for better workflow. </w:t>
      </w:r>
    </w:p>
    <w:p w:rsidR="00AC0445" w:rsidRDefault="00C772AC">
      <w:pPr>
        <w:rPr>
          <w:b/>
        </w:rPr>
      </w:pPr>
      <w:r>
        <w:rPr>
          <w:b/>
        </w:rPr>
        <w:t>Fixed price and fixed scope</w:t>
      </w:r>
    </w:p>
    <w:p w:rsidR="00AC0445" w:rsidRDefault="00C772AC">
      <w:r>
        <w:t xml:space="preserve">As per the point of view of </w:t>
      </w:r>
      <w:r>
        <w:rPr>
          <w:color w:val="222222"/>
          <w:highlight w:val="white"/>
        </w:rPr>
        <w:t xml:space="preserve">Tariq </w:t>
      </w:r>
      <w:r>
        <w:rPr>
          <w:i/>
          <w:color w:val="222222"/>
          <w:highlight w:val="white"/>
        </w:rPr>
        <w:t xml:space="preserve">et al., </w:t>
      </w:r>
      <w:r>
        <w:rPr>
          <w:color w:val="222222"/>
          <w:highlight w:val="white"/>
        </w:rPr>
        <w:t>(2022)</w:t>
      </w:r>
      <w:r>
        <w:t xml:space="preserve"> the model of fixed price is an arrangement of contractual between the growth of a company and with the client. For the sake of their own good, both of them make agreements for their own good which is based on price, opportunity of work and time frame. At times it even happens that customers are at times confident in their fixed-price strategy as any additional expenses which can be beyond their additional and agreed budget. The British American Tobacco company can make use of the model in an appropriate manner so that the organisation can attain their desired aim </w:t>
      </w:r>
      <w:r>
        <w:rPr>
          <w:color w:val="222222"/>
          <w:highlight w:val="white"/>
        </w:rPr>
        <w:t>(</w:t>
      </w:r>
      <w:proofErr w:type="spellStart"/>
      <w:r>
        <w:rPr>
          <w:color w:val="222222"/>
          <w:highlight w:val="white"/>
        </w:rPr>
        <w:t>Wołowiec</w:t>
      </w:r>
      <w:proofErr w:type="spellEnd"/>
      <w:r>
        <w:rPr>
          <w:color w:val="222222"/>
          <w:highlight w:val="white"/>
        </w:rPr>
        <w:t xml:space="preserve"> and </w:t>
      </w:r>
      <w:proofErr w:type="spellStart"/>
      <w:r>
        <w:rPr>
          <w:color w:val="222222"/>
          <w:highlight w:val="white"/>
        </w:rPr>
        <w:t>Skrzypek</w:t>
      </w:r>
      <w:proofErr w:type="spellEnd"/>
      <w:r>
        <w:rPr>
          <w:color w:val="222222"/>
          <w:highlight w:val="white"/>
        </w:rPr>
        <w:t>-Ahmed, 2022)</w:t>
      </w:r>
      <w:r>
        <w:t xml:space="preserve">. In order to execute the long term projects which are </w:t>
      </w:r>
      <w:proofErr w:type="gramStart"/>
      <w:r>
        <w:t>underscore</w:t>
      </w:r>
      <w:proofErr w:type="gramEnd"/>
      <w:r>
        <w:t xml:space="preserve">, the organisation needs to make sure that the scope of the project becomes unclear and in order to determine the approach, this model can be an ideal one. On the contrary, </w:t>
      </w:r>
      <w:proofErr w:type="spellStart"/>
      <w:r>
        <w:rPr>
          <w:color w:val="222222"/>
          <w:highlight w:val="white"/>
        </w:rPr>
        <w:t>Ananzeh</w:t>
      </w:r>
      <w:proofErr w:type="spellEnd"/>
      <w:r>
        <w:rPr>
          <w:i/>
          <w:color w:val="222222"/>
          <w:highlight w:val="white"/>
        </w:rPr>
        <w:t xml:space="preserve"> et al., </w:t>
      </w:r>
      <w:r>
        <w:rPr>
          <w:color w:val="222222"/>
          <w:highlight w:val="white"/>
        </w:rPr>
        <w:t>(2022)</w:t>
      </w:r>
      <w:r>
        <w:t xml:space="preserve"> stated that there are some obstacles of this model which are high risk exposure which are associated for service providers which needs to be given utmost importance. From the materials that have been provided it can be stated that as this model of business is comparatively expensive thus, at times it becomes problematic for organisations to make proper usage of this model within their workplace. On the other side of the coin, even though this model is expensive, it offers a long-lasting positive impact on the organisation through which it can grow rapidly </w:t>
      </w:r>
      <w:r>
        <w:rPr>
          <w:color w:val="222222"/>
          <w:highlight w:val="white"/>
        </w:rPr>
        <w:t>(</w:t>
      </w:r>
      <w:proofErr w:type="spellStart"/>
      <w:r>
        <w:rPr>
          <w:color w:val="222222"/>
          <w:highlight w:val="white"/>
        </w:rPr>
        <w:t>Wołowiec</w:t>
      </w:r>
      <w:proofErr w:type="spellEnd"/>
      <w:r>
        <w:rPr>
          <w:color w:val="222222"/>
          <w:highlight w:val="white"/>
        </w:rPr>
        <w:t xml:space="preserve"> and </w:t>
      </w:r>
      <w:proofErr w:type="spellStart"/>
      <w:r>
        <w:rPr>
          <w:color w:val="222222"/>
          <w:highlight w:val="white"/>
        </w:rPr>
        <w:t>Skrzypek</w:t>
      </w:r>
      <w:proofErr w:type="spellEnd"/>
      <w:r>
        <w:rPr>
          <w:color w:val="222222"/>
          <w:highlight w:val="white"/>
        </w:rPr>
        <w:t xml:space="preserve">-Ahmed, </w:t>
      </w:r>
      <w:r>
        <w:rPr>
          <w:color w:val="222222"/>
          <w:highlight w:val="white"/>
        </w:rPr>
        <w:lastRenderedPageBreak/>
        <w:t>2022)</w:t>
      </w:r>
      <w:r>
        <w:t xml:space="preserve">. This model is used by firms for handling small projects and to attain their small objectives. </w:t>
      </w:r>
    </w:p>
    <w:p w:rsidR="00AC0445" w:rsidRDefault="00C772AC">
      <w:pPr>
        <w:rPr>
          <w:b/>
        </w:rPr>
      </w:pPr>
      <w:r>
        <w:rPr>
          <w:b/>
        </w:rPr>
        <w:t>Resources and time</w:t>
      </w:r>
    </w:p>
    <w:p w:rsidR="00AC0445" w:rsidRDefault="00C772AC">
      <w:r>
        <w:t xml:space="preserve">According to </w:t>
      </w:r>
      <w:r>
        <w:rPr>
          <w:color w:val="222222"/>
          <w:highlight w:val="white"/>
        </w:rPr>
        <w:t xml:space="preserve">Villegas and Marin, (2022) </w:t>
      </w:r>
      <w:r>
        <w:t xml:space="preserve">time and resources include the developers that are being compromised and compensated. This relies on certain times as well as the effort the organisation named British American Tobacco organisation can make full utilisation of it. British American Tobacco can easily make use of this model as it is easy to use and due to its implementation </w:t>
      </w:r>
      <w:proofErr w:type="gramStart"/>
      <w:r>
        <w:t>procedures which is</w:t>
      </w:r>
      <w:proofErr w:type="gramEnd"/>
      <w:r>
        <w:t xml:space="preserve"> based on the actual time spent in order to execute the functionality and planned project. On the top of that, </w:t>
      </w:r>
      <w:proofErr w:type="spellStart"/>
      <w:r>
        <w:rPr>
          <w:color w:val="222222"/>
          <w:highlight w:val="white"/>
        </w:rPr>
        <w:t>Ananzeh</w:t>
      </w:r>
      <w:proofErr w:type="spellEnd"/>
      <w:r>
        <w:rPr>
          <w:i/>
          <w:color w:val="222222"/>
          <w:highlight w:val="white"/>
        </w:rPr>
        <w:t xml:space="preserve"> et al., </w:t>
      </w:r>
      <w:r>
        <w:rPr>
          <w:color w:val="222222"/>
          <w:highlight w:val="white"/>
        </w:rPr>
        <w:t>(2022)</w:t>
      </w:r>
      <w:r>
        <w:t xml:space="preserve"> stated that this model is known widely for its ease to usefulness, the procedure of adaptability as well as its flexibility of incorporation of this model. This fact has been depicted by </w:t>
      </w:r>
      <w:r>
        <w:rPr>
          <w:color w:val="222222"/>
          <w:highlight w:val="white"/>
        </w:rPr>
        <w:t>Butt</w:t>
      </w:r>
      <w:r>
        <w:rPr>
          <w:i/>
          <w:color w:val="222222"/>
          <w:highlight w:val="white"/>
        </w:rPr>
        <w:t xml:space="preserve"> et al., </w:t>
      </w:r>
      <w:r>
        <w:rPr>
          <w:color w:val="222222"/>
          <w:highlight w:val="white"/>
        </w:rPr>
        <w:t>(2022)</w:t>
      </w:r>
      <w:r>
        <w:t xml:space="preserve"> and the author stated that budget issues can arise due to the fact that the actual price can vary from that of the implementation cost. British American Tobacco can make its payment on a monthly basis and depending on the amount of work which is yet to be completed after the incorporation of this model. </w:t>
      </w:r>
    </w:p>
    <w:p w:rsidR="00AC0445" w:rsidRDefault="00C772AC">
      <w:r>
        <w:t xml:space="preserve">British American Tobacco can take help from this model by defining the clients or their perceptions of their users so that the entire team gets encouraged and executes the task in an effective manner. The executed work can be segregated into various sprints which typically </w:t>
      </w:r>
      <w:proofErr w:type="gramStart"/>
      <w:r>
        <w:t>lasts</w:t>
      </w:r>
      <w:proofErr w:type="gramEnd"/>
      <w:r>
        <w:t xml:space="preserve"> for two weeks or more than that and their prioritisation is based on their dependencies </w:t>
      </w:r>
      <w:r>
        <w:rPr>
          <w:color w:val="222222"/>
          <w:highlight w:val="white"/>
        </w:rPr>
        <w:t>(Butt</w:t>
      </w:r>
      <w:r>
        <w:rPr>
          <w:i/>
          <w:color w:val="222222"/>
          <w:highlight w:val="white"/>
        </w:rPr>
        <w:t xml:space="preserve"> et al., </w:t>
      </w:r>
      <w:r>
        <w:rPr>
          <w:color w:val="222222"/>
          <w:highlight w:val="white"/>
        </w:rPr>
        <w:t>2022)</w:t>
      </w:r>
      <w:r>
        <w:t xml:space="preserve">. British American Tobacco can make use of this model as while adapting to change, the workload may not remain the same and for that matter it can be helped in maintaining time and making use of the resources in an appropriate manner. As per the point of view of </w:t>
      </w:r>
      <w:r>
        <w:rPr>
          <w:color w:val="222222"/>
          <w:highlight w:val="white"/>
        </w:rPr>
        <w:t>Villegas and Marin, (2022)</w:t>
      </w:r>
      <w:r>
        <w:t xml:space="preserve"> at the time of tight deadlines, this model can help and it even offers greater transparency. </w:t>
      </w:r>
    </w:p>
    <w:p w:rsidR="00AC0445" w:rsidRDefault="00C772AC">
      <w:pPr>
        <w:rPr>
          <w:b/>
        </w:rPr>
      </w:pPr>
      <w:r>
        <w:rPr>
          <w:b/>
        </w:rPr>
        <w:t>Onshore and offshore model</w:t>
      </w:r>
    </w:p>
    <w:p w:rsidR="00AC0445" w:rsidRDefault="00C772AC">
      <w:pPr>
        <w:spacing w:before="240" w:after="240"/>
        <w:rPr>
          <w:color w:val="222222"/>
          <w:highlight w:val="white"/>
        </w:rPr>
      </w:pPr>
      <w:proofErr w:type="spellStart"/>
      <w:r>
        <w:rPr>
          <w:color w:val="222222"/>
          <w:highlight w:val="white"/>
        </w:rPr>
        <w:t>Coraiola</w:t>
      </w:r>
      <w:proofErr w:type="spellEnd"/>
      <w:r>
        <w:rPr>
          <w:color w:val="222222"/>
          <w:highlight w:val="white"/>
        </w:rPr>
        <w:t xml:space="preserve"> and Derry, (2020) stated that with the help of an onshore model, the British American Tobacco company keeps in track of all their project activities as well as their resources. With the help of the onshore model a company can deal with various issues such as their geographical location or the location of their customers. Onshore model is appropriate for British American Tobacco companies as it enforces the fact and the importance of effective communication, alignment of their culture and effective collaboration of the employees that work in the </w:t>
      </w:r>
      <w:r>
        <w:rPr>
          <w:color w:val="222222"/>
          <w:highlight w:val="white"/>
        </w:rPr>
        <w:lastRenderedPageBreak/>
        <w:t>organisation (</w:t>
      </w:r>
      <w:proofErr w:type="spellStart"/>
      <w:r>
        <w:rPr>
          <w:color w:val="222222"/>
          <w:highlight w:val="white"/>
        </w:rPr>
        <w:t>Wołowiec</w:t>
      </w:r>
      <w:proofErr w:type="spellEnd"/>
      <w:r>
        <w:rPr>
          <w:color w:val="222222"/>
          <w:highlight w:val="white"/>
        </w:rPr>
        <w:t xml:space="preserve"> and </w:t>
      </w:r>
      <w:proofErr w:type="spellStart"/>
      <w:r>
        <w:rPr>
          <w:color w:val="222222"/>
          <w:highlight w:val="white"/>
        </w:rPr>
        <w:t>Skrzypek</w:t>
      </w:r>
      <w:proofErr w:type="spellEnd"/>
      <w:r>
        <w:rPr>
          <w:color w:val="222222"/>
          <w:highlight w:val="white"/>
        </w:rPr>
        <w:t xml:space="preserve">-Ahmed, 2022). With the help of an onshore model, the project delivery of British American Tobacco can be executed in an effective manner, this is because it helps in mitigating the challenges which are interlinked with time zone and the distance associated with it. On the other side of the coin, </w:t>
      </w:r>
      <w:proofErr w:type="spellStart"/>
      <w:r>
        <w:rPr>
          <w:color w:val="222222"/>
          <w:highlight w:val="white"/>
        </w:rPr>
        <w:t>Azimovna</w:t>
      </w:r>
      <w:proofErr w:type="spellEnd"/>
      <w:r>
        <w:rPr>
          <w:color w:val="222222"/>
          <w:highlight w:val="white"/>
        </w:rPr>
        <w:t xml:space="preserve"> and </w:t>
      </w:r>
      <w:proofErr w:type="spellStart"/>
      <w:r>
        <w:rPr>
          <w:color w:val="222222"/>
          <w:highlight w:val="white"/>
        </w:rPr>
        <w:t>Shokhrukhovich</w:t>
      </w:r>
      <w:proofErr w:type="spellEnd"/>
      <w:r>
        <w:rPr>
          <w:color w:val="222222"/>
          <w:highlight w:val="white"/>
        </w:rPr>
        <w:t xml:space="preserve">, (2022) stated that offshore model of engagement can be an effective one as it helps in determining the challenges that the organisation can face in the future.  </w:t>
      </w:r>
    </w:p>
    <w:p w:rsidR="00AC0445" w:rsidRDefault="00C772AC">
      <w:pPr>
        <w:spacing w:before="240" w:after="240"/>
      </w:pPr>
      <w:r>
        <w:t xml:space="preserve">From the materials that have been provided it can be stated that </w:t>
      </w:r>
      <w:r>
        <w:rPr>
          <w:color w:val="222222"/>
          <w:highlight w:val="white"/>
        </w:rPr>
        <w:t xml:space="preserve">British American Tobacco </w:t>
      </w:r>
      <w:proofErr w:type="gramStart"/>
      <w:r>
        <w:rPr>
          <w:color w:val="222222"/>
          <w:highlight w:val="white"/>
        </w:rPr>
        <w:t>company</w:t>
      </w:r>
      <w:proofErr w:type="gramEnd"/>
      <w:r>
        <w:rPr>
          <w:color w:val="222222"/>
          <w:highlight w:val="white"/>
        </w:rPr>
        <w:t xml:space="preserve"> by acquiring the dedicated team model, can easily and effectively extend their capabilities in order to accommodate their change in capabilities. This is because it assists in acquiring expansion and rapid growth of the company and this can be beneficial </w:t>
      </w:r>
      <w:proofErr w:type="gramStart"/>
      <w:r>
        <w:rPr>
          <w:color w:val="222222"/>
          <w:highlight w:val="white"/>
        </w:rPr>
        <w:t>for  British</w:t>
      </w:r>
      <w:proofErr w:type="gramEnd"/>
      <w:r>
        <w:rPr>
          <w:color w:val="222222"/>
          <w:highlight w:val="white"/>
        </w:rPr>
        <w:t xml:space="preserve"> American Tobacco companies. The organisation can leverage their external expertise and at the same time reduces their burden of hiring commitments for a longer period of time. </w:t>
      </w:r>
      <w:proofErr w:type="spellStart"/>
      <w:r>
        <w:rPr>
          <w:color w:val="222222"/>
          <w:highlight w:val="white"/>
        </w:rPr>
        <w:t>Coraiola</w:t>
      </w:r>
      <w:proofErr w:type="spellEnd"/>
      <w:r>
        <w:rPr>
          <w:color w:val="222222"/>
          <w:highlight w:val="white"/>
        </w:rPr>
        <w:t xml:space="preserve"> and Derry, (2020) commented on this part by stating that it can help in outsourcing the engagement activities and at the same time helps by providing benefits like cost saving and enhancing productivity. </w:t>
      </w:r>
      <w:proofErr w:type="spellStart"/>
      <w:r>
        <w:rPr>
          <w:color w:val="222222"/>
          <w:highlight w:val="white"/>
        </w:rPr>
        <w:t>Azimovna</w:t>
      </w:r>
      <w:proofErr w:type="spellEnd"/>
      <w:r>
        <w:rPr>
          <w:color w:val="222222"/>
          <w:highlight w:val="white"/>
        </w:rPr>
        <w:t xml:space="preserve"> and </w:t>
      </w:r>
      <w:proofErr w:type="spellStart"/>
      <w:r>
        <w:rPr>
          <w:color w:val="222222"/>
          <w:highlight w:val="white"/>
        </w:rPr>
        <w:t>Shokhrukhovich</w:t>
      </w:r>
      <w:proofErr w:type="spellEnd"/>
      <w:r>
        <w:rPr>
          <w:color w:val="222222"/>
          <w:highlight w:val="white"/>
        </w:rPr>
        <w:t xml:space="preserve">, (2022) stated that with the help of proper coordination as well as careful planning, these issues can be mitigated easily. </w:t>
      </w:r>
    </w:p>
    <w:p w:rsidR="00AC0445" w:rsidRDefault="00C772AC">
      <w:pPr>
        <w:rPr>
          <w:b/>
        </w:rPr>
      </w:pPr>
      <w:r>
        <w:rPr>
          <w:b/>
        </w:rPr>
        <w:t>Exports as a mode of engagement with the international market</w:t>
      </w:r>
    </w:p>
    <w:p w:rsidR="00AC0445" w:rsidRDefault="00C772AC">
      <w:r>
        <w:t xml:space="preserve">Exports serve an effective mode of communication for British American Tobacco with the international market. Since British American Tobacco is a major competitor in the world of tobacco industry, the company relies on exports as a mode of communication with the international market via its products to build a positive brand image and have an edge against the competitors in the industry of tobacco. According to </w:t>
      </w:r>
      <w:proofErr w:type="spellStart"/>
      <w:r>
        <w:rPr>
          <w:color w:val="222222"/>
          <w:highlight w:val="white"/>
        </w:rPr>
        <w:t>Wołowiec</w:t>
      </w:r>
      <w:proofErr w:type="spellEnd"/>
      <w:r>
        <w:rPr>
          <w:color w:val="222222"/>
          <w:highlight w:val="white"/>
        </w:rPr>
        <w:t xml:space="preserve"> </w:t>
      </w:r>
      <w:r>
        <w:rPr>
          <w:i/>
          <w:color w:val="222222"/>
          <w:highlight w:val="white"/>
        </w:rPr>
        <w:t>et al.</w:t>
      </w:r>
      <w:r>
        <w:rPr>
          <w:color w:val="222222"/>
          <w:highlight w:val="white"/>
        </w:rPr>
        <w:t>, (2019), t</w:t>
      </w:r>
      <w:r>
        <w:t>here are key elements involved in the process of exports which allow the company to develop a strong foothold in the market like the expansion of market, cultural exchange and the promotion of the brand on the global level.</w:t>
      </w:r>
    </w:p>
    <w:p w:rsidR="00AC0445" w:rsidRDefault="00C772AC">
      <w:pPr>
        <w:rPr>
          <w:b/>
          <w:i/>
        </w:rPr>
      </w:pPr>
      <w:r>
        <w:rPr>
          <w:b/>
          <w:i/>
        </w:rPr>
        <w:t>Expansion of the market</w:t>
      </w:r>
    </w:p>
    <w:p w:rsidR="00AC0445" w:rsidRPr="003C4745" w:rsidRDefault="00C772AC">
      <w:r>
        <w:t xml:space="preserve">The growing success of British American tobacco allowed the company to enter the global market in 1902 (British American Tobacco, 2023). Exports provided the company with a new market where it could sell the products. The aspect of exports allowed the company to interact with new consumers and also understand the diverse needs of the consumer bases in the different </w:t>
      </w:r>
      <w:r>
        <w:lastRenderedPageBreak/>
        <w:t xml:space="preserve">countries. According to </w:t>
      </w:r>
      <w:r>
        <w:rPr>
          <w:color w:val="222222"/>
          <w:highlight w:val="white"/>
        </w:rPr>
        <w:t>Singleton (2023)</w:t>
      </w:r>
      <w:r>
        <w:t xml:space="preserve">, the entry into a diverse market which consists of consumers with different preferences, tastes and habits pertaining to smoking, allowed the company to gain knowledge about the preferences of the customers and have a contingency approach to their business operations and run operations with the needs of the consumer at the centre of the operations. The company has been thriving in the tobacco world since the 1940s and the aspect of adaptability to the demands of the customer and the political laws of the country has allowed the company to flourish. </w:t>
      </w:r>
      <w:r w:rsidRPr="003C4745">
        <w:t xml:space="preserve">According to </w:t>
      </w:r>
      <w:proofErr w:type="spellStart"/>
      <w:r w:rsidRPr="003C4745">
        <w:t>Podrug</w:t>
      </w:r>
      <w:proofErr w:type="spellEnd"/>
      <w:r w:rsidRPr="003C4745">
        <w:t xml:space="preserve"> (2021), the aspect of </w:t>
      </w:r>
      <w:proofErr w:type="spellStart"/>
      <w:r w:rsidRPr="003C4745">
        <w:t>geocentrism</w:t>
      </w:r>
      <w:proofErr w:type="spellEnd"/>
      <w:r w:rsidRPr="003C4745">
        <w:t xml:space="preserve"> is not prevalent in the business operations of British American Tobacco. However, the aspect of ethnocentrism is present and there have been reports of ethnocentrism at British American Tobacco, a firm that has come under fire for its marketing strategies and lack of cultural sensitivity. It's crucial to remember that the company has also taken action to allay these worries and advance inclusivity and cultural diversity.</w:t>
      </w:r>
    </w:p>
    <w:p w:rsidR="00AC0445" w:rsidRDefault="00AC0445">
      <w:pPr>
        <w:rPr>
          <w:color w:val="FF0000"/>
        </w:rPr>
      </w:pPr>
    </w:p>
    <w:p w:rsidR="00AC0445" w:rsidRDefault="00AC0445">
      <w:pPr>
        <w:rPr>
          <w:color w:val="FF0000"/>
        </w:rPr>
      </w:pPr>
    </w:p>
    <w:p w:rsidR="00AC0445" w:rsidRDefault="00C772AC">
      <w:pPr>
        <w:rPr>
          <w:b/>
          <w:i/>
        </w:rPr>
      </w:pPr>
      <w:r>
        <w:rPr>
          <w:b/>
          <w:i/>
        </w:rPr>
        <w:t>Cultural exchange</w:t>
      </w:r>
    </w:p>
    <w:p w:rsidR="00AC0445" w:rsidRDefault="00C772AC">
      <w:r>
        <w:t xml:space="preserve">Exports act like a vehicle for exchange of culture in the operations run by British American </w:t>
      </w:r>
      <w:proofErr w:type="spellStart"/>
      <w:r>
        <w:t>Tobacco.The</w:t>
      </w:r>
      <w:proofErr w:type="spellEnd"/>
      <w:r>
        <w:t xml:space="preserve"> exports of products to foreign countries leads to the reciprocation of culture and has an influence on the cultural practices of the </w:t>
      </w:r>
      <w:proofErr w:type="spellStart"/>
      <w:r>
        <w:t>company.According</w:t>
      </w:r>
      <w:proofErr w:type="spellEnd"/>
      <w:r>
        <w:t xml:space="preserve"> to Kaya (2023)</w:t>
      </w:r>
      <w:proofErr w:type="gramStart"/>
      <w:r>
        <w:t>,there</w:t>
      </w:r>
      <w:proofErr w:type="gramEnd"/>
      <w:r>
        <w:t xml:space="preserve"> was a significant amount of cultural exchange that occurred due to the company running its operations from the port of Izmir.  The factor of exports not only allows the company to gain a positive brand image on a global level, it also allows the company to gain the support and loyalty of customers when the company performs operations in allegiance to the cultural values of the company.  </w:t>
      </w:r>
    </w:p>
    <w:p w:rsidR="00AC0445" w:rsidRDefault="00C772AC">
      <w:r>
        <w:rPr>
          <w:i/>
        </w:rPr>
        <w:t>Promotion of the brand</w:t>
      </w:r>
      <w:r>
        <w:t xml:space="preserve"> _110</w:t>
      </w:r>
    </w:p>
    <w:p w:rsidR="00AC0445" w:rsidRDefault="00C772AC">
      <w:r>
        <w:t xml:space="preserve">The marketing segment of the company is responsible for the creation as well as the promotion of the brand. It is the crux of all the business operations as it enables the company to attract customers on the basis of a development of a positive brand image. However, the world of marketing is tight, competitive and dynamic, which makes it so complex. British American Tobacco has gained success due to the lucrative marketing strategies implemented by the company. According to Dewhirst (2019), the company has created a shift in the paradigm of the products that the company has to offer along with deploying modern marketing techniques and </w:t>
      </w:r>
      <w:r>
        <w:lastRenderedPageBreak/>
        <w:t xml:space="preserve">not sticking to the traditional print media. The company and its ability to diversify the products according to the demands of the customers </w:t>
      </w:r>
      <w:proofErr w:type="gramStart"/>
      <w:r>
        <w:t>has</w:t>
      </w:r>
      <w:proofErr w:type="gramEnd"/>
      <w:r>
        <w:t xml:space="preserve"> allowed it to sustain in the global market.</w:t>
      </w:r>
    </w:p>
    <w:p w:rsidR="00AC0445" w:rsidRDefault="00AC0445"/>
    <w:p w:rsidR="00AC0445" w:rsidRDefault="00AC0445"/>
    <w:p w:rsidR="00AC0445" w:rsidRDefault="00C772AC">
      <w:pPr>
        <w:pStyle w:val="Heading1"/>
      </w:pPr>
      <w:bookmarkStart w:id="38" w:name="_Toc140746995"/>
      <w:r>
        <w:t>Issues faced by the company in their international strategies</w:t>
      </w:r>
      <w:bookmarkEnd w:id="38"/>
    </w:p>
    <w:p w:rsidR="00AC0445" w:rsidRDefault="00C772AC">
      <w:pPr>
        <w:rPr>
          <w:b/>
        </w:rPr>
      </w:pPr>
      <w:r>
        <w:rPr>
          <w:b/>
        </w:rPr>
        <w:t>Employment Issues</w:t>
      </w:r>
    </w:p>
    <w:p w:rsidR="00AC0445" w:rsidRDefault="00C772AC">
      <w:r>
        <w:t xml:space="preserve">As cited by Lo </w:t>
      </w:r>
      <w:r>
        <w:rPr>
          <w:i/>
        </w:rPr>
        <w:t>et al</w:t>
      </w:r>
      <w:r>
        <w:t>., (2023), following the theory of leadership management developing different strategies for managing the employees is very critical when the business is trying to expand in the international market. During this expansion, the company needs to focus on its employees who act as prime drivers for successfully managing the operations of the company. Referring to the lecture material expatriating that is allowing the citizen of one country to work in multinational companies' foreign subsidiaries for 2 to 5 years should be normalised within the company by the recruiters (</w:t>
      </w:r>
      <w:proofErr w:type="spellStart"/>
      <w:r>
        <w:t>Hamza</w:t>
      </w:r>
      <w:proofErr w:type="spellEnd"/>
      <w:r>
        <w:t xml:space="preserve"> </w:t>
      </w:r>
      <w:r>
        <w:rPr>
          <w:i/>
        </w:rPr>
        <w:t>et al</w:t>
      </w:r>
      <w:r>
        <w:t xml:space="preserve">., 2021). Along with this during the recruitment process the recruiters should attract and search for qualified applicants who will be able to create a pool of </w:t>
      </w:r>
      <w:proofErr w:type="gramStart"/>
      <w:r>
        <w:t>candidates</w:t>
      </w:r>
      <w:proofErr w:type="gramEnd"/>
      <w:r>
        <w:t xml:space="preserve"> first screening for possible hiring and the selection should be done after evaluating the information about the applicants who will be more suitable for the job.</w:t>
      </w:r>
    </w:p>
    <w:p w:rsidR="00AC0445" w:rsidRDefault="00C772AC">
      <w:r>
        <w:t xml:space="preserve">Providing repatriation by bringing the internationals and their families back from foreign assignments to their homes will also act as a strategy to attract more employees to the company (Wang </w:t>
      </w:r>
      <w:r>
        <w:rPr>
          <w:i/>
        </w:rPr>
        <w:t>et al</w:t>
      </w:r>
      <w:r>
        <w:t xml:space="preserve">., 2023). The driving tactics that help the company recruit more employees include rapid and extensive global communication, rapid development and transfer of new technology, improving global education, creating a global talent pull, and increasing travel and migration and sharing of knowledge between colleagues. Following this, British American Tobacco has managed to create a diverse workforce by retaining and recruiting people from all over the world and providing an inclusive environment for working to create a “better Tomorrow” (BAT, 2019). However, there are several employment issues that the company, British American Tobacco is facing during its internalisation process. </w:t>
      </w:r>
    </w:p>
    <w:p w:rsidR="00AC0445" w:rsidRDefault="00C772AC">
      <w:r>
        <w:t xml:space="preserve">Even though the British American company has tried its best to uphold its high standards and engage the stakeholders in order to strengthen its approach to aligning with their expectations, the company faced several issues during the management of its employees (BAT, 2019). Differences in the market of the labourers, including the education system and the technological system, along with differences in their culture, pose an excellent challenge for the company to </w:t>
      </w:r>
      <w:r>
        <w:lastRenderedPageBreak/>
        <w:t xml:space="preserve">retain their employees. </w:t>
      </w:r>
      <w:r>
        <w:rPr>
          <w:b/>
        </w:rPr>
        <w:t xml:space="preserve">Referring to the lecture material, </w:t>
      </w:r>
      <w:r>
        <w:t>based on the theoretical framework of the international context, managing the culture within the company is very important for creating a loyal base of their employees and thereby developing the processes of the company. In a diversified environment of the company where employees from different societies, cultures and backgrounds are working collaboratively, differences in geography, tradition and climate act as a hurdle for the company in managing their employees (</w:t>
      </w:r>
      <w:proofErr w:type="spellStart"/>
      <w:r>
        <w:t>Kucharska</w:t>
      </w:r>
      <w:proofErr w:type="spellEnd"/>
      <w:r>
        <w:t xml:space="preserve"> </w:t>
      </w:r>
      <w:r>
        <w:rPr>
          <w:i/>
        </w:rPr>
        <w:t>et al.</w:t>
      </w:r>
      <w:r>
        <w:t xml:space="preserve">, 2019). In addition, insecurity about the job also affects the employees and thereby forces the employees to leave the job. </w:t>
      </w:r>
    </w:p>
    <w:p w:rsidR="00AC0445" w:rsidRDefault="00C772AC">
      <w:r>
        <w:t>Since the British American Tobacco company is trying to create a diversified workforce by hiring global employees, language barriers are acting as the most prominent challenge for the company (Chen, 2019). Confusing or conflicting information provided in a foreign language restraining the employees from working with dedication. The employees who are only qualified in their native language cannot understand this foreign language and therefore face difficulties in face-to-face interviews (</w:t>
      </w:r>
      <w:proofErr w:type="spellStart"/>
      <w:r>
        <w:t>Smerk</w:t>
      </w:r>
      <w:proofErr w:type="spellEnd"/>
      <w:r>
        <w:t xml:space="preserve">, 2021). This barrier is also interfering with email communication, and creating misunderstandings and irritation within the employees. Therefore, this barrier is hampering the productivity of the company. </w:t>
      </w:r>
    </w:p>
    <w:p w:rsidR="00AC0445" w:rsidRDefault="00C772AC">
      <w:pPr>
        <w:rPr>
          <w:b/>
        </w:rPr>
      </w:pPr>
      <w:r>
        <w:rPr>
          <w:b/>
        </w:rPr>
        <w:t>Administering fair and ethical policies</w:t>
      </w:r>
    </w:p>
    <w:p w:rsidR="00AC0445" w:rsidRDefault="00C772AC">
      <w:r>
        <w:t>When the workplace of the organisation expands globally, the department of human resources will need to understand the ethics of various cultures and societies around the globe since the laws of labour change from one country to another, the ethics will also change (</w:t>
      </w:r>
      <w:proofErr w:type="spellStart"/>
      <w:r>
        <w:t>Aggarwal</w:t>
      </w:r>
      <w:proofErr w:type="spellEnd"/>
      <w:r>
        <w:t xml:space="preserve"> </w:t>
      </w:r>
      <w:r>
        <w:rPr>
          <w:i/>
        </w:rPr>
        <w:t>et al</w:t>
      </w:r>
      <w:r>
        <w:t>., 2021). This develops the urge of changing the ethics of the companies which if not focused on, creates a great problem for the management of the company. Some prime issues of international ethics that need to be focused on making cover the topics of data compensation as well as privacy. These potential global problems based on human resources can easily be addressed through training. However, lack of awareness can also result in damaging the company's reputation and relations overseas so it is imperative to provide training about ethics related to business to all the employees of the company during the time of the global expansion (</w:t>
      </w:r>
      <w:proofErr w:type="spellStart"/>
      <w:r>
        <w:t>Lauro</w:t>
      </w:r>
      <w:proofErr w:type="spellEnd"/>
      <w:r>
        <w:t xml:space="preserve"> </w:t>
      </w:r>
      <w:r>
        <w:rPr>
          <w:i/>
        </w:rPr>
        <w:t>et al.</w:t>
      </w:r>
      <w:r>
        <w:t>, 2022). This therefore can be concluded as a major issue that the companies face while they are trying to create and strengthen their base in the international markets.</w:t>
      </w:r>
    </w:p>
    <w:p w:rsidR="00AC0445" w:rsidRDefault="00C772AC">
      <w:r>
        <w:t xml:space="preserve">British American Tobacco is facing another issue during the development of its international business regarding the policy of equal employment all around the world. Following the laws of </w:t>
      </w:r>
      <w:r>
        <w:lastRenderedPageBreak/>
        <w:t xml:space="preserve">employment, when this company recruits and hires employees depending on the differences in their gender rays and culture, the reputation of the company gets hampered (BAT, 2020). The company should, therefore, stick to the strategy of providing equal employment in order to retain its employees for a longer time. Unequal rates of payment for their employees by not following the ethical rules of the company have also become a reason for disappointment among the employees working in the company. Therefore, during the time of global expansion, since the companies try to work with employees belonging to diverse cultures and societies, the company British American Tobacco faces difficulty in administering fair and ethical policies. </w:t>
      </w:r>
    </w:p>
    <w:p w:rsidR="00AC0445" w:rsidRDefault="00C772AC">
      <w:pPr>
        <w:rPr>
          <w:b/>
        </w:rPr>
      </w:pPr>
      <w:r>
        <w:rPr>
          <w:b/>
        </w:rPr>
        <w:t xml:space="preserve">Inflation in exchange rates </w:t>
      </w:r>
    </w:p>
    <w:p w:rsidR="00AC0445" w:rsidRDefault="00C772AC">
      <w:r>
        <w:t xml:space="preserve">Inflation in the foreign exchange rates also acts as a hurdle for British American tobacco when the tribes expand their company internationally (Stocker </w:t>
      </w:r>
      <w:r>
        <w:rPr>
          <w:i/>
        </w:rPr>
        <w:t>et al.</w:t>
      </w:r>
      <w:r>
        <w:t xml:space="preserve">, 2020). In general, when the inflation is high it makes the currency vehicle nearby surprising the investment and negatively impacting the exchange rate of the company, however when the inflation is low the currency becomes stronger and reserves improve in its exchange rates which reflects in the revenue and the economics of the company. </w:t>
      </w:r>
      <w:r>
        <w:rPr>
          <w:b/>
        </w:rPr>
        <w:t>Referring to the lecture material,</w:t>
      </w:r>
      <w:r>
        <w:t xml:space="preserve"> alterations made in the exchange rates of the currency have a great impact on international trade as it is responsible for enhancing or declining the impose and exposure of the company. </w:t>
      </w:r>
      <w:proofErr w:type="gramStart"/>
      <w:r>
        <w:t>When the exchange rate decreases the exports of British American tobacco rise whereas the imports go down creating a huge loss for the company (CDC, 2022).</w:t>
      </w:r>
      <w:proofErr w:type="gramEnd"/>
      <w:r>
        <w:t xml:space="preserve"> Therefore, different strategies need to be formulated by British American Tobacco in order to overcome these hurdles. </w:t>
      </w:r>
    </w:p>
    <w:p w:rsidR="00AC0445" w:rsidRDefault="00AC0445"/>
    <w:p w:rsidR="00AC0445" w:rsidRDefault="00C772AC">
      <w:pPr>
        <w:pStyle w:val="Heading1"/>
      </w:pPr>
      <w:bookmarkStart w:id="39" w:name="_Toc140746996"/>
      <w:r>
        <w:lastRenderedPageBreak/>
        <w:t>Conclusion</w:t>
      </w:r>
      <w:bookmarkEnd w:id="39"/>
    </w:p>
    <w:p w:rsidR="00AC0445" w:rsidRDefault="00C772AC">
      <w:pPr>
        <w:pStyle w:val="Heading1"/>
      </w:pPr>
      <w:bookmarkStart w:id="40" w:name="_heading=h.1t3h5sf" w:colFirst="0" w:colLast="0"/>
      <w:bookmarkStart w:id="41" w:name="_Toc140746997"/>
      <w:bookmarkEnd w:id="40"/>
      <w:r>
        <w:rPr>
          <w:b w:val="0"/>
          <w:sz w:val="24"/>
          <w:szCs w:val="24"/>
        </w:rPr>
        <w:t>In conclusion, The British American Tobacco has been successful in the world of tobacco since the 1900s due to the lucrative operations deployed by the company. It is remarkable how the company withstood two World Wars and even survived the Great Depression of the 1930s. In addition to this, the company continues to withstand the waves of the global recession, which has shown the ability of the company to face adversity with strength. The ability of the company to withstand adversity stems from the adaptability to availability approach of the company. The customer is always placed at the centre of the operations and it allows the company to gain an understanding about the demands, tastes and preferences of the demographic in different parts of the world, which in turn allows BAT to run its operations in allegiance to the cultural beliefs of the customer of a particular geographical area, all in allegiance to the political laws of the country.</w:t>
      </w:r>
      <w:bookmarkEnd w:id="41"/>
      <w:r>
        <w:rPr>
          <w:b w:val="0"/>
          <w:sz w:val="24"/>
          <w:szCs w:val="24"/>
        </w:rPr>
        <w:t xml:space="preserve"> </w:t>
      </w:r>
      <w:r>
        <w:br w:type="page"/>
      </w:r>
    </w:p>
    <w:p w:rsidR="00AC0445" w:rsidRDefault="00C772AC">
      <w:pPr>
        <w:pStyle w:val="Heading1"/>
      </w:pPr>
      <w:bookmarkStart w:id="42" w:name="_Toc140746998"/>
      <w:r>
        <w:lastRenderedPageBreak/>
        <w:t>Reference List</w:t>
      </w:r>
      <w:bookmarkEnd w:id="42"/>
    </w:p>
    <w:p w:rsidR="00AC0445" w:rsidRDefault="00C772AC">
      <w:pPr>
        <w:rPr>
          <w:color w:val="222222"/>
          <w:highlight w:val="white"/>
        </w:rPr>
      </w:pPr>
      <w:proofErr w:type="spellStart"/>
      <w:r>
        <w:rPr>
          <w:color w:val="222222"/>
          <w:highlight w:val="white"/>
        </w:rPr>
        <w:t>Abdalla</w:t>
      </w:r>
      <w:proofErr w:type="spellEnd"/>
      <w:r>
        <w:rPr>
          <w:color w:val="222222"/>
          <w:highlight w:val="white"/>
        </w:rPr>
        <w:t xml:space="preserve"> </w:t>
      </w:r>
      <w:proofErr w:type="spellStart"/>
      <w:r>
        <w:rPr>
          <w:color w:val="222222"/>
          <w:highlight w:val="white"/>
        </w:rPr>
        <w:t>Hamza</w:t>
      </w:r>
      <w:proofErr w:type="spellEnd"/>
      <w:r>
        <w:rPr>
          <w:color w:val="222222"/>
          <w:highlight w:val="white"/>
        </w:rPr>
        <w:t xml:space="preserve">, P., </w:t>
      </w:r>
      <w:proofErr w:type="spellStart"/>
      <w:r>
        <w:rPr>
          <w:color w:val="222222"/>
          <w:highlight w:val="white"/>
        </w:rPr>
        <w:t>Jabbar</w:t>
      </w:r>
      <w:proofErr w:type="spellEnd"/>
      <w:r>
        <w:rPr>
          <w:color w:val="222222"/>
          <w:highlight w:val="white"/>
        </w:rPr>
        <w:t xml:space="preserve"> Othman, B., </w:t>
      </w:r>
      <w:proofErr w:type="spellStart"/>
      <w:r>
        <w:rPr>
          <w:color w:val="222222"/>
          <w:highlight w:val="white"/>
        </w:rPr>
        <w:t>Gardi</w:t>
      </w:r>
      <w:proofErr w:type="spellEnd"/>
      <w:r>
        <w:rPr>
          <w:color w:val="222222"/>
          <w:highlight w:val="white"/>
        </w:rPr>
        <w:t xml:space="preserve">, B., </w:t>
      </w:r>
      <w:proofErr w:type="spellStart"/>
      <w:r>
        <w:rPr>
          <w:color w:val="222222"/>
          <w:highlight w:val="white"/>
        </w:rPr>
        <w:t>Sorguli</w:t>
      </w:r>
      <w:proofErr w:type="spellEnd"/>
      <w:r>
        <w:rPr>
          <w:color w:val="222222"/>
          <w:highlight w:val="white"/>
        </w:rPr>
        <w:t xml:space="preserve">, S., </w:t>
      </w:r>
      <w:proofErr w:type="spellStart"/>
      <w:r>
        <w:rPr>
          <w:color w:val="222222"/>
          <w:highlight w:val="white"/>
        </w:rPr>
        <w:t>Mahmood</w:t>
      </w:r>
      <w:proofErr w:type="spellEnd"/>
      <w:r>
        <w:rPr>
          <w:color w:val="222222"/>
          <w:highlight w:val="white"/>
        </w:rPr>
        <w:t xml:space="preserve"> Aziz, H., Ali Ahmed, S., </w:t>
      </w:r>
      <w:proofErr w:type="spellStart"/>
      <w:r>
        <w:rPr>
          <w:color w:val="222222"/>
          <w:highlight w:val="white"/>
        </w:rPr>
        <w:t>Sabir</w:t>
      </w:r>
      <w:proofErr w:type="spellEnd"/>
      <w:r>
        <w:rPr>
          <w:color w:val="222222"/>
          <w:highlight w:val="white"/>
        </w:rPr>
        <w:t xml:space="preserve">, B.Y., </w:t>
      </w:r>
      <w:proofErr w:type="spellStart"/>
      <w:r>
        <w:rPr>
          <w:color w:val="222222"/>
          <w:highlight w:val="white"/>
        </w:rPr>
        <w:t>Burhan</w:t>
      </w:r>
      <w:proofErr w:type="spellEnd"/>
      <w:r>
        <w:rPr>
          <w:color w:val="222222"/>
          <w:highlight w:val="white"/>
        </w:rPr>
        <w:t xml:space="preserve"> Ismael, N., Ali, B.J. and Anwar, G., 2021. Recruitment and selection: The relationship between recruitment and selection with organizational performance. </w:t>
      </w:r>
      <w:proofErr w:type="spellStart"/>
      <w:r>
        <w:rPr>
          <w:i/>
          <w:color w:val="222222"/>
          <w:highlight w:val="white"/>
        </w:rPr>
        <w:t>Hamza</w:t>
      </w:r>
      <w:proofErr w:type="spellEnd"/>
      <w:r>
        <w:rPr>
          <w:i/>
          <w:color w:val="222222"/>
          <w:highlight w:val="white"/>
        </w:rPr>
        <w:t xml:space="preserve">, PA, Othman, BJ, </w:t>
      </w:r>
      <w:proofErr w:type="spellStart"/>
      <w:r>
        <w:rPr>
          <w:i/>
          <w:color w:val="222222"/>
          <w:highlight w:val="white"/>
        </w:rPr>
        <w:t>Gardi</w:t>
      </w:r>
      <w:proofErr w:type="spellEnd"/>
      <w:r>
        <w:rPr>
          <w:i/>
          <w:color w:val="222222"/>
          <w:highlight w:val="white"/>
        </w:rPr>
        <w:t xml:space="preserve">, B., </w:t>
      </w:r>
      <w:proofErr w:type="spellStart"/>
      <w:r>
        <w:rPr>
          <w:i/>
          <w:color w:val="222222"/>
          <w:highlight w:val="white"/>
        </w:rPr>
        <w:t>Sorguli</w:t>
      </w:r>
      <w:proofErr w:type="spellEnd"/>
      <w:r>
        <w:rPr>
          <w:i/>
          <w:color w:val="222222"/>
          <w:highlight w:val="white"/>
        </w:rPr>
        <w:t xml:space="preserve">, S., Aziz, HM, Ahmed, SA, </w:t>
      </w:r>
      <w:proofErr w:type="spellStart"/>
      <w:r>
        <w:rPr>
          <w:i/>
          <w:color w:val="222222"/>
          <w:highlight w:val="white"/>
        </w:rPr>
        <w:t>Sabir</w:t>
      </w:r>
      <w:proofErr w:type="spellEnd"/>
      <w:r>
        <w:rPr>
          <w:i/>
          <w:color w:val="222222"/>
          <w:highlight w:val="white"/>
        </w:rPr>
        <w:t>, BY, Ismael, NB, Ali, BJ, Anwar, G.(2021). Recruitment and Selection: The Relationship between Recruitment and Selection with Organizational Performance</w:t>
      </w:r>
      <w:r>
        <w:rPr>
          <w:color w:val="222222"/>
          <w:highlight w:val="white"/>
        </w:rPr>
        <w:t>.</w:t>
      </w:r>
    </w:p>
    <w:p w:rsidR="00AC0445" w:rsidRDefault="00C772AC">
      <w:pPr>
        <w:rPr>
          <w:color w:val="222222"/>
          <w:highlight w:val="white"/>
        </w:rPr>
      </w:pPr>
      <w:proofErr w:type="spellStart"/>
      <w:r>
        <w:rPr>
          <w:color w:val="222222"/>
          <w:highlight w:val="white"/>
        </w:rPr>
        <w:t>Ananzeh</w:t>
      </w:r>
      <w:proofErr w:type="spellEnd"/>
      <w:r>
        <w:rPr>
          <w:color w:val="222222"/>
          <w:highlight w:val="white"/>
        </w:rPr>
        <w:t xml:space="preserve">, H., Al </w:t>
      </w:r>
      <w:proofErr w:type="spellStart"/>
      <w:r>
        <w:rPr>
          <w:color w:val="222222"/>
          <w:highlight w:val="white"/>
        </w:rPr>
        <w:t>Amosh</w:t>
      </w:r>
      <w:proofErr w:type="spellEnd"/>
      <w:r>
        <w:rPr>
          <w:color w:val="222222"/>
          <w:highlight w:val="white"/>
        </w:rPr>
        <w:t xml:space="preserve">, H. and </w:t>
      </w:r>
      <w:proofErr w:type="spellStart"/>
      <w:r>
        <w:rPr>
          <w:color w:val="222222"/>
          <w:highlight w:val="white"/>
        </w:rPr>
        <w:t>Albitar</w:t>
      </w:r>
      <w:proofErr w:type="spellEnd"/>
      <w:r>
        <w:rPr>
          <w:color w:val="222222"/>
          <w:highlight w:val="white"/>
        </w:rPr>
        <w:t xml:space="preserve">, K., 2022. The effect of corporate governance quality and its mechanisms on firm philanthropic donations: evidence from the UK. </w:t>
      </w:r>
      <w:proofErr w:type="gramStart"/>
      <w:r>
        <w:rPr>
          <w:i/>
          <w:color w:val="222222"/>
          <w:highlight w:val="white"/>
        </w:rPr>
        <w:t>International Journal of Accounting &amp; Information Management</w:t>
      </w:r>
      <w:r>
        <w:rPr>
          <w:color w:val="222222"/>
          <w:highlight w:val="white"/>
        </w:rPr>
        <w:t>, (ahead-of-print).</w:t>
      </w:r>
      <w:proofErr w:type="gramEnd"/>
      <w:r>
        <w:rPr>
          <w:color w:val="222222"/>
          <w:highlight w:val="white"/>
        </w:rPr>
        <w:t xml:space="preserve"> </w:t>
      </w:r>
    </w:p>
    <w:p w:rsidR="00AC0445" w:rsidRDefault="00C772AC">
      <w:proofErr w:type="spellStart"/>
      <w:r>
        <w:t>Antoshkina</w:t>
      </w:r>
      <w:proofErr w:type="spellEnd"/>
      <w:r>
        <w:t xml:space="preserve">, O.I. and </w:t>
      </w:r>
      <w:proofErr w:type="spellStart"/>
      <w:r>
        <w:t>Zinina</w:t>
      </w:r>
      <w:proofErr w:type="spellEnd"/>
      <w:r>
        <w:t xml:space="preserve">, O.V., 2019, May. </w:t>
      </w:r>
      <w:proofErr w:type="gramStart"/>
      <w:r>
        <w:t>A methodology for assessing the prospects of modifying business strategy of an enterprise in the external environment.</w:t>
      </w:r>
      <w:proofErr w:type="gramEnd"/>
      <w:r>
        <w:t xml:space="preserve"> In IOP Conference Series: Materials Science and Engineering (Vol. 537, No. 4, p. 042023). </w:t>
      </w:r>
      <w:proofErr w:type="gramStart"/>
      <w:r>
        <w:t>IOP Publishing.</w:t>
      </w:r>
      <w:proofErr w:type="gramEnd"/>
    </w:p>
    <w:p w:rsidR="00AC0445" w:rsidRDefault="00C772AC">
      <w:pPr>
        <w:rPr>
          <w:color w:val="222222"/>
          <w:highlight w:val="white"/>
        </w:rPr>
      </w:pPr>
      <w:proofErr w:type="spellStart"/>
      <w:r>
        <w:rPr>
          <w:color w:val="222222"/>
          <w:highlight w:val="white"/>
        </w:rPr>
        <w:t>Azimovna</w:t>
      </w:r>
      <w:proofErr w:type="spellEnd"/>
      <w:r>
        <w:rPr>
          <w:color w:val="222222"/>
          <w:highlight w:val="white"/>
        </w:rPr>
        <w:t xml:space="preserve">, M.S. and </w:t>
      </w:r>
      <w:proofErr w:type="spellStart"/>
      <w:r>
        <w:rPr>
          <w:color w:val="222222"/>
          <w:highlight w:val="white"/>
        </w:rPr>
        <w:t>Shokhrukhovich</w:t>
      </w:r>
      <w:proofErr w:type="spellEnd"/>
      <w:r>
        <w:rPr>
          <w:color w:val="222222"/>
          <w:highlight w:val="white"/>
        </w:rPr>
        <w:t xml:space="preserve">, U.F., 2022. Ways to expand network marketing and e-commerce in the wholesale of medicines. </w:t>
      </w:r>
      <w:r>
        <w:rPr>
          <w:i/>
          <w:color w:val="222222"/>
          <w:highlight w:val="white"/>
        </w:rPr>
        <w:t>INTERNATIONAL JOURNAL OF RESEARCH IN COMMERCE, IT, ENGINEERING AND SOCIAL SCIENCES ISSN: 2349-7793 Impact Factor: 6.876</w:t>
      </w:r>
      <w:r>
        <w:rPr>
          <w:color w:val="222222"/>
          <w:highlight w:val="white"/>
        </w:rPr>
        <w:t xml:space="preserve">, </w:t>
      </w:r>
      <w:r>
        <w:rPr>
          <w:i/>
          <w:color w:val="222222"/>
          <w:highlight w:val="white"/>
        </w:rPr>
        <w:t>16</w:t>
      </w:r>
      <w:r>
        <w:rPr>
          <w:color w:val="222222"/>
          <w:highlight w:val="white"/>
        </w:rPr>
        <w:t xml:space="preserve">(06), pp.113-116. </w:t>
      </w:r>
    </w:p>
    <w:p w:rsidR="00AC0445" w:rsidRDefault="00C772AC">
      <w:pPr>
        <w:rPr>
          <w:color w:val="222222"/>
          <w:highlight w:val="white"/>
        </w:rPr>
      </w:pPr>
      <w:r>
        <w:rPr>
          <w:color w:val="222222"/>
          <w:highlight w:val="white"/>
        </w:rPr>
        <w:t xml:space="preserve">BAT (2019) </w:t>
      </w:r>
      <w:r>
        <w:rPr>
          <w:i/>
          <w:color w:val="222222"/>
          <w:highlight w:val="white"/>
        </w:rPr>
        <w:t>British American Tobacco - policies, principles and standards</w:t>
      </w:r>
      <w:r>
        <w:rPr>
          <w:color w:val="222222"/>
          <w:highlight w:val="white"/>
        </w:rPr>
        <w:t xml:space="preserve">. Available at: https://www.bat.com/principles (Accessed: 08 July 2023). </w:t>
      </w:r>
    </w:p>
    <w:p w:rsidR="00AC0445" w:rsidRDefault="00C772AC">
      <w:pPr>
        <w:rPr>
          <w:color w:val="222222"/>
          <w:highlight w:val="white"/>
        </w:rPr>
      </w:pPr>
      <w:r>
        <w:rPr>
          <w:color w:val="222222"/>
          <w:highlight w:val="white"/>
        </w:rPr>
        <w:t xml:space="preserve">BAT (2020) </w:t>
      </w:r>
      <w:r>
        <w:rPr>
          <w:i/>
          <w:color w:val="222222"/>
          <w:highlight w:val="white"/>
        </w:rPr>
        <w:t>British American Tobacco - BAT publishes ambitious roadmap to reach net zero by 2050</w:t>
      </w:r>
      <w:r>
        <w:rPr>
          <w:color w:val="222222"/>
          <w:highlight w:val="white"/>
        </w:rPr>
        <w:t xml:space="preserve">. Available at: https://www.bat.com/group/sites/UK__9D9KCY.nsf/vwPagesWebLive/DOCJUGDY (Accessed: 08 July 2023). </w:t>
      </w:r>
    </w:p>
    <w:p w:rsidR="00AC0445" w:rsidRDefault="00C772AC">
      <w:pPr>
        <w:rPr>
          <w:color w:val="222222"/>
          <w:highlight w:val="white"/>
        </w:rPr>
      </w:pPr>
      <w:proofErr w:type="gramStart"/>
      <w:r>
        <w:rPr>
          <w:color w:val="222222"/>
          <w:highlight w:val="white"/>
        </w:rPr>
        <w:t>British American Tobacco-About us.</w:t>
      </w:r>
      <w:proofErr w:type="gramEnd"/>
      <w:r>
        <w:rPr>
          <w:color w:val="222222"/>
          <w:highlight w:val="white"/>
        </w:rPr>
        <w:t xml:space="preserve"> </w:t>
      </w:r>
      <w:proofErr w:type="gramStart"/>
      <w:r>
        <w:rPr>
          <w:i/>
          <w:color w:val="222222"/>
          <w:highlight w:val="white"/>
        </w:rPr>
        <w:t>British American Tobacco-About us.</w:t>
      </w:r>
      <w:proofErr w:type="gramEnd"/>
      <w:r>
        <w:rPr>
          <w:color w:val="222222"/>
          <w:highlight w:val="white"/>
        </w:rPr>
        <w:t xml:space="preserve"> </w:t>
      </w:r>
      <w:proofErr w:type="gramStart"/>
      <w:r>
        <w:rPr>
          <w:color w:val="222222"/>
          <w:highlight w:val="white"/>
        </w:rPr>
        <w:t>(Accessed on 8 July, 2023).</w:t>
      </w:r>
      <w:proofErr w:type="gramEnd"/>
    </w:p>
    <w:p w:rsidR="00AC0445" w:rsidRDefault="00C772AC">
      <w:pPr>
        <w:rPr>
          <w:color w:val="222222"/>
          <w:highlight w:val="white"/>
        </w:rPr>
      </w:pPr>
      <w:proofErr w:type="gramStart"/>
      <w:r>
        <w:rPr>
          <w:color w:val="222222"/>
          <w:highlight w:val="white"/>
        </w:rPr>
        <w:t xml:space="preserve">Butt, I., </w:t>
      </w:r>
      <w:proofErr w:type="spellStart"/>
      <w:r>
        <w:rPr>
          <w:color w:val="222222"/>
          <w:highlight w:val="white"/>
        </w:rPr>
        <w:t>Mukerji</w:t>
      </w:r>
      <w:proofErr w:type="spellEnd"/>
      <w:r>
        <w:rPr>
          <w:color w:val="222222"/>
          <w:highlight w:val="white"/>
        </w:rPr>
        <w:t xml:space="preserve">, B., </w:t>
      </w:r>
      <w:proofErr w:type="spellStart"/>
      <w:r>
        <w:rPr>
          <w:color w:val="222222"/>
          <w:highlight w:val="white"/>
        </w:rPr>
        <w:t>Shareef</w:t>
      </w:r>
      <w:proofErr w:type="spellEnd"/>
      <w:r>
        <w:rPr>
          <w:color w:val="222222"/>
          <w:highlight w:val="white"/>
        </w:rPr>
        <w:t>, M.A., Ahmed, J.U. and Huda, S.S., 2022.</w:t>
      </w:r>
      <w:proofErr w:type="gramEnd"/>
      <w:r>
        <w:rPr>
          <w:color w:val="222222"/>
          <w:highlight w:val="white"/>
        </w:rPr>
        <w:t xml:space="preserve"> </w:t>
      </w:r>
      <w:proofErr w:type="gramStart"/>
      <w:r>
        <w:rPr>
          <w:color w:val="222222"/>
          <w:highlight w:val="white"/>
        </w:rPr>
        <w:t>Effect of trust on e-shopping adoption–an emerging market context.</w:t>
      </w:r>
      <w:proofErr w:type="gramEnd"/>
      <w:r>
        <w:rPr>
          <w:color w:val="222222"/>
          <w:highlight w:val="white"/>
        </w:rPr>
        <w:t xml:space="preserve"> </w:t>
      </w:r>
      <w:proofErr w:type="gramStart"/>
      <w:r>
        <w:rPr>
          <w:i/>
          <w:color w:val="222222"/>
          <w:highlight w:val="white"/>
        </w:rPr>
        <w:t>Journal of Internet Commerce</w:t>
      </w:r>
      <w:r>
        <w:rPr>
          <w:color w:val="222222"/>
          <w:highlight w:val="white"/>
        </w:rPr>
        <w:t xml:space="preserve">, </w:t>
      </w:r>
      <w:r>
        <w:rPr>
          <w:i/>
          <w:color w:val="222222"/>
          <w:highlight w:val="white"/>
        </w:rPr>
        <w:t>21</w:t>
      </w:r>
      <w:r>
        <w:rPr>
          <w:color w:val="222222"/>
          <w:highlight w:val="white"/>
        </w:rPr>
        <w:t>(3), pp.320-340.</w:t>
      </w:r>
      <w:proofErr w:type="gramEnd"/>
      <w:r>
        <w:rPr>
          <w:color w:val="222222"/>
          <w:highlight w:val="white"/>
        </w:rPr>
        <w:t xml:space="preserve"> </w:t>
      </w:r>
    </w:p>
    <w:p w:rsidR="00AC0445" w:rsidRDefault="00C772AC">
      <w:pPr>
        <w:rPr>
          <w:color w:val="222222"/>
          <w:highlight w:val="white"/>
        </w:rPr>
      </w:pPr>
      <w:proofErr w:type="gramStart"/>
      <w:r>
        <w:rPr>
          <w:color w:val="222222"/>
          <w:highlight w:val="white"/>
        </w:rPr>
        <w:t xml:space="preserve">Camacho, O.M., Hill, A., </w:t>
      </w:r>
      <w:proofErr w:type="spellStart"/>
      <w:r>
        <w:rPr>
          <w:color w:val="222222"/>
          <w:highlight w:val="white"/>
        </w:rPr>
        <w:t>Fiebelkorn</w:t>
      </w:r>
      <w:proofErr w:type="spellEnd"/>
      <w:r>
        <w:rPr>
          <w:color w:val="222222"/>
          <w:highlight w:val="white"/>
        </w:rPr>
        <w:t>, S., Jones, J.D., Prasad, K., Proctor, C. and Murphy, J., 2021.</w:t>
      </w:r>
      <w:proofErr w:type="gramEnd"/>
      <w:r>
        <w:rPr>
          <w:color w:val="222222"/>
          <w:highlight w:val="white"/>
        </w:rPr>
        <w:t xml:space="preserve"> </w:t>
      </w:r>
      <w:proofErr w:type="spellStart"/>
      <w:proofErr w:type="gramStart"/>
      <w:r>
        <w:rPr>
          <w:color w:val="222222"/>
          <w:highlight w:val="white"/>
        </w:rPr>
        <w:t>Modeling</w:t>
      </w:r>
      <w:proofErr w:type="spellEnd"/>
      <w:r>
        <w:rPr>
          <w:color w:val="222222"/>
          <w:highlight w:val="white"/>
        </w:rPr>
        <w:t xml:space="preserve"> the population health impacts of heated tobacco products in Japan.</w:t>
      </w:r>
      <w:proofErr w:type="gramEnd"/>
      <w:r>
        <w:rPr>
          <w:color w:val="222222"/>
          <w:highlight w:val="white"/>
        </w:rPr>
        <w:t xml:space="preserve"> </w:t>
      </w:r>
      <w:proofErr w:type="gramStart"/>
      <w:r>
        <w:rPr>
          <w:color w:val="222222"/>
          <w:highlight w:val="white"/>
        </w:rPr>
        <w:t>Tobacco regulatory science, 7(3), pp.221-231.</w:t>
      </w:r>
      <w:proofErr w:type="gramEnd"/>
    </w:p>
    <w:p w:rsidR="00AC0445" w:rsidRDefault="00C772AC">
      <w:pPr>
        <w:rPr>
          <w:color w:val="222222"/>
          <w:highlight w:val="white"/>
        </w:rPr>
      </w:pPr>
      <w:proofErr w:type="gramStart"/>
      <w:r>
        <w:rPr>
          <w:color w:val="222222"/>
          <w:highlight w:val="white"/>
        </w:rPr>
        <w:lastRenderedPageBreak/>
        <w:t xml:space="preserve">CDC (2022) </w:t>
      </w:r>
      <w:r>
        <w:rPr>
          <w:i/>
          <w:color w:val="222222"/>
          <w:highlight w:val="white"/>
        </w:rPr>
        <w:t>Economic trends in tobacco</w:t>
      </w:r>
      <w:r>
        <w:rPr>
          <w:color w:val="222222"/>
          <w:highlight w:val="white"/>
        </w:rPr>
        <w:t xml:space="preserve">, </w:t>
      </w:r>
      <w:proofErr w:type="spellStart"/>
      <w:r>
        <w:rPr>
          <w:i/>
          <w:color w:val="222222"/>
          <w:highlight w:val="white"/>
        </w:rPr>
        <w:t>Centers</w:t>
      </w:r>
      <w:proofErr w:type="spellEnd"/>
      <w:r>
        <w:rPr>
          <w:i/>
          <w:color w:val="222222"/>
          <w:highlight w:val="white"/>
        </w:rPr>
        <w:t xml:space="preserve"> for Disease Control and Prevention</w:t>
      </w:r>
      <w:r>
        <w:rPr>
          <w:color w:val="222222"/>
          <w:highlight w:val="white"/>
        </w:rPr>
        <w:t>.</w:t>
      </w:r>
      <w:proofErr w:type="gramEnd"/>
      <w:r>
        <w:rPr>
          <w:color w:val="222222"/>
          <w:highlight w:val="white"/>
        </w:rPr>
        <w:t xml:space="preserve"> Available at: https://www.cdc.gov/tobacco/data_statistics/fact_sheets/economics/econ_facts/index.htm (Accessed: 08 July 2023). </w:t>
      </w:r>
    </w:p>
    <w:p w:rsidR="00AC0445" w:rsidRDefault="00C772AC">
      <w:pPr>
        <w:rPr>
          <w:color w:val="222222"/>
          <w:highlight w:val="white"/>
        </w:rPr>
      </w:pPr>
      <w:proofErr w:type="gramStart"/>
      <w:r>
        <w:rPr>
          <w:color w:val="222222"/>
          <w:highlight w:val="white"/>
        </w:rPr>
        <w:t>Chen, M., 2019.</w:t>
      </w:r>
      <w:proofErr w:type="gramEnd"/>
      <w:r>
        <w:rPr>
          <w:color w:val="222222"/>
          <w:highlight w:val="white"/>
        </w:rPr>
        <w:t xml:space="preserve"> </w:t>
      </w:r>
      <w:proofErr w:type="gramStart"/>
      <w:r>
        <w:rPr>
          <w:color w:val="222222"/>
          <w:highlight w:val="white"/>
        </w:rPr>
        <w:t>The impact of expatriates’ cross-cultural adjustment on work stress and job involvement in the high-tech industry.</w:t>
      </w:r>
      <w:proofErr w:type="gramEnd"/>
      <w:r>
        <w:rPr>
          <w:color w:val="222222"/>
          <w:highlight w:val="white"/>
        </w:rPr>
        <w:t xml:space="preserve"> </w:t>
      </w:r>
      <w:proofErr w:type="gramStart"/>
      <w:r>
        <w:rPr>
          <w:i/>
          <w:color w:val="222222"/>
          <w:highlight w:val="white"/>
        </w:rPr>
        <w:t>Frontiers in psychology</w:t>
      </w:r>
      <w:r>
        <w:rPr>
          <w:color w:val="222222"/>
          <w:highlight w:val="white"/>
        </w:rPr>
        <w:t xml:space="preserve">, </w:t>
      </w:r>
      <w:r>
        <w:rPr>
          <w:i/>
          <w:color w:val="222222"/>
          <w:highlight w:val="white"/>
        </w:rPr>
        <w:t>10</w:t>
      </w:r>
      <w:r>
        <w:rPr>
          <w:color w:val="222222"/>
          <w:highlight w:val="white"/>
        </w:rPr>
        <w:t>, p.2228.</w:t>
      </w:r>
      <w:proofErr w:type="gramEnd"/>
    </w:p>
    <w:p w:rsidR="00AC0445" w:rsidRDefault="00C772AC">
      <w:pPr>
        <w:rPr>
          <w:color w:val="222222"/>
          <w:highlight w:val="white"/>
        </w:rPr>
      </w:pPr>
      <w:proofErr w:type="spellStart"/>
      <w:r>
        <w:rPr>
          <w:color w:val="222222"/>
          <w:highlight w:val="white"/>
        </w:rPr>
        <w:t>Coraiola</w:t>
      </w:r>
      <w:proofErr w:type="spellEnd"/>
      <w:r>
        <w:rPr>
          <w:color w:val="222222"/>
          <w:highlight w:val="white"/>
        </w:rPr>
        <w:t xml:space="preserve">, D.M. and Derry, R., 2020. </w:t>
      </w:r>
      <w:proofErr w:type="gramStart"/>
      <w:r>
        <w:rPr>
          <w:color w:val="222222"/>
          <w:highlight w:val="white"/>
        </w:rPr>
        <w:t>Remembering to forget: The historic irresponsibility of US Big Tobacco.</w:t>
      </w:r>
      <w:proofErr w:type="gramEnd"/>
      <w:r>
        <w:rPr>
          <w:color w:val="222222"/>
          <w:highlight w:val="white"/>
        </w:rPr>
        <w:t xml:space="preserve"> </w:t>
      </w:r>
      <w:proofErr w:type="gramStart"/>
      <w:r>
        <w:rPr>
          <w:i/>
          <w:color w:val="222222"/>
          <w:highlight w:val="white"/>
        </w:rPr>
        <w:t>Journal of Business Ethics</w:t>
      </w:r>
      <w:r>
        <w:rPr>
          <w:color w:val="222222"/>
          <w:highlight w:val="white"/>
        </w:rPr>
        <w:t xml:space="preserve">, </w:t>
      </w:r>
      <w:r>
        <w:rPr>
          <w:i/>
          <w:color w:val="222222"/>
          <w:highlight w:val="white"/>
        </w:rPr>
        <w:t>166</w:t>
      </w:r>
      <w:r>
        <w:rPr>
          <w:color w:val="222222"/>
          <w:highlight w:val="white"/>
        </w:rPr>
        <w:t>(2), pp.233-252.</w:t>
      </w:r>
      <w:proofErr w:type="gramEnd"/>
    </w:p>
    <w:p w:rsidR="00AC0445" w:rsidRDefault="00C772AC">
      <w:pPr>
        <w:rPr>
          <w:color w:val="222222"/>
          <w:highlight w:val="white"/>
        </w:rPr>
      </w:pPr>
      <w:proofErr w:type="gramStart"/>
      <w:r>
        <w:rPr>
          <w:color w:val="222222"/>
          <w:highlight w:val="white"/>
        </w:rPr>
        <w:t>Dewhirst, T., 2019.</w:t>
      </w:r>
      <w:proofErr w:type="gramEnd"/>
      <w:r>
        <w:rPr>
          <w:color w:val="222222"/>
          <w:highlight w:val="white"/>
        </w:rPr>
        <w:t xml:space="preserve"> British American Tobacco (BAT) and retail merchandising: </w:t>
      </w:r>
      <w:proofErr w:type="spellStart"/>
      <w:r>
        <w:rPr>
          <w:color w:val="222222"/>
          <w:highlight w:val="white"/>
        </w:rPr>
        <w:t>Vype</w:t>
      </w:r>
      <w:proofErr w:type="spellEnd"/>
      <w:r>
        <w:rPr>
          <w:color w:val="222222"/>
          <w:highlight w:val="white"/>
        </w:rPr>
        <w:t xml:space="preserve"> e-cigarette promotion in Ontario, Canada. </w:t>
      </w:r>
      <w:proofErr w:type="gramStart"/>
      <w:r>
        <w:rPr>
          <w:i/>
          <w:color w:val="222222"/>
          <w:highlight w:val="white"/>
        </w:rPr>
        <w:t>Tobacco control</w:t>
      </w:r>
      <w:r>
        <w:rPr>
          <w:color w:val="222222"/>
          <w:highlight w:val="white"/>
        </w:rPr>
        <w:t xml:space="preserve">, </w:t>
      </w:r>
      <w:r>
        <w:rPr>
          <w:i/>
          <w:color w:val="222222"/>
          <w:highlight w:val="white"/>
        </w:rPr>
        <w:t>28</w:t>
      </w:r>
      <w:r>
        <w:rPr>
          <w:color w:val="222222"/>
          <w:highlight w:val="white"/>
        </w:rPr>
        <w:t>(e2), pp.e164-e167.</w:t>
      </w:r>
      <w:proofErr w:type="gramEnd"/>
    </w:p>
    <w:p w:rsidR="00AC0445" w:rsidRDefault="00C772AC">
      <w:pPr>
        <w:rPr>
          <w:color w:val="222222"/>
          <w:highlight w:val="white"/>
        </w:rPr>
      </w:pPr>
      <w:proofErr w:type="spellStart"/>
      <w:proofErr w:type="gramStart"/>
      <w:r>
        <w:rPr>
          <w:color w:val="222222"/>
          <w:highlight w:val="white"/>
        </w:rPr>
        <w:t>Erinoso</w:t>
      </w:r>
      <w:proofErr w:type="spellEnd"/>
      <w:r>
        <w:rPr>
          <w:color w:val="222222"/>
          <w:highlight w:val="white"/>
        </w:rPr>
        <w:t xml:space="preserve">, O., Smith, K.C., </w:t>
      </w:r>
      <w:proofErr w:type="spellStart"/>
      <w:r>
        <w:rPr>
          <w:color w:val="222222"/>
          <w:highlight w:val="white"/>
        </w:rPr>
        <w:t>Iacobelli</w:t>
      </w:r>
      <w:proofErr w:type="spellEnd"/>
      <w:r>
        <w:rPr>
          <w:color w:val="222222"/>
          <w:highlight w:val="white"/>
        </w:rPr>
        <w:t xml:space="preserve">, M., </w:t>
      </w:r>
      <w:proofErr w:type="spellStart"/>
      <w:r>
        <w:rPr>
          <w:color w:val="222222"/>
          <w:highlight w:val="white"/>
        </w:rPr>
        <w:t>Saraf</w:t>
      </w:r>
      <w:proofErr w:type="spellEnd"/>
      <w:r>
        <w:rPr>
          <w:color w:val="222222"/>
          <w:highlight w:val="white"/>
        </w:rPr>
        <w:t>, S., Welding, K. and Cohen, J.E., 2021.</w:t>
      </w:r>
      <w:proofErr w:type="gramEnd"/>
      <w:r>
        <w:rPr>
          <w:color w:val="222222"/>
          <w:highlight w:val="white"/>
        </w:rPr>
        <w:t xml:space="preserve"> Global review of tobacco product flavour policies. Tobacco control, 30(4), pp.373-379.</w:t>
      </w:r>
    </w:p>
    <w:p w:rsidR="00AC0445" w:rsidRDefault="00C772AC">
      <w:proofErr w:type="gramStart"/>
      <w:r>
        <w:t>European Commission, 2021.</w:t>
      </w:r>
      <w:proofErr w:type="gramEnd"/>
      <w:r>
        <w:t xml:space="preserve"> </w:t>
      </w:r>
      <w:proofErr w:type="gramStart"/>
      <w:r>
        <w:rPr>
          <w:i/>
        </w:rPr>
        <w:t>State of Health in the EU Romania Country Health Profile 2021 The Country Health Profile series</w:t>
      </w:r>
      <w:r>
        <w:t>.</w:t>
      </w:r>
      <w:proofErr w:type="gramEnd"/>
      <w:r>
        <w:t xml:space="preserve"> [</w:t>
      </w:r>
      <w:proofErr w:type="gramStart"/>
      <w:r>
        <w:t>online</w:t>
      </w:r>
      <w:proofErr w:type="gramEnd"/>
      <w:r>
        <w:t xml:space="preserve">] Available at: </w:t>
      </w:r>
      <w:hyperlink r:id="rId19">
        <w:r>
          <w:rPr>
            <w:color w:val="1155CC"/>
            <w:u w:val="single"/>
          </w:rPr>
          <w:t>https://health.ec.europa.eu/system/files/2021-12/2021_chp_romania_english.pdf</w:t>
        </w:r>
      </w:hyperlink>
      <w:r>
        <w:t>. [Accessed 8 Jul. 2023]</w:t>
      </w:r>
    </w:p>
    <w:p w:rsidR="00AC0445" w:rsidRDefault="00C772AC">
      <w:pPr>
        <w:rPr>
          <w:color w:val="222222"/>
          <w:highlight w:val="white"/>
        </w:rPr>
      </w:pPr>
      <w:proofErr w:type="gramStart"/>
      <w:r>
        <w:rPr>
          <w:color w:val="222222"/>
          <w:highlight w:val="white"/>
        </w:rPr>
        <w:t xml:space="preserve">Evans-Reeves, K., </w:t>
      </w:r>
      <w:proofErr w:type="spellStart"/>
      <w:r>
        <w:rPr>
          <w:color w:val="222222"/>
          <w:highlight w:val="white"/>
        </w:rPr>
        <w:t>Lauber</w:t>
      </w:r>
      <w:proofErr w:type="spellEnd"/>
      <w:r>
        <w:rPr>
          <w:color w:val="222222"/>
          <w:highlight w:val="white"/>
        </w:rPr>
        <w:t xml:space="preserve">, K. and </w:t>
      </w:r>
      <w:proofErr w:type="spellStart"/>
      <w:r>
        <w:rPr>
          <w:color w:val="222222"/>
          <w:highlight w:val="white"/>
        </w:rPr>
        <w:t>Hiscock</w:t>
      </w:r>
      <w:proofErr w:type="spellEnd"/>
      <w:r>
        <w:rPr>
          <w:color w:val="222222"/>
          <w:highlight w:val="white"/>
        </w:rPr>
        <w:t>, R., 2022.</w:t>
      </w:r>
      <w:proofErr w:type="gramEnd"/>
      <w:r>
        <w:rPr>
          <w:color w:val="222222"/>
          <w:highlight w:val="white"/>
        </w:rPr>
        <w:t xml:space="preserve"> The ‘filter </w:t>
      </w:r>
      <w:proofErr w:type="spellStart"/>
      <w:r>
        <w:rPr>
          <w:color w:val="222222"/>
          <w:highlight w:val="white"/>
        </w:rPr>
        <w:t>fraud’persists</w:t>
      </w:r>
      <w:proofErr w:type="spellEnd"/>
      <w:r>
        <w:rPr>
          <w:color w:val="222222"/>
          <w:highlight w:val="white"/>
        </w:rPr>
        <w:t xml:space="preserve">: the tobacco industry is still using filters to suggest lower health risks while destroying the environment. </w:t>
      </w:r>
      <w:proofErr w:type="gramStart"/>
      <w:r>
        <w:rPr>
          <w:color w:val="222222"/>
          <w:highlight w:val="white"/>
        </w:rPr>
        <w:t>Tobacco Control, 31(e1), pp.e80-e82.</w:t>
      </w:r>
      <w:proofErr w:type="gramEnd"/>
    </w:p>
    <w:p w:rsidR="00AC0445" w:rsidRDefault="00C772AC">
      <w:pPr>
        <w:rPr>
          <w:color w:val="222222"/>
          <w:highlight w:val="white"/>
        </w:rPr>
      </w:pPr>
      <w:r>
        <w:rPr>
          <w:color w:val="222222"/>
          <w:highlight w:val="white"/>
        </w:rPr>
        <w:t xml:space="preserve">Gilmore, A.B., Gallagher, A.W. and Rowell, A., 2019. Tobacco industry’s elaborate attempts to control a global track and trace system and fundamentally undermine the Illicit Trade Protocol. </w:t>
      </w:r>
      <w:proofErr w:type="gramStart"/>
      <w:r>
        <w:rPr>
          <w:color w:val="222222"/>
          <w:highlight w:val="white"/>
        </w:rPr>
        <w:t>Tobacco Control, 28(2), pp.127-140.</w:t>
      </w:r>
      <w:proofErr w:type="gramEnd"/>
    </w:p>
    <w:p w:rsidR="00AC0445" w:rsidRDefault="00C772AC">
      <w:proofErr w:type="gramStart"/>
      <w:r>
        <w:t>Global Data, 2021.</w:t>
      </w:r>
      <w:proofErr w:type="gramEnd"/>
      <w:r>
        <w:t xml:space="preserve"> </w:t>
      </w:r>
      <w:proofErr w:type="spellStart"/>
      <w:r>
        <w:rPr>
          <w:i/>
        </w:rPr>
        <w:t>ShieldSquare</w:t>
      </w:r>
      <w:proofErr w:type="spellEnd"/>
      <w:r>
        <w:rPr>
          <w:i/>
        </w:rPr>
        <w:t xml:space="preserve"> </w:t>
      </w:r>
      <w:proofErr w:type="spellStart"/>
      <w:r>
        <w:rPr>
          <w:i/>
        </w:rPr>
        <w:t>Captcha</w:t>
      </w:r>
      <w:proofErr w:type="spellEnd"/>
      <w:r>
        <w:t>. [</w:t>
      </w:r>
      <w:proofErr w:type="gramStart"/>
      <w:r>
        <w:t>online</w:t>
      </w:r>
      <w:proofErr w:type="gramEnd"/>
      <w:r>
        <w:t xml:space="preserve">] validate.perfdrive.com. Available at: https://www.globaldata.com/store/report/romania-tobacco-products-market-analysis/ [Accessed 8 July. 2023]. </w:t>
      </w:r>
    </w:p>
    <w:p w:rsidR="00AC0445" w:rsidRDefault="00C772AC">
      <w:pPr>
        <w:rPr>
          <w:color w:val="222222"/>
          <w:highlight w:val="white"/>
        </w:rPr>
      </w:pPr>
      <w:proofErr w:type="spellStart"/>
      <w:r>
        <w:rPr>
          <w:color w:val="222222"/>
          <w:highlight w:val="white"/>
        </w:rPr>
        <w:t>Gole</w:t>
      </w:r>
      <w:proofErr w:type="spellEnd"/>
      <w:r>
        <w:rPr>
          <w:color w:val="222222"/>
          <w:highlight w:val="white"/>
        </w:rPr>
        <w:t xml:space="preserve">, I., </w:t>
      </w:r>
      <w:proofErr w:type="spellStart"/>
      <w:r>
        <w:rPr>
          <w:color w:val="222222"/>
          <w:highlight w:val="white"/>
        </w:rPr>
        <w:t>Dumitrache</w:t>
      </w:r>
      <w:proofErr w:type="spellEnd"/>
      <w:r>
        <w:rPr>
          <w:color w:val="222222"/>
          <w:highlight w:val="white"/>
        </w:rPr>
        <w:t xml:space="preserve">, V.M., </w:t>
      </w:r>
      <w:proofErr w:type="spellStart"/>
      <w:r>
        <w:rPr>
          <w:color w:val="222222"/>
          <w:highlight w:val="white"/>
        </w:rPr>
        <w:t>Diaconu</w:t>
      </w:r>
      <w:proofErr w:type="spellEnd"/>
      <w:r>
        <w:rPr>
          <w:color w:val="222222"/>
          <w:highlight w:val="white"/>
        </w:rPr>
        <w:t xml:space="preserve">, A. and </w:t>
      </w:r>
      <w:proofErr w:type="spellStart"/>
      <w:r>
        <w:rPr>
          <w:color w:val="222222"/>
          <w:highlight w:val="white"/>
        </w:rPr>
        <w:t>Niculescu</w:t>
      </w:r>
      <w:proofErr w:type="spellEnd"/>
      <w:r>
        <w:rPr>
          <w:color w:val="222222"/>
          <w:highlight w:val="white"/>
        </w:rPr>
        <w:t xml:space="preserve">, M.A., 2020. Tobacco industry–a false allied against corona virus. </w:t>
      </w:r>
      <w:proofErr w:type="gramStart"/>
      <w:r>
        <w:rPr>
          <w:color w:val="222222"/>
          <w:highlight w:val="white"/>
        </w:rPr>
        <w:t xml:space="preserve">In </w:t>
      </w:r>
      <w:proofErr w:type="spellStart"/>
      <w:r>
        <w:rPr>
          <w:color w:val="222222"/>
          <w:highlight w:val="white"/>
        </w:rPr>
        <w:t>Competitivitatea</w:t>
      </w:r>
      <w:proofErr w:type="spellEnd"/>
      <w:r>
        <w:rPr>
          <w:color w:val="222222"/>
          <w:highlight w:val="white"/>
        </w:rPr>
        <w:t xml:space="preserve"> </w:t>
      </w:r>
      <w:proofErr w:type="spellStart"/>
      <w:r>
        <w:rPr>
          <w:color w:val="222222"/>
          <w:highlight w:val="white"/>
        </w:rPr>
        <w:t>şi</w:t>
      </w:r>
      <w:proofErr w:type="spellEnd"/>
      <w:r>
        <w:rPr>
          <w:color w:val="222222"/>
          <w:highlight w:val="white"/>
        </w:rPr>
        <w:t xml:space="preserve"> </w:t>
      </w:r>
      <w:proofErr w:type="spellStart"/>
      <w:r>
        <w:rPr>
          <w:color w:val="222222"/>
          <w:highlight w:val="white"/>
        </w:rPr>
        <w:t>inovarea</w:t>
      </w:r>
      <w:proofErr w:type="spellEnd"/>
      <w:r>
        <w:rPr>
          <w:color w:val="222222"/>
          <w:highlight w:val="white"/>
        </w:rPr>
        <w:t xml:space="preserve"> </w:t>
      </w:r>
      <w:proofErr w:type="spellStart"/>
      <w:r>
        <w:rPr>
          <w:color w:val="222222"/>
          <w:highlight w:val="white"/>
        </w:rPr>
        <w:t>în</w:t>
      </w:r>
      <w:proofErr w:type="spellEnd"/>
      <w:r>
        <w:rPr>
          <w:color w:val="222222"/>
          <w:highlight w:val="white"/>
        </w:rPr>
        <w:t xml:space="preserve"> </w:t>
      </w:r>
      <w:proofErr w:type="spellStart"/>
      <w:r>
        <w:rPr>
          <w:color w:val="222222"/>
          <w:highlight w:val="white"/>
        </w:rPr>
        <w:t>economia</w:t>
      </w:r>
      <w:proofErr w:type="spellEnd"/>
      <w:r>
        <w:rPr>
          <w:color w:val="222222"/>
          <w:highlight w:val="white"/>
        </w:rPr>
        <w:t xml:space="preserve"> </w:t>
      </w:r>
      <w:proofErr w:type="spellStart"/>
      <w:r>
        <w:rPr>
          <w:color w:val="222222"/>
          <w:highlight w:val="white"/>
        </w:rPr>
        <w:t>cunoaşterii</w:t>
      </w:r>
      <w:proofErr w:type="spellEnd"/>
      <w:r>
        <w:rPr>
          <w:color w:val="222222"/>
          <w:highlight w:val="white"/>
        </w:rPr>
        <w:t xml:space="preserve"> (pp. 163-170).</w:t>
      </w:r>
      <w:proofErr w:type="gramEnd"/>
    </w:p>
    <w:p w:rsidR="00AC0445" w:rsidRDefault="00C772AC">
      <w:pPr>
        <w:rPr>
          <w:color w:val="222222"/>
          <w:highlight w:val="white"/>
        </w:rPr>
      </w:pPr>
      <w:bookmarkStart w:id="43" w:name="_heading=h.2s8eyo1" w:colFirst="0" w:colLast="0"/>
      <w:bookmarkEnd w:id="43"/>
      <w:proofErr w:type="spellStart"/>
      <w:r>
        <w:rPr>
          <w:color w:val="222222"/>
          <w:highlight w:val="white"/>
        </w:rPr>
        <w:t>Gornall</w:t>
      </w:r>
      <w:proofErr w:type="spellEnd"/>
      <w:r>
        <w:rPr>
          <w:color w:val="222222"/>
          <w:highlight w:val="white"/>
        </w:rPr>
        <w:t xml:space="preserve">, J., 2019. </w:t>
      </w:r>
      <w:proofErr w:type="gramStart"/>
      <w:r>
        <w:rPr>
          <w:color w:val="222222"/>
          <w:highlight w:val="white"/>
        </w:rPr>
        <w:t>Big tobacco, the new politics, and the threat to public health.</w:t>
      </w:r>
      <w:proofErr w:type="gramEnd"/>
      <w:r>
        <w:rPr>
          <w:color w:val="222222"/>
          <w:highlight w:val="white"/>
        </w:rPr>
        <w:t xml:space="preserve"> </w:t>
      </w:r>
      <w:proofErr w:type="gramStart"/>
      <w:r>
        <w:rPr>
          <w:color w:val="222222"/>
          <w:highlight w:val="white"/>
        </w:rPr>
        <w:t>BMJ, 365.</w:t>
      </w:r>
      <w:proofErr w:type="gramEnd"/>
    </w:p>
    <w:p w:rsidR="00AC0445" w:rsidRDefault="00C772AC">
      <w:pPr>
        <w:rPr>
          <w:color w:val="222222"/>
          <w:highlight w:val="white"/>
        </w:rPr>
      </w:pPr>
      <w:r>
        <w:rPr>
          <w:color w:val="222222"/>
          <w:highlight w:val="white"/>
        </w:rPr>
        <w:t xml:space="preserve"> Ha, J., Stocker, M.M. and </w:t>
      </w:r>
      <w:proofErr w:type="spellStart"/>
      <w:r>
        <w:rPr>
          <w:color w:val="222222"/>
          <w:highlight w:val="white"/>
        </w:rPr>
        <w:t>Yilmazkuday</w:t>
      </w:r>
      <w:proofErr w:type="spellEnd"/>
      <w:r>
        <w:rPr>
          <w:color w:val="222222"/>
          <w:highlight w:val="white"/>
        </w:rPr>
        <w:t xml:space="preserve">, H., 2020. Inflation and exchange rate pass-through. </w:t>
      </w:r>
      <w:proofErr w:type="gramStart"/>
      <w:r>
        <w:rPr>
          <w:i/>
          <w:color w:val="222222"/>
          <w:highlight w:val="white"/>
        </w:rPr>
        <w:t>Journal of International Money and Finance</w:t>
      </w:r>
      <w:r>
        <w:rPr>
          <w:color w:val="222222"/>
          <w:highlight w:val="white"/>
        </w:rPr>
        <w:t xml:space="preserve">, </w:t>
      </w:r>
      <w:r>
        <w:rPr>
          <w:i/>
          <w:color w:val="222222"/>
          <w:highlight w:val="white"/>
        </w:rPr>
        <w:t>105</w:t>
      </w:r>
      <w:r>
        <w:rPr>
          <w:color w:val="222222"/>
          <w:highlight w:val="white"/>
        </w:rPr>
        <w:t>, p.102187.</w:t>
      </w:r>
      <w:proofErr w:type="gramEnd"/>
    </w:p>
    <w:p w:rsidR="00AC0445" w:rsidRDefault="00C772AC">
      <w:pPr>
        <w:rPr>
          <w:color w:val="222222"/>
          <w:highlight w:val="white"/>
        </w:rPr>
      </w:pPr>
      <w:proofErr w:type="spellStart"/>
      <w:proofErr w:type="gramStart"/>
      <w:r>
        <w:rPr>
          <w:color w:val="222222"/>
          <w:highlight w:val="white"/>
        </w:rPr>
        <w:lastRenderedPageBreak/>
        <w:t>Hefler</w:t>
      </w:r>
      <w:proofErr w:type="spellEnd"/>
      <w:r>
        <w:rPr>
          <w:color w:val="222222"/>
          <w:highlight w:val="white"/>
        </w:rPr>
        <w:t>, M. and Gartner, C.E., 2020.</w:t>
      </w:r>
      <w:proofErr w:type="gramEnd"/>
      <w:r>
        <w:rPr>
          <w:color w:val="222222"/>
          <w:highlight w:val="white"/>
        </w:rPr>
        <w:t xml:space="preserve"> The tobacco industry in the time of COVID-19: time to shut it down</w:t>
      </w:r>
      <w:proofErr w:type="gramStart"/>
      <w:r>
        <w:rPr>
          <w:color w:val="222222"/>
          <w:highlight w:val="white"/>
        </w:rPr>
        <w:t>?.</w:t>
      </w:r>
      <w:proofErr w:type="gramEnd"/>
      <w:r>
        <w:rPr>
          <w:color w:val="222222"/>
          <w:highlight w:val="white"/>
        </w:rPr>
        <w:t xml:space="preserve"> </w:t>
      </w:r>
      <w:proofErr w:type="gramStart"/>
      <w:r>
        <w:rPr>
          <w:color w:val="222222"/>
          <w:highlight w:val="white"/>
        </w:rPr>
        <w:t>Tobacco Control, 29(3), pp.245-246.</w:t>
      </w:r>
      <w:proofErr w:type="gramEnd"/>
    </w:p>
    <w:p w:rsidR="00AC0445" w:rsidRDefault="00C772AC">
      <w:pPr>
        <w:rPr>
          <w:color w:val="222222"/>
          <w:highlight w:val="white"/>
        </w:rPr>
      </w:pPr>
      <w:proofErr w:type="spellStart"/>
      <w:proofErr w:type="gramStart"/>
      <w:r>
        <w:rPr>
          <w:color w:val="222222"/>
          <w:highlight w:val="white"/>
        </w:rPr>
        <w:t>Heidt</w:t>
      </w:r>
      <w:proofErr w:type="spellEnd"/>
      <w:r>
        <w:rPr>
          <w:color w:val="222222"/>
          <w:highlight w:val="white"/>
        </w:rPr>
        <w:t xml:space="preserve">, C., </w:t>
      </w:r>
      <w:proofErr w:type="spellStart"/>
      <w:r>
        <w:rPr>
          <w:color w:val="222222"/>
          <w:highlight w:val="white"/>
        </w:rPr>
        <w:t>Kahnert</w:t>
      </w:r>
      <w:proofErr w:type="spellEnd"/>
      <w:r>
        <w:rPr>
          <w:color w:val="222222"/>
          <w:highlight w:val="white"/>
        </w:rPr>
        <w:t xml:space="preserve">, S., </w:t>
      </w:r>
      <w:proofErr w:type="spellStart"/>
      <w:r>
        <w:rPr>
          <w:color w:val="222222"/>
          <w:highlight w:val="white"/>
        </w:rPr>
        <w:t>Ouedraogo</w:t>
      </w:r>
      <w:proofErr w:type="spellEnd"/>
      <w:r>
        <w:rPr>
          <w:color w:val="222222"/>
          <w:highlight w:val="white"/>
        </w:rPr>
        <w:t>, N. and Schaller, K., 2023.</w:t>
      </w:r>
      <w:proofErr w:type="gramEnd"/>
      <w:r>
        <w:rPr>
          <w:color w:val="222222"/>
          <w:highlight w:val="white"/>
        </w:rPr>
        <w:t xml:space="preserve"> Media Monitoring: Advertising for Tobacco and Related Products in Social Media. Tobacco Prevention &amp; Cessation, 9(Supplement).</w:t>
      </w:r>
    </w:p>
    <w:p w:rsidR="00AC0445" w:rsidRDefault="00B30FD9">
      <w:pPr>
        <w:rPr>
          <w:color w:val="222222"/>
          <w:highlight w:val="white"/>
        </w:rPr>
      </w:pPr>
      <w:hyperlink r:id="rId20">
        <w:r w:rsidR="00C772AC">
          <w:rPr>
            <w:color w:val="1155CC"/>
            <w:highlight w:val="white"/>
            <w:u w:val="single"/>
          </w:rPr>
          <w:t>https://www.bat.com/aboutus#</w:t>
        </w:r>
      </w:hyperlink>
      <w:r w:rsidR="00C772AC">
        <w:rPr>
          <w:color w:val="222222"/>
          <w:highlight w:val="white"/>
        </w:rPr>
        <w:t xml:space="preserve"> </w:t>
      </w:r>
    </w:p>
    <w:p w:rsidR="00AC0445" w:rsidRDefault="00C772AC">
      <w:pPr>
        <w:rPr>
          <w:color w:val="222222"/>
          <w:highlight w:val="white"/>
        </w:rPr>
      </w:pPr>
      <w:r>
        <w:rPr>
          <w:color w:val="222222"/>
          <w:highlight w:val="white"/>
        </w:rPr>
        <w:t xml:space="preserve">Kaya, A.Y., 2023. </w:t>
      </w:r>
      <w:proofErr w:type="gramStart"/>
      <w:r>
        <w:rPr>
          <w:color w:val="222222"/>
          <w:highlight w:val="white"/>
        </w:rPr>
        <w:t>Izmir, the Port City that Will Follow You No Matter Where You Go.</w:t>
      </w:r>
      <w:proofErr w:type="gramEnd"/>
      <w:r>
        <w:rPr>
          <w:color w:val="222222"/>
          <w:highlight w:val="white"/>
        </w:rPr>
        <w:t xml:space="preserve"> In </w:t>
      </w:r>
      <w:r>
        <w:rPr>
          <w:i/>
          <w:color w:val="222222"/>
          <w:highlight w:val="white"/>
        </w:rPr>
        <w:t>Mediterranean Port Cities: Connectivity in Modern Times</w:t>
      </w:r>
      <w:r>
        <w:rPr>
          <w:color w:val="222222"/>
          <w:highlight w:val="white"/>
        </w:rPr>
        <w:t xml:space="preserve"> (pp. 157-182). Cham: Springer Nature Switzerland.</w:t>
      </w:r>
    </w:p>
    <w:p w:rsidR="00AC0445" w:rsidRDefault="00C772AC">
      <w:pPr>
        <w:rPr>
          <w:color w:val="222222"/>
          <w:highlight w:val="white"/>
        </w:rPr>
      </w:pPr>
      <w:proofErr w:type="gramStart"/>
      <w:r>
        <w:rPr>
          <w:color w:val="222222"/>
          <w:highlight w:val="white"/>
        </w:rPr>
        <w:t xml:space="preserve">Lee, P.N., </w:t>
      </w:r>
      <w:proofErr w:type="spellStart"/>
      <w:r>
        <w:rPr>
          <w:color w:val="222222"/>
          <w:highlight w:val="white"/>
        </w:rPr>
        <w:t>Abrams</w:t>
      </w:r>
      <w:proofErr w:type="spellEnd"/>
      <w:r>
        <w:rPr>
          <w:color w:val="222222"/>
          <w:highlight w:val="white"/>
        </w:rPr>
        <w:t xml:space="preserve">, D., </w:t>
      </w:r>
      <w:proofErr w:type="spellStart"/>
      <w:r>
        <w:rPr>
          <w:color w:val="222222"/>
          <w:highlight w:val="white"/>
        </w:rPr>
        <w:t>Bachand</w:t>
      </w:r>
      <w:proofErr w:type="spellEnd"/>
      <w:r>
        <w:rPr>
          <w:color w:val="222222"/>
          <w:highlight w:val="white"/>
        </w:rPr>
        <w:t xml:space="preserve">, A., Baker, G., Black, R., Camacho, O., Curtin, G., </w:t>
      </w:r>
      <w:proofErr w:type="spellStart"/>
      <w:r>
        <w:rPr>
          <w:color w:val="222222"/>
          <w:highlight w:val="white"/>
        </w:rPr>
        <w:t>Djurdjevic</w:t>
      </w:r>
      <w:proofErr w:type="spellEnd"/>
      <w:r>
        <w:rPr>
          <w:color w:val="222222"/>
          <w:highlight w:val="white"/>
        </w:rPr>
        <w:t>, S., Hill, A., Mendez, D. and Muhammad-</w:t>
      </w:r>
      <w:proofErr w:type="spellStart"/>
      <w:r>
        <w:rPr>
          <w:color w:val="222222"/>
          <w:highlight w:val="white"/>
        </w:rPr>
        <w:t>Kah</w:t>
      </w:r>
      <w:proofErr w:type="spellEnd"/>
      <w:r>
        <w:rPr>
          <w:color w:val="222222"/>
          <w:highlight w:val="white"/>
        </w:rPr>
        <w:t>, R.S., 2021.</w:t>
      </w:r>
      <w:proofErr w:type="gramEnd"/>
      <w:r>
        <w:rPr>
          <w:color w:val="222222"/>
          <w:highlight w:val="white"/>
        </w:rPr>
        <w:t xml:space="preserve"> Estimating the population health impact of recently introduced modified risk tobacco products: a comparison of different approaches. </w:t>
      </w:r>
      <w:proofErr w:type="gramStart"/>
      <w:r>
        <w:rPr>
          <w:i/>
          <w:color w:val="222222"/>
          <w:highlight w:val="white"/>
        </w:rPr>
        <w:t>Nicotine and Tobacco Research</w:t>
      </w:r>
      <w:r>
        <w:rPr>
          <w:color w:val="222222"/>
          <w:highlight w:val="white"/>
        </w:rPr>
        <w:t xml:space="preserve">, </w:t>
      </w:r>
      <w:r>
        <w:rPr>
          <w:i/>
          <w:color w:val="222222"/>
          <w:highlight w:val="white"/>
        </w:rPr>
        <w:t>23</w:t>
      </w:r>
      <w:r>
        <w:rPr>
          <w:color w:val="222222"/>
          <w:highlight w:val="white"/>
        </w:rPr>
        <w:t>(3), pp.426-437.</w:t>
      </w:r>
      <w:proofErr w:type="gramEnd"/>
    </w:p>
    <w:p w:rsidR="00AC0445" w:rsidRDefault="00C772AC">
      <w:r>
        <w:rPr>
          <w:color w:val="222222"/>
          <w:highlight w:val="white"/>
        </w:rPr>
        <w:t xml:space="preserve">Lo, C.L., Lin, Y.H. and </w:t>
      </w:r>
      <w:proofErr w:type="spellStart"/>
      <w:r>
        <w:rPr>
          <w:color w:val="222222"/>
          <w:highlight w:val="white"/>
        </w:rPr>
        <w:t>Abangku</w:t>
      </w:r>
      <w:proofErr w:type="spellEnd"/>
      <w:r>
        <w:rPr>
          <w:color w:val="222222"/>
          <w:highlight w:val="white"/>
        </w:rPr>
        <w:t xml:space="preserve">, H., 2023. </w:t>
      </w:r>
      <w:proofErr w:type="gramStart"/>
      <w:r>
        <w:rPr>
          <w:color w:val="222222"/>
          <w:highlight w:val="white"/>
        </w:rPr>
        <w:t>Research on the Context of Supervisor Leadership Style and Employee Well-Being.</w:t>
      </w:r>
      <w:proofErr w:type="gramEnd"/>
      <w:r>
        <w:rPr>
          <w:color w:val="222222"/>
          <w:highlight w:val="white"/>
        </w:rPr>
        <w:t xml:space="preserve"> </w:t>
      </w:r>
      <w:proofErr w:type="gramStart"/>
      <w:r>
        <w:rPr>
          <w:i/>
          <w:color w:val="222222"/>
          <w:highlight w:val="white"/>
        </w:rPr>
        <w:t>Advances in Management and Applied Economics</w:t>
      </w:r>
      <w:r>
        <w:rPr>
          <w:color w:val="222222"/>
          <w:highlight w:val="white"/>
        </w:rPr>
        <w:t xml:space="preserve">, </w:t>
      </w:r>
      <w:r>
        <w:rPr>
          <w:i/>
          <w:color w:val="222222"/>
          <w:highlight w:val="white"/>
        </w:rPr>
        <w:t>13</w:t>
      </w:r>
      <w:r>
        <w:rPr>
          <w:color w:val="222222"/>
          <w:highlight w:val="white"/>
        </w:rPr>
        <w:t>(4).</w:t>
      </w:r>
      <w:proofErr w:type="gramEnd"/>
    </w:p>
    <w:p w:rsidR="00AC0445" w:rsidRDefault="00C772AC">
      <w:pPr>
        <w:rPr>
          <w:color w:val="222222"/>
          <w:highlight w:val="white"/>
        </w:rPr>
      </w:pPr>
      <w:proofErr w:type="spellStart"/>
      <w:proofErr w:type="gramStart"/>
      <w:r>
        <w:rPr>
          <w:color w:val="222222"/>
          <w:highlight w:val="white"/>
        </w:rPr>
        <w:t>Nargis</w:t>
      </w:r>
      <w:proofErr w:type="spellEnd"/>
      <w:r>
        <w:rPr>
          <w:color w:val="222222"/>
          <w:highlight w:val="white"/>
        </w:rPr>
        <w:t xml:space="preserve">, N., </w:t>
      </w:r>
      <w:proofErr w:type="spellStart"/>
      <w:r>
        <w:rPr>
          <w:color w:val="222222"/>
          <w:highlight w:val="white"/>
        </w:rPr>
        <w:t>Hussain</w:t>
      </w:r>
      <w:proofErr w:type="spellEnd"/>
      <w:r>
        <w:rPr>
          <w:color w:val="222222"/>
          <w:highlight w:val="white"/>
        </w:rPr>
        <w:t xml:space="preserve">, A.G., </w:t>
      </w:r>
      <w:proofErr w:type="spellStart"/>
      <w:r>
        <w:rPr>
          <w:color w:val="222222"/>
          <w:highlight w:val="white"/>
        </w:rPr>
        <w:t>Goodchild</w:t>
      </w:r>
      <w:proofErr w:type="spellEnd"/>
      <w:r>
        <w:rPr>
          <w:color w:val="222222"/>
          <w:highlight w:val="white"/>
        </w:rPr>
        <w:t xml:space="preserve">, M., </w:t>
      </w:r>
      <w:proofErr w:type="spellStart"/>
      <w:r>
        <w:rPr>
          <w:color w:val="222222"/>
          <w:highlight w:val="white"/>
        </w:rPr>
        <w:t>Quah</w:t>
      </w:r>
      <w:proofErr w:type="spellEnd"/>
      <w:r>
        <w:rPr>
          <w:color w:val="222222"/>
          <w:highlight w:val="white"/>
        </w:rPr>
        <w:t>, A.C. and Fong, G.T., 2020.</w:t>
      </w:r>
      <w:proofErr w:type="gramEnd"/>
      <w:r>
        <w:rPr>
          <w:color w:val="222222"/>
          <w:highlight w:val="white"/>
        </w:rPr>
        <w:t xml:space="preserve"> Tobacco industry pricing undermines tobacco Tax policy: a tale from Bangladesh. Preventive Medicine, 132, p.105991</w:t>
      </w:r>
    </w:p>
    <w:p w:rsidR="00AC0445" w:rsidRDefault="00C772AC">
      <w:pPr>
        <w:rPr>
          <w:color w:val="222222"/>
          <w:highlight w:val="white"/>
        </w:rPr>
      </w:pPr>
      <w:proofErr w:type="spellStart"/>
      <w:r>
        <w:rPr>
          <w:color w:val="222222"/>
          <w:highlight w:val="white"/>
        </w:rPr>
        <w:t>Niloy</w:t>
      </w:r>
      <w:proofErr w:type="spellEnd"/>
      <w:r>
        <w:rPr>
          <w:color w:val="222222"/>
          <w:highlight w:val="white"/>
        </w:rPr>
        <w:t xml:space="preserve">, A.C., 2020. An Unhealthy Buying Pattern of the Peoples of Bangladesh: A Case of Tobacco &amp; Beverage. </w:t>
      </w:r>
      <w:proofErr w:type="gramStart"/>
      <w:r>
        <w:rPr>
          <w:color w:val="222222"/>
          <w:highlight w:val="white"/>
        </w:rPr>
        <w:t>Asian Business Review, 10(3), pp.167-170.</w:t>
      </w:r>
      <w:proofErr w:type="gramEnd"/>
    </w:p>
    <w:p w:rsidR="00AC0445" w:rsidRDefault="00C772AC">
      <w:pPr>
        <w:rPr>
          <w:color w:val="222222"/>
          <w:highlight w:val="white"/>
        </w:rPr>
      </w:pPr>
      <w:proofErr w:type="spellStart"/>
      <w:proofErr w:type="gramStart"/>
      <w:r>
        <w:rPr>
          <w:color w:val="222222"/>
          <w:highlight w:val="white"/>
        </w:rPr>
        <w:t>Nippa</w:t>
      </w:r>
      <w:proofErr w:type="spellEnd"/>
      <w:r>
        <w:rPr>
          <w:color w:val="222222"/>
          <w:highlight w:val="white"/>
        </w:rPr>
        <w:t xml:space="preserve">, M. and </w:t>
      </w:r>
      <w:proofErr w:type="spellStart"/>
      <w:r>
        <w:rPr>
          <w:color w:val="222222"/>
          <w:highlight w:val="white"/>
        </w:rPr>
        <w:t>Reuer</w:t>
      </w:r>
      <w:proofErr w:type="spellEnd"/>
      <w:r>
        <w:rPr>
          <w:color w:val="222222"/>
          <w:highlight w:val="white"/>
        </w:rPr>
        <w:t>, J.J., 2019.</w:t>
      </w:r>
      <w:proofErr w:type="gramEnd"/>
      <w:r>
        <w:rPr>
          <w:color w:val="222222"/>
          <w:highlight w:val="white"/>
        </w:rPr>
        <w:t xml:space="preserve"> </w:t>
      </w:r>
      <w:proofErr w:type="gramStart"/>
      <w:r>
        <w:rPr>
          <w:color w:val="222222"/>
          <w:highlight w:val="white"/>
        </w:rPr>
        <w:t>On the future of international joint venture research.</w:t>
      </w:r>
      <w:proofErr w:type="gramEnd"/>
      <w:r>
        <w:rPr>
          <w:color w:val="222222"/>
          <w:highlight w:val="white"/>
        </w:rPr>
        <w:t xml:space="preserve"> </w:t>
      </w:r>
      <w:proofErr w:type="gramStart"/>
      <w:r>
        <w:rPr>
          <w:i/>
          <w:color w:val="222222"/>
          <w:highlight w:val="white"/>
        </w:rPr>
        <w:t>Journal of International Business Studies</w:t>
      </w:r>
      <w:r>
        <w:rPr>
          <w:color w:val="222222"/>
          <w:highlight w:val="white"/>
        </w:rPr>
        <w:t xml:space="preserve">, </w:t>
      </w:r>
      <w:r>
        <w:rPr>
          <w:i/>
          <w:color w:val="222222"/>
          <w:highlight w:val="white"/>
        </w:rPr>
        <w:t>50</w:t>
      </w:r>
      <w:r>
        <w:rPr>
          <w:color w:val="222222"/>
          <w:highlight w:val="white"/>
        </w:rPr>
        <w:t>, pp.555-597.</w:t>
      </w:r>
      <w:proofErr w:type="gramEnd"/>
    </w:p>
    <w:p w:rsidR="00AC0445" w:rsidRDefault="00C772AC">
      <w:pPr>
        <w:rPr>
          <w:color w:val="222222"/>
          <w:highlight w:val="white"/>
        </w:rPr>
      </w:pPr>
      <w:proofErr w:type="gramStart"/>
      <w:r>
        <w:rPr>
          <w:color w:val="222222"/>
          <w:highlight w:val="white"/>
        </w:rPr>
        <w:t>O’Neill, D., 2021, June.</w:t>
      </w:r>
      <w:proofErr w:type="gramEnd"/>
      <w:r>
        <w:rPr>
          <w:color w:val="222222"/>
          <w:highlight w:val="white"/>
        </w:rPr>
        <w:t xml:space="preserve"> 'Part of the British Scene’: Cricket, Sponsorship, and Tobacco in Post War Britain. </w:t>
      </w:r>
      <w:proofErr w:type="gramStart"/>
      <w:r>
        <w:rPr>
          <w:color w:val="222222"/>
          <w:highlight w:val="white"/>
        </w:rPr>
        <w:t>In Proceedings of the Conference on Historical Analysis and Research in Marketing (Vol. 20, pp. 55-57).</w:t>
      </w:r>
      <w:proofErr w:type="gramEnd"/>
    </w:p>
    <w:p w:rsidR="00AC0445" w:rsidRDefault="00C772AC">
      <w:pPr>
        <w:rPr>
          <w:color w:val="222222"/>
          <w:highlight w:val="white"/>
        </w:rPr>
      </w:pPr>
      <w:proofErr w:type="gramStart"/>
      <w:r>
        <w:rPr>
          <w:color w:val="222222"/>
          <w:highlight w:val="white"/>
        </w:rPr>
        <w:t xml:space="preserve">Published by Jan Conway and 5, J. (2023) British American Tobacco (BAT) global market share by region, 2015, </w:t>
      </w:r>
      <w:proofErr w:type="spellStart"/>
      <w:r>
        <w:rPr>
          <w:color w:val="222222"/>
          <w:highlight w:val="white"/>
        </w:rPr>
        <w:t>Statista</w:t>
      </w:r>
      <w:proofErr w:type="spellEnd"/>
      <w:r>
        <w:rPr>
          <w:color w:val="222222"/>
          <w:highlight w:val="white"/>
        </w:rPr>
        <w:t>.</w:t>
      </w:r>
      <w:proofErr w:type="gramEnd"/>
      <w:r>
        <w:rPr>
          <w:color w:val="222222"/>
          <w:highlight w:val="white"/>
        </w:rPr>
        <w:t xml:space="preserve"> Available at: https://www.statista.com/statistics/659320/market-share-british-american-tobacco-worldwide-by-region/ (Accessed: 08 July 2023). </w:t>
      </w:r>
    </w:p>
    <w:p w:rsidR="00AC0445" w:rsidRDefault="00C772AC">
      <w:pPr>
        <w:rPr>
          <w:color w:val="222222"/>
          <w:highlight w:val="white"/>
        </w:rPr>
      </w:pPr>
      <w:proofErr w:type="spellStart"/>
      <w:r>
        <w:rPr>
          <w:color w:val="222222"/>
          <w:highlight w:val="white"/>
        </w:rPr>
        <w:t>Robichaud</w:t>
      </w:r>
      <w:proofErr w:type="spellEnd"/>
      <w:r>
        <w:rPr>
          <w:color w:val="222222"/>
          <w:highlight w:val="white"/>
        </w:rPr>
        <w:t>, M.O., Seidenberg, A.B. and Byron, M.J., 2020. Tobacco companies introduce ‘tobacco-</w:t>
      </w:r>
      <w:proofErr w:type="spellStart"/>
      <w:r>
        <w:rPr>
          <w:color w:val="222222"/>
          <w:highlight w:val="white"/>
        </w:rPr>
        <w:t>free’nicotine</w:t>
      </w:r>
      <w:proofErr w:type="spellEnd"/>
      <w:r>
        <w:rPr>
          <w:color w:val="222222"/>
          <w:highlight w:val="white"/>
        </w:rPr>
        <w:t xml:space="preserve"> pouches. </w:t>
      </w:r>
      <w:proofErr w:type="gramStart"/>
      <w:r>
        <w:rPr>
          <w:color w:val="222222"/>
          <w:highlight w:val="white"/>
        </w:rPr>
        <w:t>Tobacco control, 29(e1), pp.e145-e146.</w:t>
      </w:r>
      <w:proofErr w:type="gramEnd"/>
    </w:p>
    <w:p w:rsidR="00AC0445" w:rsidRDefault="00C772AC">
      <w:pPr>
        <w:rPr>
          <w:color w:val="222222"/>
          <w:highlight w:val="white"/>
        </w:rPr>
      </w:pPr>
      <w:proofErr w:type="gramStart"/>
      <w:r>
        <w:rPr>
          <w:color w:val="222222"/>
          <w:highlight w:val="white"/>
        </w:rPr>
        <w:lastRenderedPageBreak/>
        <w:t>Singleton, J., 2023.</w:t>
      </w:r>
      <w:proofErr w:type="gramEnd"/>
      <w:r>
        <w:rPr>
          <w:color w:val="222222"/>
          <w:highlight w:val="white"/>
        </w:rPr>
        <w:t xml:space="preserve"> </w:t>
      </w:r>
      <w:proofErr w:type="gramStart"/>
      <w:r>
        <w:rPr>
          <w:color w:val="222222"/>
          <w:highlight w:val="white"/>
        </w:rPr>
        <w:t>Going Up in Smoke: Tobacco and Government Policy in the Age of Austerity, 1945–50.</w:t>
      </w:r>
      <w:proofErr w:type="gramEnd"/>
      <w:r>
        <w:rPr>
          <w:color w:val="222222"/>
          <w:highlight w:val="white"/>
        </w:rPr>
        <w:t xml:space="preserve"> </w:t>
      </w:r>
      <w:r>
        <w:rPr>
          <w:i/>
          <w:color w:val="222222"/>
          <w:highlight w:val="white"/>
        </w:rPr>
        <w:t>Twentieth Century British History</w:t>
      </w:r>
      <w:r>
        <w:rPr>
          <w:color w:val="222222"/>
          <w:highlight w:val="white"/>
        </w:rPr>
        <w:t>, p.hwad046.</w:t>
      </w:r>
    </w:p>
    <w:p w:rsidR="00AC0445" w:rsidRDefault="00C772AC">
      <w:pPr>
        <w:rPr>
          <w:color w:val="222222"/>
          <w:highlight w:val="white"/>
        </w:rPr>
      </w:pPr>
      <w:proofErr w:type="spellStart"/>
      <w:r>
        <w:rPr>
          <w:color w:val="222222"/>
          <w:highlight w:val="white"/>
        </w:rPr>
        <w:t>Siskind</w:t>
      </w:r>
      <w:proofErr w:type="spellEnd"/>
      <w:r>
        <w:rPr>
          <w:color w:val="222222"/>
          <w:highlight w:val="white"/>
        </w:rPr>
        <w:t xml:space="preserve">, D.J., Wu, B.T., Wong, T.T., Firth, J. and </w:t>
      </w:r>
      <w:proofErr w:type="spellStart"/>
      <w:r>
        <w:rPr>
          <w:color w:val="222222"/>
          <w:highlight w:val="white"/>
        </w:rPr>
        <w:t>Kisely</w:t>
      </w:r>
      <w:proofErr w:type="spellEnd"/>
      <w:r>
        <w:rPr>
          <w:color w:val="222222"/>
          <w:highlight w:val="white"/>
        </w:rPr>
        <w:t xml:space="preserve">, S., 2020. </w:t>
      </w:r>
      <w:proofErr w:type="gramStart"/>
      <w:r>
        <w:rPr>
          <w:color w:val="222222"/>
          <w:highlight w:val="white"/>
        </w:rPr>
        <w:t>From the IASLC Tobacco Control Committee.</w:t>
      </w:r>
      <w:proofErr w:type="gramEnd"/>
      <w:r>
        <w:rPr>
          <w:color w:val="222222"/>
          <w:highlight w:val="white"/>
        </w:rPr>
        <w:t xml:space="preserve"> </w:t>
      </w:r>
      <w:proofErr w:type="gramStart"/>
      <w:r>
        <w:rPr>
          <w:color w:val="222222"/>
          <w:highlight w:val="white"/>
        </w:rPr>
        <w:t>Psychiatry, 7(9), pp.762-74.</w:t>
      </w:r>
      <w:proofErr w:type="gramEnd"/>
    </w:p>
    <w:p w:rsidR="00AC0445" w:rsidRDefault="00C772AC">
      <w:pPr>
        <w:rPr>
          <w:color w:val="222222"/>
          <w:highlight w:val="white"/>
        </w:rPr>
      </w:pPr>
      <w:proofErr w:type="spellStart"/>
      <w:r>
        <w:rPr>
          <w:color w:val="222222"/>
          <w:highlight w:val="white"/>
        </w:rPr>
        <w:t>Smrek</w:t>
      </w:r>
      <w:proofErr w:type="spellEnd"/>
      <w:r>
        <w:rPr>
          <w:color w:val="222222"/>
          <w:highlight w:val="white"/>
        </w:rPr>
        <w:t xml:space="preserve">, L., 2021. </w:t>
      </w:r>
      <w:proofErr w:type="gramStart"/>
      <w:r>
        <w:rPr>
          <w:color w:val="222222"/>
          <w:highlight w:val="white"/>
        </w:rPr>
        <w:t>Barriers to internal communication in companies.</w:t>
      </w:r>
      <w:proofErr w:type="gramEnd"/>
      <w:r>
        <w:rPr>
          <w:color w:val="222222"/>
          <w:highlight w:val="white"/>
        </w:rPr>
        <w:t xml:space="preserve"> </w:t>
      </w:r>
      <w:proofErr w:type="spellStart"/>
      <w:proofErr w:type="gramStart"/>
      <w:r>
        <w:rPr>
          <w:i/>
          <w:color w:val="222222"/>
          <w:highlight w:val="white"/>
        </w:rPr>
        <w:t>Ekonomika</w:t>
      </w:r>
      <w:proofErr w:type="spellEnd"/>
      <w:r>
        <w:rPr>
          <w:i/>
          <w:color w:val="222222"/>
          <w:highlight w:val="white"/>
        </w:rPr>
        <w:t xml:space="preserve"> a </w:t>
      </w:r>
      <w:proofErr w:type="spellStart"/>
      <w:r>
        <w:rPr>
          <w:i/>
          <w:color w:val="222222"/>
          <w:highlight w:val="white"/>
        </w:rPr>
        <w:t>spoločnosť</w:t>
      </w:r>
      <w:proofErr w:type="spellEnd"/>
      <w:r>
        <w:rPr>
          <w:color w:val="222222"/>
          <w:highlight w:val="white"/>
        </w:rPr>
        <w:t xml:space="preserve">, </w:t>
      </w:r>
      <w:r>
        <w:rPr>
          <w:i/>
          <w:color w:val="222222"/>
          <w:highlight w:val="white"/>
        </w:rPr>
        <w:t>22</w:t>
      </w:r>
      <w:r>
        <w:rPr>
          <w:color w:val="222222"/>
          <w:highlight w:val="white"/>
        </w:rPr>
        <w:t>(1), pp.42-54.</w:t>
      </w:r>
      <w:proofErr w:type="gramEnd"/>
    </w:p>
    <w:p w:rsidR="00AC0445" w:rsidRDefault="00C772AC">
      <w:proofErr w:type="spellStart"/>
      <w:proofErr w:type="gramStart"/>
      <w:r>
        <w:t>Statista</w:t>
      </w:r>
      <w:proofErr w:type="spellEnd"/>
      <w:r>
        <w:t xml:space="preserve"> Research Department, 2023.</w:t>
      </w:r>
      <w:proofErr w:type="gramEnd"/>
      <w:r>
        <w:t xml:space="preserve"> </w:t>
      </w:r>
      <w:r>
        <w:rPr>
          <w:i/>
        </w:rPr>
        <w:t>Romania: companies in the tobacco industry 2020</w:t>
      </w:r>
      <w:r>
        <w:t>. [</w:t>
      </w:r>
      <w:proofErr w:type="gramStart"/>
      <w:r>
        <w:t>online</w:t>
      </w:r>
      <w:proofErr w:type="gramEnd"/>
      <w:r>
        <w:t xml:space="preserve">] </w:t>
      </w:r>
      <w:proofErr w:type="spellStart"/>
      <w:proofErr w:type="gramStart"/>
      <w:r>
        <w:t>Statista</w:t>
      </w:r>
      <w:proofErr w:type="spellEnd"/>
      <w:r>
        <w:t>.</w:t>
      </w:r>
      <w:proofErr w:type="gramEnd"/>
      <w:r>
        <w:t xml:space="preserve"> Available at: https://www.statista.com/statistics/1154885/romania-companies-in-the-tobacco-industry/#:~:text=In%202020%2C%20British%20American%20Tobacco [Accessed 8 Jul. 2023]. </w:t>
      </w:r>
    </w:p>
    <w:p w:rsidR="00AC0445" w:rsidRDefault="00C772AC">
      <w:proofErr w:type="spellStart"/>
      <w:proofErr w:type="gramStart"/>
      <w:r>
        <w:t>Statista</w:t>
      </w:r>
      <w:proofErr w:type="spellEnd"/>
      <w:r>
        <w:t>, 2023.</w:t>
      </w:r>
      <w:proofErr w:type="gramEnd"/>
      <w:r>
        <w:t xml:space="preserve"> </w:t>
      </w:r>
      <w:proofErr w:type="gramStart"/>
      <w:r>
        <w:rPr>
          <w:i/>
        </w:rPr>
        <w:t xml:space="preserve">Tobacco Products - Romania | </w:t>
      </w:r>
      <w:proofErr w:type="spellStart"/>
      <w:r>
        <w:rPr>
          <w:i/>
        </w:rPr>
        <w:t>Statista</w:t>
      </w:r>
      <w:proofErr w:type="spellEnd"/>
      <w:r>
        <w:rPr>
          <w:i/>
        </w:rPr>
        <w:t xml:space="preserve"> Market Forecast</w:t>
      </w:r>
      <w:r>
        <w:t>.</w:t>
      </w:r>
      <w:proofErr w:type="gramEnd"/>
      <w:r>
        <w:t xml:space="preserve"> [</w:t>
      </w:r>
      <w:proofErr w:type="gramStart"/>
      <w:r>
        <w:t>online</w:t>
      </w:r>
      <w:proofErr w:type="gramEnd"/>
      <w:r>
        <w:t xml:space="preserve">] </w:t>
      </w:r>
      <w:proofErr w:type="spellStart"/>
      <w:proofErr w:type="gramStart"/>
      <w:r>
        <w:t>Statista</w:t>
      </w:r>
      <w:proofErr w:type="spellEnd"/>
      <w:r>
        <w:t>.</w:t>
      </w:r>
      <w:proofErr w:type="gramEnd"/>
      <w:r>
        <w:t xml:space="preserve"> Available at: https://www.statista.com/outlook/cmo/tobacco-products/romania [Accessed 8 July. 2023].</w:t>
      </w:r>
    </w:p>
    <w:p w:rsidR="00AC0445" w:rsidRDefault="00C772AC">
      <w:proofErr w:type="spellStart"/>
      <w:proofErr w:type="gramStart"/>
      <w:r>
        <w:t>Statista</w:t>
      </w:r>
      <w:proofErr w:type="spellEnd"/>
      <w:r>
        <w:t>, 2023a.</w:t>
      </w:r>
      <w:proofErr w:type="gramEnd"/>
      <w:r>
        <w:t xml:space="preserve"> </w:t>
      </w:r>
      <w:r>
        <w:rPr>
          <w:i/>
        </w:rPr>
        <w:t xml:space="preserve">E-Cigarettes - Romania | </w:t>
      </w:r>
      <w:proofErr w:type="spellStart"/>
      <w:r>
        <w:rPr>
          <w:i/>
        </w:rPr>
        <w:t>Statista</w:t>
      </w:r>
      <w:proofErr w:type="spellEnd"/>
      <w:r>
        <w:rPr>
          <w:i/>
        </w:rPr>
        <w:t xml:space="preserve"> Market Forecast</w:t>
      </w:r>
      <w:r>
        <w:t>. [</w:t>
      </w:r>
      <w:proofErr w:type="gramStart"/>
      <w:r>
        <w:t>online</w:t>
      </w:r>
      <w:proofErr w:type="gramEnd"/>
      <w:r>
        <w:t xml:space="preserve">] </w:t>
      </w:r>
      <w:proofErr w:type="spellStart"/>
      <w:proofErr w:type="gramStart"/>
      <w:r>
        <w:t>Statista</w:t>
      </w:r>
      <w:proofErr w:type="spellEnd"/>
      <w:r>
        <w:t>.</w:t>
      </w:r>
      <w:proofErr w:type="gramEnd"/>
      <w:r>
        <w:t xml:space="preserve"> Available at: https://www.statista.com/outlook/cmo/tobacco-products/e-cigarettes/romania [Accessed 8 Jul. 2023].</w:t>
      </w:r>
    </w:p>
    <w:p w:rsidR="00AC0445" w:rsidRDefault="00C772AC">
      <w:pPr>
        <w:rPr>
          <w:color w:val="222222"/>
          <w:highlight w:val="white"/>
        </w:rPr>
      </w:pPr>
      <w:r>
        <w:rPr>
          <w:color w:val="222222"/>
          <w:highlight w:val="white"/>
        </w:rPr>
        <w:t xml:space="preserve">Tariq, E., </w:t>
      </w:r>
      <w:proofErr w:type="spellStart"/>
      <w:r>
        <w:rPr>
          <w:color w:val="222222"/>
          <w:highlight w:val="white"/>
        </w:rPr>
        <w:t>Alshurideh</w:t>
      </w:r>
      <w:proofErr w:type="spellEnd"/>
      <w:r>
        <w:rPr>
          <w:color w:val="222222"/>
          <w:highlight w:val="white"/>
        </w:rPr>
        <w:t xml:space="preserve">, M., </w:t>
      </w:r>
      <w:proofErr w:type="spellStart"/>
      <w:r>
        <w:rPr>
          <w:color w:val="222222"/>
          <w:highlight w:val="white"/>
        </w:rPr>
        <w:t>Akour</w:t>
      </w:r>
      <w:proofErr w:type="spellEnd"/>
      <w:r>
        <w:rPr>
          <w:color w:val="222222"/>
          <w:highlight w:val="white"/>
        </w:rPr>
        <w:t>, I., Al-</w:t>
      </w:r>
      <w:proofErr w:type="spellStart"/>
      <w:r>
        <w:rPr>
          <w:color w:val="222222"/>
          <w:highlight w:val="white"/>
        </w:rPr>
        <w:t>Hawary</w:t>
      </w:r>
      <w:proofErr w:type="spellEnd"/>
      <w:r>
        <w:rPr>
          <w:color w:val="222222"/>
          <w:highlight w:val="white"/>
        </w:rPr>
        <w:t xml:space="preserve">, S. and </w:t>
      </w:r>
      <w:proofErr w:type="spellStart"/>
      <w:r>
        <w:rPr>
          <w:color w:val="222222"/>
          <w:highlight w:val="white"/>
        </w:rPr>
        <w:t>Kurdi</w:t>
      </w:r>
      <w:proofErr w:type="spellEnd"/>
      <w:r>
        <w:rPr>
          <w:color w:val="222222"/>
          <w:highlight w:val="white"/>
        </w:rPr>
        <w:t xml:space="preserve">, B., 2022. </w:t>
      </w:r>
      <w:proofErr w:type="gramStart"/>
      <w:r>
        <w:rPr>
          <w:color w:val="222222"/>
          <w:highlight w:val="white"/>
        </w:rPr>
        <w:t>The role of digital marketing, CSR policy and green marketing in brand development.</w:t>
      </w:r>
      <w:proofErr w:type="gramEnd"/>
      <w:r>
        <w:rPr>
          <w:color w:val="222222"/>
          <w:highlight w:val="white"/>
        </w:rPr>
        <w:t xml:space="preserve"> </w:t>
      </w:r>
      <w:proofErr w:type="gramStart"/>
      <w:r>
        <w:rPr>
          <w:i/>
          <w:color w:val="222222"/>
          <w:highlight w:val="white"/>
        </w:rPr>
        <w:t>International Journal of Data and Network Science</w:t>
      </w:r>
      <w:r>
        <w:rPr>
          <w:color w:val="222222"/>
          <w:highlight w:val="white"/>
        </w:rPr>
        <w:t xml:space="preserve">, </w:t>
      </w:r>
      <w:r>
        <w:rPr>
          <w:i/>
          <w:color w:val="222222"/>
          <w:highlight w:val="white"/>
        </w:rPr>
        <w:t>6</w:t>
      </w:r>
      <w:r>
        <w:rPr>
          <w:color w:val="222222"/>
          <w:highlight w:val="white"/>
        </w:rPr>
        <w:t>(3), pp.995-1004.</w:t>
      </w:r>
      <w:proofErr w:type="gramEnd"/>
      <w:r>
        <w:rPr>
          <w:color w:val="222222"/>
          <w:highlight w:val="white"/>
        </w:rPr>
        <w:t xml:space="preserve"> </w:t>
      </w:r>
    </w:p>
    <w:p w:rsidR="00AC0445" w:rsidRDefault="00C772AC">
      <w:proofErr w:type="gramStart"/>
      <w:r>
        <w:t>The Global Economy, 2022.</w:t>
      </w:r>
      <w:proofErr w:type="gramEnd"/>
      <w:r>
        <w:t xml:space="preserve"> </w:t>
      </w:r>
      <w:proofErr w:type="gramStart"/>
      <w:r>
        <w:rPr>
          <w:i/>
        </w:rPr>
        <w:t>Romania Political stability - data, chart</w:t>
      </w:r>
      <w:r>
        <w:t>.</w:t>
      </w:r>
      <w:proofErr w:type="gramEnd"/>
      <w:r>
        <w:t xml:space="preserve"> [</w:t>
      </w:r>
      <w:proofErr w:type="gramStart"/>
      <w:r>
        <w:t>online</w:t>
      </w:r>
      <w:proofErr w:type="gramEnd"/>
      <w:r>
        <w:t xml:space="preserve">] TheGlobalEconomy.com. Available at: </w:t>
      </w:r>
      <w:hyperlink r:id="rId21">
        <w:r>
          <w:rPr>
            <w:color w:val="1155CC"/>
            <w:u w:val="single"/>
          </w:rPr>
          <w:t>https://www.theglobaleconomy.com/Romania/wb_political_stability/</w:t>
        </w:r>
      </w:hyperlink>
      <w:r>
        <w:t xml:space="preserve">. </w:t>
      </w:r>
      <w:proofErr w:type="gramStart"/>
      <w:r>
        <w:t>[Accessed 8 July. 2023].</w:t>
      </w:r>
      <w:proofErr w:type="gramEnd"/>
    </w:p>
    <w:p w:rsidR="00AC0445" w:rsidRDefault="00C772AC">
      <w:proofErr w:type="gramStart"/>
      <w:r>
        <w:t>Tobacco Control Laws, 2022.</w:t>
      </w:r>
      <w:proofErr w:type="gramEnd"/>
      <w:r>
        <w:t xml:space="preserve"> </w:t>
      </w:r>
      <w:r>
        <w:rPr>
          <w:i/>
        </w:rPr>
        <w:t>Romania Regulated Forms</w:t>
      </w:r>
      <w:r>
        <w:t>. [</w:t>
      </w:r>
      <w:proofErr w:type="gramStart"/>
      <w:r>
        <w:t>online</w:t>
      </w:r>
      <w:proofErr w:type="gramEnd"/>
      <w:r>
        <w:t xml:space="preserve">] </w:t>
      </w:r>
      <w:proofErr w:type="gramStart"/>
      <w:r>
        <w:t>Tobacco Control Laws.</w:t>
      </w:r>
      <w:proofErr w:type="gramEnd"/>
      <w:r>
        <w:t xml:space="preserve"> Available at: https://www.tobaccocontrollaws.org/legislation/romania/advertising-promotion-sponsorship/regulated-forms-of-advertising-promotion-and-sponsorships [Accessed 8 Jul. 2023]. </w:t>
      </w:r>
    </w:p>
    <w:p w:rsidR="00AC0445" w:rsidRDefault="00C772AC">
      <w:pPr>
        <w:rPr>
          <w:color w:val="222222"/>
          <w:highlight w:val="white"/>
        </w:rPr>
      </w:pPr>
      <w:proofErr w:type="spellStart"/>
      <w:proofErr w:type="gramStart"/>
      <w:r>
        <w:rPr>
          <w:color w:val="222222"/>
          <w:highlight w:val="white"/>
        </w:rPr>
        <w:t>Tsamados</w:t>
      </w:r>
      <w:proofErr w:type="spellEnd"/>
      <w:r>
        <w:rPr>
          <w:color w:val="222222"/>
          <w:highlight w:val="white"/>
        </w:rPr>
        <w:t xml:space="preserve">, A., </w:t>
      </w:r>
      <w:proofErr w:type="spellStart"/>
      <w:r>
        <w:rPr>
          <w:color w:val="222222"/>
          <w:highlight w:val="white"/>
        </w:rPr>
        <w:t>Aggarwal</w:t>
      </w:r>
      <w:proofErr w:type="spellEnd"/>
      <w:r>
        <w:rPr>
          <w:color w:val="222222"/>
          <w:highlight w:val="white"/>
        </w:rPr>
        <w:t xml:space="preserve">, N., Cowls, J., Morley, J., Roberts, H., </w:t>
      </w:r>
      <w:proofErr w:type="spellStart"/>
      <w:r>
        <w:rPr>
          <w:color w:val="222222"/>
          <w:highlight w:val="white"/>
        </w:rPr>
        <w:t>Taddeo</w:t>
      </w:r>
      <w:proofErr w:type="spellEnd"/>
      <w:r>
        <w:rPr>
          <w:color w:val="222222"/>
          <w:highlight w:val="white"/>
        </w:rPr>
        <w:t xml:space="preserve">, M. and </w:t>
      </w:r>
      <w:proofErr w:type="spellStart"/>
      <w:r>
        <w:rPr>
          <w:color w:val="222222"/>
          <w:highlight w:val="white"/>
        </w:rPr>
        <w:t>Floridi</w:t>
      </w:r>
      <w:proofErr w:type="spellEnd"/>
      <w:r>
        <w:rPr>
          <w:color w:val="222222"/>
          <w:highlight w:val="white"/>
        </w:rPr>
        <w:t>, L., 2021.</w:t>
      </w:r>
      <w:proofErr w:type="gramEnd"/>
      <w:r>
        <w:rPr>
          <w:color w:val="222222"/>
          <w:highlight w:val="white"/>
        </w:rPr>
        <w:t xml:space="preserve"> The ethics of algorithms: key problems and solutions. </w:t>
      </w:r>
      <w:proofErr w:type="gramStart"/>
      <w:r>
        <w:rPr>
          <w:i/>
          <w:color w:val="222222"/>
          <w:highlight w:val="white"/>
        </w:rPr>
        <w:t>Ethics, Governance, and Policies in Artificial Intelligence</w:t>
      </w:r>
      <w:r>
        <w:rPr>
          <w:color w:val="222222"/>
          <w:highlight w:val="white"/>
        </w:rPr>
        <w:t>, pp.97-123.</w:t>
      </w:r>
      <w:proofErr w:type="gramEnd"/>
    </w:p>
    <w:p w:rsidR="00AC0445" w:rsidRDefault="00C772AC">
      <w:pPr>
        <w:rPr>
          <w:color w:val="222222"/>
          <w:highlight w:val="white"/>
        </w:rPr>
      </w:pPr>
      <w:proofErr w:type="spellStart"/>
      <w:proofErr w:type="gramStart"/>
      <w:r>
        <w:rPr>
          <w:color w:val="222222"/>
          <w:highlight w:val="white"/>
        </w:rPr>
        <w:t>Tursunbayeva</w:t>
      </w:r>
      <w:proofErr w:type="spellEnd"/>
      <w:r>
        <w:rPr>
          <w:color w:val="222222"/>
          <w:highlight w:val="white"/>
        </w:rPr>
        <w:t xml:space="preserve">, A., </w:t>
      </w:r>
      <w:proofErr w:type="spellStart"/>
      <w:r>
        <w:rPr>
          <w:color w:val="222222"/>
          <w:highlight w:val="white"/>
        </w:rPr>
        <w:t>Pagliari</w:t>
      </w:r>
      <w:proofErr w:type="spellEnd"/>
      <w:r>
        <w:rPr>
          <w:color w:val="222222"/>
          <w:highlight w:val="white"/>
        </w:rPr>
        <w:t xml:space="preserve">, C., Di </w:t>
      </w:r>
      <w:proofErr w:type="spellStart"/>
      <w:r>
        <w:rPr>
          <w:color w:val="222222"/>
          <w:highlight w:val="white"/>
        </w:rPr>
        <w:t>Lauro</w:t>
      </w:r>
      <w:proofErr w:type="spellEnd"/>
      <w:r>
        <w:rPr>
          <w:color w:val="222222"/>
          <w:highlight w:val="white"/>
        </w:rPr>
        <w:t xml:space="preserve">, S. and </w:t>
      </w:r>
      <w:proofErr w:type="spellStart"/>
      <w:r>
        <w:rPr>
          <w:color w:val="222222"/>
          <w:highlight w:val="white"/>
        </w:rPr>
        <w:t>Antonelli</w:t>
      </w:r>
      <w:proofErr w:type="spellEnd"/>
      <w:r>
        <w:rPr>
          <w:color w:val="222222"/>
          <w:highlight w:val="white"/>
        </w:rPr>
        <w:t>, G., 2022.</w:t>
      </w:r>
      <w:proofErr w:type="gramEnd"/>
      <w:r>
        <w:rPr>
          <w:color w:val="222222"/>
          <w:highlight w:val="white"/>
        </w:rPr>
        <w:t xml:space="preserve"> The ethics of people analytics: risks, opportunities and recommendations. </w:t>
      </w:r>
      <w:proofErr w:type="gramStart"/>
      <w:r>
        <w:rPr>
          <w:i/>
          <w:color w:val="222222"/>
          <w:highlight w:val="white"/>
        </w:rPr>
        <w:t>Personnel Review</w:t>
      </w:r>
      <w:r>
        <w:rPr>
          <w:color w:val="222222"/>
          <w:highlight w:val="white"/>
        </w:rPr>
        <w:t xml:space="preserve">, </w:t>
      </w:r>
      <w:r>
        <w:rPr>
          <w:i/>
          <w:color w:val="222222"/>
          <w:highlight w:val="white"/>
        </w:rPr>
        <w:t>51</w:t>
      </w:r>
      <w:r>
        <w:rPr>
          <w:color w:val="222222"/>
          <w:highlight w:val="white"/>
        </w:rPr>
        <w:t>(3), pp.900-921.</w:t>
      </w:r>
      <w:proofErr w:type="gramEnd"/>
    </w:p>
    <w:p w:rsidR="00AC0445" w:rsidRDefault="00C772AC">
      <w:pPr>
        <w:rPr>
          <w:color w:val="222222"/>
          <w:highlight w:val="white"/>
        </w:rPr>
      </w:pPr>
      <w:r>
        <w:rPr>
          <w:color w:val="222222"/>
          <w:highlight w:val="white"/>
        </w:rPr>
        <w:lastRenderedPageBreak/>
        <w:t xml:space="preserve">Villegas, D.A. and Marin, A.M., 2022. </w:t>
      </w:r>
      <w:proofErr w:type="gramStart"/>
      <w:r>
        <w:rPr>
          <w:color w:val="222222"/>
          <w:highlight w:val="white"/>
        </w:rPr>
        <w:t>Bilingual brand communities?</w:t>
      </w:r>
      <w:proofErr w:type="gramEnd"/>
      <w:r>
        <w:rPr>
          <w:color w:val="222222"/>
          <w:highlight w:val="white"/>
        </w:rPr>
        <w:t xml:space="preserve"> </w:t>
      </w:r>
      <w:proofErr w:type="gramStart"/>
      <w:r>
        <w:rPr>
          <w:color w:val="222222"/>
          <w:highlight w:val="white"/>
        </w:rPr>
        <w:t>Strategies for targeting Hispanics on social media.</w:t>
      </w:r>
      <w:proofErr w:type="gramEnd"/>
      <w:r>
        <w:rPr>
          <w:color w:val="222222"/>
          <w:highlight w:val="white"/>
        </w:rPr>
        <w:t xml:space="preserve"> </w:t>
      </w:r>
      <w:proofErr w:type="gramStart"/>
      <w:r>
        <w:rPr>
          <w:i/>
          <w:color w:val="222222"/>
          <w:highlight w:val="white"/>
        </w:rPr>
        <w:t>Journal of Product &amp; Brand Management</w:t>
      </w:r>
      <w:r>
        <w:rPr>
          <w:color w:val="222222"/>
          <w:highlight w:val="white"/>
        </w:rPr>
        <w:t xml:space="preserve">, </w:t>
      </w:r>
      <w:r>
        <w:rPr>
          <w:i/>
          <w:color w:val="222222"/>
          <w:highlight w:val="white"/>
        </w:rPr>
        <w:t>31</w:t>
      </w:r>
      <w:r>
        <w:rPr>
          <w:color w:val="222222"/>
          <w:highlight w:val="white"/>
        </w:rPr>
        <w:t>(4), pp.586-605.</w:t>
      </w:r>
      <w:proofErr w:type="gramEnd"/>
      <w:r>
        <w:rPr>
          <w:color w:val="222222"/>
          <w:highlight w:val="white"/>
        </w:rPr>
        <w:t xml:space="preserve"> </w:t>
      </w:r>
    </w:p>
    <w:p w:rsidR="00AC0445" w:rsidRDefault="00C772AC">
      <w:pPr>
        <w:rPr>
          <w:color w:val="222222"/>
          <w:highlight w:val="white"/>
        </w:rPr>
      </w:pPr>
      <w:r>
        <w:rPr>
          <w:color w:val="222222"/>
          <w:highlight w:val="white"/>
        </w:rPr>
        <w:t xml:space="preserve">Wang, C.H., 2023. Expatriation and repatriation as one integrated process: the roles of developmental assignments, repatriate turnover, employee willingness for expatriation and repatriation support practices. </w:t>
      </w:r>
      <w:r>
        <w:rPr>
          <w:i/>
          <w:color w:val="222222"/>
          <w:highlight w:val="white"/>
        </w:rPr>
        <w:t>Cross Cultural &amp; Strategic Management</w:t>
      </w:r>
      <w:r>
        <w:rPr>
          <w:color w:val="222222"/>
          <w:highlight w:val="white"/>
        </w:rPr>
        <w:t>.</w:t>
      </w:r>
    </w:p>
    <w:p w:rsidR="00AC0445" w:rsidRDefault="00C772AC">
      <w:pPr>
        <w:rPr>
          <w:color w:val="222222"/>
          <w:highlight w:val="white"/>
        </w:rPr>
      </w:pPr>
      <w:proofErr w:type="gramStart"/>
      <w:r>
        <w:rPr>
          <w:color w:val="222222"/>
          <w:highlight w:val="white"/>
        </w:rPr>
        <w:t xml:space="preserve">Watts, C., </w:t>
      </w:r>
      <w:proofErr w:type="spellStart"/>
      <w:r>
        <w:rPr>
          <w:color w:val="222222"/>
          <w:highlight w:val="white"/>
        </w:rPr>
        <w:t>Hefler</w:t>
      </w:r>
      <w:proofErr w:type="spellEnd"/>
      <w:r>
        <w:rPr>
          <w:color w:val="222222"/>
          <w:highlight w:val="white"/>
        </w:rPr>
        <w:t>, M. and Freeman, B., 2019.</w:t>
      </w:r>
      <w:proofErr w:type="gramEnd"/>
      <w:r>
        <w:rPr>
          <w:color w:val="222222"/>
          <w:highlight w:val="white"/>
        </w:rPr>
        <w:t xml:space="preserve"> ‘We have a rich heritage and, we believe, a bright future’: how transnational tobacco companies are using Twitter to oppose policy and shape their public identity. </w:t>
      </w:r>
      <w:proofErr w:type="gramStart"/>
      <w:r>
        <w:rPr>
          <w:color w:val="222222"/>
          <w:highlight w:val="white"/>
        </w:rPr>
        <w:t>Tobacco Control, 28(2), pp.227-232.</w:t>
      </w:r>
      <w:proofErr w:type="gramEnd"/>
    </w:p>
    <w:p w:rsidR="00AC0445" w:rsidRDefault="00C772AC">
      <w:pPr>
        <w:rPr>
          <w:color w:val="222222"/>
          <w:highlight w:val="white"/>
        </w:rPr>
      </w:pPr>
      <w:proofErr w:type="spellStart"/>
      <w:proofErr w:type="gramStart"/>
      <w:r>
        <w:rPr>
          <w:color w:val="222222"/>
          <w:highlight w:val="white"/>
        </w:rPr>
        <w:t>Wołowiec</w:t>
      </w:r>
      <w:proofErr w:type="spellEnd"/>
      <w:r>
        <w:rPr>
          <w:color w:val="222222"/>
          <w:highlight w:val="white"/>
        </w:rPr>
        <w:t xml:space="preserve">, T. and </w:t>
      </w:r>
      <w:proofErr w:type="spellStart"/>
      <w:r>
        <w:rPr>
          <w:color w:val="222222"/>
          <w:highlight w:val="white"/>
        </w:rPr>
        <w:t>Skrzypek</w:t>
      </w:r>
      <w:proofErr w:type="spellEnd"/>
      <w:r>
        <w:rPr>
          <w:color w:val="222222"/>
          <w:highlight w:val="white"/>
        </w:rPr>
        <w:t>-Ahmed, S., 2022.</w:t>
      </w:r>
      <w:proofErr w:type="gramEnd"/>
      <w:r>
        <w:rPr>
          <w:color w:val="222222"/>
          <w:highlight w:val="white"/>
        </w:rPr>
        <w:t xml:space="preserve"> </w:t>
      </w:r>
      <w:proofErr w:type="gramStart"/>
      <w:r>
        <w:rPr>
          <w:color w:val="222222"/>
          <w:highlight w:val="white"/>
        </w:rPr>
        <w:t>The impact of the ethical instruments on the company’s social image.</w:t>
      </w:r>
      <w:proofErr w:type="gramEnd"/>
      <w:r>
        <w:rPr>
          <w:color w:val="222222"/>
          <w:highlight w:val="white"/>
        </w:rPr>
        <w:t xml:space="preserve"> </w:t>
      </w:r>
      <w:proofErr w:type="gramStart"/>
      <w:r>
        <w:rPr>
          <w:color w:val="222222"/>
          <w:highlight w:val="white"/>
        </w:rPr>
        <w:t xml:space="preserve">A case of British American Tobacco </w:t>
      </w:r>
      <w:proofErr w:type="spellStart"/>
      <w:r>
        <w:rPr>
          <w:color w:val="222222"/>
          <w:highlight w:val="white"/>
        </w:rPr>
        <w:t>Polska</w:t>
      </w:r>
      <w:proofErr w:type="spellEnd"/>
      <w:r>
        <w:rPr>
          <w:color w:val="222222"/>
          <w:highlight w:val="white"/>
        </w:rPr>
        <w:t>.</w:t>
      </w:r>
      <w:proofErr w:type="gramEnd"/>
      <w:r>
        <w:rPr>
          <w:color w:val="222222"/>
          <w:highlight w:val="white"/>
        </w:rPr>
        <w:t xml:space="preserve"> </w:t>
      </w:r>
      <w:r>
        <w:rPr>
          <w:i/>
          <w:color w:val="222222"/>
          <w:highlight w:val="white"/>
        </w:rPr>
        <w:t>AND PRACTICAL ASPECTS OF CSR IMPLEMENTATION BY FOREIGN INVESTORS</w:t>
      </w:r>
      <w:r>
        <w:rPr>
          <w:color w:val="222222"/>
          <w:highlight w:val="white"/>
        </w:rPr>
        <w:t xml:space="preserve">, p.61.   </w:t>
      </w:r>
    </w:p>
    <w:p w:rsidR="00AC0445" w:rsidRDefault="00C772AC">
      <w:pPr>
        <w:rPr>
          <w:color w:val="222222"/>
          <w:highlight w:val="white"/>
        </w:rPr>
      </w:pPr>
      <w:proofErr w:type="spellStart"/>
      <w:proofErr w:type="gramStart"/>
      <w:r>
        <w:rPr>
          <w:color w:val="222222"/>
          <w:highlight w:val="white"/>
        </w:rPr>
        <w:t>Wołowiec</w:t>
      </w:r>
      <w:proofErr w:type="spellEnd"/>
      <w:r>
        <w:rPr>
          <w:color w:val="222222"/>
          <w:highlight w:val="white"/>
        </w:rPr>
        <w:t xml:space="preserve">, T. and </w:t>
      </w:r>
      <w:proofErr w:type="spellStart"/>
      <w:r>
        <w:rPr>
          <w:color w:val="222222"/>
          <w:highlight w:val="white"/>
        </w:rPr>
        <w:t>Skrzypek</w:t>
      </w:r>
      <w:proofErr w:type="spellEnd"/>
      <w:r>
        <w:rPr>
          <w:color w:val="222222"/>
          <w:highlight w:val="white"/>
        </w:rPr>
        <w:t>-Ahmed, S., 2022.</w:t>
      </w:r>
      <w:proofErr w:type="gramEnd"/>
      <w:r>
        <w:rPr>
          <w:color w:val="222222"/>
          <w:highlight w:val="white"/>
        </w:rPr>
        <w:t xml:space="preserve"> </w:t>
      </w:r>
      <w:proofErr w:type="gramStart"/>
      <w:r>
        <w:rPr>
          <w:color w:val="222222"/>
          <w:highlight w:val="white"/>
        </w:rPr>
        <w:t>The impact of the ethical instruments on the company’s social image.</w:t>
      </w:r>
      <w:proofErr w:type="gramEnd"/>
      <w:r>
        <w:rPr>
          <w:color w:val="222222"/>
          <w:highlight w:val="white"/>
        </w:rPr>
        <w:t xml:space="preserve"> </w:t>
      </w:r>
      <w:proofErr w:type="gramStart"/>
      <w:r>
        <w:rPr>
          <w:color w:val="222222"/>
          <w:highlight w:val="white"/>
        </w:rPr>
        <w:t xml:space="preserve">A case of British American Tobacco </w:t>
      </w:r>
      <w:proofErr w:type="spellStart"/>
      <w:r>
        <w:rPr>
          <w:color w:val="222222"/>
          <w:highlight w:val="white"/>
        </w:rPr>
        <w:t>Polska</w:t>
      </w:r>
      <w:proofErr w:type="spellEnd"/>
      <w:r>
        <w:rPr>
          <w:color w:val="222222"/>
          <w:highlight w:val="white"/>
        </w:rPr>
        <w:t>.</w:t>
      </w:r>
      <w:proofErr w:type="gramEnd"/>
      <w:r>
        <w:rPr>
          <w:color w:val="222222"/>
          <w:highlight w:val="white"/>
        </w:rPr>
        <w:t xml:space="preserve"> </w:t>
      </w:r>
      <w:r>
        <w:rPr>
          <w:i/>
          <w:color w:val="222222"/>
          <w:highlight w:val="white"/>
        </w:rPr>
        <w:t>AND PRACTICAL ASPECTS OF CSR IMPLEMENTATION BY FOREIGN INVESTORS</w:t>
      </w:r>
      <w:r>
        <w:rPr>
          <w:color w:val="222222"/>
          <w:highlight w:val="white"/>
        </w:rPr>
        <w:t>, p.61.</w:t>
      </w:r>
    </w:p>
    <w:p w:rsidR="00AC0445" w:rsidRDefault="00C772AC">
      <w:pPr>
        <w:rPr>
          <w:color w:val="222222"/>
          <w:highlight w:val="white"/>
        </w:rPr>
      </w:pPr>
      <w:proofErr w:type="spellStart"/>
      <w:r>
        <w:rPr>
          <w:color w:val="222222"/>
          <w:highlight w:val="white"/>
        </w:rPr>
        <w:t>Yadav</w:t>
      </w:r>
      <w:proofErr w:type="spellEnd"/>
      <w:r>
        <w:rPr>
          <w:color w:val="222222"/>
          <w:highlight w:val="white"/>
        </w:rPr>
        <w:t xml:space="preserve">, A., </w:t>
      </w:r>
      <w:proofErr w:type="spellStart"/>
      <w:r>
        <w:rPr>
          <w:color w:val="222222"/>
          <w:highlight w:val="white"/>
        </w:rPr>
        <w:t>Lal</w:t>
      </w:r>
      <w:proofErr w:type="spellEnd"/>
      <w:r>
        <w:rPr>
          <w:color w:val="222222"/>
          <w:highlight w:val="white"/>
        </w:rPr>
        <w:t xml:space="preserve">, P., Sharma, R., </w:t>
      </w:r>
      <w:proofErr w:type="spellStart"/>
      <w:r>
        <w:rPr>
          <w:color w:val="222222"/>
          <w:highlight w:val="white"/>
        </w:rPr>
        <w:t>Pandey</w:t>
      </w:r>
      <w:proofErr w:type="spellEnd"/>
      <w:r>
        <w:rPr>
          <w:color w:val="222222"/>
          <w:highlight w:val="white"/>
        </w:rPr>
        <w:t xml:space="preserve">, A. and Singh, R.J., 2022. </w:t>
      </w:r>
      <w:proofErr w:type="gramStart"/>
      <w:r>
        <w:rPr>
          <w:color w:val="222222"/>
          <w:highlight w:val="white"/>
        </w:rPr>
        <w:t>Tobacco industry corporate social responsibility activities amid COVID-19 pandemic in India.</w:t>
      </w:r>
      <w:proofErr w:type="gramEnd"/>
      <w:r>
        <w:rPr>
          <w:color w:val="222222"/>
          <w:highlight w:val="white"/>
        </w:rPr>
        <w:t xml:space="preserve"> </w:t>
      </w:r>
      <w:proofErr w:type="gramStart"/>
      <w:r>
        <w:rPr>
          <w:color w:val="222222"/>
          <w:highlight w:val="white"/>
        </w:rPr>
        <w:t>Tobacco Control, 31(6), pp.777-780.</w:t>
      </w:r>
      <w:proofErr w:type="gramEnd"/>
    </w:p>
    <w:p w:rsidR="00AC0445" w:rsidRDefault="00C772AC">
      <w:pPr>
        <w:rPr>
          <w:color w:val="222222"/>
          <w:highlight w:val="white"/>
        </w:rPr>
      </w:pPr>
      <w:proofErr w:type="spellStart"/>
      <w:r>
        <w:rPr>
          <w:color w:val="222222"/>
          <w:highlight w:val="white"/>
        </w:rPr>
        <w:t>Yadav</w:t>
      </w:r>
      <w:proofErr w:type="spellEnd"/>
      <w:r>
        <w:rPr>
          <w:color w:val="222222"/>
          <w:highlight w:val="white"/>
        </w:rPr>
        <w:t xml:space="preserve">, A., </w:t>
      </w:r>
      <w:proofErr w:type="spellStart"/>
      <w:r>
        <w:rPr>
          <w:color w:val="222222"/>
          <w:highlight w:val="white"/>
        </w:rPr>
        <w:t>Lal</w:t>
      </w:r>
      <w:proofErr w:type="spellEnd"/>
      <w:r>
        <w:rPr>
          <w:color w:val="222222"/>
          <w:highlight w:val="white"/>
        </w:rPr>
        <w:t xml:space="preserve">, P., Sharma, R., </w:t>
      </w:r>
      <w:proofErr w:type="spellStart"/>
      <w:r>
        <w:rPr>
          <w:color w:val="222222"/>
          <w:highlight w:val="white"/>
        </w:rPr>
        <w:t>Pandey</w:t>
      </w:r>
      <w:proofErr w:type="spellEnd"/>
      <w:r>
        <w:rPr>
          <w:color w:val="222222"/>
          <w:highlight w:val="white"/>
        </w:rPr>
        <w:t xml:space="preserve">, A. and Singh, R.J., 2022. </w:t>
      </w:r>
      <w:proofErr w:type="gramStart"/>
      <w:r>
        <w:rPr>
          <w:color w:val="222222"/>
          <w:highlight w:val="white"/>
        </w:rPr>
        <w:t>Tobacco industry corporate social responsibility activities amid COVID-19 pandemic in India.</w:t>
      </w:r>
      <w:proofErr w:type="gramEnd"/>
      <w:r>
        <w:rPr>
          <w:color w:val="222222"/>
          <w:highlight w:val="white"/>
        </w:rPr>
        <w:t xml:space="preserve"> </w:t>
      </w:r>
      <w:proofErr w:type="gramStart"/>
      <w:r>
        <w:rPr>
          <w:color w:val="222222"/>
          <w:highlight w:val="white"/>
        </w:rPr>
        <w:t>Tobacco Control, 31(6), pp.777-780.</w:t>
      </w:r>
      <w:proofErr w:type="gramEnd"/>
    </w:p>
    <w:p w:rsidR="00AC0445" w:rsidRDefault="00C772AC">
      <w:pPr>
        <w:rPr>
          <w:color w:val="222222"/>
          <w:highlight w:val="white"/>
        </w:rPr>
      </w:pPr>
      <w:proofErr w:type="spellStart"/>
      <w:proofErr w:type="gramStart"/>
      <w:r>
        <w:rPr>
          <w:color w:val="222222"/>
          <w:highlight w:val="white"/>
        </w:rPr>
        <w:t>Znyk</w:t>
      </w:r>
      <w:proofErr w:type="spellEnd"/>
      <w:r>
        <w:rPr>
          <w:color w:val="222222"/>
          <w:highlight w:val="white"/>
        </w:rPr>
        <w:t xml:space="preserve">, M., </w:t>
      </w:r>
      <w:proofErr w:type="spellStart"/>
      <w:r>
        <w:rPr>
          <w:color w:val="222222"/>
          <w:highlight w:val="white"/>
        </w:rPr>
        <w:t>Jurewicz</w:t>
      </w:r>
      <w:proofErr w:type="spellEnd"/>
      <w:r>
        <w:rPr>
          <w:color w:val="222222"/>
          <w:highlight w:val="white"/>
        </w:rPr>
        <w:t xml:space="preserve">, J. and </w:t>
      </w:r>
      <w:proofErr w:type="spellStart"/>
      <w:r>
        <w:rPr>
          <w:color w:val="222222"/>
          <w:highlight w:val="white"/>
        </w:rPr>
        <w:t>Kaleta</w:t>
      </w:r>
      <w:proofErr w:type="spellEnd"/>
      <w:r>
        <w:rPr>
          <w:color w:val="222222"/>
          <w:highlight w:val="white"/>
        </w:rPr>
        <w:t>, D., 2021.</w:t>
      </w:r>
      <w:proofErr w:type="gramEnd"/>
      <w:r>
        <w:rPr>
          <w:color w:val="222222"/>
          <w:highlight w:val="white"/>
        </w:rPr>
        <w:t xml:space="preserve"> </w:t>
      </w:r>
      <w:proofErr w:type="gramStart"/>
      <w:r>
        <w:rPr>
          <w:color w:val="222222"/>
          <w:highlight w:val="white"/>
        </w:rPr>
        <w:t>Exposure to heated tobacco products and adverse health effects, a systematic review.</w:t>
      </w:r>
      <w:proofErr w:type="gramEnd"/>
      <w:r>
        <w:rPr>
          <w:color w:val="222222"/>
          <w:highlight w:val="white"/>
        </w:rPr>
        <w:t xml:space="preserve"> </w:t>
      </w:r>
      <w:proofErr w:type="gramStart"/>
      <w:r>
        <w:rPr>
          <w:color w:val="222222"/>
          <w:highlight w:val="white"/>
        </w:rPr>
        <w:t>International journal of environmental research and public health, 18(12), p.6651.</w:t>
      </w:r>
      <w:proofErr w:type="gramEnd"/>
    </w:p>
    <w:p w:rsidR="00AC0445" w:rsidRPr="003C4745" w:rsidRDefault="00C772AC">
      <w:pPr>
        <w:rPr>
          <w:highlight w:val="white"/>
        </w:rPr>
      </w:pPr>
      <w:proofErr w:type="spellStart"/>
      <w:r w:rsidRPr="003C4745">
        <w:rPr>
          <w:highlight w:val="white"/>
        </w:rPr>
        <w:t>Podrug</w:t>
      </w:r>
      <w:proofErr w:type="spellEnd"/>
      <w:r w:rsidRPr="003C4745">
        <w:rPr>
          <w:highlight w:val="white"/>
        </w:rPr>
        <w:t xml:space="preserve">, N., 2021. </w:t>
      </w:r>
      <w:proofErr w:type="gramStart"/>
      <w:r w:rsidRPr="003C4745">
        <w:rPr>
          <w:highlight w:val="white"/>
        </w:rPr>
        <w:t>STRATEGIC CHALLENGES OF TRANSNATIONAL CORPORATIONS FROM EMERGING ECONOMIES.</w:t>
      </w:r>
      <w:proofErr w:type="gramEnd"/>
      <w:r w:rsidRPr="003C4745">
        <w:rPr>
          <w:highlight w:val="white"/>
        </w:rPr>
        <w:t xml:space="preserve"> </w:t>
      </w:r>
      <w:r w:rsidRPr="003C4745">
        <w:rPr>
          <w:i/>
          <w:highlight w:val="white"/>
        </w:rPr>
        <w:t>Economic and Social Development: Book of Proceedings</w:t>
      </w:r>
      <w:r w:rsidRPr="003C4745">
        <w:rPr>
          <w:highlight w:val="white"/>
        </w:rPr>
        <w:t>, pp.85-92.</w:t>
      </w:r>
    </w:p>
    <w:p w:rsidR="00AC0445" w:rsidRPr="003C4745" w:rsidRDefault="00C772AC">
      <w:pPr>
        <w:rPr>
          <w:highlight w:val="white"/>
        </w:rPr>
      </w:pPr>
      <w:r w:rsidRPr="003C4745">
        <w:rPr>
          <w:highlight w:val="white"/>
        </w:rPr>
        <w:t xml:space="preserve">Morrison, T.H., </w:t>
      </w:r>
      <w:proofErr w:type="spellStart"/>
      <w:r w:rsidRPr="003C4745">
        <w:rPr>
          <w:highlight w:val="white"/>
        </w:rPr>
        <w:t>Bodin</w:t>
      </w:r>
      <w:proofErr w:type="spellEnd"/>
      <w:r w:rsidRPr="003C4745">
        <w:rPr>
          <w:highlight w:val="white"/>
        </w:rPr>
        <w:t xml:space="preserve">, </w:t>
      </w:r>
      <w:proofErr w:type="gramStart"/>
      <w:r w:rsidRPr="003C4745">
        <w:rPr>
          <w:highlight w:val="white"/>
        </w:rPr>
        <w:t>Ö.,</w:t>
      </w:r>
      <w:proofErr w:type="gramEnd"/>
      <w:r w:rsidRPr="003C4745">
        <w:rPr>
          <w:highlight w:val="white"/>
        </w:rPr>
        <w:t xml:space="preserve"> Cumming, G.S., </w:t>
      </w:r>
      <w:proofErr w:type="spellStart"/>
      <w:r w:rsidRPr="003C4745">
        <w:rPr>
          <w:highlight w:val="white"/>
        </w:rPr>
        <w:t>Lubell</w:t>
      </w:r>
      <w:proofErr w:type="spellEnd"/>
      <w:r w:rsidRPr="003C4745">
        <w:rPr>
          <w:highlight w:val="white"/>
        </w:rPr>
        <w:t xml:space="preserve">, M., </w:t>
      </w:r>
      <w:proofErr w:type="spellStart"/>
      <w:r w:rsidRPr="003C4745">
        <w:rPr>
          <w:highlight w:val="white"/>
        </w:rPr>
        <w:t>Seppelt</w:t>
      </w:r>
      <w:proofErr w:type="spellEnd"/>
      <w:r w:rsidRPr="003C4745">
        <w:rPr>
          <w:highlight w:val="white"/>
        </w:rPr>
        <w:t xml:space="preserve">, R., </w:t>
      </w:r>
      <w:proofErr w:type="spellStart"/>
      <w:r w:rsidRPr="003C4745">
        <w:rPr>
          <w:highlight w:val="white"/>
        </w:rPr>
        <w:t>Seppelt</w:t>
      </w:r>
      <w:proofErr w:type="spellEnd"/>
      <w:r w:rsidRPr="003C4745">
        <w:rPr>
          <w:highlight w:val="white"/>
        </w:rPr>
        <w:t xml:space="preserve">, T. and </w:t>
      </w:r>
      <w:proofErr w:type="spellStart"/>
      <w:r w:rsidRPr="003C4745">
        <w:rPr>
          <w:highlight w:val="white"/>
        </w:rPr>
        <w:t>Weible</w:t>
      </w:r>
      <w:proofErr w:type="spellEnd"/>
      <w:r w:rsidRPr="003C4745">
        <w:rPr>
          <w:highlight w:val="white"/>
        </w:rPr>
        <w:t xml:space="preserve">, C.M., 2023. </w:t>
      </w:r>
      <w:proofErr w:type="gramStart"/>
      <w:r w:rsidRPr="003C4745">
        <w:rPr>
          <w:highlight w:val="white"/>
        </w:rPr>
        <w:t>Building blocks of polycentric governance.</w:t>
      </w:r>
      <w:proofErr w:type="gramEnd"/>
      <w:r w:rsidRPr="003C4745">
        <w:rPr>
          <w:highlight w:val="white"/>
        </w:rPr>
        <w:t xml:space="preserve"> </w:t>
      </w:r>
      <w:proofErr w:type="gramStart"/>
      <w:r w:rsidRPr="003C4745">
        <w:rPr>
          <w:i/>
          <w:highlight w:val="white"/>
        </w:rPr>
        <w:t>Policy Studies Journal</w:t>
      </w:r>
      <w:r w:rsidRPr="003C4745">
        <w:rPr>
          <w:highlight w:val="white"/>
        </w:rPr>
        <w:t>.</w:t>
      </w:r>
      <w:proofErr w:type="gramEnd"/>
    </w:p>
    <w:p w:rsidR="00AC0445" w:rsidRPr="003C4745" w:rsidRDefault="00C772AC">
      <w:pPr>
        <w:rPr>
          <w:sz w:val="28"/>
          <w:szCs w:val="28"/>
          <w:highlight w:val="white"/>
        </w:rPr>
      </w:pPr>
      <w:proofErr w:type="gramStart"/>
      <w:r w:rsidRPr="003C4745">
        <w:rPr>
          <w:highlight w:val="white"/>
        </w:rPr>
        <w:t>Herrmann-</w:t>
      </w:r>
      <w:proofErr w:type="spellStart"/>
      <w:r w:rsidRPr="003C4745">
        <w:rPr>
          <w:highlight w:val="white"/>
        </w:rPr>
        <w:t>Pillath</w:t>
      </w:r>
      <w:proofErr w:type="spellEnd"/>
      <w:r w:rsidRPr="003C4745">
        <w:rPr>
          <w:highlight w:val="white"/>
        </w:rPr>
        <w:t>, C., 2021.</w:t>
      </w:r>
      <w:proofErr w:type="gramEnd"/>
      <w:r w:rsidRPr="003C4745">
        <w:rPr>
          <w:highlight w:val="white"/>
        </w:rPr>
        <w:t xml:space="preserve"> A Copernican moment: engaging economic ethics in orchestrating the geocentric turn in economics. </w:t>
      </w:r>
      <w:r w:rsidRPr="003C4745">
        <w:rPr>
          <w:i/>
          <w:highlight w:val="white"/>
        </w:rPr>
        <w:t>Geo-societal Narratives: Contextualising geosciences</w:t>
      </w:r>
      <w:r w:rsidRPr="003C4745">
        <w:rPr>
          <w:highlight w:val="white"/>
        </w:rPr>
        <w:t>, pp.105-126.</w:t>
      </w:r>
    </w:p>
    <w:p w:rsidR="00AC0445" w:rsidRPr="003C4745" w:rsidRDefault="00C772AC">
      <w:pPr>
        <w:spacing w:before="240" w:after="240" w:line="480" w:lineRule="auto"/>
        <w:rPr>
          <w:highlight w:val="white"/>
        </w:rPr>
      </w:pPr>
      <w:proofErr w:type="spellStart"/>
      <w:proofErr w:type="gramStart"/>
      <w:r w:rsidRPr="003C4745">
        <w:rPr>
          <w:highlight w:val="white"/>
        </w:rPr>
        <w:lastRenderedPageBreak/>
        <w:t>Sengupta</w:t>
      </w:r>
      <w:proofErr w:type="spellEnd"/>
      <w:r w:rsidRPr="003C4745">
        <w:rPr>
          <w:highlight w:val="white"/>
        </w:rPr>
        <w:t xml:space="preserve">, P., </w:t>
      </w:r>
      <w:proofErr w:type="spellStart"/>
      <w:r w:rsidRPr="003C4745">
        <w:rPr>
          <w:highlight w:val="white"/>
        </w:rPr>
        <w:t>Chokshi</w:t>
      </w:r>
      <w:proofErr w:type="spellEnd"/>
      <w:r w:rsidRPr="003C4745">
        <w:rPr>
          <w:highlight w:val="white"/>
        </w:rPr>
        <w:t xml:space="preserve">, A., </w:t>
      </w:r>
      <w:proofErr w:type="spellStart"/>
      <w:r w:rsidRPr="003C4745">
        <w:rPr>
          <w:highlight w:val="white"/>
        </w:rPr>
        <w:t>Helvaci</w:t>
      </w:r>
      <w:proofErr w:type="spellEnd"/>
      <w:r w:rsidRPr="003C4745">
        <w:rPr>
          <w:highlight w:val="white"/>
        </w:rPr>
        <w:t xml:space="preserve"> </w:t>
      </w:r>
      <w:proofErr w:type="spellStart"/>
      <w:r w:rsidRPr="003C4745">
        <w:rPr>
          <w:highlight w:val="white"/>
        </w:rPr>
        <w:t>Ozacar</w:t>
      </w:r>
      <w:proofErr w:type="spellEnd"/>
      <w:r w:rsidRPr="003C4745">
        <w:rPr>
          <w:highlight w:val="white"/>
        </w:rPr>
        <w:t xml:space="preserve">, B., </w:t>
      </w:r>
      <w:proofErr w:type="spellStart"/>
      <w:r w:rsidRPr="003C4745">
        <w:rPr>
          <w:highlight w:val="white"/>
        </w:rPr>
        <w:t>Dutta</w:t>
      </w:r>
      <w:proofErr w:type="spellEnd"/>
      <w:r w:rsidRPr="003C4745">
        <w:rPr>
          <w:highlight w:val="white"/>
        </w:rPr>
        <w:t xml:space="preserve">, S., </w:t>
      </w:r>
      <w:proofErr w:type="spellStart"/>
      <w:r w:rsidRPr="003C4745">
        <w:rPr>
          <w:highlight w:val="white"/>
        </w:rPr>
        <w:t>Sanyal</w:t>
      </w:r>
      <w:proofErr w:type="spellEnd"/>
      <w:r w:rsidRPr="003C4745">
        <w:rPr>
          <w:highlight w:val="white"/>
        </w:rPr>
        <w:t>, M. and Shanahan, M.C., 2022.</w:t>
      </w:r>
      <w:proofErr w:type="gramEnd"/>
      <w:r w:rsidRPr="003C4745">
        <w:rPr>
          <w:highlight w:val="white"/>
        </w:rPr>
        <w:t xml:space="preserve"> Language and symbolic violence in computational models of ethnocentrism: A critical phenomenology and Southern re-orientations. </w:t>
      </w:r>
      <w:proofErr w:type="gramStart"/>
      <w:r w:rsidRPr="003C4745">
        <w:rPr>
          <w:i/>
          <w:highlight w:val="white"/>
        </w:rPr>
        <w:t>International Journal of Qualitative Studies in Education</w:t>
      </w:r>
      <w:r w:rsidRPr="003C4745">
        <w:rPr>
          <w:highlight w:val="white"/>
        </w:rPr>
        <w:t>, pp.1-20.</w:t>
      </w:r>
      <w:proofErr w:type="gramEnd"/>
    </w:p>
    <w:p w:rsidR="00AC0445" w:rsidRPr="003C4745" w:rsidRDefault="00C772AC">
      <w:pPr>
        <w:spacing w:before="240" w:after="240" w:line="480" w:lineRule="auto"/>
        <w:rPr>
          <w:highlight w:val="white"/>
        </w:rPr>
      </w:pPr>
      <w:proofErr w:type="spellStart"/>
      <w:proofErr w:type="gramStart"/>
      <w:r w:rsidRPr="003C4745">
        <w:rPr>
          <w:highlight w:val="white"/>
        </w:rPr>
        <w:t>Dobrowolski</w:t>
      </w:r>
      <w:proofErr w:type="spellEnd"/>
      <w:r w:rsidRPr="003C4745">
        <w:rPr>
          <w:highlight w:val="white"/>
        </w:rPr>
        <w:t xml:space="preserve">, Z. and </w:t>
      </w:r>
      <w:proofErr w:type="spellStart"/>
      <w:r w:rsidRPr="003C4745">
        <w:rPr>
          <w:highlight w:val="white"/>
        </w:rPr>
        <w:t>Sułkowski</w:t>
      </w:r>
      <w:proofErr w:type="spellEnd"/>
      <w:r w:rsidRPr="003C4745">
        <w:rPr>
          <w:highlight w:val="white"/>
        </w:rPr>
        <w:t>, Ł., 2020.</w:t>
      </w:r>
      <w:proofErr w:type="gramEnd"/>
      <w:r w:rsidRPr="003C4745">
        <w:rPr>
          <w:highlight w:val="white"/>
        </w:rPr>
        <w:t xml:space="preserve"> Public ethnocentrism: a cognitive orientation and preventive measures. </w:t>
      </w:r>
      <w:proofErr w:type="gramStart"/>
      <w:r w:rsidRPr="003C4745">
        <w:rPr>
          <w:i/>
          <w:highlight w:val="white"/>
        </w:rPr>
        <w:t>Journal of International Studies</w:t>
      </w:r>
      <w:r w:rsidRPr="003C4745">
        <w:rPr>
          <w:highlight w:val="white"/>
        </w:rPr>
        <w:t xml:space="preserve">, </w:t>
      </w:r>
      <w:r w:rsidRPr="003C4745">
        <w:rPr>
          <w:i/>
          <w:highlight w:val="white"/>
        </w:rPr>
        <w:t>13</w:t>
      </w:r>
      <w:r w:rsidRPr="003C4745">
        <w:rPr>
          <w:highlight w:val="white"/>
        </w:rPr>
        <w:t>(2).</w:t>
      </w:r>
      <w:proofErr w:type="gramEnd"/>
    </w:p>
    <w:p w:rsidR="00AC0445" w:rsidRPr="003C4745" w:rsidRDefault="00C772AC">
      <w:pPr>
        <w:spacing w:before="240" w:after="240"/>
        <w:rPr>
          <w:highlight w:val="white"/>
        </w:rPr>
      </w:pPr>
      <w:proofErr w:type="gramStart"/>
      <w:r w:rsidRPr="003C4745">
        <w:rPr>
          <w:highlight w:val="white"/>
        </w:rPr>
        <w:t>Guan, X., Sun, H., Liu, N. and Zhou, H., 2022.</w:t>
      </w:r>
      <w:proofErr w:type="gramEnd"/>
      <w:r w:rsidRPr="003C4745">
        <w:rPr>
          <w:highlight w:val="white"/>
        </w:rPr>
        <w:t xml:space="preserve"> </w:t>
      </w:r>
      <w:proofErr w:type="gramStart"/>
      <w:r w:rsidRPr="003C4745">
        <w:rPr>
          <w:highlight w:val="white"/>
        </w:rPr>
        <w:t>Polycentric clustering and structural regularization for source-free unsupervised domain adaptation.</w:t>
      </w:r>
      <w:proofErr w:type="gramEnd"/>
      <w:r w:rsidRPr="003C4745">
        <w:rPr>
          <w:highlight w:val="white"/>
        </w:rPr>
        <w:t xml:space="preserve"> </w:t>
      </w:r>
      <w:proofErr w:type="spellStart"/>
      <w:proofErr w:type="gramStart"/>
      <w:r w:rsidRPr="003C4745">
        <w:rPr>
          <w:i/>
          <w:highlight w:val="white"/>
        </w:rPr>
        <w:t>arXiv</w:t>
      </w:r>
      <w:proofErr w:type="spellEnd"/>
      <w:proofErr w:type="gramEnd"/>
      <w:r w:rsidRPr="003C4745">
        <w:rPr>
          <w:i/>
          <w:highlight w:val="white"/>
        </w:rPr>
        <w:t xml:space="preserve"> preprint arXiv:2210.07463</w:t>
      </w:r>
      <w:r w:rsidRPr="003C4745">
        <w:rPr>
          <w:highlight w:val="white"/>
        </w:rPr>
        <w:t>.</w:t>
      </w:r>
    </w:p>
    <w:p w:rsidR="00AC0445" w:rsidRPr="003C4745" w:rsidRDefault="00AC0445">
      <w:pPr>
        <w:spacing w:before="240" w:after="240" w:line="480" w:lineRule="auto"/>
        <w:rPr>
          <w:highlight w:val="white"/>
        </w:rPr>
      </w:pPr>
    </w:p>
    <w:p w:rsidR="00AC0445" w:rsidRPr="003C4745" w:rsidRDefault="00AC0445">
      <w:pPr>
        <w:spacing w:before="240" w:after="240" w:line="480" w:lineRule="auto"/>
        <w:rPr>
          <w:highlight w:val="white"/>
        </w:rPr>
      </w:pPr>
    </w:p>
    <w:p w:rsidR="00AC0445" w:rsidRDefault="00AC0445">
      <w:pPr>
        <w:spacing w:before="240" w:after="240" w:line="480" w:lineRule="auto"/>
        <w:rPr>
          <w:color w:val="222222"/>
          <w:highlight w:val="white"/>
        </w:rPr>
      </w:pPr>
    </w:p>
    <w:sectPr w:rsidR="00AC0445">
      <w:footerReference w:type="default" r:id="rId22"/>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30FD9" w:rsidRDefault="00B30FD9">
      <w:pPr>
        <w:spacing w:line="240" w:lineRule="auto"/>
      </w:pPr>
      <w:r>
        <w:separator/>
      </w:r>
    </w:p>
  </w:endnote>
  <w:endnote w:type="continuationSeparator" w:id="0">
    <w:p w:rsidR="00B30FD9" w:rsidRDefault="00B30FD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angal">
    <w:panose1 w:val="00000400000000000000"/>
    <w:charset w:val="01"/>
    <w:family w:val="roman"/>
    <w:notTrueType/>
    <w:pitch w:val="variable"/>
    <w:sig w:usb0="00002000" w:usb1="00000000" w:usb2="00000000" w:usb3="00000000" w:csb0="0000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0445" w:rsidRDefault="00C772AC">
    <w:pPr>
      <w:pBdr>
        <w:top w:val="nil"/>
        <w:left w:val="nil"/>
        <w:bottom w:val="nil"/>
        <w:right w:val="nil"/>
        <w:between w:val="nil"/>
      </w:pBdr>
      <w:tabs>
        <w:tab w:val="center" w:pos="4513"/>
        <w:tab w:val="right" w:pos="9026"/>
      </w:tabs>
      <w:spacing w:line="240" w:lineRule="auto"/>
      <w:jc w:val="right"/>
      <w:rPr>
        <w:color w:val="000000"/>
      </w:rPr>
    </w:pPr>
    <w:r>
      <w:rPr>
        <w:color w:val="000000"/>
      </w:rPr>
      <w:t xml:space="preserve">Page </w:t>
    </w:r>
    <w:r>
      <w:rPr>
        <w:b/>
        <w:color w:val="000000"/>
      </w:rPr>
      <w:fldChar w:fldCharType="begin"/>
    </w:r>
    <w:r>
      <w:rPr>
        <w:b/>
        <w:color w:val="000000"/>
      </w:rPr>
      <w:instrText>PAGE</w:instrText>
    </w:r>
    <w:r>
      <w:rPr>
        <w:b/>
        <w:color w:val="000000"/>
      </w:rPr>
      <w:fldChar w:fldCharType="separate"/>
    </w:r>
    <w:r w:rsidR="00641613">
      <w:rPr>
        <w:b/>
        <w:noProof/>
        <w:color w:val="000000"/>
      </w:rPr>
      <w:t>11</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641613">
      <w:rPr>
        <w:b/>
        <w:noProof/>
        <w:color w:val="000000"/>
      </w:rPr>
      <w:t>29</w:t>
    </w:r>
    <w:r>
      <w:rPr>
        <w:b/>
        <w:color w:val="000000"/>
      </w:rPr>
      <w:fldChar w:fldCharType="end"/>
    </w:r>
  </w:p>
  <w:p w:rsidR="00AC0445" w:rsidRDefault="00AC0445">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30FD9" w:rsidRDefault="00B30FD9">
      <w:pPr>
        <w:spacing w:line="240" w:lineRule="auto"/>
      </w:pPr>
      <w:r>
        <w:separator/>
      </w:r>
    </w:p>
  </w:footnote>
  <w:footnote w:type="continuationSeparator" w:id="0">
    <w:p w:rsidR="00B30FD9" w:rsidRDefault="00B30FD9">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A5470D4"/>
    <w:multiLevelType w:val="multilevel"/>
    <w:tmpl w:val="AA1C869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nsid w:val="0C22227B"/>
    <w:multiLevelType w:val="multilevel"/>
    <w:tmpl w:val="19A06BD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nsid w:val="0E1606EB"/>
    <w:multiLevelType w:val="multilevel"/>
    <w:tmpl w:val="41E08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2196F6F"/>
    <w:multiLevelType w:val="multilevel"/>
    <w:tmpl w:val="A16A021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129A5454"/>
    <w:multiLevelType w:val="multilevel"/>
    <w:tmpl w:val="E88CCF7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nsid w:val="1CF3543C"/>
    <w:multiLevelType w:val="multilevel"/>
    <w:tmpl w:val="90C68B0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nsid w:val="324B29D4"/>
    <w:multiLevelType w:val="multilevel"/>
    <w:tmpl w:val="AD34439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nsid w:val="52FE153B"/>
    <w:multiLevelType w:val="multilevel"/>
    <w:tmpl w:val="496AC68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nsid w:val="5D3A4204"/>
    <w:multiLevelType w:val="multilevel"/>
    <w:tmpl w:val="88CA27A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nsid w:val="61F0081B"/>
    <w:multiLevelType w:val="multilevel"/>
    <w:tmpl w:val="6D8ADF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6"/>
  </w:num>
  <w:num w:numId="2">
    <w:abstractNumId w:val="8"/>
  </w:num>
  <w:num w:numId="3">
    <w:abstractNumId w:val="2"/>
  </w:num>
  <w:num w:numId="4">
    <w:abstractNumId w:val="4"/>
  </w:num>
  <w:num w:numId="5">
    <w:abstractNumId w:val="7"/>
  </w:num>
  <w:num w:numId="6">
    <w:abstractNumId w:val="0"/>
  </w:num>
  <w:num w:numId="7">
    <w:abstractNumId w:val="9"/>
  </w:num>
  <w:num w:numId="8">
    <w:abstractNumId w:val="5"/>
  </w:num>
  <w:num w:numId="9">
    <w:abstractNumId w:val="1"/>
  </w:num>
  <w:num w:numId="1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AC0445"/>
    <w:rsid w:val="003C4745"/>
    <w:rsid w:val="00561CB3"/>
    <w:rsid w:val="005F7E00"/>
    <w:rsid w:val="00641613"/>
    <w:rsid w:val="00AC0445"/>
    <w:rsid w:val="00B30FD9"/>
    <w:rsid w:val="00C772AC"/>
    <w:rsid w:val="00EC57C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428C"/>
  </w:style>
  <w:style w:type="paragraph" w:styleId="Heading1">
    <w:name w:val="heading 1"/>
    <w:basedOn w:val="Normal"/>
    <w:next w:val="Normal"/>
    <w:uiPriority w:val="9"/>
    <w:qFormat/>
    <w:rsid w:val="000C428C"/>
    <w:pPr>
      <w:keepNext/>
      <w:keepLines/>
      <w:outlineLvl w:val="0"/>
    </w:pPr>
    <w:rPr>
      <w:b/>
      <w:sz w:val="26"/>
      <w:szCs w:val="26"/>
    </w:rPr>
  </w:style>
  <w:style w:type="paragraph" w:styleId="Heading2">
    <w:name w:val="heading 2"/>
    <w:basedOn w:val="Normal"/>
    <w:next w:val="Normal"/>
    <w:uiPriority w:val="9"/>
    <w:unhideWhenUsed/>
    <w:qFormat/>
    <w:rsid w:val="000C428C"/>
    <w:pPr>
      <w:keepNext/>
      <w:keepLines/>
      <w:spacing w:before="360" w:after="120"/>
      <w:outlineLvl w:val="1"/>
    </w:pPr>
    <w:rPr>
      <w:sz w:val="32"/>
      <w:szCs w:val="32"/>
    </w:rPr>
  </w:style>
  <w:style w:type="paragraph" w:styleId="Heading3">
    <w:name w:val="heading 3"/>
    <w:basedOn w:val="Normal"/>
    <w:next w:val="Normal"/>
    <w:uiPriority w:val="9"/>
    <w:unhideWhenUsed/>
    <w:qFormat/>
    <w:rsid w:val="000C428C"/>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C428C"/>
    <w:pPr>
      <w:keepNext/>
      <w:keepLines/>
      <w:spacing w:before="280" w:after="80"/>
      <w:outlineLvl w:val="3"/>
    </w:pPr>
    <w:rPr>
      <w:color w:val="666666"/>
    </w:rPr>
  </w:style>
  <w:style w:type="paragraph" w:styleId="Heading5">
    <w:name w:val="heading 5"/>
    <w:basedOn w:val="Normal"/>
    <w:next w:val="Normal"/>
    <w:uiPriority w:val="9"/>
    <w:semiHidden/>
    <w:unhideWhenUsed/>
    <w:qFormat/>
    <w:rsid w:val="000C428C"/>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0C428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C428C"/>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0C428C"/>
    <w:pPr>
      <w:spacing w:line="240" w:lineRule="auto"/>
    </w:pPr>
    <w:rPr>
      <w:sz w:val="20"/>
      <w:szCs w:val="20"/>
    </w:rPr>
  </w:style>
  <w:style w:type="character" w:customStyle="1" w:styleId="CommentTextChar">
    <w:name w:val="Comment Text Char"/>
    <w:basedOn w:val="DefaultParagraphFont"/>
    <w:link w:val="CommentText"/>
    <w:uiPriority w:val="99"/>
    <w:semiHidden/>
    <w:rsid w:val="000C428C"/>
    <w:rPr>
      <w:sz w:val="20"/>
      <w:szCs w:val="20"/>
    </w:rPr>
  </w:style>
  <w:style w:type="character" w:styleId="CommentReference">
    <w:name w:val="annotation reference"/>
    <w:basedOn w:val="DefaultParagraphFont"/>
    <w:uiPriority w:val="99"/>
    <w:semiHidden/>
    <w:unhideWhenUsed/>
    <w:rsid w:val="000C428C"/>
    <w:rPr>
      <w:sz w:val="16"/>
      <w:szCs w:val="16"/>
    </w:rPr>
  </w:style>
  <w:style w:type="paragraph" w:styleId="CommentSubject">
    <w:name w:val="annotation subject"/>
    <w:basedOn w:val="CommentText"/>
    <w:next w:val="CommentText"/>
    <w:link w:val="CommentSubjectChar"/>
    <w:uiPriority w:val="99"/>
    <w:semiHidden/>
    <w:unhideWhenUsed/>
    <w:rsid w:val="00216F5B"/>
    <w:rPr>
      <w:b/>
      <w:bCs/>
    </w:rPr>
  </w:style>
  <w:style w:type="character" w:customStyle="1" w:styleId="CommentSubjectChar">
    <w:name w:val="Comment Subject Char"/>
    <w:basedOn w:val="CommentTextChar"/>
    <w:link w:val="CommentSubject"/>
    <w:uiPriority w:val="99"/>
    <w:semiHidden/>
    <w:rsid w:val="00216F5B"/>
    <w:rPr>
      <w:b/>
      <w:bCs/>
      <w:sz w:val="20"/>
      <w:szCs w:val="20"/>
    </w:rPr>
  </w:style>
  <w:style w:type="paragraph" w:styleId="Header">
    <w:name w:val="header"/>
    <w:basedOn w:val="Normal"/>
    <w:link w:val="HeaderChar"/>
    <w:uiPriority w:val="99"/>
    <w:unhideWhenUsed/>
    <w:rsid w:val="00D3378D"/>
    <w:pPr>
      <w:tabs>
        <w:tab w:val="center" w:pos="4513"/>
        <w:tab w:val="right" w:pos="9026"/>
      </w:tabs>
      <w:spacing w:line="240" w:lineRule="auto"/>
    </w:pPr>
  </w:style>
  <w:style w:type="character" w:customStyle="1" w:styleId="HeaderChar">
    <w:name w:val="Header Char"/>
    <w:basedOn w:val="DefaultParagraphFont"/>
    <w:link w:val="Header"/>
    <w:uiPriority w:val="99"/>
    <w:rsid w:val="00D3378D"/>
  </w:style>
  <w:style w:type="paragraph" w:styleId="Footer">
    <w:name w:val="footer"/>
    <w:basedOn w:val="Normal"/>
    <w:link w:val="FooterChar"/>
    <w:uiPriority w:val="99"/>
    <w:unhideWhenUsed/>
    <w:rsid w:val="00D3378D"/>
    <w:pPr>
      <w:tabs>
        <w:tab w:val="center" w:pos="4513"/>
        <w:tab w:val="right" w:pos="9026"/>
      </w:tabs>
      <w:spacing w:line="240" w:lineRule="auto"/>
    </w:pPr>
  </w:style>
  <w:style w:type="character" w:customStyle="1" w:styleId="FooterChar">
    <w:name w:val="Footer Char"/>
    <w:basedOn w:val="DefaultParagraphFont"/>
    <w:link w:val="Footer"/>
    <w:uiPriority w:val="99"/>
    <w:rsid w:val="00D3378D"/>
  </w:style>
  <w:style w:type="paragraph" w:styleId="TOCHeading">
    <w:name w:val="TOC Heading"/>
    <w:basedOn w:val="Heading1"/>
    <w:next w:val="Normal"/>
    <w:uiPriority w:val="39"/>
    <w:unhideWhenUsed/>
    <w:qFormat/>
    <w:rsid w:val="00D3378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3378D"/>
    <w:pPr>
      <w:spacing w:after="100"/>
    </w:pPr>
  </w:style>
  <w:style w:type="paragraph" w:styleId="TOC3">
    <w:name w:val="toc 3"/>
    <w:basedOn w:val="Normal"/>
    <w:next w:val="Normal"/>
    <w:autoRedefine/>
    <w:uiPriority w:val="39"/>
    <w:unhideWhenUsed/>
    <w:rsid w:val="00D3378D"/>
    <w:pPr>
      <w:spacing w:after="100"/>
      <w:ind w:left="480"/>
    </w:pPr>
  </w:style>
  <w:style w:type="character" w:styleId="Hyperlink">
    <w:name w:val="Hyperlink"/>
    <w:basedOn w:val="DefaultParagraphFont"/>
    <w:uiPriority w:val="99"/>
    <w:unhideWhenUsed/>
    <w:rsid w:val="00D3378D"/>
    <w:rPr>
      <w:color w:val="0000FF" w:themeColor="hyperlink"/>
      <w:u w:val="single"/>
    </w:rPr>
  </w:style>
  <w:style w:type="paragraph" w:styleId="BalloonText">
    <w:name w:val="Balloon Text"/>
    <w:basedOn w:val="Normal"/>
    <w:link w:val="BalloonTextChar"/>
    <w:uiPriority w:val="99"/>
    <w:semiHidden/>
    <w:unhideWhenUsed/>
    <w:rsid w:val="004D6F1E"/>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4D6F1E"/>
    <w:rPr>
      <w:rFonts w:ascii="Tahoma" w:hAnsi="Tahoma" w:cs="Mangal"/>
      <w:sz w:val="16"/>
      <w:szCs w:val="14"/>
    </w:rPr>
  </w:style>
  <w:style w:type="paragraph" w:styleId="TOC2">
    <w:name w:val="toc 2"/>
    <w:basedOn w:val="Normal"/>
    <w:next w:val="Normal"/>
    <w:autoRedefine/>
    <w:uiPriority w:val="39"/>
    <w:unhideWhenUsed/>
    <w:rsid w:val="00EC57CB"/>
    <w:pPr>
      <w:spacing w:after="100"/>
      <w:ind w:left="240"/>
    </w:p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GB" w:eastAsia="en-IN" w:bidi="ar-SA"/>
      </w:rPr>
    </w:rPrDefault>
    <w:pPrDefault>
      <w:pPr>
        <w:spacing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428C"/>
  </w:style>
  <w:style w:type="paragraph" w:styleId="Heading1">
    <w:name w:val="heading 1"/>
    <w:basedOn w:val="Normal"/>
    <w:next w:val="Normal"/>
    <w:uiPriority w:val="9"/>
    <w:qFormat/>
    <w:rsid w:val="000C428C"/>
    <w:pPr>
      <w:keepNext/>
      <w:keepLines/>
      <w:outlineLvl w:val="0"/>
    </w:pPr>
    <w:rPr>
      <w:b/>
      <w:sz w:val="26"/>
      <w:szCs w:val="26"/>
    </w:rPr>
  </w:style>
  <w:style w:type="paragraph" w:styleId="Heading2">
    <w:name w:val="heading 2"/>
    <w:basedOn w:val="Normal"/>
    <w:next w:val="Normal"/>
    <w:uiPriority w:val="9"/>
    <w:unhideWhenUsed/>
    <w:qFormat/>
    <w:rsid w:val="000C428C"/>
    <w:pPr>
      <w:keepNext/>
      <w:keepLines/>
      <w:spacing w:before="360" w:after="120"/>
      <w:outlineLvl w:val="1"/>
    </w:pPr>
    <w:rPr>
      <w:sz w:val="32"/>
      <w:szCs w:val="32"/>
    </w:rPr>
  </w:style>
  <w:style w:type="paragraph" w:styleId="Heading3">
    <w:name w:val="heading 3"/>
    <w:basedOn w:val="Normal"/>
    <w:next w:val="Normal"/>
    <w:uiPriority w:val="9"/>
    <w:unhideWhenUsed/>
    <w:qFormat/>
    <w:rsid w:val="000C428C"/>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rsid w:val="000C428C"/>
    <w:pPr>
      <w:keepNext/>
      <w:keepLines/>
      <w:spacing w:before="280" w:after="80"/>
      <w:outlineLvl w:val="3"/>
    </w:pPr>
    <w:rPr>
      <w:color w:val="666666"/>
    </w:rPr>
  </w:style>
  <w:style w:type="paragraph" w:styleId="Heading5">
    <w:name w:val="heading 5"/>
    <w:basedOn w:val="Normal"/>
    <w:next w:val="Normal"/>
    <w:uiPriority w:val="9"/>
    <w:semiHidden/>
    <w:unhideWhenUsed/>
    <w:qFormat/>
    <w:rsid w:val="000C428C"/>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rsid w:val="000C428C"/>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0C428C"/>
    <w:pPr>
      <w:keepNext/>
      <w:keepLines/>
      <w:spacing w:after="60"/>
    </w:pPr>
    <w:rPr>
      <w:sz w:val="52"/>
      <w:szCs w:val="52"/>
    </w:rPr>
  </w:style>
  <w:style w:type="paragraph" w:styleId="Subtitle">
    <w:name w:val="Subtitle"/>
    <w:basedOn w:val="Normal"/>
    <w:next w:val="Normal"/>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0C428C"/>
    <w:pPr>
      <w:spacing w:line="240" w:lineRule="auto"/>
    </w:pPr>
    <w:rPr>
      <w:sz w:val="20"/>
      <w:szCs w:val="20"/>
    </w:rPr>
  </w:style>
  <w:style w:type="character" w:customStyle="1" w:styleId="CommentTextChar">
    <w:name w:val="Comment Text Char"/>
    <w:basedOn w:val="DefaultParagraphFont"/>
    <w:link w:val="CommentText"/>
    <w:uiPriority w:val="99"/>
    <w:semiHidden/>
    <w:rsid w:val="000C428C"/>
    <w:rPr>
      <w:sz w:val="20"/>
      <w:szCs w:val="20"/>
    </w:rPr>
  </w:style>
  <w:style w:type="character" w:styleId="CommentReference">
    <w:name w:val="annotation reference"/>
    <w:basedOn w:val="DefaultParagraphFont"/>
    <w:uiPriority w:val="99"/>
    <w:semiHidden/>
    <w:unhideWhenUsed/>
    <w:rsid w:val="000C428C"/>
    <w:rPr>
      <w:sz w:val="16"/>
      <w:szCs w:val="16"/>
    </w:rPr>
  </w:style>
  <w:style w:type="paragraph" w:styleId="CommentSubject">
    <w:name w:val="annotation subject"/>
    <w:basedOn w:val="CommentText"/>
    <w:next w:val="CommentText"/>
    <w:link w:val="CommentSubjectChar"/>
    <w:uiPriority w:val="99"/>
    <w:semiHidden/>
    <w:unhideWhenUsed/>
    <w:rsid w:val="00216F5B"/>
    <w:rPr>
      <w:b/>
      <w:bCs/>
    </w:rPr>
  </w:style>
  <w:style w:type="character" w:customStyle="1" w:styleId="CommentSubjectChar">
    <w:name w:val="Comment Subject Char"/>
    <w:basedOn w:val="CommentTextChar"/>
    <w:link w:val="CommentSubject"/>
    <w:uiPriority w:val="99"/>
    <w:semiHidden/>
    <w:rsid w:val="00216F5B"/>
    <w:rPr>
      <w:b/>
      <w:bCs/>
      <w:sz w:val="20"/>
      <w:szCs w:val="20"/>
    </w:rPr>
  </w:style>
  <w:style w:type="paragraph" w:styleId="Header">
    <w:name w:val="header"/>
    <w:basedOn w:val="Normal"/>
    <w:link w:val="HeaderChar"/>
    <w:uiPriority w:val="99"/>
    <w:unhideWhenUsed/>
    <w:rsid w:val="00D3378D"/>
    <w:pPr>
      <w:tabs>
        <w:tab w:val="center" w:pos="4513"/>
        <w:tab w:val="right" w:pos="9026"/>
      </w:tabs>
      <w:spacing w:line="240" w:lineRule="auto"/>
    </w:pPr>
  </w:style>
  <w:style w:type="character" w:customStyle="1" w:styleId="HeaderChar">
    <w:name w:val="Header Char"/>
    <w:basedOn w:val="DefaultParagraphFont"/>
    <w:link w:val="Header"/>
    <w:uiPriority w:val="99"/>
    <w:rsid w:val="00D3378D"/>
  </w:style>
  <w:style w:type="paragraph" w:styleId="Footer">
    <w:name w:val="footer"/>
    <w:basedOn w:val="Normal"/>
    <w:link w:val="FooterChar"/>
    <w:uiPriority w:val="99"/>
    <w:unhideWhenUsed/>
    <w:rsid w:val="00D3378D"/>
    <w:pPr>
      <w:tabs>
        <w:tab w:val="center" w:pos="4513"/>
        <w:tab w:val="right" w:pos="9026"/>
      </w:tabs>
      <w:spacing w:line="240" w:lineRule="auto"/>
    </w:pPr>
  </w:style>
  <w:style w:type="character" w:customStyle="1" w:styleId="FooterChar">
    <w:name w:val="Footer Char"/>
    <w:basedOn w:val="DefaultParagraphFont"/>
    <w:link w:val="Footer"/>
    <w:uiPriority w:val="99"/>
    <w:rsid w:val="00D3378D"/>
  </w:style>
  <w:style w:type="paragraph" w:styleId="TOCHeading">
    <w:name w:val="TOC Heading"/>
    <w:basedOn w:val="Heading1"/>
    <w:next w:val="Normal"/>
    <w:uiPriority w:val="39"/>
    <w:unhideWhenUsed/>
    <w:qFormat/>
    <w:rsid w:val="00D3378D"/>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D3378D"/>
    <w:pPr>
      <w:spacing w:after="100"/>
    </w:pPr>
  </w:style>
  <w:style w:type="paragraph" w:styleId="TOC3">
    <w:name w:val="toc 3"/>
    <w:basedOn w:val="Normal"/>
    <w:next w:val="Normal"/>
    <w:autoRedefine/>
    <w:uiPriority w:val="39"/>
    <w:unhideWhenUsed/>
    <w:rsid w:val="00D3378D"/>
    <w:pPr>
      <w:spacing w:after="100"/>
      <w:ind w:left="480"/>
    </w:pPr>
  </w:style>
  <w:style w:type="character" w:styleId="Hyperlink">
    <w:name w:val="Hyperlink"/>
    <w:basedOn w:val="DefaultParagraphFont"/>
    <w:uiPriority w:val="99"/>
    <w:unhideWhenUsed/>
    <w:rsid w:val="00D3378D"/>
    <w:rPr>
      <w:color w:val="0000FF" w:themeColor="hyperlink"/>
      <w:u w:val="single"/>
    </w:rPr>
  </w:style>
  <w:style w:type="paragraph" w:styleId="BalloonText">
    <w:name w:val="Balloon Text"/>
    <w:basedOn w:val="Normal"/>
    <w:link w:val="BalloonTextChar"/>
    <w:uiPriority w:val="99"/>
    <w:semiHidden/>
    <w:unhideWhenUsed/>
    <w:rsid w:val="004D6F1E"/>
    <w:pPr>
      <w:spacing w:line="240" w:lineRule="auto"/>
    </w:pPr>
    <w:rPr>
      <w:rFonts w:ascii="Tahoma" w:hAnsi="Tahoma" w:cs="Mangal"/>
      <w:sz w:val="16"/>
      <w:szCs w:val="14"/>
    </w:rPr>
  </w:style>
  <w:style w:type="character" w:customStyle="1" w:styleId="BalloonTextChar">
    <w:name w:val="Balloon Text Char"/>
    <w:basedOn w:val="DefaultParagraphFont"/>
    <w:link w:val="BalloonText"/>
    <w:uiPriority w:val="99"/>
    <w:semiHidden/>
    <w:rsid w:val="004D6F1E"/>
    <w:rPr>
      <w:rFonts w:ascii="Tahoma" w:hAnsi="Tahoma" w:cs="Mangal"/>
      <w:sz w:val="16"/>
      <w:szCs w:val="14"/>
    </w:rPr>
  </w:style>
  <w:style w:type="paragraph" w:styleId="TOC2">
    <w:name w:val="toc 2"/>
    <w:basedOn w:val="Normal"/>
    <w:next w:val="Normal"/>
    <w:autoRedefine/>
    <w:uiPriority w:val="39"/>
    <w:unhideWhenUsed/>
    <w:rsid w:val="00EC57CB"/>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hyperlink" Target="https://www.theglobaleconomy.com/Romania/wb_political_stability/" TargetMode="Externa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hyperlink" Target="https://www.bat.com/aboutus"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hyperlink" Target="https://health.ec.europa.eu/system/files/2021-12/2021_chp_romania_english.pdf" TargetMode="External"/><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NgBzxo13q/k6gDuMwatmLJePd2g==">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29</Pages>
  <Words>7733</Words>
  <Characters>44081</Characters>
  <Application>Microsoft Office Word</Application>
  <DocSecurity>0</DocSecurity>
  <Lines>367</Lines>
  <Paragraphs>103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51711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Ayishmita Deb</dc:creator>
  <cp:lastModifiedBy>LAPTOP MAKER</cp:lastModifiedBy>
  <cp:revision>5</cp:revision>
  <dcterms:created xsi:type="dcterms:W3CDTF">2023-07-18T09:50:00Z</dcterms:created>
  <dcterms:modified xsi:type="dcterms:W3CDTF">2023-07-28T06:35:00Z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7213f60ffbd68b0330bfbca7481812c207a86de21017fbf007e3bcd025498f56</vt:lpwstr>
  </property>
</Properties>
</file>