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5D94" w:rsidRDefault="00C55D94">
      <w:pPr>
        <w:widowControl w:val="0"/>
        <w:pBdr>
          <w:top w:val="nil"/>
          <w:left w:val="nil"/>
          <w:bottom w:val="nil"/>
          <w:right w:val="nil"/>
          <w:between w:val="nil"/>
        </w:pBdr>
        <w:rPr>
          <w:color w:val="000000"/>
        </w:rPr>
      </w:pPr>
      <w:bookmarkStart w:id="0" w:name="_GoBack"/>
      <w:bookmarkEnd w:id="0"/>
    </w:p>
    <w:tbl>
      <w:tblPr>
        <w:tblStyle w:val="GridTable6Colorful-Accent4"/>
        <w:tblpPr w:leftFromText="180" w:rightFromText="180" w:vertAnchor="page" w:horzAnchor="margin" w:tblpY="5986"/>
        <w:tblW w:w="9016" w:type="dxa"/>
        <w:tblLayout w:type="fixed"/>
        <w:tblLook w:val="04A0" w:firstRow="1" w:lastRow="0" w:firstColumn="1" w:lastColumn="0" w:noHBand="0" w:noVBand="1"/>
      </w:tblPr>
      <w:tblGrid>
        <w:gridCol w:w="4508"/>
        <w:gridCol w:w="4508"/>
      </w:tblGrid>
      <w:tr w:rsidR="00C55D94" w:rsidTr="00983F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bookmarkStart w:id="1" w:name="_1eh9mj96t260" w:colFirst="0" w:colLast="0"/>
            <w:bookmarkEnd w:id="1"/>
            <w:r>
              <w:rPr>
                <w:sz w:val="24"/>
                <w:szCs w:val="24"/>
              </w:rPr>
              <w:t>Student Name</w:t>
            </w:r>
          </w:p>
        </w:tc>
        <w:tc>
          <w:tcPr>
            <w:tcW w:w="4508" w:type="dxa"/>
          </w:tcPr>
          <w:p w:rsidR="00C55D94" w:rsidRDefault="00360E05" w:rsidP="00983FD1">
            <w:pPr>
              <w:spacing w:line="480" w:lineRule="auto"/>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Sana Rani</w:t>
            </w:r>
          </w:p>
        </w:tc>
      </w:tr>
      <w:tr w:rsidR="00C55D94" w:rsidTr="00983F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r>
              <w:rPr>
                <w:sz w:val="24"/>
                <w:szCs w:val="24"/>
              </w:rPr>
              <w:t>Student ID</w:t>
            </w:r>
          </w:p>
        </w:tc>
        <w:tc>
          <w:tcPr>
            <w:tcW w:w="4508" w:type="dxa"/>
          </w:tcPr>
          <w:p w:rsidR="00C55D94" w:rsidRDefault="00360E05" w:rsidP="00983FD1">
            <w:pPr>
              <w:spacing w:line="480" w:lineRule="auto"/>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2406921</w:t>
            </w:r>
          </w:p>
        </w:tc>
      </w:tr>
      <w:tr w:rsidR="00C55D94" w:rsidTr="00983FD1">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r>
              <w:rPr>
                <w:sz w:val="24"/>
                <w:szCs w:val="24"/>
              </w:rPr>
              <w:t>Module Name</w:t>
            </w:r>
          </w:p>
        </w:tc>
        <w:tc>
          <w:tcPr>
            <w:tcW w:w="4508" w:type="dxa"/>
          </w:tcPr>
          <w:p w:rsidR="00C55D94" w:rsidRDefault="00360E05" w:rsidP="00983FD1">
            <w:pPr>
              <w:spacing w:line="480" w:lineRule="auto"/>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Digital Transformation in the Health and Care Professions</w:t>
            </w:r>
          </w:p>
        </w:tc>
      </w:tr>
      <w:tr w:rsidR="00C55D94" w:rsidTr="00983F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r>
              <w:rPr>
                <w:sz w:val="24"/>
                <w:szCs w:val="24"/>
              </w:rPr>
              <w:t>Module Code</w:t>
            </w:r>
          </w:p>
        </w:tc>
        <w:tc>
          <w:tcPr>
            <w:tcW w:w="4508" w:type="dxa"/>
          </w:tcPr>
          <w:p w:rsidR="00C55D94" w:rsidRDefault="00360E05" w:rsidP="00983FD1">
            <w:pPr>
              <w:spacing w:line="480" w:lineRule="auto"/>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BMHP6026</w:t>
            </w:r>
          </w:p>
        </w:tc>
      </w:tr>
      <w:tr w:rsidR="00C55D94" w:rsidTr="00983FD1">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r>
              <w:rPr>
                <w:sz w:val="24"/>
                <w:szCs w:val="24"/>
              </w:rPr>
              <w:t>Assignment</w:t>
            </w:r>
          </w:p>
        </w:tc>
        <w:tc>
          <w:tcPr>
            <w:tcW w:w="4508" w:type="dxa"/>
          </w:tcPr>
          <w:p w:rsidR="00C55D94" w:rsidRDefault="00360E05" w:rsidP="00983FD1">
            <w:pPr>
              <w:spacing w:line="480" w:lineRule="auto"/>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Component 1 – Written Report</w:t>
            </w:r>
          </w:p>
        </w:tc>
      </w:tr>
      <w:tr w:rsidR="00C55D94" w:rsidTr="00983F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55D94" w:rsidRDefault="00360E05" w:rsidP="00983FD1">
            <w:pPr>
              <w:spacing w:line="480" w:lineRule="auto"/>
              <w:rPr>
                <w:sz w:val="24"/>
                <w:szCs w:val="24"/>
              </w:rPr>
            </w:pPr>
            <w:r>
              <w:rPr>
                <w:sz w:val="24"/>
                <w:szCs w:val="24"/>
              </w:rPr>
              <w:t>Submission Date</w:t>
            </w:r>
          </w:p>
        </w:tc>
        <w:tc>
          <w:tcPr>
            <w:tcW w:w="4508" w:type="dxa"/>
          </w:tcPr>
          <w:p w:rsidR="00C55D94" w:rsidRDefault="00360E05" w:rsidP="00983FD1">
            <w:pPr>
              <w:spacing w:line="480" w:lineRule="auto"/>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19</w:t>
            </w:r>
            <w:r w:rsidRPr="00983FD1">
              <w:rPr>
                <w:b/>
                <w:bCs/>
                <w:sz w:val="24"/>
                <w:szCs w:val="24"/>
                <w:vertAlign w:val="superscript"/>
              </w:rPr>
              <w:t>th</w:t>
            </w:r>
            <w:r w:rsidR="00983FD1">
              <w:rPr>
                <w:b/>
                <w:bCs/>
                <w:sz w:val="24"/>
                <w:szCs w:val="24"/>
              </w:rPr>
              <w:t xml:space="preserve"> </w:t>
            </w:r>
            <w:r>
              <w:rPr>
                <w:b/>
                <w:bCs/>
                <w:sz w:val="24"/>
                <w:szCs w:val="24"/>
              </w:rPr>
              <w:t xml:space="preserve">October 2026 </w:t>
            </w:r>
          </w:p>
        </w:tc>
      </w:tr>
    </w:tbl>
    <w:p w:rsidR="00C55D94" w:rsidRDefault="00360E05">
      <w:pPr>
        <w:rPr>
          <w:b/>
          <w:bCs/>
        </w:rPr>
      </w:pPr>
      <w:r>
        <w:rPr>
          <w:b/>
          <w:bCs/>
          <w:noProof/>
        </w:rPr>
        <w:drawing>
          <wp:inline distT="0" distB="0" distL="0" distR="0">
            <wp:extent cx="2831273" cy="15729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831273" cy="1572929"/>
                    </a:xfrm>
                    <a:prstGeom prst="rect">
                      <a:avLst/>
                    </a:prstGeom>
                    <a:ln/>
                  </pic:spPr>
                </pic:pic>
              </a:graphicData>
            </a:graphic>
          </wp:inline>
        </w:drawing>
      </w:r>
    </w:p>
    <w:p w:rsidR="00C55D94" w:rsidRDefault="00360E05">
      <w:pPr>
        <w:rPr>
          <w:b/>
          <w:bCs/>
          <w:sz w:val="32"/>
          <w:szCs w:val="32"/>
        </w:rPr>
      </w:pPr>
      <w:r>
        <w:br w:type="page"/>
      </w:r>
    </w:p>
    <w:bookmarkStart w:id="2" w:name="_sazzqdl1d2uk" w:colFirst="0" w:colLast="0" w:displacedByCustomXml="next"/>
    <w:bookmarkEnd w:id="2" w:displacedByCustomXml="next"/>
    <w:sdt>
      <w:sdtPr>
        <w:id w:val="265808183"/>
        <w:docPartObj>
          <w:docPartGallery w:val="Table of Contents"/>
          <w:docPartUnique/>
        </w:docPartObj>
      </w:sdtPr>
      <w:sdtEndPr>
        <w:rPr>
          <w:rFonts w:ascii="Arial" w:eastAsia="Arial" w:hAnsi="Arial" w:cs="Arial"/>
          <w:b/>
          <w:bCs/>
          <w:noProof/>
          <w:color w:val="auto"/>
          <w:sz w:val="22"/>
          <w:szCs w:val="22"/>
          <w:lang w:val="en-GB" w:eastAsia="en-GB"/>
        </w:rPr>
      </w:sdtEndPr>
      <w:sdtContent>
        <w:p w:rsidR="008243DC" w:rsidRDefault="008243DC">
          <w:pPr>
            <w:pStyle w:val="TOCHeading"/>
          </w:pPr>
          <w:r>
            <w:t>Table of Contents</w:t>
          </w:r>
        </w:p>
        <w:p w:rsidR="008243DC" w:rsidRDefault="008243DC">
          <w:pPr>
            <w:pStyle w:val="TOC2"/>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42217955" w:history="1">
            <w:r w:rsidRPr="008E0601">
              <w:rPr>
                <w:rStyle w:val="Hyperlink"/>
                <w:b/>
                <w:bCs/>
                <w:noProof/>
              </w:rPr>
              <w:t>Introduction</w:t>
            </w:r>
            <w:r>
              <w:rPr>
                <w:noProof/>
                <w:webHidden/>
              </w:rPr>
              <w:tab/>
            </w:r>
            <w:r>
              <w:rPr>
                <w:noProof/>
                <w:webHidden/>
              </w:rPr>
              <w:fldChar w:fldCharType="begin"/>
            </w:r>
            <w:r>
              <w:rPr>
                <w:noProof/>
                <w:webHidden/>
              </w:rPr>
              <w:instrText xml:space="preserve"> PAGEREF _Toc242217955 \h </w:instrText>
            </w:r>
            <w:r>
              <w:rPr>
                <w:noProof/>
                <w:webHidden/>
              </w:rPr>
            </w:r>
            <w:r>
              <w:rPr>
                <w:noProof/>
                <w:webHidden/>
              </w:rPr>
              <w:fldChar w:fldCharType="separate"/>
            </w:r>
            <w:r>
              <w:rPr>
                <w:noProof/>
                <w:webHidden/>
              </w:rPr>
              <w:t>3</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56" w:history="1">
            <w:r w:rsidRPr="008E0601">
              <w:rPr>
                <w:rStyle w:val="Hyperlink"/>
                <w:b/>
                <w:bCs/>
                <w:noProof/>
              </w:rPr>
              <w:t>Impact on the Workforce</w:t>
            </w:r>
            <w:r>
              <w:rPr>
                <w:noProof/>
                <w:webHidden/>
              </w:rPr>
              <w:tab/>
            </w:r>
            <w:r>
              <w:rPr>
                <w:noProof/>
                <w:webHidden/>
              </w:rPr>
              <w:fldChar w:fldCharType="begin"/>
            </w:r>
            <w:r>
              <w:rPr>
                <w:noProof/>
                <w:webHidden/>
              </w:rPr>
              <w:instrText xml:space="preserve"> PAGEREF _Toc242217956 \h </w:instrText>
            </w:r>
            <w:r>
              <w:rPr>
                <w:noProof/>
                <w:webHidden/>
              </w:rPr>
            </w:r>
            <w:r>
              <w:rPr>
                <w:noProof/>
                <w:webHidden/>
              </w:rPr>
              <w:fldChar w:fldCharType="separate"/>
            </w:r>
            <w:r>
              <w:rPr>
                <w:noProof/>
                <w:webHidden/>
              </w:rPr>
              <w:t>3</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57" w:history="1">
            <w:r w:rsidRPr="008E0601">
              <w:rPr>
                <w:rStyle w:val="Hyperlink"/>
                <w:b/>
                <w:bCs/>
                <w:noProof/>
              </w:rPr>
              <w:t>Impact on Service Delivery</w:t>
            </w:r>
            <w:r>
              <w:rPr>
                <w:noProof/>
                <w:webHidden/>
              </w:rPr>
              <w:tab/>
            </w:r>
            <w:r>
              <w:rPr>
                <w:noProof/>
                <w:webHidden/>
              </w:rPr>
              <w:fldChar w:fldCharType="begin"/>
            </w:r>
            <w:r>
              <w:rPr>
                <w:noProof/>
                <w:webHidden/>
              </w:rPr>
              <w:instrText xml:space="preserve"> PAGEREF _Toc242217957 \h </w:instrText>
            </w:r>
            <w:r>
              <w:rPr>
                <w:noProof/>
                <w:webHidden/>
              </w:rPr>
            </w:r>
            <w:r>
              <w:rPr>
                <w:noProof/>
                <w:webHidden/>
              </w:rPr>
              <w:fldChar w:fldCharType="separate"/>
            </w:r>
            <w:r>
              <w:rPr>
                <w:noProof/>
                <w:webHidden/>
              </w:rPr>
              <w:t>4</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58" w:history="1">
            <w:r w:rsidRPr="008E0601">
              <w:rPr>
                <w:rStyle w:val="Hyperlink"/>
                <w:b/>
                <w:bCs/>
                <w:noProof/>
              </w:rPr>
              <w:t>Impact on Patients and Service Users</w:t>
            </w:r>
            <w:r>
              <w:rPr>
                <w:noProof/>
                <w:webHidden/>
              </w:rPr>
              <w:tab/>
            </w:r>
            <w:r>
              <w:rPr>
                <w:noProof/>
                <w:webHidden/>
              </w:rPr>
              <w:fldChar w:fldCharType="begin"/>
            </w:r>
            <w:r>
              <w:rPr>
                <w:noProof/>
                <w:webHidden/>
              </w:rPr>
              <w:instrText xml:space="preserve"> PAGEREF _Toc242217958 \h </w:instrText>
            </w:r>
            <w:r>
              <w:rPr>
                <w:noProof/>
                <w:webHidden/>
              </w:rPr>
            </w:r>
            <w:r>
              <w:rPr>
                <w:noProof/>
                <w:webHidden/>
              </w:rPr>
              <w:fldChar w:fldCharType="separate"/>
            </w:r>
            <w:r>
              <w:rPr>
                <w:noProof/>
                <w:webHidden/>
              </w:rPr>
              <w:t>6</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59" w:history="1">
            <w:r w:rsidRPr="008E0601">
              <w:rPr>
                <w:rStyle w:val="Hyperlink"/>
                <w:b/>
                <w:bCs/>
                <w:noProof/>
              </w:rPr>
              <w:t>Impact on the Community</w:t>
            </w:r>
            <w:r>
              <w:rPr>
                <w:noProof/>
                <w:webHidden/>
              </w:rPr>
              <w:tab/>
            </w:r>
            <w:r>
              <w:rPr>
                <w:noProof/>
                <w:webHidden/>
              </w:rPr>
              <w:fldChar w:fldCharType="begin"/>
            </w:r>
            <w:r>
              <w:rPr>
                <w:noProof/>
                <w:webHidden/>
              </w:rPr>
              <w:instrText xml:space="preserve"> PAGEREF _Toc242217959 \h </w:instrText>
            </w:r>
            <w:r>
              <w:rPr>
                <w:noProof/>
                <w:webHidden/>
              </w:rPr>
            </w:r>
            <w:r>
              <w:rPr>
                <w:noProof/>
                <w:webHidden/>
              </w:rPr>
              <w:fldChar w:fldCharType="separate"/>
            </w:r>
            <w:r>
              <w:rPr>
                <w:noProof/>
                <w:webHidden/>
              </w:rPr>
              <w:t>7</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60" w:history="1">
            <w:r w:rsidRPr="008E0601">
              <w:rPr>
                <w:rStyle w:val="Hyperlink"/>
                <w:b/>
                <w:bCs/>
                <w:noProof/>
              </w:rPr>
              <w:t>Conclusion and Recommendations</w:t>
            </w:r>
            <w:r>
              <w:rPr>
                <w:noProof/>
                <w:webHidden/>
              </w:rPr>
              <w:tab/>
            </w:r>
            <w:r>
              <w:rPr>
                <w:noProof/>
                <w:webHidden/>
              </w:rPr>
              <w:fldChar w:fldCharType="begin"/>
            </w:r>
            <w:r>
              <w:rPr>
                <w:noProof/>
                <w:webHidden/>
              </w:rPr>
              <w:instrText xml:space="preserve"> PAGEREF _Toc242217960 \h </w:instrText>
            </w:r>
            <w:r>
              <w:rPr>
                <w:noProof/>
                <w:webHidden/>
              </w:rPr>
            </w:r>
            <w:r>
              <w:rPr>
                <w:noProof/>
                <w:webHidden/>
              </w:rPr>
              <w:fldChar w:fldCharType="separate"/>
            </w:r>
            <w:r>
              <w:rPr>
                <w:noProof/>
                <w:webHidden/>
              </w:rPr>
              <w:t>8</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61" w:history="1">
            <w:r w:rsidRPr="008E0601">
              <w:rPr>
                <w:rStyle w:val="Hyperlink"/>
                <w:b/>
                <w:bCs/>
                <w:noProof/>
              </w:rPr>
              <w:t>Recommendations</w:t>
            </w:r>
            <w:r>
              <w:rPr>
                <w:noProof/>
                <w:webHidden/>
              </w:rPr>
              <w:tab/>
            </w:r>
            <w:r>
              <w:rPr>
                <w:noProof/>
                <w:webHidden/>
              </w:rPr>
              <w:fldChar w:fldCharType="begin"/>
            </w:r>
            <w:r>
              <w:rPr>
                <w:noProof/>
                <w:webHidden/>
              </w:rPr>
              <w:instrText xml:space="preserve"> PAGEREF _Toc242217961 \h </w:instrText>
            </w:r>
            <w:r>
              <w:rPr>
                <w:noProof/>
                <w:webHidden/>
              </w:rPr>
            </w:r>
            <w:r>
              <w:rPr>
                <w:noProof/>
                <w:webHidden/>
              </w:rPr>
              <w:fldChar w:fldCharType="separate"/>
            </w:r>
            <w:r>
              <w:rPr>
                <w:noProof/>
                <w:webHidden/>
              </w:rPr>
              <w:t>9</w:t>
            </w:r>
            <w:r>
              <w:rPr>
                <w:noProof/>
                <w:webHidden/>
              </w:rPr>
              <w:fldChar w:fldCharType="end"/>
            </w:r>
          </w:hyperlink>
        </w:p>
        <w:p w:rsidR="008243DC" w:rsidRDefault="008243DC">
          <w:pPr>
            <w:pStyle w:val="TOC2"/>
            <w:tabs>
              <w:tab w:val="right" w:leader="dot" w:pos="9350"/>
            </w:tabs>
            <w:rPr>
              <w:rFonts w:asciiTheme="minorHAnsi" w:eastAsiaTheme="minorEastAsia" w:hAnsiTheme="minorHAnsi" w:cstheme="minorBidi"/>
              <w:noProof/>
            </w:rPr>
          </w:pPr>
          <w:hyperlink w:anchor="_Toc242217962" w:history="1">
            <w:r w:rsidRPr="008E0601">
              <w:rPr>
                <w:rStyle w:val="Hyperlink"/>
                <w:b/>
                <w:bCs/>
                <w:noProof/>
              </w:rPr>
              <w:t>References</w:t>
            </w:r>
            <w:r>
              <w:rPr>
                <w:noProof/>
                <w:webHidden/>
              </w:rPr>
              <w:tab/>
            </w:r>
            <w:r>
              <w:rPr>
                <w:noProof/>
                <w:webHidden/>
              </w:rPr>
              <w:fldChar w:fldCharType="begin"/>
            </w:r>
            <w:r>
              <w:rPr>
                <w:noProof/>
                <w:webHidden/>
              </w:rPr>
              <w:instrText xml:space="preserve"> PAGEREF _Toc242217962 \h </w:instrText>
            </w:r>
            <w:r>
              <w:rPr>
                <w:noProof/>
                <w:webHidden/>
              </w:rPr>
            </w:r>
            <w:r>
              <w:rPr>
                <w:noProof/>
                <w:webHidden/>
              </w:rPr>
              <w:fldChar w:fldCharType="separate"/>
            </w:r>
            <w:r>
              <w:rPr>
                <w:noProof/>
                <w:webHidden/>
              </w:rPr>
              <w:t>10</w:t>
            </w:r>
            <w:r>
              <w:rPr>
                <w:noProof/>
                <w:webHidden/>
              </w:rPr>
              <w:fldChar w:fldCharType="end"/>
            </w:r>
          </w:hyperlink>
        </w:p>
        <w:p w:rsidR="008243DC" w:rsidRDefault="008243DC">
          <w:r>
            <w:rPr>
              <w:b/>
              <w:bCs/>
              <w:noProof/>
            </w:rPr>
            <w:fldChar w:fldCharType="end"/>
          </w:r>
        </w:p>
      </w:sdtContent>
    </w:sdt>
    <w:p w:rsidR="00983FD1" w:rsidRDefault="00983FD1">
      <w:pPr>
        <w:rPr>
          <w:b/>
          <w:bCs/>
          <w:sz w:val="32"/>
          <w:szCs w:val="32"/>
        </w:rPr>
      </w:pPr>
      <w:r>
        <w:rPr>
          <w:b/>
          <w:bCs/>
        </w:rPr>
        <w:br w:type="page"/>
      </w:r>
    </w:p>
    <w:p w:rsidR="00C55D94" w:rsidRPr="00392A39" w:rsidRDefault="00360E05" w:rsidP="00983FD1">
      <w:pPr>
        <w:pStyle w:val="NoSpacing"/>
        <w:spacing w:line="360" w:lineRule="auto"/>
        <w:jc w:val="both"/>
        <w:rPr>
          <w:b/>
          <w:sz w:val="24"/>
        </w:rPr>
      </w:pPr>
      <w:bookmarkStart w:id="3" w:name="_Toc242217572"/>
      <w:r w:rsidRPr="00392A39">
        <w:rPr>
          <w:b/>
          <w:sz w:val="24"/>
        </w:rPr>
        <w:lastRenderedPageBreak/>
        <w:t>Socioeconomic Barriers to Digital Health Adoption: Evaluating Equity of Access in the Rollout of NHS England’s Virtual Wards.</w:t>
      </w:r>
      <w:bookmarkEnd w:id="3"/>
    </w:p>
    <w:p w:rsidR="00C55D94" w:rsidRPr="004367CD" w:rsidRDefault="00360E05" w:rsidP="004367CD">
      <w:pPr>
        <w:pStyle w:val="Heading2"/>
        <w:spacing w:line="360" w:lineRule="auto"/>
        <w:rPr>
          <w:b/>
          <w:bCs/>
          <w:sz w:val="24"/>
        </w:rPr>
      </w:pPr>
      <w:bookmarkStart w:id="4" w:name="_d9msq6qbh7ya" w:colFirst="0" w:colLast="0"/>
      <w:bookmarkStart w:id="5" w:name="_Toc242217573"/>
      <w:bookmarkStart w:id="6" w:name="_Toc242217882"/>
      <w:bookmarkStart w:id="7" w:name="_Toc242217955"/>
      <w:bookmarkEnd w:id="4"/>
      <w:r w:rsidRPr="00392A39">
        <w:rPr>
          <w:b/>
          <w:bCs/>
          <w:sz w:val="24"/>
        </w:rPr>
        <w:t>Introduction</w:t>
      </w:r>
      <w:bookmarkEnd w:id="5"/>
      <w:bookmarkEnd w:id="6"/>
      <w:bookmarkEnd w:id="7"/>
      <w:r w:rsidRPr="004367CD">
        <w:rPr>
          <w:b/>
          <w:bCs/>
          <w:sz w:val="24"/>
        </w:rPr>
        <w:t xml:space="preserve"> </w:t>
      </w:r>
    </w:p>
    <w:p w:rsidR="00C55D94" w:rsidRDefault="00360E05" w:rsidP="00983FD1">
      <w:pPr>
        <w:spacing w:line="360" w:lineRule="auto"/>
        <w:jc w:val="both"/>
      </w:pPr>
      <w:r>
        <w:t>In the UK, the digitalisation of healthcare delivery systems is increasing and becoming more prevalent within the health and social care sector. Technology-enabled virtual wards are an important advancement</w:t>
      </w:r>
      <w:r w:rsidR="00983FD1">
        <w:t>,</w:t>
      </w:r>
      <w:r>
        <w:t xml:space="preserve"> also called Hospital at Home. NHS England</w:t>
      </w:r>
      <w:r>
        <w:t xml:space="preserve"> (NHS England, 2024a) defines a virtual ward as providing patients with safe access to acute care at home instead of staying in hospitals. </w:t>
      </w:r>
    </w:p>
    <w:p w:rsidR="00C55D94" w:rsidRDefault="00C55D94">
      <w:pPr>
        <w:spacing w:line="240" w:lineRule="auto"/>
      </w:pPr>
    </w:p>
    <w:p w:rsidR="00C55D94" w:rsidRDefault="00360E05">
      <w:pPr>
        <w:spacing w:line="360" w:lineRule="auto"/>
        <w:jc w:val="both"/>
      </w:pPr>
      <w:r>
        <w:t xml:space="preserve">This innovation is particularly important because the National Virtual Ward Programme for England introduced it in </w:t>
      </w:r>
      <w:r>
        <w:t xml:space="preserve">April 2022, </w:t>
      </w:r>
      <w:r w:rsidR="00983FD1">
        <w:t>aiming for</w:t>
      </w:r>
      <w:r>
        <w:t xml:space="preserve"> 40-50 virtual wards per 100,000 people (Chappell et al., 2024). Thus, it is an example of modernisation within the required ten-year period. This approach aligns with a Plan for Digital Health and Social Care, which identi</w:t>
      </w:r>
      <w:r>
        <w:t>fies technology-enabled virtual wards and remote monitoring as key mechanisms for providing more personalised care at home. (Department of Health and Social Care and NHS England, 2022).</w:t>
      </w:r>
    </w:p>
    <w:p w:rsidR="00C55D94" w:rsidRDefault="00C55D94">
      <w:pPr>
        <w:spacing w:line="240" w:lineRule="auto"/>
      </w:pPr>
    </w:p>
    <w:p w:rsidR="00C55D94" w:rsidRDefault="00360E05" w:rsidP="00983FD1">
      <w:pPr>
        <w:spacing w:line="360" w:lineRule="auto"/>
        <w:jc w:val="both"/>
      </w:pPr>
      <w:r>
        <w:t>While NHS England's virtual wards could improve access to acute care</w:t>
      </w:r>
      <w:r>
        <w:t xml:space="preserve"> at home, they may also reproduce existing socioeconomic disparities </w:t>
      </w:r>
      <w:r w:rsidR="00983FD1">
        <w:t>because they rely</w:t>
      </w:r>
      <w:r>
        <w:t xml:space="preserve"> on technology. </w:t>
      </w:r>
      <w:r w:rsidR="00983FD1">
        <w:t>This report analyses whether virtual wards provide equal opportunities for employees, employment services, healthcare provision, patients' care experiences, and communities, based on factors such as</w:t>
      </w:r>
      <w:r>
        <w:t xml:space="preserve"> income level, internet skills, network availability, physical disabilities, distance from hospitals and clinics, and family/social networks.</w:t>
      </w:r>
    </w:p>
    <w:p w:rsidR="00C55D94" w:rsidRPr="00392A39" w:rsidRDefault="00360E05" w:rsidP="004367CD">
      <w:pPr>
        <w:pStyle w:val="Heading2"/>
        <w:spacing w:line="360" w:lineRule="auto"/>
        <w:rPr>
          <w:b/>
          <w:bCs/>
          <w:sz w:val="24"/>
        </w:rPr>
      </w:pPr>
      <w:bookmarkStart w:id="8" w:name="_nbbcf9wh564p" w:colFirst="0" w:colLast="0"/>
      <w:bookmarkStart w:id="9" w:name="_Toc242217574"/>
      <w:bookmarkStart w:id="10" w:name="_Toc242217883"/>
      <w:bookmarkStart w:id="11" w:name="_Toc242217956"/>
      <w:bookmarkEnd w:id="8"/>
      <w:r w:rsidRPr="00392A39">
        <w:rPr>
          <w:b/>
          <w:bCs/>
          <w:sz w:val="24"/>
        </w:rPr>
        <w:t>Impact on the Workforce</w:t>
      </w:r>
      <w:bookmarkEnd w:id="9"/>
      <w:bookmarkEnd w:id="10"/>
      <w:bookmarkEnd w:id="11"/>
      <w:r w:rsidRPr="00392A39">
        <w:rPr>
          <w:b/>
          <w:bCs/>
          <w:sz w:val="24"/>
        </w:rPr>
        <w:t xml:space="preserve"> </w:t>
      </w:r>
    </w:p>
    <w:p w:rsidR="00C55D94" w:rsidRDefault="00C55D94">
      <w:pPr>
        <w:spacing w:line="240" w:lineRule="auto"/>
      </w:pPr>
    </w:p>
    <w:p w:rsidR="00C55D94" w:rsidRDefault="00360E05">
      <w:pPr>
        <w:spacing w:line="360" w:lineRule="auto"/>
        <w:jc w:val="both"/>
      </w:pPr>
      <w:r>
        <w:t>Virtual ward management is chan</w:t>
      </w:r>
      <w:r>
        <w:t xml:space="preserve">ging job responsibilities and professional </w:t>
      </w:r>
      <w:r w:rsidR="00983FD1">
        <w:t>roles;</w:t>
      </w:r>
      <w:r>
        <w:t xml:space="preserve"> as healthcare professionals must deliver hospital-level care beyond the traditional hospital environment. Nurses, physicians, allied health professionals, pharmacists, community teams, and digital specialis</w:t>
      </w:r>
      <w:r>
        <w:t>ts may need to interpret remotely collected physiological data, communicate with patients digitally, and make clinical decisions without the patient being physically present at an institution. Therefore, NHS England considers clinical leadership, operation</w:t>
      </w:r>
      <w:r>
        <w:t>al leadership, information governance, digital skills, and data/reporting skills essential to implementing a virtual ward through technology. (NHS England, 2025)</w:t>
      </w:r>
    </w:p>
    <w:p w:rsidR="00C55D94" w:rsidRDefault="00C55D94">
      <w:pPr>
        <w:spacing w:line="240" w:lineRule="auto"/>
      </w:pPr>
    </w:p>
    <w:p w:rsidR="00C55D94" w:rsidRDefault="00360E05">
      <w:pPr>
        <w:spacing w:line="360" w:lineRule="auto"/>
        <w:jc w:val="both"/>
      </w:pPr>
      <w:r>
        <w:t>According to NHS England, technology can provide accurate information to those who need it most at the right time, which may help reduce some frontline workloads (NHS England, 2025). Furthermore, Shi et al. (2024), in a systematic review of technology-enab</w:t>
      </w:r>
      <w:r>
        <w:t>led inpatient-level care at home, emphasise that effectiveness depends on the interaction between clinical activities, technology</w:t>
      </w:r>
      <w:r w:rsidR="00983FD1">
        <w:t xml:space="preserve">, and the workforce, rather than on </w:t>
      </w:r>
      <w:r>
        <w:t>technology operating independently.</w:t>
      </w:r>
    </w:p>
    <w:p w:rsidR="00C55D94" w:rsidRDefault="00C55D94" w:rsidP="00983FD1">
      <w:pPr>
        <w:spacing w:line="240" w:lineRule="auto"/>
      </w:pPr>
    </w:p>
    <w:p w:rsidR="00C55D94" w:rsidRDefault="00360E05">
      <w:pPr>
        <w:spacing w:line="360" w:lineRule="auto"/>
        <w:jc w:val="both"/>
      </w:pPr>
      <w:r>
        <w:t xml:space="preserve">However, it would be incorrect and misleading to assume that </w:t>
      </w:r>
      <w:r w:rsidR="00983FD1">
        <w:t>virtual wards automatically reduce workforce pressure</w:t>
      </w:r>
      <w:r>
        <w:t xml:space="preserve">. Instead, they can redistribute the responsibilities and workload. </w:t>
      </w:r>
    </w:p>
    <w:p w:rsidR="00C55D94" w:rsidRDefault="00C55D94" w:rsidP="00983FD1">
      <w:pPr>
        <w:spacing w:line="240" w:lineRule="auto"/>
        <w:jc w:val="both"/>
      </w:pPr>
    </w:p>
    <w:p w:rsidR="00C55D94" w:rsidRDefault="00360E05">
      <w:pPr>
        <w:spacing w:line="360" w:lineRule="auto"/>
        <w:jc w:val="both"/>
      </w:pPr>
      <w:r>
        <w:t xml:space="preserve">Qualitative research on virtual wards </w:t>
      </w:r>
      <w:r w:rsidR="00983FD1">
        <w:t>in hospitals in North West England identified</w:t>
      </w:r>
      <w:r>
        <w:t xml:space="preserve"> organisational and implementation f</w:t>
      </w:r>
      <w:r>
        <w:t xml:space="preserve">actors that affect their development as technology-enabled virtual wards (Bradley et al., 2026). Staff therefore require more than basic technical training.  </w:t>
      </w:r>
    </w:p>
    <w:p w:rsidR="00C55D94" w:rsidRDefault="00C55D94" w:rsidP="00983FD1">
      <w:pPr>
        <w:spacing w:line="240" w:lineRule="auto"/>
        <w:jc w:val="both"/>
      </w:pPr>
    </w:p>
    <w:p w:rsidR="00C55D94" w:rsidRDefault="00360E05">
      <w:pPr>
        <w:spacing w:line="360" w:lineRule="auto"/>
        <w:jc w:val="both"/>
      </w:pPr>
      <w:r>
        <w:t>This aligns with the What Good Looks Like (WGLL) model, which focuses on digital transformation</w:t>
      </w:r>
      <w:r>
        <w:t xml:space="preserve"> through measures such as being well led, having smart foundations, safe practice, supporting people, empowering patients, improving care, and supporting healthy populations (NHS England, 2023). This means digital skills need to be included in workforce pl</w:t>
      </w:r>
      <w:r>
        <w:t>anning rather than treated as an optional add-on.</w:t>
      </w:r>
    </w:p>
    <w:p w:rsidR="00C55D94" w:rsidRDefault="00C55D94" w:rsidP="00983FD1">
      <w:pPr>
        <w:spacing w:line="240" w:lineRule="auto"/>
      </w:pPr>
    </w:p>
    <w:p w:rsidR="00C55D94" w:rsidRDefault="00360E05">
      <w:pPr>
        <w:spacing w:line="360" w:lineRule="auto"/>
        <w:jc w:val="both"/>
      </w:pPr>
      <w:r>
        <w:t>From an equity perspective, it goes beyond just operating a virtual ward system. Staff should also recognise people who may be affected by limited access due to a lack of digital skills, poverty, disabilit</w:t>
      </w:r>
      <w:r>
        <w:t xml:space="preserve">ies, or poor internet connections. Patients needing more help might require phone calls, in-person explanations, and other types of care, which could increase workload for medical staff. Thus, although digital technology might decrease certain elements of </w:t>
      </w:r>
      <w:r>
        <w:t>routine clinical work, it could shift them toward helping people who have more difficulty accessing digital services.</w:t>
      </w:r>
    </w:p>
    <w:p w:rsidR="00C55D94" w:rsidRDefault="00C55D94" w:rsidP="00983FD1">
      <w:pPr>
        <w:spacing w:line="240" w:lineRule="auto"/>
      </w:pPr>
    </w:p>
    <w:p w:rsidR="00C55D94" w:rsidRDefault="00360E05">
      <w:pPr>
        <w:spacing w:line="360" w:lineRule="auto"/>
        <w:jc w:val="both"/>
      </w:pPr>
      <w:r>
        <w:t>It suggests that workforce productivity should not be evaluated separately from equity since an efficiently digitalised service might als</w:t>
      </w:r>
      <w:r>
        <w:t>o require more resources for those who cannot use it due to lack of access to technology.</w:t>
      </w:r>
    </w:p>
    <w:p w:rsidR="00C55D94" w:rsidRPr="004367CD" w:rsidRDefault="00360E05" w:rsidP="004367CD">
      <w:pPr>
        <w:pStyle w:val="Heading2"/>
        <w:spacing w:line="360" w:lineRule="auto"/>
        <w:rPr>
          <w:b/>
          <w:bCs/>
          <w:sz w:val="24"/>
        </w:rPr>
      </w:pPr>
      <w:bookmarkStart w:id="12" w:name="_xclscv2qmgkd" w:colFirst="0" w:colLast="0"/>
      <w:bookmarkStart w:id="13" w:name="_Toc242217575"/>
      <w:bookmarkStart w:id="14" w:name="_Toc242217884"/>
      <w:bookmarkStart w:id="15" w:name="_Toc242217957"/>
      <w:bookmarkEnd w:id="12"/>
      <w:r w:rsidRPr="00392A39">
        <w:rPr>
          <w:b/>
          <w:bCs/>
          <w:sz w:val="24"/>
        </w:rPr>
        <w:t>Impact on Service Delivery</w:t>
      </w:r>
      <w:bookmarkEnd w:id="13"/>
      <w:bookmarkEnd w:id="14"/>
      <w:bookmarkEnd w:id="15"/>
      <w:r w:rsidRPr="004367CD">
        <w:rPr>
          <w:b/>
          <w:bCs/>
          <w:sz w:val="24"/>
        </w:rPr>
        <w:t xml:space="preserve"> </w:t>
      </w:r>
    </w:p>
    <w:p w:rsidR="00C55D94" w:rsidRDefault="00360E05">
      <w:pPr>
        <w:spacing w:line="360" w:lineRule="auto"/>
        <w:jc w:val="both"/>
      </w:pPr>
      <w:r>
        <w:t xml:space="preserve">Virtual wards </w:t>
      </w:r>
      <w:r w:rsidR="00983FD1">
        <w:t>represent an important shift from hospital-based services to providing care at patients' homes</w:t>
      </w:r>
      <w:r>
        <w:t xml:space="preserve">. NHS England's operational framework </w:t>
      </w:r>
      <w:r w:rsidR="00983FD1">
        <w:t>explicitly identifies these functions and expects virtual wards to help avoid hospital attendance/admission and reduce</w:t>
      </w:r>
      <w:r>
        <w:t xml:space="preserve"> inpatient length of stay (NHS England, 2024b).</w:t>
      </w:r>
    </w:p>
    <w:p w:rsidR="00C55D94" w:rsidRDefault="00C55D94"/>
    <w:p w:rsidR="00C55D94" w:rsidRDefault="00360E05">
      <w:pPr>
        <w:spacing w:line="360" w:lineRule="auto"/>
        <w:jc w:val="both"/>
      </w:pPr>
      <w:r>
        <w:t>This transformation in healthcare may improve service efficiency. For example, NHS England reported in 2024 that an evaluation in the South East found</w:t>
      </w:r>
      <w:r>
        <w:t xml:space="preserve"> approximately one non-elective admission could be avoided for every 2.5 virtual ward admissions (NHS England, 2024d). </w:t>
      </w:r>
    </w:p>
    <w:p w:rsidR="00C55D94" w:rsidRDefault="00C55D94" w:rsidP="00983FD1">
      <w:pPr>
        <w:spacing w:line="240" w:lineRule="auto"/>
        <w:jc w:val="both"/>
      </w:pPr>
    </w:p>
    <w:p w:rsidR="00C55D94" w:rsidRDefault="00360E05">
      <w:pPr>
        <w:spacing w:line="360" w:lineRule="auto"/>
        <w:jc w:val="both"/>
      </w:pPr>
      <w:r>
        <w:t xml:space="preserve">National policies also support this model. NHS Operational Planning Guidance for 2024/25 focuses on improving access to virtual wards, </w:t>
      </w:r>
      <w:r>
        <w:t xml:space="preserve">maintaining utilisation above 80%, and targeting conditions such as frailty, acute respiratory infections, and heart failure. It also supports remote monitoring and faster access to diagnostics (NHS England, 2024c). </w:t>
      </w:r>
    </w:p>
    <w:p w:rsidR="00C55D94" w:rsidRDefault="00C55D94" w:rsidP="00983FD1">
      <w:pPr>
        <w:spacing w:line="240" w:lineRule="auto"/>
        <w:jc w:val="both"/>
      </w:pPr>
    </w:p>
    <w:p w:rsidR="00C55D94" w:rsidRDefault="00360E05">
      <w:pPr>
        <w:spacing w:line="360" w:lineRule="auto"/>
        <w:jc w:val="both"/>
      </w:pPr>
      <w:r>
        <w:t>However, the evidence needs careful i</w:t>
      </w:r>
      <w:r>
        <w:t>nterpretation. According to Chappell et al. (2024), uncertainty remains about whether virtual wards truly reduce bed occupancy rates, as current national statistics do not show how many patients would have been hospitalised if they had remained in physical</w:t>
      </w:r>
      <w:r>
        <w:t xml:space="preserve"> wards. </w:t>
      </w:r>
    </w:p>
    <w:p w:rsidR="00C55D94" w:rsidRDefault="00C55D94" w:rsidP="00983FD1">
      <w:pPr>
        <w:spacing w:line="240" w:lineRule="auto"/>
      </w:pPr>
    </w:p>
    <w:p w:rsidR="00C55D94" w:rsidRDefault="00360E05" w:rsidP="00983FD1">
      <w:pPr>
        <w:spacing w:line="360" w:lineRule="auto"/>
        <w:jc w:val="both"/>
      </w:pPr>
      <w:r>
        <w:t>One major socio-economic problem related to virtual wards is the differences between having access to this digital health care facility versus being able to use it effectively. While a virtual ward might technically be accessible for all eligible</w:t>
      </w:r>
      <w:r>
        <w:t xml:space="preserve"> individuals, people may vary greatly in their ability to utilise it properly. People with good internet access, appropriate hardware, and stronger digital literacy may find it easy to use, while those struggling financially, with poor connections, or lack</w:t>
      </w:r>
      <w:r>
        <w:t>ing computer literacy may face significant difficulties. Thus, expanding digital health care is not necessarily an equalising factor in healthcare service availability. NHS England's technology guidelines emphasise patient safety, system reliability, cyber</w:t>
      </w:r>
      <w:r>
        <w:t xml:space="preserve">security measures, compatibility with other software applications, and ease of use when choosing an appropriate electronic health record solution (NHS England, 2025). </w:t>
      </w:r>
    </w:p>
    <w:p w:rsidR="00C55D94" w:rsidRDefault="00C55D94" w:rsidP="00983FD1">
      <w:pPr>
        <w:spacing w:line="240" w:lineRule="auto"/>
      </w:pPr>
    </w:p>
    <w:p w:rsidR="00C55D94" w:rsidRDefault="00360E05">
      <w:pPr>
        <w:spacing w:line="360" w:lineRule="auto"/>
      </w:pPr>
      <w:r>
        <w:t xml:space="preserve">Digital poverty is particularly relevant because </w:t>
      </w:r>
      <w:r w:rsidR="00983FD1">
        <w:t>accessing healthcare services often requires a smartphone, tablet, internet connection, or mobile data</w:t>
      </w:r>
      <w:r>
        <w:t>. The cost of keeping up with technology may be a barrier for low-income people</w:t>
      </w:r>
      <w:r w:rsidR="00983FD1">
        <w:t>.</w:t>
      </w:r>
      <w:r>
        <w:t xml:space="preserve"> While hospitals may have access to medical devices for surveillance, broader social issues like unreliable</w:t>
      </w:r>
      <w:r>
        <w:t xml:space="preserve"> internet, inadequate technical support, and low levels of technological literacy still exist. </w:t>
      </w:r>
    </w:p>
    <w:p w:rsidR="00C55D94" w:rsidRDefault="00C55D94">
      <w:pPr>
        <w:spacing w:line="360" w:lineRule="auto"/>
      </w:pPr>
    </w:p>
    <w:p w:rsidR="00C55D94" w:rsidRDefault="00360E05" w:rsidP="00983FD1">
      <w:pPr>
        <w:spacing w:line="360" w:lineRule="auto"/>
        <w:jc w:val="both"/>
      </w:pPr>
      <w:r>
        <w:t>Therefore, it is important to measure the effectiveness of virtual wards based on both availability (how many people can be admitted) and accessibility, and w</w:t>
      </w:r>
      <w:r>
        <w:t>hether different socioeconomic groups have equal opportunities to access this healthcare facility.</w:t>
      </w:r>
    </w:p>
    <w:p w:rsidR="00C55D94" w:rsidRDefault="00C55D94">
      <w:pPr>
        <w:spacing w:line="240" w:lineRule="auto"/>
      </w:pPr>
    </w:p>
    <w:p w:rsidR="00C55D94" w:rsidRDefault="00360E05" w:rsidP="00983FD1">
      <w:pPr>
        <w:spacing w:line="360" w:lineRule="auto"/>
        <w:jc w:val="both"/>
      </w:pPr>
      <w:r>
        <w:lastRenderedPageBreak/>
        <w:t xml:space="preserve">Governance of information also matters. Remote monitoring </w:t>
      </w:r>
      <w:r w:rsidR="00983FD1">
        <w:t>invades privacy by collecting</w:t>
      </w:r>
      <w:r>
        <w:t xml:space="preserve"> confidential medical records, which UK GDPR defines as spe</w:t>
      </w:r>
      <w:r>
        <w:t>cial category data (Information Commissioner's Office, 2026). Therefore, organisations need an appropriate Article 6 lawful basis and Article 9 condition for processing, along with relevant safeguards under the Data Protection Act 2018 (Information Commiss</w:t>
      </w:r>
      <w:r>
        <w:t>ioner's Office, 2026).</w:t>
      </w:r>
    </w:p>
    <w:p w:rsidR="00C55D94" w:rsidRPr="00392A39" w:rsidRDefault="00360E05" w:rsidP="004367CD">
      <w:pPr>
        <w:pStyle w:val="Heading2"/>
        <w:spacing w:line="360" w:lineRule="auto"/>
        <w:rPr>
          <w:b/>
          <w:bCs/>
          <w:sz w:val="24"/>
        </w:rPr>
      </w:pPr>
      <w:bookmarkStart w:id="16" w:name="_by7kzh8h75dm" w:colFirst="0" w:colLast="0"/>
      <w:bookmarkStart w:id="17" w:name="_Toc242217576"/>
      <w:bookmarkStart w:id="18" w:name="_Toc242217885"/>
      <w:bookmarkStart w:id="19" w:name="_Toc242217958"/>
      <w:bookmarkEnd w:id="16"/>
      <w:r w:rsidRPr="00392A39">
        <w:rPr>
          <w:b/>
          <w:bCs/>
          <w:sz w:val="24"/>
        </w:rPr>
        <w:t>Impact on Patients and Service Users</w:t>
      </w:r>
      <w:bookmarkEnd w:id="17"/>
      <w:bookmarkEnd w:id="18"/>
      <w:bookmarkEnd w:id="19"/>
    </w:p>
    <w:p w:rsidR="00C55D94" w:rsidRDefault="00360E05">
      <w:pPr>
        <w:spacing w:line="360" w:lineRule="auto"/>
      </w:pPr>
      <w:r>
        <w:t>NHS England says this virtual ward model allows patients to access healthcare services from home (NHS England, 2024a). It could improve comfort, privacy, and independence by keeping people at home</w:t>
      </w:r>
      <w:r>
        <w:t xml:space="preserve"> with relatives nearby.</w:t>
      </w:r>
    </w:p>
    <w:p w:rsidR="00C55D94" w:rsidRDefault="00C55D94" w:rsidP="00983FD1">
      <w:pPr>
        <w:spacing w:line="240" w:lineRule="auto"/>
      </w:pPr>
    </w:p>
    <w:p w:rsidR="00C55D94" w:rsidRDefault="00360E05">
      <w:pPr>
        <w:spacing w:line="360" w:lineRule="auto"/>
      </w:pPr>
      <w:r>
        <w:t>Home care might reduce certain drawbacks of hospital admission, such as disruptions to daily life and exposure to hospital environments. For seniors or older adults, staying home may be especially beneficial, since unfamiliar hospi</w:t>
      </w:r>
      <w:r>
        <w:t>tals could adversely affect their independence and health. Shi et al.'s systematic review (2024) shows more research on technology-assisted outpatient care at home than on hospital-based inpatient care, but the studies differ greatly in design and quality.</w:t>
      </w:r>
      <w:r>
        <w:t xml:space="preserve"> </w:t>
      </w:r>
    </w:p>
    <w:p w:rsidR="00C55D94" w:rsidRDefault="00C55D94" w:rsidP="00983FD1">
      <w:pPr>
        <w:spacing w:line="240" w:lineRule="auto"/>
      </w:pPr>
    </w:p>
    <w:p w:rsidR="00C55D94" w:rsidRDefault="00360E05" w:rsidP="00983FD1">
      <w:pPr>
        <w:spacing w:line="360" w:lineRule="auto"/>
        <w:jc w:val="both"/>
      </w:pPr>
      <w:r>
        <w:t xml:space="preserve">However, the advantages of virtual wards may not be available to </w:t>
      </w:r>
      <w:r w:rsidR="00983FD1">
        <w:t>everyone</w:t>
      </w:r>
      <w:r>
        <w:t xml:space="preserve"> because of socioeconomic status. Patients access digital health care with varying levels of wealth, technological literacy, internet access, and community support. </w:t>
      </w:r>
      <w:r w:rsidR="00983FD1">
        <w:t>Someone with a smartphone, reliable internet, and family support may find remote monitoring easier</w:t>
      </w:r>
      <w:r>
        <w:t>. On the other hand, someone who is financially struggling, lives alone, or lacks digital skills might struggle t</w:t>
      </w:r>
      <w:r>
        <w:t xml:space="preserve">o use this system. </w:t>
      </w:r>
    </w:p>
    <w:p w:rsidR="00C55D94" w:rsidRDefault="00C55D94" w:rsidP="00983FD1">
      <w:pPr>
        <w:spacing w:line="240" w:lineRule="auto"/>
      </w:pPr>
    </w:p>
    <w:p w:rsidR="00C55D94" w:rsidRDefault="00360E05">
      <w:pPr>
        <w:spacing w:line="360" w:lineRule="auto"/>
      </w:pPr>
      <w:r>
        <w:t>Disability may be associated with socioeconomic status as well as other factors such as age or gender. People with vision problems, hearing issues, cognitive disabilities, or physical limitations may face more challenges using electro</w:t>
      </w:r>
      <w:r>
        <w:t>nic gadgets and monitoring equipment. If virtual ward systems are designed for digitally confident users, patients who need more access to care and cannot use technology may lack these services. Equitable implementation therefore requires equal opportunity</w:t>
      </w:r>
      <w:r>
        <w:t xml:space="preserve"> and access for everyone. It requires technology to </w:t>
      </w:r>
      <w:r w:rsidR="00983FD1">
        <w:t>adapt to different patient needs rather than expecting all patients to adapt to it</w:t>
      </w:r>
      <w:r>
        <w:t xml:space="preserve">. Therefore, NHS England recommends assessing digital exclusion and providing alternative arrangements </w:t>
      </w:r>
      <w:r>
        <w:t>for those who cannot use technology. (NHS England, 2025).</w:t>
      </w:r>
    </w:p>
    <w:p w:rsidR="00C55D94" w:rsidRDefault="00C55D94" w:rsidP="00983FD1">
      <w:pPr>
        <w:spacing w:line="240" w:lineRule="auto"/>
      </w:pPr>
    </w:p>
    <w:p w:rsidR="00C55D94" w:rsidRDefault="00360E05" w:rsidP="00983FD1">
      <w:pPr>
        <w:spacing w:line="360" w:lineRule="auto"/>
        <w:jc w:val="both"/>
      </w:pPr>
      <w:r>
        <w:lastRenderedPageBreak/>
        <w:t>Equity issues also arise from patient selection. Patients experiencing digital issues might be deemed unsuitable for technological support from a virtual ward care provider; this could inadvertently favour those with greater access to technology and wealth</w:t>
      </w:r>
      <w:r>
        <w:t xml:space="preserve">ier backgrounds. On the other hand, requiring patients who cannot use technology safely to participate might cause stress, lower compliance rates, and possibly jeopardise their safety. </w:t>
      </w:r>
      <w:r w:rsidR="00983FD1">
        <w:t>This supports Chappell et al.'s (2024) claim that stronger patient-level data are needed to determine</w:t>
      </w:r>
      <w:r>
        <w:t xml:space="preserve"> which patients benefit most from virtual wards.</w:t>
      </w:r>
    </w:p>
    <w:p w:rsidR="00C55D94" w:rsidRDefault="00C55D94" w:rsidP="00983FD1">
      <w:pPr>
        <w:spacing w:line="240" w:lineRule="auto"/>
      </w:pPr>
    </w:p>
    <w:p w:rsidR="00C55D94" w:rsidRDefault="00360E05">
      <w:pPr>
        <w:spacing w:line="360" w:lineRule="auto"/>
      </w:pPr>
      <w:r>
        <w:t xml:space="preserve">Informal support access might also affect </w:t>
      </w:r>
      <w:r w:rsidR="00983FD1">
        <w:t>patients'</w:t>
      </w:r>
      <w:r>
        <w:t xml:space="preserve"> experiences more significantly. People with relatives or caregivers who can operate monitoring devices, take notes on patien</w:t>
      </w:r>
      <w:r>
        <w:t>ts' conditions, and communicate with doctors may have an easier time using virtual ward services than those living alone. Therefore, social support may be an essential yet unequal source of aid for digital health care services.</w:t>
      </w:r>
    </w:p>
    <w:p w:rsidR="00C55D94" w:rsidRPr="00392A39" w:rsidRDefault="00360E05" w:rsidP="004367CD">
      <w:pPr>
        <w:pStyle w:val="Heading2"/>
        <w:spacing w:line="360" w:lineRule="auto"/>
        <w:rPr>
          <w:b/>
          <w:bCs/>
          <w:sz w:val="24"/>
        </w:rPr>
      </w:pPr>
      <w:bookmarkStart w:id="20" w:name="_djeivmr0qhc0" w:colFirst="0" w:colLast="0"/>
      <w:bookmarkStart w:id="21" w:name="_Toc242217577"/>
      <w:bookmarkStart w:id="22" w:name="_Toc242217886"/>
      <w:bookmarkStart w:id="23" w:name="_Toc242217959"/>
      <w:bookmarkEnd w:id="20"/>
      <w:r w:rsidRPr="00392A39">
        <w:rPr>
          <w:b/>
          <w:bCs/>
          <w:sz w:val="24"/>
        </w:rPr>
        <w:t>Impact on the Community</w:t>
      </w:r>
      <w:bookmarkEnd w:id="21"/>
      <w:bookmarkEnd w:id="22"/>
      <w:bookmarkEnd w:id="23"/>
      <w:r w:rsidRPr="00392A39">
        <w:rPr>
          <w:b/>
          <w:bCs/>
          <w:sz w:val="24"/>
        </w:rPr>
        <w:t xml:space="preserve"> </w:t>
      </w:r>
    </w:p>
    <w:p w:rsidR="00C55D94" w:rsidRDefault="00360E05" w:rsidP="00983FD1">
      <w:pPr>
        <w:spacing w:line="360" w:lineRule="auto"/>
        <w:jc w:val="both"/>
      </w:pPr>
      <w:r>
        <w:t>The</w:t>
      </w:r>
      <w:r>
        <w:t xml:space="preserve"> Plan for Digital Health and Social Care specifically identifies digital monitoring and technology-enabled virtual wards as ways to support people at home. (Department of Health and Social Care and NHS England, 2022). </w:t>
      </w:r>
    </w:p>
    <w:p w:rsidR="00C55D94" w:rsidRDefault="00C55D94">
      <w:pPr>
        <w:spacing w:line="240" w:lineRule="auto"/>
      </w:pPr>
    </w:p>
    <w:p w:rsidR="00C55D94" w:rsidRDefault="00360E05" w:rsidP="00983FD1">
      <w:pPr>
        <w:spacing w:line="360" w:lineRule="auto"/>
        <w:jc w:val="both"/>
      </w:pPr>
      <w:r>
        <w:t>Socioeconomic deprivation at the com</w:t>
      </w:r>
      <w:r>
        <w:t>munity level can affect access to virtual wards. Lower-income families might not have enough resources for reliable devices, a stable internet connection, and paid tech support. Socioeconomic disadvantage might be associated with poor housing conditions an</w:t>
      </w:r>
      <w:r>
        <w:t xml:space="preserve">d limited access to informal support services that would make it difficult for patients to receive safe home-based acute care. </w:t>
      </w:r>
    </w:p>
    <w:p w:rsidR="00C55D94" w:rsidRDefault="00C55D94" w:rsidP="00983FD1">
      <w:pPr>
        <w:spacing w:line="240" w:lineRule="auto"/>
      </w:pPr>
    </w:p>
    <w:p w:rsidR="00C55D94" w:rsidRDefault="00360E05" w:rsidP="00983FD1">
      <w:pPr>
        <w:spacing w:line="360" w:lineRule="auto"/>
        <w:jc w:val="both"/>
      </w:pPr>
      <w:r>
        <w:t xml:space="preserve">Therefore, transferring care from hospitals to communities doesn't eliminate disparities; </w:t>
      </w:r>
      <w:r w:rsidR="00983FD1">
        <w:t>instead, it could mean some of these services are provided by health institutions to meet</w:t>
      </w:r>
      <w:r>
        <w:t xml:space="preserve"> private </w:t>
      </w:r>
      <w:r w:rsidR="00983FD1">
        <w:t>individuals'</w:t>
      </w:r>
      <w:r>
        <w:t xml:space="preserve"> needs. Thus, digital exclusion is an important issue at the community level. Technology-enabled virtual ward guidance specifically recommends an equity impact assessment and alternati</w:t>
      </w:r>
      <w:r>
        <w:t>ve arrangements for those who cannot use it (NHS England,2025).</w:t>
      </w:r>
    </w:p>
    <w:p w:rsidR="00C55D94" w:rsidRDefault="00C55D94">
      <w:pPr>
        <w:spacing w:line="360" w:lineRule="auto"/>
      </w:pPr>
    </w:p>
    <w:p w:rsidR="00C55D94" w:rsidRDefault="00360E05" w:rsidP="00983FD1">
      <w:pPr>
        <w:spacing w:line="360" w:lineRule="auto"/>
        <w:jc w:val="both"/>
      </w:pPr>
      <w:r>
        <w:t>Therefore, housing remains a significant yet often neglected aspect of fair, equitable virtual ward implementation. While home may be an ideal place to provide care, some houses are better su</w:t>
      </w:r>
      <w:r>
        <w:t xml:space="preserve">ited than others for safe treatment and patient monitoring. Overcrowding, lack of privacy, unreliable </w:t>
      </w:r>
      <w:r>
        <w:lastRenderedPageBreak/>
        <w:t xml:space="preserve">electricity, poor heating or limited space may affect a patient's ability to engage with home-based care. </w:t>
      </w:r>
    </w:p>
    <w:p w:rsidR="00C55D94" w:rsidRDefault="00C55D94" w:rsidP="00983FD1">
      <w:pPr>
        <w:spacing w:line="240" w:lineRule="auto"/>
      </w:pPr>
    </w:p>
    <w:p w:rsidR="00C55D94" w:rsidRDefault="00360E05" w:rsidP="00983FD1">
      <w:pPr>
        <w:spacing w:line="360" w:lineRule="auto"/>
        <w:jc w:val="both"/>
      </w:pPr>
      <w:r>
        <w:t>The NHS England (NHS England, 2025) recommend</w:t>
      </w:r>
      <w:r>
        <w:t>s including patients and people with lived experience for virtual ward development. This aligns with the WGLL philosophy, which empowers people rather than treating them merely as beneficiaries of digital healthcare delivery systems. Population-wise, evide</w:t>
      </w:r>
      <w:r>
        <w:t>nce on this topic remains limited. According to Chappell et al. (2024), virtual wards may suit certain populations better, while shifting resources toward them could negatively affect other services.</w:t>
      </w:r>
    </w:p>
    <w:p w:rsidR="00C55D94" w:rsidRDefault="00C55D94" w:rsidP="00983FD1">
      <w:pPr>
        <w:spacing w:line="240" w:lineRule="auto"/>
      </w:pPr>
    </w:p>
    <w:p w:rsidR="00C55D94" w:rsidRDefault="00360E05" w:rsidP="00983FD1">
      <w:pPr>
        <w:spacing w:line="360" w:lineRule="auto"/>
        <w:jc w:val="both"/>
      </w:pPr>
      <w:r>
        <w:t>Geographical disparities may also relate to socioeconom</w:t>
      </w:r>
      <w:r>
        <w:t>ic disadvantage. Virtual ward facilities may reduce hospital visits from rural areas, potentially increasing accessibility. Nevertheless, this advantage may be limited for people in rural areas or deprived communities with poor internet access and connecti</w:t>
      </w:r>
      <w:r>
        <w:t>vity. Therefore, digital technology may help to reduce some geographical inequalities but also create new barriers for people who lack adequate digital infrastructure.</w:t>
      </w:r>
    </w:p>
    <w:p w:rsidR="00C55D94" w:rsidRDefault="00C55D94" w:rsidP="00983FD1">
      <w:pPr>
        <w:spacing w:line="240" w:lineRule="auto"/>
      </w:pPr>
    </w:p>
    <w:p w:rsidR="00C55D94" w:rsidRDefault="00360E05" w:rsidP="00983FD1">
      <w:pPr>
        <w:spacing w:line="360" w:lineRule="auto"/>
        <w:jc w:val="both"/>
      </w:pPr>
      <w:r>
        <w:t>Overall, virtual wards could improve community-based healthcare services; however, it w</w:t>
      </w:r>
      <w:r>
        <w:t>ould be effective only when there is an understanding of variations among people’s living conditions such as their home environment, internet connectivity levels, economic statuses, familial relationships and knowledge about health issues.</w:t>
      </w:r>
    </w:p>
    <w:p w:rsidR="00C55D94" w:rsidRPr="00392A39" w:rsidRDefault="00360E05" w:rsidP="00392A39">
      <w:pPr>
        <w:pStyle w:val="Heading2"/>
        <w:spacing w:line="360" w:lineRule="auto"/>
        <w:rPr>
          <w:b/>
          <w:bCs/>
          <w:sz w:val="24"/>
        </w:rPr>
      </w:pPr>
      <w:bookmarkStart w:id="24" w:name="_yfj27vhy5jal" w:colFirst="0" w:colLast="0"/>
      <w:bookmarkStart w:id="25" w:name="_Toc242217578"/>
      <w:bookmarkStart w:id="26" w:name="_Toc242217887"/>
      <w:bookmarkStart w:id="27" w:name="_Toc242217960"/>
      <w:bookmarkEnd w:id="24"/>
      <w:r w:rsidRPr="00392A39">
        <w:rPr>
          <w:b/>
          <w:bCs/>
          <w:sz w:val="24"/>
        </w:rPr>
        <w:t>Conclusion and R</w:t>
      </w:r>
      <w:r w:rsidRPr="00392A39">
        <w:rPr>
          <w:b/>
          <w:bCs/>
          <w:sz w:val="24"/>
        </w:rPr>
        <w:t>ecommendations</w:t>
      </w:r>
      <w:bookmarkEnd w:id="25"/>
      <w:bookmarkEnd w:id="26"/>
      <w:bookmarkEnd w:id="27"/>
    </w:p>
    <w:p w:rsidR="00C55D94" w:rsidRDefault="00360E05">
      <w:pPr>
        <w:spacing w:line="360" w:lineRule="auto"/>
        <w:jc w:val="both"/>
      </w:pPr>
      <w:r>
        <w:t>Virtual ward technology is an important part of modernising UK medical services, as it allows some people to receive immediate treatment at home rather than going directly to hospitals. The growth of this organisation since the launch of the</w:t>
      </w:r>
      <w:r>
        <w:t xml:space="preserve"> national programme in 2022 shows that it is becoming more important for NHS service redesign. </w:t>
      </w:r>
    </w:p>
    <w:p w:rsidR="00C55D94" w:rsidRDefault="00C55D94" w:rsidP="00983FD1">
      <w:pPr>
        <w:spacing w:line="240" w:lineRule="auto"/>
        <w:jc w:val="both"/>
      </w:pPr>
    </w:p>
    <w:p w:rsidR="00C55D94" w:rsidRDefault="00360E05">
      <w:pPr>
        <w:spacing w:line="360" w:lineRule="auto"/>
        <w:jc w:val="both"/>
      </w:pPr>
      <w:r>
        <w:t xml:space="preserve">One major conclusion is that the efficacy of virtual wards can't be isolated by socioeconomic factors alone. Technology access, socioeconomic status, </w:t>
      </w:r>
      <w:r w:rsidR="00983FD1">
        <w:t>household internet connection rates, disabilities, living situation,</w:t>
      </w:r>
      <w:r>
        <w:t xml:space="preserve"> and geographic location may affect how well people use medical technologies for health purposes. Thus, virtual wards may benefit certain populations but could also create new obstacles for othe</w:t>
      </w:r>
      <w:r>
        <w:t>rs.</w:t>
      </w:r>
    </w:p>
    <w:p w:rsidR="00C55D94" w:rsidRDefault="00360E05">
      <w:pPr>
        <w:spacing w:line="360" w:lineRule="auto"/>
        <w:jc w:val="both"/>
      </w:pPr>
      <w:r>
        <w:t>Therefore, their success must be measured by factors like virtual ward capacity, occupancy rates</w:t>
      </w:r>
      <w:r w:rsidR="00983FD1">
        <w:t>, and healthcare utilisation rather than physical space availability or financial resources across</w:t>
      </w:r>
      <w:r>
        <w:t xml:space="preserve"> socio-economic classes.</w:t>
      </w:r>
    </w:p>
    <w:p w:rsidR="00C55D94" w:rsidRPr="00392A39" w:rsidRDefault="00360E05" w:rsidP="00392A39">
      <w:pPr>
        <w:pStyle w:val="Heading2"/>
        <w:spacing w:line="360" w:lineRule="auto"/>
        <w:rPr>
          <w:sz w:val="24"/>
        </w:rPr>
      </w:pPr>
      <w:bookmarkStart w:id="28" w:name="_h4zfr7c2mgex" w:colFirst="0" w:colLast="0"/>
      <w:bookmarkStart w:id="29" w:name="_Toc242217579"/>
      <w:bookmarkStart w:id="30" w:name="_Toc242217888"/>
      <w:bookmarkStart w:id="31" w:name="_Toc242217961"/>
      <w:bookmarkEnd w:id="28"/>
      <w:r w:rsidRPr="00392A39">
        <w:rPr>
          <w:b/>
          <w:bCs/>
          <w:sz w:val="24"/>
        </w:rPr>
        <w:lastRenderedPageBreak/>
        <w:t>Recommendations</w:t>
      </w:r>
      <w:bookmarkEnd w:id="29"/>
      <w:bookmarkEnd w:id="30"/>
      <w:bookmarkEnd w:id="31"/>
    </w:p>
    <w:p w:rsidR="00C55D94" w:rsidRDefault="00360E05" w:rsidP="00983FD1">
      <w:pPr>
        <w:spacing w:line="360" w:lineRule="auto"/>
        <w:jc w:val="both"/>
      </w:pPr>
      <w:r>
        <w:t>Before relying on tech-based virtual wards for patient care, NHS organisations must assess patients’ internet usage rates, computer skills, network reliability, and home housing conditions.</w:t>
      </w:r>
    </w:p>
    <w:p w:rsidR="00C55D94" w:rsidRDefault="00C55D94"/>
    <w:p w:rsidR="00C55D94" w:rsidRDefault="00360E05" w:rsidP="00983FD1">
      <w:pPr>
        <w:spacing w:line="360" w:lineRule="auto"/>
        <w:jc w:val="both"/>
      </w:pPr>
      <w:r>
        <w:t xml:space="preserve">Three recommendations therefore follow. NHS organisations should </w:t>
      </w:r>
      <w:r>
        <w:t xml:space="preserve">offer ongoing digital learning programs and clinical education courses, while incorporating virtual ward skills into workforce planning. Second, each virtual ward must have an internet access plan that includes technical </w:t>
      </w:r>
      <w:r w:rsidR="00983FD1">
        <w:t xml:space="preserve">support and alternative care options </w:t>
      </w:r>
      <w:r>
        <w:t>for people who cannot use computers or smartphones because they are ill or elderly. Third, evaluation should move beyond activity and occupancy measures to include patient outcomes, safety, workforce workload, career experience, cost-effectiveness an</w:t>
      </w:r>
      <w:r>
        <w:t>d health inequalities. This will give us an accurate measure of whether virtual wards truly transform healthcare delivery, rather than just shifting and creating more socio-economic problems.</w:t>
      </w:r>
    </w:p>
    <w:p w:rsidR="00C55D94" w:rsidRDefault="00C55D94">
      <w:pPr>
        <w:spacing w:line="360" w:lineRule="auto"/>
      </w:pPr>
    </w:p>
    <w:p w:rsidR="00C55D94" w:rsidRDefault="00C55D94"/>
    <w:p w:rsidR="00C55D94" w:rsidRDefault="00C55D94"/>
    <w:p w:rsidR="00C55D94" w:rsidRDefault="00360E05">
      <w:r>
        <w:br w:type="page"/>
      </w:r>
    </w:p>
    <w:p w:rsidR="00C55D94" w:rsidRPr="00392A39" w:rsidRDefault="00360E05" w:rsidP="00392A39">
      <w:pPr>
        <w:pStyle w:val="Heading2"/>
        <w:spacing w:line="360" w:lineRule="auto"/>
        <w:rPr>
          <w:sz w:val="24"/>
        </w:rPr>
      </w:pPr>
      <w:bookmarkStart w:id="32" w:name="_86obzhdbglfn" w:colFirst="0" w:colLast="0"/>
      <w:bookmarkStart w:id="33" w:name="_Toc242217580"/>
      <w:bookmarkStart w:id="34" w:name="_Toc242217889"/>
      <w:bookmarkStart w:id="35" w:name="_Toc242217962"/>
      <w:bookmarkEnd w:id="32"/>
      <w:r w:rsidRPr="00392A39">
        <w:rPr>
          <w:b/>
          <w:bCs/>
          <w:sz w:val="24"/>
        </w:rPr>
        <w:lastRenderedPageBreak/>
        <w:t>References</w:t>
      </w:r>
      <w:bookmarkEnd w:id="33"/>
      <w:bookmarkEnd w:id="34"/>
      <w:bookmarkEnd w:id="35"/>
      <w:r w:rsidRPr="00392A39">
        <w:rPr>
          <w:sz w:val="24"/>
        </w:rPr>
        <w:t xml:space="preserve"> </w:t>
      </w:r>
    </w:p>
    <w:p w:rsidR="00C55D94" w:rsidRDefault="00360E05" w:rsidP="00392A39">
      <w:pPr>
        <w:spacing w:line="360" w:lineRule="auto"/>
        <w:jc w:val="both"/>
      </w:pPr>
      <w:r>
        <w:t>Bradley, F. et al. (2026) ‘Factors affecting im</w:t>
      </w:r>
      <w:r>
        <w:t>plementation of hospital inpatient-level care at home: a qualitative study of virtual wards in North West England’</w:t>
      </w:r>
      <w:r w:rsidRPr="00983FD1">
        <w:rPr>
          <w:i/>
        </w:rPr>
        <w:t>, BMJ Open</w:t>
      </w:r>
      <w:r>
        <w:t xml:space="preserve">, 16, e111868. Available at: </w:t>
      </w:r>
      <w:hyperlink r:id="rId6">
        <w:r>
          <w:rPr>
            <w:color w:val="1155CC"/>
            <w:u w:val="single"/>
          </w:rPr>
          <w:t>https://bmjopen.bmj.com/content/16/4/e1</w:t>
        </w:r>
        <w:r>
          <w:rPr>
            <w:color w:val="1155CC"/>
            <w:u w:val="single"/>
          </w:rPr>
          <w:t>11868</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Chappell, P., Co, M., </w:t>
      </w:r>
      <w:proofErr w:type="spellStart"/>
      <w:r>
        <w:t>Hardie</w:t>
      </w:r>
      <w:proofErr w:type="spellEnd"/>
      <w:r>
        <w:t xml:space="preserve">, T., Lloyd, T., </w:t>
      </w:r>
      <w:proofErr w:type="spellStart"/>
      <w:r>
        <w:t>Tallack</w:t>
      </w:r>
      <w:proofErr w:type="spellEnd"/>
      <w:r>
        <w:t xml:space="preserve">, C., </w:t>
      </w:r>
      <w:proofErr w:type="spellStart"/>
      <w:r>
        <w:t>Gerhold</w:t>
      </w:r>
      <w:proofErr w:type="spellEnd"/>
      <w:r>
        <w:t xml:space="preserve">, M. and </w:t>
      </w:r>
      <w:proofErr w:type="spellStart"/>
      <w:r>
        <w:t>Mayers</w:t>
      </w:r>
      <w:proofErr w:type="spellEnd"/>
      <w:r>
        <w:t xml:space="preserve">, C. (2024) What do virtual wards look like in England? Working Paper. London: The Health Foundation. Available at: </w:t>
      </w:r>
      <w:hyperlink r:id="rId7">
        <w:r>
          <w:rPr>
            <w:color w:val="1155CC"/>
            <w:u w:val="single"/>
          </w:rPr>
          <w:t>https://www.health.org.uk/reports-and-analysis/working-papers/what-do-virtual-wards-look-like-england</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Depar</w:t>
      </w:r>
      <w:r>
        <w:t xml:space="preserve">tment of Health and Social Care and NHS England (2022) </w:t>
      </w:r>
      <w:r w:rsidRPr="00983FD1">
        <w:rPr>
          <w:i/>
        </w:rPr>
        <w:t>A plan for digital health and social care.</w:t>
      </w:r>
      <w:r>
        <w:t xml:space="preserve"> London: DHSC. Available at: </w:t>
      </w:r>
      <w:hyperlink r:id="rId8">
        <w:r>
          <w:rPr>
            <w:color w:val="1155CC"/>
            <w:u w:val="single"/>
          </w:rPr>
          <w:t>https://www.gov.uk/governm</w:t>
        </w:r>
        <w:r>
          <w:rPr>
            <w:color w:val="1155CC"/>
            <w:u w:val="single"/>
          </w:rPr>
          <w:t>ent/publications/a-plan-for-digital-health-and-social-care</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Information Commissioner’s Office (2026) </w:t>
      </w:r>
      <w:r w:rsidRPr="00983FD1">
        <w:rPr>
          <w:i/>
        </w:rPr>
        <w:t>What is special category data?</w:t>
      </w:r>
      <w:r>
        <w:t xml:space="preserve"> Available at: </w:t>
      </w:r>
      <w:hyperlink r:id="rId9">
        <w:r>
          <w:rPr>
            <w:color w:val="1155CC"/>
            <w:u w:val="single"/>
          </w:rPr>
          <w:t>https://ico.org.uk/for-organisations/uk-gdpr-guidance-and-resources/lawful-basis/special-category-data/what-is-special-category-data/</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Information Commissi</w:t>
      </w:r>
      <w:r>
        <w:t xml:space="preserve">oner’s Office (2026) </w:t>
      </w:r>
      <w:r w:rsidRPr="00983FD1">
        <w:rPr>
          <w:i/>
        </w:rPr>
        <w:t>What are the rules on special category data?</w:t>
      </w:r>
      <w:r>
        <w:t xml:space="preserve"> Available at: </w:t>
      </w:r>
      <w:hyperlink r:id="rId10">
        <w:r>
          <w:rPr>
            <w:color w:val="1155CC"/>
            <w:u w:val="single"/>
          </w:rPr>
          <w:t>https://i</w:t>
        </w:r>
        <w:r>
          <w:rPr>
            <w:color w:val="1155CC"/>
            <w:u w:val="single"/>
          </w:rPr>
          <w:t>co.org.uk/for-organisations/uk-gdpr-guidance-and-resources/lawful-basis/special-category-data/what-are-the-rules-on-special-category-data/</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NHS England (2023) </w:t>
      </w:r>
      <w:r w:rsidRPr="00983FD1">
        <w:rPr>
          <w:i/>
        </w:rPr>
        <w:t>Digital maturity assessment.</w:t>
      </w:r>
      <w:r>
        <w:t xml:space="preserve"> London: NHS England. Available at: </w:t>
      </w:r>
      <w:hyperlink r:id="rId11">
        <w:r>
          <w:rPr>
            <w:color w:val="1155CC"/>
            <w:u w:val="single"/>
          </w:rPr>
          <w:t>https://www.england.nhs.uk/long-read/digital-maturity-assessment/</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NHS England (2024a) </w:t>
      </w:r>
      <w:r w:rsidRPr="00983FD1">
        <w:rPr>
          <w:i/>
        </w:rPr>
        <w:t>Virtual wards</w:t>
      </w:r>
      <w:r>
        <w:t xml:space="preserve">. London: NHS England. Available at: </w:t>
      </w:r>
      <w:hyperlink r:id="rId12">
        <w:r>
          <w:rPr>
            <w:color w:val="1155CC"/>
            <w:u w:val="single"/>
          </w:rPr>
          <w:t>https://www.england.nhs.uk/virtual-wards/</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NHS England (2024b) </w:t>
      </w:r>
      <w:r w:rsidRPr="00983FD1">
        <w:rPr>
          <w:i/>
        </w:rPr>
        <w:t>Virtual wards operational framework.</w:t>
      </w:r>
      <w:r>
        <w:t xml:space="preserve"> London: NHS England. Available at: </w:t>
      </w:r>
      <w:hyperlink r:id="rId13">
        <w:r>
          <w:rPr>
            <w:color w:val="1155CC"/>
            <w:u w:val="single"/>
          </w:rPr>
          <w:t>https://www.england.nhs.uk/publication/virtual-wards-operational-framework/</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lastRenderedPageBreak/>
        <w:t xml:space="preserve">NHS England (2024c) </w:t>
      </w:r>
      <w:r w:rsidRPr="00983FD1">
        <w:rPr>
          <w:i/>
        </w:rPr>
        <w:t>2024/25 priorities and operational pl</w:t>
      </w:r>
      <w:r w:rsidRPr="00983FD1">
        <w:rPr>
          <w:i/>
        </w:rPr>
        <w:t>anning guidance</w:t>
      </w:r>
      <w:r>
        <w:t xml:space="preserve">. London: NHS England. Available at: </w:t>
      </w:r>
      <w:hyperlink r:id="rId14">
        <w:r>
          <w:rPr>
            <w:color w:val="1155CC"/>
            <w:u w:val="single"/>
          </w:rPr>
          <w:t xml:space="preserve">https://www.england.nhs.uk/long-read/2024-25-priorities-and-operational-planning-guidance/ </w:t>
        </w:r>
      </w:hyperlink>
      <w:r>
        <w:t>(Ac</w:t>
      </w:r>
      <w:r>
        <w:t>cessed: 5 October 2026).</w:t>
      </w:r>
    </w:p>
    <w:p w:rsidR="00C55D94" w:rsidRDefault="00360E05" w:rsidP="00392A39">
      <w:pPr>
        <w:spacing w:line="360" w:lineRule="auto"/>
        <w:jc w:val="both"/>
      </w:pPr>
      <w:r>
        <w:t xml:space="preserve">NHS England (2024d) NHS plan to cut avoidable admissions to further boost efforts to reduce waiting times. London: NHS England. Available at: </w:t>
      </w:r>
      <w:hyperlink r:id="rId15">
        <w:r>
          <w:rPr>
            <w:color w:val="1155CC"/>
            <w:u w:val="single"/>
          </w:rPr>
          <w:t>https://www.england.nhs.uk/2024/05/nhs-plan-to-cut-avoidable-admissions-to-further-boost-efforts-to-reduce-waiting-times/</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NHS England (2025) A guide to setting up technology</w:t>
      </w:r>
      <w:r>
        <w:t xml:space="preserve">-enabled virtual wards. London: NHS England. Available at: </w:t>
      </w:r>
      <w:hyperlink r:id="rId16">
        <w:r>
          <w:rPr>
            <w:color w:val="1155CC"/>
            <w:u w:val="single"/>
          </w:rPr>
          <w:t>https://www.england.nhs.uk/long-read/a-guide-to-setting-up-technology-enabled-virtual</w:t>
        </w:r>
        <w:r>
          <w:rPr>
            <w:color w:val="1155CC"/>
            <w:u w:val="single"/>
          </w:rPr>
          <w:t>-wards/</w:t>
        </w:r>
      </w:hyperlink>
      <w:r>
        <w:t xml:space="preserve"> (Accessed: 5 October 2026).</w:t>
      </w:r>
    </w:p>
    <w:p w:rsidR="00C55D94" w:rsidRDefault="00C55D94" w:rsidP="00392A39">
      <w:pPr>
        <w:spacing w:line="360" w:lineRule="auto"/>
        <w:jc w:val="both"/>
      </w:pPr>
    </w:p>
    <w:p w:rsidR="00C55D94" w:rsidRDefault="00360E05" w:rsidP="00392A39">
      <w:pPr>
        <w:spacing w:line="360" w:lineRule="auto"/>
        <w:jc w:val="both"/>
      </w:pPr>
      <w:r>
        <w:t xml:space="preserve">Shi, C., </w:t>
      </w:r>
      <w:proofErr w:type="spellStart"/>
      <w:r>
        <w:t>Dumville</w:t>
      </w:r>
      <w:proofErr w:type="spellEnd"/>
      <w:r>
        <w:t xml:space="preserve">, J., Rubinstein, F., Norman, G., </w:t>
      </w:r>
      <w:proofErr w:type="spellStart"/>
      <w:r>
        <w:t>Ullah</w:t>
      </w:r>
      <w:proofErr w:type="spellEnd"/>
      <w:r>
        <w:t>, A., Bashir, S., Bower, P. and Vardy, E.R.L.C. (2024) ‘Inpatient-level care at home delivered by virtual wards and hospital at home: a systematic review and meta</w:t>
      </w:r>
      <w:r>
        <w:t xml:space="preserve">-analysis of complex interventions and their components’, </w:t>
      </w:r>
      <w:r w:rsidRPr="00392A39">
        <w:rPr>
          <w:i/>
        </w:rPr>
        <w:t>BMC Medicine, 22</w:t>
      </w:r>
      <w:r>
        <w:t xml:space="preserve">(1), 145. </w:t>
      </w:r>
      <w:proofErr w:type="spellStart"/>
      <w:r>
        <w:t>doi</w:t>
      </w:r>
      <w:proofErr w:type="spellEnd"/>
      <w:r>
        <w:t>: 10.1186/s12916-024-03312-3.</w:t>
      </w:r>
    </w:p>
    <w:p w:rsidR="00C55D94" w:rsidRDefault="00C55D94" w:rsidP="00392A39">
      <w:pPr>
        <w:spacing w:line="360" w:lineRule="auto"/>
        <w:jc w:val="both"/>
      </w:pPr>
    </w:p>
    <w:p w:rsidR="00C55D94" w:rsidRDefault="00C55D94" w:rsidP="00392A39">
      <w:pPr>
        <w:spacing w:line="360" w:lineRule="auto"/>
        <w:jc w:val="both"/>
      </w:pPr>
    </w:p>
    <w:p w:rsidR="00C55D94" w:rsidRDefault="00C55D94" w:rsidP="00392A39">
      <w:pPr>
        <w:spacing w:line="360" w:lineRule="auto"/>
        <w:jc w:val="both"/>
        <w:rPr>
          <w:b/>
          <w:bCs/>
        </w:rPr>
      </w:pPr>
    </w:p>
    <w:sectPr w:rsidR="00C55D9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7B37FC7-0435-4525-A691-1C244934773D}"/>
    <w:embedBold r:id="rId2" w:fontKey="{935AD0B8-484D-4098-A51B-6DF03B11C6EF}"/>
  </w:font>
  <w:font w:name="Calibri">
    <w:panose1 w:val="020F0502020204030204"/>
    <w:charset w:val="00"/>
    <w:family w:val="swiss"/>
    <w:pitch w:val="variable"/>
    <w:sig w:usb0="E00002FF" w:usb1="4000ACFF" w:usb2="00000001" w:usb3="00000000" w:csb0="0000019F" w:csb1="00000000"/>
    <w:embedRegular r:id="rId3" w:fontKey="{FB835F83-27D6-40A6-A205-B711C08D084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D94"/>
    <w:rsid w:val="00360E05"/>
    <w:rsid w:val="00392A39"/>
    <w:rsid w:val="004367CD"/>
    <w:rsid w:val="008243DC"/>
    <w:rsid w:val="00983FD1"/>
    <w:rsid w:val="00C55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A326"/>
  <w15:docId w15:val="{1B9DE7FD-1C8A-4903-9741-165395E5C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pPr>
      <w:spacing w:line="240" w:lineRule="auto"/>
    </w:pPr>
    <w:rPr>
      <w:rFonts w:ascii="Cambria" w:eastAsia="Cambria" w:hAnsi="Cambria" w:cs="Cambria"/>
    </w:rPr>
    <w:tblPr>
      <w:tblStyleRowBandSize w:val="1"/>
      <w:tblStyleColBandSize w:val="1"/>
      <w:tblCellMar>
        <w:top w:w="0" w:type="dxa"/>
        <w:left w:w="108" w:type="dxa"/>
        <w:bottom w:w="0" w:type="dxa"/>
        <w:right w:w="108" w:type="dxa"/>
      </w:tblCellMar>
    </w:tblPr>
    <w:tblStylePr w:type="firstRow">
      <w:rPr>
        <w:b/>
        <w:bCs/>
      </w:rPr>
      <w:tblPr/>
      <w:tcPr>
        <w:tcBorders>
          <w:top w:val="nil"/>
          <w:bottom w:val="single" w:sz="12" w:space="0" w:color="FABF8F"/>
          <w:insideH w:val="nil"/>
          <w:insideV w:val="nil"/>
        </w:tcBorders>
        <w:shd w:val="clear" w:color="auto" w:fill="FFFFFF"/>
      </w:tcPr>
    </w:tblStylePr>
    <w:tblStylePr w:type="lastRow">
      <w:rPr>
        <w:b/>
        <w:bCs/>
      </w:rPr>
      <w:tblPr/>
      <w:tcPr>
        <w:tcBorders>
          <w:top w:val="single" w:sz="4" w:space="0" w:color="FABF8F"/>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1Light-Accent3">
    <w:name w:val="Grid Table 1 Light Accent 3"/>
    <w:basedOn w:val="TableNormal"/>
    <w:uiPriority w:val="46"/>
    <w:rsid w:val="00983FD1"/>
    <w:pPr>
      <w:spacing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6Colorful-Accent4">
    <w:name w:val="Grid Table 6 Colorful Accent 4"/>
    <w:basedOn w:val="TableNormal"/>
    <w:uiPriority w:val="51"/>
    <w:rsid w:val="00983FD1"/>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OCHeading">
    <w:name w:val="TOC Heading"/>
    <w:basedOn w:val="Heading1"/>
    <w:next w:val="Normal"/>
    <w:uiPriority w:val="39"/>
    <w:unhideWhenUsed/>
    <w:qFormat/>
    <w:rsid w:val="00983FD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983FD1"/>
    <w:pPr>
      <w:spacing w:after="100"/>
      <w:ind w:left="220"/>
    </w:pPr>
  </w:style>
  <w:style w:type="paragraph" w:styleId="TOC3">
    <w:name w:val="toc 3"/>
    <w:basedOn w:val="Normal"/>
    <w:next w:val="Normal"/>
    <w:autoRedefine/>
    <w:uiPriority w:val="39"/>
    <w:unhideWhenUsed/>
    <w:rsid w:val="00983FD1"/>
    <w:pPr>
      <w:spacing w:after="100"/>
      <w:ind w:left="440"/>
    </w:pPr>
  </w:style>
  <w:style w:type="character" w:styleId="Hyperlink">
    <w:name w:val="Hyperlink"/>
    <w:basedOn w:val="DefaultParagraphFont"/>
    <w:uiPriority w:val="99"/>
    <w:unhideWhenUsed/>
    <w:rsid w:val="00983FD1"/>
    <w:rPr>
      <w:color w:val="0000FF" w:themeColor="hyperlink"/>
      <w:u w:val="single"/>
    </w:rPr>
  </w:style>
  <w:style w:type="paragraph" w:styleId="NoSpacing">
    <w:name w:val="No Spacing"/>
    <w:uiPriority w:val="1"/>
    <w:qFormat/>
    <w:rsid w:val="00983FD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www.england.nhs.uk/publication/virtual-wards-operational-framewo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lth.org.uk/reports-and-analysis/working-papers/what-do-virtual-wards-look-like-england" TargetMode="External"/><Relationship Id="rId12" Type="http://schemas.openxmlformats.org/officeDocument/2006/relationships/hyperlink" Target="https://www.england.nhs.uk/virtual-ward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long-read/a-guide-to-setting-up-technology-enabled-virtual-wards/" TargetMode="External"/><Relationship Id="rId1" Type="http://schemas.openxmlformats.org/officeDocument/2006/relationships/customXml" Target="../customXml/item1.xml"/><Relationship Id="rId6" Type="http://schemas.openxmlformats.org/officeDocument/2006/relationships/hyperlink" Target="https://bmjopen.bmj.com/content/16/4/e111868" TargetMode="External"/><Relationship Id="rId11" Type="http://schemas.openxmlformats.org/officeDocument/2006/relationships/hyperlink" Target="https://www.england.nhs.uk/long-read/digital-maturity-assessment/" TargetMode="External"/><Relationship Id="rId5" Type="http://schemas.openxmlformats.org/officeDocument/2006/relationships/image" Target="media/image1.png"/><Relationship Id="rId15" Type="http://schemas.openxmlformats.org/officeDocument/2006/relationships/hyperlink" Target="https://www.england.nhs.uk/2024/05/nhs-plan-to-cut-avoidable-admissions-to-further-boost-efforts-to-reduce-waiting-times/" TargetMode="External"/><Relationship Id="rId10" Type="http://schemas.openxmlformats.org/officeDocument/2006/relationships/hyperlink" Target="https://ico.org.uk/for-organisations/uk-gdpr-guidance-and-resources/lawful-basis/special-category-data/what-are-the-rules-on-special-category-data/"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lawful-basis/special-category-data/what-is-special-category-data/" TargetMode="External"/><Relationship Id="rId14" Type="http://schemas.openxmlformats.org/officeDocument/2006/relationships/hyperlink" Target="https://www.england.nhs.uk/long-read/2024-25-priorities-and-operational-planning-guida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A6880-C180-4D83-9B4C-3466FBB26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3097</Words>
  <Characters>17658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Sana Rani</dc:creator>
  <cp:lastModifiedBy>Dell</cp:lastModifiedBy>
  <cp:revision>5</cp:revision>
  <dcterms:created xsi:type="dcterms:W3CDTF">2026-10-06T21:10:00Z</dcterms:created>
  <dcterms:modified xsi:type="dcterms:W3CDTF">2026-10-06T21:26:00Z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d6b1e74b36c5fa49f7f899b79d901b6818419da2a49dcb3304e55c0e015e34b2</vt:lpwstr>
  </property>
</Properties>
</file>