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Bold" w:hAnsi="Times New Roman Bold" w:cs="Times New Roman Bold" w:eastAsiaTheme="majorEastAsia"/>
          <w:b/>
          <w:bCs/>
          <w:color w:val="000000" w:themeColor="text1"/>
          <w:sz w:val="32"/>
          <w:szCs w:val="32"/>
          <w14:textFill>
            <w14:solidFill>
              <w14:schemeClr w14:val="tx1"/>
            </w14:solidFill>
          </w14:textFill>
        </w:rPr>
      </w:pPr>
      <w:r>
        <w:rPr>
          <w:rFonts w:hint="default" w:ascii="Times New Roman Bold" w:hAnsi="Times New Roman Bold" w:cs="Times New Roman Bold" w:eastAsiaTheme="majorEastAsia"/>
          <w:b/>
          <w:bCs/>
          <w:color w:val="000000" w:themeColor="text1"/>
          <w:sz w:val="32"/>
          <w:szCs w:val="32"/>
          <w14:textFill>
            <w14:solidFill>
              <w14:schemeClr w14:val="tx1"/>
            </w14:solidFill>
          </w14:textFill>
        </w:rPr>
        <w:t>DATA SECURITY, GOVERNANCE AND COMPLIANCE</w:t>
      </w:r>
    </w:p>
    <w:p>
      <w:pPr>
        <w:jc w:val="cente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pPr>
      <w: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t>Hanzhe Cai</w:t>
      </w:r>
    </w:p>
    <w:p>
      <w:pPr>
        <w:jc w:val="cente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pPr>
      <w: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fldChar w:fldCharType="begin"/>
      </w:r>
      <w: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instrText xml:space="preserve"> HYPERLINK "mailto:2304714@student.uwtsd.ac.uk" </w:instrText>
      </w:r>
      <w: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fldChar w:fldCharType="separate"/>
      </w:r>
      <w:r>
        <w:rPr>
          <w:rStyle w:val="4"/>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t>2304714@student.uwtsd.ac.uk</w:t>
      </w:r>
      <w:r>
        <w:rPr>
          <w:rFonts w:hint="eastAsia" w:ascii="Times New Roman Regular" w:hAnsi="Times New Roman Regular" w:cs="Times New Roman Regular" w:eastAsiaTheme="majorEastAsia"/>
          <w:color w:val="000000" w:themeColor="text1"/>
          <w:sz w:val="24"/>
          <w:szCs w:val="24"/>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before="313" w:beforeLines="100" w:line="360" w:lineRule="atLeast"/>
        <w:jc w:val="both"/>
        <w:textAlignment w:val="auto"/>
        <w:rPr>
          <w:rFonts w:hint="default" w:ascii="Times New Roman Bold Italic" w:hAnsi="Times New Roman Bold Italic" w:cs="Times New Roman Bold Italic"/>
          <w:b/>
          <w:bCs w:val="0"/>
          <w:i/>
          <w:iCs/>
          <w:sz w:val="22"/>
          <w:szCs w:val="22"/>
          <w:lang w:val="en-US" w:eastAsia="zh-CN"/>
        </w:rPr>
      </w:pPr>
      <w:r>
        <w:rPr>
          <w:rFonts w:hint="default" w:ascii="Times New Roman" w:hAnsi="Times New Roman" w:eastAsia="+中文正文" w:cs="Times New Roman Bold Italic"/>
          <w:b/>
          <w:bCs w:val="0"/>
          <w:i/>
          <w:iCs/>
          <w:sz w:val="22"/>
          <w:szCs w:val="22"/>
          <w:lang w:val="en-US" w:eastAsia="zh-CN"/>
        </w:rPr>
        <w:t>Abstact</w:t>
      </w:r>
      <w:r>
        <w:rPr>
          <w:rFonts w:hint="default" w:ascii="Times New Roman Bold Italic" w:hAnsi="Times New Roman Bold Italic" w:cs="Times New Roman Bold Italic"/>
          <w:b/>
          <w:bCs w:val="0"/>
          <w:i/>
          <w:iCs/>
          <w:sz w:val="22"/>
          <w:szCs w:val="22"/>
          <w:lang w:val="en-US" w:eastAsia="zh-CN"/>
        </w:rPr>
        <w:t>——</w:t>
      </w:r>
      <w:r>
        <w:rPr>
          <w:rFonts w:hint="default" w:ascii="Times New Roman" w:hAnsi="Times New Roman" w:eastAsia="+中文正文" w:cs="Times New Roman Bold Italic"/>
          <w:b/>
          <w:bCs w:val="0"/>
          <w:i/>
          <w:iCs/>
          <w:sz w:val="22"/>
          <w:szCs w:val="22"/>
          <w:lang w:val="en-US" w:eastAsia="zh-CN"/>
        </w:rPr>
        <w:t>This paper discusses information security issues</w:t>
      </w:r>
      <w:r>
        <w:rPr>
          <w:rFonts w:hint="eastAsia" w:ascii="Times New Roman Bold Italic" w:hAnsi="Times New Roman Bold Italic" w:eastAsia="+中文正文" w:cs="Times New Roman Bold Italic"/>
          <w:b/>
          <w:bCs w:val="0"/>
          <w:i/>
          <w:iCs/>
          <w:sz w:val="22"/>
          <w:szCs w:val="22"/>
          <w:vertAlign w:val="superscript"/>
          <w:lang w:val="en-US" w:eastAsia="zh-CN"/>
        </w:rPr>
        <w:t>[1][2][3]</w:t>
      </w:r>
      <w:r>
        <w:rPr>
          <w:rFonts w:hint="default" w:ascii="Times New Roman" w:hAnsi="Times New Roman" w:eastAsia="+中文正文" w:cs="Times New Roman Bold Italic"/>
          <w:b/>
          <w:bCs w:val="0"/>
          <w:i/>
          <w:iCs/>
          <w:sz w:val="22"/>
          <w:szCs w:val="22"/>
          <w:lang w:val="en-US" w:eastAsia="zh-CN"/>
        </w:rPr>
        <w:t xml:space="preserve"> and solutions for companies facing data security challenges</w:t>
      </w:r>
      <w:r>
        <w:rPr>
          <w:rFonts w:hint="eastAsia" w:ascii="Times New Roman Bold Italic" w:hAnsi="Times New Roman Bold Italic" w:eastAsia="+中文正文" w:cs="Times New Roman Bold Italic"/>
          <w:b/>
          <w:bCs w:val="0"/>
          <w:i/>
          <w:iCs/>
          <w:sz w:val="22"/>
          <w:szCs w:val="22"/>
          <w:vertAlign w:val="superscript"/>
          <w:lang w:val="en-US" w:eastAsia="zh-CN"/>
        </w:rPr>
        <w:t>[4][5][6]</w:t>
      </w:r>
      <w:r>
        <w:rPr>
          <w:rFonts w:hint="default" w:ascii="Times New Roman" w:hAnsi="Times New Roman" w:eastAsia="+中文正文" w:cs="Times New Roman Bold Italic"/>
          <w:b/>
          <w:bCs w:val="0"/>
          <w:i/>
          <w:iCs/>
          <w:sz w:val="22"/>
          <w:szCs w:val="22"/>
          <w:lang w:val="en-US" w:eastAsia="zh-CN"/>
        </w:rPr>
        <w:t xml:space="preserve"> globally, using NatureGarden (NG) as an example.NG, a global company that sells healthy living products, is faced with the complexities of a widely distributed workforce</w:t>
      </w:r>
      <w:r>
        <w:rPr>
          <w:rFonts w:hint="eastAsia" w:ascii="Times New Roman Bold Italic" w:hAnsi="Times New Roman Bold Italic" w:eastAsia="+中文正文" w:cs="Times New Roman Bold Italic"/>
          <w:b/>
          <w:bCs w:val="0"/>
          <w:i/>
          <w:iCs/>
          <w:sz w:val="22"/>
          <w:szCs w:val="22"/>
          <w:vertAlign w:val="superscript"/>
          <w:lang w:val="en-US" w:eastAsia="zh-CN"/>
        </w:rPr>
        <w:t>[7]</w:t>
      </w:r>
      <w:r>
        <w:rPr>
          <w:rFonts w:hint="default" w:ascii="Times New Roman" w:hAnsi="Times New Roman" w:eastAsia="+中文正文" w:cs="Times New Roman Bold Italic"/>
          <w:b/>
          <w:bCs w:val="0"/>
          <w:i/>
          <w:iCs/>
          <w:sz w:val="22"/>
          <w:szCs w:val="22"/>
          <w:lang w:val="en-US" w:eastAsia="zh-CN"/>
        </w:rPr>
        <w:t xml:space="preserve"> and a globalized customer</w:t>
      </w:r>
      <w:r>
        <w:rPr>
          <w:rFonts w:hint="eastAsia" w:ascii="Times New Roman Bold Italic" w:hAnsi="Times New Roman Bold Italic" w:eastAsia="+中文正文" w:cs="Times New Roman Bold Italic"/>
          <w:b/>
          <w:bCs w:val="0"/>
          <w:i/>
          <w:iCs/>
          <w:sz w:val="22"/>
          <w:szCs w:val="22"/>
          <w:vertAlign w:val="superscript"/>
          <w:lang w:val="en-US" w:eastAsia="zh-CN"/>
        </w:rPr>
        <w:t>[8]</w:t>
      </w:r>
      <w:r>
        <w:rPr>
          <w:rFonts w:hint="default" w:ascii="Times New Roman" w:hAnsi="Times New Roman" w:eastAsia="+中文正文" w:cs="Times New Roman Bold Italic"/>
          <w:b/>
          <w:bCs w:val="0"/>
          <w:i/>
          <w:iCs/>
          <w:sz w:val="22"/>
          <w:szCs w:val="22"/>
          <w:lang w:val="en-US" w:eastAsia="zh-CN"/>
        </w:rPr>
        <w:t xml:space="preserve"> base, and in recent years the need for personal devices to access the company's network</w:t>
      </w:r>
      <w:r>
        <w:rPr>
          <w:rFonts w:hint="eastAsia" w:ascii="Times New Roman" w:hAnsi="Times New Roman" w:eastAsia="+中文正文" w:cs="Times New Roman Bold Italic"/>
          <w:b/>
          <w:bCs w:val="0"/>
          <w:i/>
          <w:iCs/>
          <w:sz w:val="22"/>
          <w:szCs w:val="22"/>
          <w:lang w:val="en-US" w:eastAsia="zh-CN"/>
        </w:rPr>
        <w:t xml:space="preserve"> and </w:t>
      </w:r>
      <w:r>
        <w:rPr>
          <w:rFonts w:hint="default" w:ascii="Times New Roman" w:hAnsi="Times New Roman" w:eastAsia="+中文正文" w:cs="Times New Roman Bold Italic"/>
          <w:b/>
          <w:bCs w:val="0"/>
          <w:i/>
          <w:iCs/>
          <w:sz w:val="22"/>
          <w:szCs w:val="22"/>
          <w:lang w:val="en-US" w:eastAsia="zh-CN"/>
        </w:rPr>
        <w:t>resources has intensified. However, the lack of established security policies</w:t>
      </w:r>
      <w:r>
        <w:rPr>
          <w:rFonts w:hint="eastAsia" w:ascii="Times New Roman Bold Italic" w:hAnsi="Times New Roman Bold Italic" w:eastAsia="+中文正文" w:cs="Times New Roman Bold Italic"/>
          <w:b/>
          <w:bCs w:val="0"/>
          <w:i/>
          <w:iCs/>
          <w:sz w:val="22"/>
          <w:szCs w:val="22"/>
          <w:vertAlign w:val="superscript"/>
          <w:lang w:val="en-US" w:eastAsia="zh-CN"/>
        </w:rPr>
        <w:t>[9][10]</w:t>
      </w:r>
      <w:r>
        <w:rPr>
          <w:rFonts w:hint="default" w:ascii="Times New Roman" w:hAnsi="Times New Roman" w:eastAsia="+中文正文" w:cs="Times New Roman Bold Italic"/>
          <w:b/>
          <w:bCs w:val="0"/>
          <w:i/>
          <w:iCs/>
          <w:sz w:val="22"/>
          <w:szCs w:val="22"/>
          <w:lang w:val="en-US" w:eastAsia="zh-CN"/>
        </w:rPr>
        <w:t xml:space="preserve"> and measures has led to concerns about the security of employee and customer data.</w:t>
      </w:r>
      <w:r>
        <w:rPr>
          <w:rFonts w:hint="eastAsia" w:ascii="Times New Roman" w:hAnsi="Times New Roman" w:eastAsia="+中文正文" w:cs="Times New Roman Bold Italic"/>
          <w:b/>
          <w:bCs w:val="0"/>
          <w:i/>
          <w:iCs/>
          <w:sz w:val="22"/>
          <w:szCs w:val="22"/>
          <w:lang w:val="en-US" w:eastAsia="zh-CN"/>
        </w:rPr>
        <w:t xml:space="preserve"> </w:t>
      </w:r>
      <w:r>
        <w:rPr>
          <w:rFonts w:hint="default" w:ascii="Times New Roman" w:hAnsi="Times New Roman" w:eastAsia="+中文正文" w:cs="Times New Roman Bold Italic"/>
          <w:b/>
          <w:bCs w:val="0"/>
          <w:i/>
          <w:iCs/>
          <w:sz w:val="22"/>
          <w:szCs w:val="22"/>
          <w:lang w:val="en-US" w:eastAsia="zh-CN"/>
        </w:rPr>
        <w:t>The article will discuss several existing security frameworks or models such as ITIL</w:t>
      </w:r>
      <w:r>
        <w:rPr>
          <w:rFonts w:hint="eastAsia" w:ascii="Times New Roman Bold Italic" w:hAnsi="Times New Roman Bold Italic" w:eastAsia="+中文正文" w:cs="Times New Roman Bold Italic"/>
          <w:b/>
          <w:bCs w:val="0"/>
          <w:i/>
          <w:iCs/>
          <w:sz w:val="22"/>
          <w:szCs w:val="22"/>
          <w:vertAlign w:val="superscript"/>
          <w:lang w:val="en-US" w:eastAsia="zh-CN"/>
        </w:rPr>
        <w:t>[11][12]</w:t>
      </w:r>
      <w:r>
        <w:rPr>
          <w:rFonts w:hint="default" w:ascii="Times New Roman" w:hAnsi="Times New Roman" w:eastAsia="+中文正文" w:cs="Times New Roman Bold Italic"/>
          <w:b/>
          <w:bCs w:val="0"/>
          <w:i/>
          <w:iCs/>
          <w:sz w:val="22"/>
          <w:szCs w:val="22"/>
          <w:lang w:val="en-US" w:eastAsia="zh-CN"/>
        </w:rPr>
        <w:t xml:space="preserve">, ISO </w:t>
      </w:r>
      <w:r>
        <w:rPr>
          <w:rFonts w:hint="eastAsia" w:ascii="Times New Roman" w:hAnsi="Times New Roman" w:eastAsia="+中文正文" w:cs="Times New Roman Bold Italic"/>
          <w:b/>
          <w:bCs w:val="0"/>
          <w:i/>
          <w:iCs/>
          <w:sz w:val="22"/>
          <w:szCs w:val="22"/>
          <w:lang w:val="en-US" w:eastAsia="zh-CN"/>
        </w:rPr>
        <w:t>27002</w:t>
      </w:r>
      <w:r>
        <w:rPr>
          <w:rFonts w:hint="eastAsia" w:ascii="Times New Roman Bold Italic" w:hAnsi="Times New Roman Bold Italic" w:eastAsia="+中文正文" w:cs="Times New Roman Bold Italic"/>
          <w:b/>
          <w:bCs w:val="0"/>
          <w:i/>
          <w:iCs/>
          <w:sz w:val="22"/>
          <w:szCs w:val="22"/>
          <w:vertAlign w:val="superscript"/>
          <w:lang w:val="en-US" w:eastAsia="zh-CN"/>
        </w:rPr>
        <w:t>[13]</w:t>
      </w:r>
      <w:r>
        <w:rPr>
          <w:rFonts w:hint="default" w:ascii="Times New Roman" w:hAnsi="Times New Roman" w:eastAsia="+中文正文" w:cs="Times New Roman Bold Italic"/>
          <w:b/>
          <w:bCs w:val="0"/>
          <w:i/>
          <w:iCs/>
          <w:sz w:val="22"/>
          <w:szCs w:val="22"/>
          <w:lang w:val="en-US" w:eastAsia="zh-CN"/>
        </w:rPr>
        <w:t>, etc. in the context of the current problems faced by NGs; in addition, it will also examine how NGs can get out of the dilemma through new approaches, taking into account what they have learned in this semester.</w:t>
      </w:r>
    </w:p>
    <w:p>
      <w:pPr>
        <w:jc w:val="both"/>
        <w:rPr>
          <w:rFonts w:hint="default" w:ascii="Times New Roman Bold Italic" w:hAnsi="Times New Roman Bold Italic" w:cs="Times New Roman Bold Italic"/>
          <w:b/>
          <w:bCs w:val="0"/>
          <w:i/>
          <w:iCs/>
          <w:sz w:val="22"/>
          <w:szCs w:val="22"/>
          <w:lang w:val="en-US" w:eastAsia="zh-CN"/>
        </w:rPr>
      </w:pPr>
    </w:p>
    <w:p>
      <w:pPr>
        <w:jc w:val="both"/>
        <w:rPr>
          <w:rFonts w:hint="default" w:ascii="Times New Roman Bold Italic" w:hAnsi="Times New Roman Bold Italic" w:cs="Times New Roman Bold Italic"/>
          <w:b/>
          <w:bCs w:val="0"/>
          <w:i/>
          <w:iCs/>
          <w:sz w:val="22"/>
          <w:szCs w:val="22"/>
          <w:lang w:val="en-US" w:eastAsia="zh-CN"/>
        </w:rPr>
      </w:pPr>
      <w:r>
        <w:rPr>
          <w:rFonts w:hint="default" w:ascii="Times New Roman" w:hAnsi="Times New Roman" w:eastAsia="+中文正文" w:cs="Times New Roman Bold Italic"/>
          <w:b/>
          <w:bCs w:val="0"/>
          <w:i/>
          <w:iCs/>
          <w:sz w:val="22"/>
          <w:szCs w:val="22"/>
          <w:lang w:val="en-US" w:eastAsia="zh-CN"/>
        </w:rPr>
        <w:t>keywords</w:t>
      </w:r>
      <w:r>
        <w:rPr>
          <w:rFonts w:hint="default" w:ascii="Times New Roman Bold Italic" w:hAnsi="Times New Roman Bold Italic" w:cs="Times New Roman Bold Italic"/>
          <w:b/>
          <w:bCs w:val="0"/>
          <w:i/>
          <w:iCs/>
          <w:sz w:val="22"/>
          <w:szCs w:val="22"/>
          <w:lang w:val="en-US" w:eastAsia="zh-CN"/>
        </w:rPr>
        <w:t>——</w:t>
      </w:r>
      <w:r>
        <w:rPr>
          <w:rFonts w:hint="eastAsia" w:ascii="Times New Roman Bold Italic" w:hAnsi="Times New Roman Bold Italic" w:cs="Times New Roman Bold Italic"/>
          <w:b/>
          <w:bCs w:val="0"/>
          <w:i/>
          <w:iCs/>
          <w:sz w:val="22"/>
          <w:szCs w:val="22"/>
          <w:lang w:val="en-US" w:eastAsia="zh-CN"/>
        </w:rPr>
        <w:t xml:space="preserve">Data Security, Security policy, ITIL </w:t>
      </w:r>
      <w:r>
        <w:rPr>
          <w:rFonts w:hint="default" w:ascii="Times New Roman Bold Italic" w:hAnsi="Times New Roman Bold Italic" w:cs="Times New Roman Bold Italic"/>
          <w:b/>
          <w:bCs w:val="0"/>
          <w:i/>
          <w:iCs/>
          <w:sz w:val="22"/>
          <w:szCs w:val="22"/>
          <w:lang w:val="en-US" w:eastAsia="zh-CN"/>
        </w:rPr>
        <w:t>.</w:t>
      </w:r>
    </w:p>
    <w:p>
      <w:pPr>
        <w:numPr>
          <w:ilvl w:val="0"/>
          <w:numId w:val="1"/>
        </w:numPr>
        <w:jc w:val="center"/>
        <w:outlineLvl w:val="0"/>
        <w:rPr>
          <w:rFonts w:hint="default" w:ascii="Times New Roman Bold" w:hAnsi="Times New Roman Bold" w:cs="Times New Roman Bold"/>
          <w:b/>
          <w:bCs w:val="0"/>
          <w:i w:val="0"/>
          <w:iCs w:val="0"/>
          <w:sz w:val="28"/>
          <w:szCs w:val="28"/>
          <w:lang w:val="en-US" w:eastAsia="zh-CN"/>
        </w:rPr>
      </w:pPr>
      <w:r>
        <w:rPr>
          <w:rFonts w:hint="eastAsia" w:ascii="Times New Roman" w:hAnsi="Times New Roman" w:eastAsia="+中文正文" w:cs="Times New Roman Bold"/>
          <w:b/>
          <w:bCs w:val="0"/>
          <w:i w:val="0"/>
          <w:iCs w:val="0"/>
          <w:sz w:val="28"/>
          <w:szCs w:val="28"/>
          <w:lang w:val="en-US" w:eastAsia="zh-CN"/>
        </w:rPr>
        <w:t>I</w:t>
      </w:r>
      <w:r>
        <w:rPr>
          <w:rFonts w:hint="default" w:ascii="Times New Roman" w:hAnsi="Times New Roman" w:eastAsia="+中文正文" w:cs="Times New Roman Bold"/>
          <w:b/>
          <w:bCs w:val="0"/>
          <w:i w:val="0"/>
          <w:iCs w:val="0"/>
          <w:sz w:val="28"/>
          <w:szCs w:val="28"/>
          <w:lang w:val="en-US" w:eastAsia="zh-CN"/>
        </w:rPr>
        <w:t>ntroduction</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In today's rapidly evolving digital business environment, organizations are faced with complex and ever-changing data security challenges. NatureGarden (NG), a global leader in the sale of healthy living products with a global presence, is also facing increasing data security pressures. In recent years, a widely distributed workforce and globalized customer base, coupled with increased demand for personal devices to access company networks/resources, have made data security a key concern for NG's business.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Addressing these issues is not simple and involves multiple factors and strategies. First, compliance is critical. Companies must comply with laws, regulations and ethical standards to ensure that data is processed in accordance with data protection regulations, while protecting the privacy of personal data of employees and customers. Building on this foundation, it is especially important to establish sound security governance and strategic planning. This requires clear strategic planning, monitoring and execution mechanisms to ensure the successful implementation of data security objectives.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Second, establishing clear security policies is fundamental to ensuring data security. This includes regulations on access control, data encryption, network security, etc., with the aim of ensuring that both employees and customers are able to comply with best security practices. Meanwhile, risk management is a crucial aspect. Companies need to conduct comprehensive risk assessments to identify potential threats and vulnerabilities, and take appropriate measures to mitigate and manage risks to ensure business continuity and stability.</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At the practical level, it is also vital to establish an effective security management model. This includes practices such as staff training, security awareness education, regular drills and audits to ensure the implementation and continuous improvement of security measures. In addition, it is equally important to have a contingency plan for responding to security incidents and disasters, which needs to clarify the response steps and allocation of responsibilities in case of an emergency.</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To ensure that systems and data are adequately protected, organizations need to adopt multi-layered security protection mechanisms, including network firewalls</w:t>
      </w:r>
      <w:r>
        <w:rPr>
          <w:rFonts w:hint="eastAsia" w:ascii="Times New Roman Bold Italic" w:hAnsi="Times New Roman Bold Italic" w:eastAsia="+中文正文" w:cs="Times New Roman Bold Italic"/>
          <w:b/>
          <w:bCs w:val="0"/>
          <w:i/>
          <w:iCs/>
          <w:sz w:val="22"/>
          <w:szCs w:val="22"/>
          <w:vertAlign w:val="superscript"/>
          <w:lang w:val="en-US" w:eastAsia="zh-CN"/>
        </w:rPr>
        <w:t>[14]</w:t>
      </w:r>
      <w:r>
        <w:rPr>
          <w:rFonts w:hint="eastAsia" w:ascii="Times New Roman Regular" w:hAnsi="Times New Roman Regular" w:cs="Times New Roman Regular"/>
          <w:b w:val="0"/>
          <w:bCs/>
          <w:i w:val="0"/>
          <w:iCs w:val="0"/>
          <w:sz w:val="22"/>
          <w:szCs w:val="22"/>
          <w:lang w:val="en-US" w:eastAsia="zh-CN"/>
        </w:rPr>
        <w:t>, intrusion detection systems</w:t>
      </w:r>
      <w:r>
        <w:rPr>
          <w:rFonts w:hint="eastAsia" w:ascii="Times New Roman Bold Italic" w:hAnsi="Times New Roman Bold Italic" w:eastAsia="+中文正文" w:cs="Times New Roman Bold Italic"/>
          <w:b/>
          <w:bCs w:val="0"/>
          <w:i/>
          <w:iCs/>
          <w:sz w:val="22"/>
          <w:szCs w:val="22"/>
          <w:vertAlign w:val="superscript"/>
          <w:lang w:val="en-US" w:eastAsia="zh-CN"/>
        </w:rPr>
        <w:t>[15]</w:t>
      </w:r>
      <w:r>
        <w:rPr>
          <w:rFonts w:hint="eastAsia" w:ascii="Times New Roman Regular" w:hAnsi="Times New Roman Regular" w:cs="Times New Roman Regular"/>
          <w:b w:val="0"/>
          <w:bCs/>
          <w:i w:val="0"/>
          <w:iCs w:val="0"/>
          <w:sz w:val="22"/>
          <w:szCs w:val="22"/>
          <w:lang w:val="en-US" w:eastAsia="zh-CN"/>
        </w:rPr>
        <w:t>, and anti-virus software</w:t>
      </w:r>
      <w:r>
        <w:rPr>
          <w:rFonts w:hint="eastAsia" w:ascii="Times New Roman Bold Italic" w:hAnsi="Times New Roman Bold Italic" w:eastAsia="+中文正文" w:cs="Times New Roman Bold Italic"/>
          <w:b/>
          <w:bCs w:val="0"/>
          <w:i/>
          <w:iCs/>
          <w:sz w:val="22"/>
          <w:szCs w:val="22"/>
          <w:vertAlign w:val="superscript"/>
          <w:lang w:val="en-US" w:eastAsia="zh-CN"/>
        </w:rPr>
        <w:t>[16]</w:t>
      </w:r>
      <w:r>
        <w:rPr>
          <w:rFonts w:hint="eastAsia" w:ascii="Times New Roman Regular" w:hAnsi="Times New Roman Regular" w:cs="Times New Roman Regular"/>
          <w:b w:val="0"/>
          <w:bCs/>
          <w:i w:val="0"/>
          <w:iCs w:val="0"/>
          <w:sz w:val="22"/>
          <w:szCs w:val="22"/>
          <w:lang w:val="en-US" w:eastAsia="zh-CN"/>
        </w:rPr>
        <w:t>. At the same time, clear service level agreements are signed with vendors and partners, requiring them to follow appropriate data security standards and measures as well.</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By synthesizing these factors, this paper will suggest ways to help it build and continuously improve data security solutions to ensure information security, business robustness, and response to changing threats and demands.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numPr>
          <w:ilvl w:val="0"/>
          <w:numId w:val="1"/>
        </w:numPr>
        <w:jc w:val="center"/>
        <w:outlineLvl w:val="0"/>
        <w:rPr>
          <w:rFonts w:hint="default" w:ascii="Times New Roman Regular" w:hAnsi="Times New Roman Regular" w:cs="Times New Roman Regular"/>
          <w:b/>
          <w:bCs w:val="0"/>
          <w:i w:val="0"/>
          <w:iCs w:val="0"/>
          <w:sz w:val="28"/>
          <w:szCs w:val="28"/>
          <w:lang w:val="en-US" w:eastAsia="zh-CN"/>
        </w:rPr>
      </w:pPr>
      <w:r>
        <w:rPr>
          <w:rFonts w:hint="eastAsia" w:ascii="Times New Roman" w:hAnsi="Times New Roman" w:eastAsia="+中文正文" w:cs="Times New Roman Regular"/>
          <w:b/>
          <w:bCs w:val="0"/>
          <w:i w:val="0"/>
          <w:iCs w:val="0"/>
          <w:sz w:val="28"/>
          <w:szCs w:val="28"/>
          <w:lang w:val="en-US" w:eastAsia="zh-CN"/>
        </w:rPr>
        <w:t>Security Framework or Models</w:t>
      </w:r>
    </w:p>
    <w:p>
      <w:pPr>
        <w:keepNext w:val="0"/>
        <w:keepLines w:val="0"/>
        <w:pageBreakBefore w:val="0"/>
        <w:widowControl w:val="0"/>
        <w:numPr>
          <w:ilvl w:val="1"/>
          <w:numId w:val="1"/>
        </w:numPr>
        <w:kinsoku/>
        <w:wordWrap/>
        <w:overflowPunct/>
        <w:topLinePunct w:val="0"/>
        <w:autoSpaceDE/>
        <w:autoSpaceDN/>
        <w:bidi w:val="0"/>
        <w:adjustRightInd/>
        <w:snapToGrid/>
        <w:spacing w:after="313" w:afterLines="100"/>
        <w:ind w:left="0" w:leftChars="0" w:firstLine="0" w:firstLineChars="0"/>
        <w:textAlignment w:val="auto"/>
        <w:outlineLvl w:val="1"/>
        <w:rPr>
          <w:rFonts w:hint="default" w:ascii="Times New Roman Regular" w:hAnsi="Times New Roman Regular" w:cs="Times New Roman Regular"/>
          <w:b/>
          <w:bCs w:val="0"/>
          <w:i w:val="0"/>
          <w:iCs w:val="0"/>
          <w:sz w:val="24"/>
          <w:szCs w:val="24"/>
          <w:lang w:val="en-US" w:eastAsia="zh-CN"/>
        </w:rPr>
      </w:pPr>
      <w:r>
        <w:rPr>
          <w:rFonts w:hint="default" w:ascii="Times New Roman" w:hAnsi="Times New Roman" w:eastAsia="+中文正文" w:cs="Times New Roman Regular"/>
          <w:b/>
          <w:bCs w:val="0"/>
          <w:i w:val="0"/>
          <w:iCs w:val="0"/>
          <w:sz w:val="24"/>
          <w:szCs w:val="24"/>
          <w:lang w:val="en-US" w:eastAsia="zh-CN"/>
        </w:rPr>
        <w:t>Information Technology Infrastructure Library</w:t>
      </w:r>
      <w:r>
        <w:rPr>
          <w:rFonts w:hint="eastAsia" w:ascii="Times New Roman" w:hAnsi="Times New Roman" w:eastAsia="+中文正文" w:cs="Times New Roman Regular"/>
          <w:b/>
          <w:bCs w:val="0"/>
          <w:i w:val="0"/>
          <w:iCs w:val="0"/>
          <w:sz w:val="24"/>
          <w:szCs w:val="24"/>
          <w:lang w:val="en-US" w:eastAsia="zh-CN"/>
        </w:rPr>
        <w:t>(ITIL)</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center"/>
        <w:textAlignment w:val="auto"/>
      </w:pPr>
      <w:r>
        <w:drawing>
          <wp:inline distT="0" distB="0" distL="114300" distR="114300">
            <wp:extent cx="2160270" cy="1977390"/>
            <wp:effectExtent l="0" t="0" r="2413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2160270" cy="1977390"/>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center"/>
        <w:textAlignment w:val="auto"/>
        <w:rPr>
          <w:rFonts w:hint="eastAsia"/>
          <w:lang w:val="en-US" w:eastAsia="zh-CN"/>
        </w:rPr>
      </w:pPr>
      <w:r>
        <w:rPr>
          <w:rFonts w:hint="default" w:ascii="Times New Roman" w:hAnsi="Times New Roman" w:eastAsia="+中文正文" w:cs="Times New Roman Regular"/>
          <w:sz w:val="20"/>
          <w:szCs w:val="20"/>
          <w:lang w:val="en-US" w:eastAsia="zh-CN"/>
        </w:rPr>
        <w:t>Fig</w:t>
      </w:r>
      <w:r>
        <w:rPr>
          <w:rFonts w:hint="default" w:ascii="Times New Roman Regular" w:hAnsi="Times New Roman Regular" w:cs="Times New Roman Regular"/>
          <w:sz w:val="20"/>
          <w:szCs w:val="20"/>
          <w:lang w:val="en-US" w:eastAsia="zh-CN"/>
        </w:rPr>
        <w:t xml:space="preserve">. </w:t>
      </w:r>
      <w:r>
        <w:rPr>
          <w:rFonts w:hint="default" w:ascii="Times New Roman" w:hAnsi="Times New Roman" w:eastAsia="+中文正文" w:cs="Times New Roman Regular"/>
          <w:sz w:val="20"/>
          <w:szCs w:val="20"/>
          <w:lang w:val="en-US" w:eastAsia="zh-CN"/>
        </w:rPr>
        <w:t>1</w:t>
      </w:r>
      <w:r>
        <w:rPr>
          <w:rFonts w:hint="default" w:ascii="Times New Roman Regular" w:hAnsi="Times New Roman Regular" w:cs="Times New Roman Regular"/>
          <w:sz w:val="20"/>
          <w:szCs w:val="20"/>
          <w:lang w:val="en-US" w:eastAsia="zh-CN"/>
        </w:rPr>
        <w:t xml:space="preserve">. </w:t>
      </w:r>
      <w:r>
        <w:rPr>
          <w:rFonts w:hint="default" w:ascii="Times New Roman" w:hAnsi="Times New Roman" w:eastAsia="+中文正文" w:cs="Times New Roman Regular"/>
          <w:sz w:val="20"/>
          <w:szCs w:val="20"/>
          <w:lang w:val="en-US" w:eastAsia="zh-CN"/>
        </w:rPr>
        <w:t>The ITIL Framework</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ITIL (Information Technology Infrastructure Library) is a widely used framework and best practices for IT Service Management (ITSM)</w:t>
      </w:r>
      <w:r>
        <w:rPr>
          <w:rFonts w:hint="eastAsia" w:ascii="Times New Roman Bold Italic" w:hAnsi="Times New Roman Bold Italic" w:eastAsia="+中文正文" w:cs="Times New Roman Bold Italic"/>
          <w:b/>
          <w:bCs w:val="0"/>
          <w:i/>
          <w:iCs/>
          <w:sz w:val="22"/>
          <w:szCs w:val="22"/>
          <w:vertAlign w:val="superscript"/>
          <w:lang w:val="en-US" w:eastAsia="zh-CN"/>
        </w:rPr>
        <w:t>[17][18]</w:t>
      </w:r>
      <w:r>
        <w:rPr>
          <w:rFonts w:hint="eastAsia" w:ascii="Times New Roman Regular" w:hAnsi="Times New Roman Regular" w:cs="Times New Roman Regular"/>
          <w:b w:val="0"/>
          <w:bCs/>
          <w:i w:val="0"/>
          <w:iCs w:val="0"/>
          <w:sz w:val="22"/>
          <w:szCs w:val="22"/>
          <w:lang w:val="en-US" w:eastAsia="zh-CN"/>
        </w:rPr>
        <w:t xml:space="preserve"> that provides organizations with a set of guidelines and methodologies designed to optimize and improve the delivery and support of IT services. The framework divides IT service management into different phases, covering multiple aspects of the service lifecycle.</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Service Strategy</w:t>
      </w:r>
      <w:r>
        <w:rPr>
          <w:rFonts w:hint="eastAsia" w:ascii="Times New Roman Bold Italic" w:hAnsi="Times New Roman Bold Italic" w:eastAsia="+中文正文" w:cs="Times New Roman Bold Italic"/>
          <w:b/>
          <w:bCs w:val="0"/>
          <w:i/>
          <w:iCs/>
          <w:sz w:val="22"/>
          <w:szCs w:val="22"/>
          <w:vertAlign w:val="superscript"/>
          <w:lang w:val="en-US" w:eastAsia="zh-CN"/>
        </w:rPr>
        <w:t>[19]</w:t>
      </w:r>
      <w:r>
        <w:rPr>
          <w:rFonts w:hint="eastAsia" w:ascii="Times New Roman Regular" w:hAnsi="Times New Roman Regular" w:cs="Times New Roman Regular"/>
          <w:b w:val="0"/>
          <w:bCs/>
          <w:i w:val="0"/>
          <w:iCs w:val="0"/>
          <w:sz w:val="22"/>
          <w:szCs w:val="22"/>
          <w:lang w:val="en-US" w:eastAsia="zh-CN"/>
        </w:rPr>
        <w:t xml:space="preserve"> is the starting point of the ITIL framework and focuses on determining how to deliver value to the organization's business objectives through IT services. This phase includes developing a service strategy, understanding customer needs, positioning the market, and managing service assets to ensure that IT services are aligned with business objectives.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Next comes Service Design</w:t>
      </w:r>
      <w:r>
        <w:rPr>
          <w:rFonts w:hint="eastAsia" w:ascii="Times New Roman Bold Italic" w:hAnsi="Times New Roman Bold Italic" w:eastAsia="+中文正文" w:cs="Times New Roman Bold Italic"/>
          <w:b/>
          <w:bCs w:val="0"/>
          <w:i/>
          <w:iCs/>
          <w:sz w:val="22"/>
          <w:szCs w:val="22"/>
          <w:vertAlign w:val="superscript"/>
          <w:lang w:val="en-US" w:eastAsia="zh-CN"/>
        </w:rPr>
        <w:t>[20]</w:t>
      </w:r>
      <w:r>
        <w:rPr>
          <w:rFonts w:hint="eastAsia" w:ascii="Times New Roman Regular" w:hAnsi="Times New Roman Regular" w:cs="Times New Roman Regular"/>
          <w:b w:val="0"/>
          <w:bCs/>
          <w:i w:val="0"/>
          <w:iCs w:val="0"/>
          <w:sz w:val="22"/>
          <w:szCs w:val="22"/>
          <w:lang w:val="en-US" w:eastAsia="zh-CN"/>
        </w:rPr>
        <w:t>, which focuses on designing, developing, and planning IT services that adapt to business needs. In this phase, the organization works to develop the design of new services or improvements to existing services, while also focusing on the planning of the IT architecture to ensure that the service can meet the business needs and achieve the desired results.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The Service Transition</w:t>
      </w:r>
      <w:r>
        <w:rPr>
          <w:rFonts w:hint="eastAsia" w:ascii="Times New Roman Bold Italic" w:hAnsi="Times New Roman Bold Italic" w:eastAsia="+中文正文" w:cs="Times New Roman Bold Italic"/>
          <w:b/>
          <w:bCs w:val="0"/>
          <w:i/>
          <w:iCs/>
          <w:sz w:val="22"/>
          <w:szCs w:val="22"/>
          <w:vertAlign w:val="superscript"/>
          <w:lang w:val="en-US" w:eastAsia="zh-CN"/>
        </w:rPr>
        <w:t>[21]</w:t>
      </w:r>
      <w:r>
        <w:rPr>
          <w:rFonts w:hint="eastAsia" w:ascii="Times New Roman Regular" w:hAnsi="Times New Roman Regular" w:cs="Times New Roman Regular"/>
          <w:b w:val="0"/>
          <w:bCs/>
          <w:i w:val="0"/>
          <w:iCs w:val="0"/>
          <w:sz w:val="22"/>
          <w:szCs w:val="22"/>
          <w:lang w:val="en-US" w:eastAsia="zh-CN"/>
        </w:rPr>
        <w:t xml:space="preserve"> phase transforms the designed service into an actual operational state. This includes the effective delivery and support of new or improved services, ensuring that the service transitions smoothly into the operational phase, minimizing disruption and risk.</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Service Operation</w:t>
      </w:r>
      <w:r>
        <w:rPr>
          <w:rFonts w:hint="eastAsia" w:ascii="Times New Roman Bold Italic" w:hAnsi="Times New Roman Bold Italic" w:eastAsia="+中文正文" w:cs="Times New Roman Bold Italic"/>
          <w:b/>
          <w:bCs w:val="0"/>
          <w:i/>
          <w:iCs/>
          <w:sz w:val="22"/>
          <w:szCs w:val="22"/>
          <w:vertAlign w:val="superscript"/>
          <w:lang w:val="en-US" w:eastAsia="zh-CN"/>
        </w:rPr>
        <w:t>[22]</w:t>
      </w:r>
      <w:r>
        <w:rPr>
          <w:rFonts w:hint="eastAsia" w:ascii="Times New Roman Regular" w:hAnsi="Times New Roman Regular" w:cs="Times New Roman Regular"/>
          <w:b w:val="0"/>
          <w:bCs/>
          <w:i w:val="0"/>
          <w:iCs w:val="0"/>
          <w:sz w:val="22"/>
          <w:szCs w:val="22"/>
          <w:lang w:val="en-US" w:eastAsia="zh-CN"/>
        </w:rPr>
        <w:t xml:space="preserve"> is the phase that ensures that the service being run is smooth, efficient and reliable. In this phase, the services being provided are managed and maintained to ensure that the business runs smoothly and at the desired level.</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Continual Service Improvement</w:t>
      </w:r>
      <w:r>
        <w:rPr>
          <w:rFonts w:hint="eastAsia" w:ascii="Times New Roman Bold Italic" w:hAnsi="Times New Roman Bold Italic" w:eastAsia="+中文正文" w:cs="Times New Roman Bold Italic"/>
          <w:b/>
          <w:bCs w:val="0"/>
          <w:i/>
          <w:iCs/>
          <w:sz w:val="22"/>
          <w:szCs w:val="22"/>
          <w:vertAlign w:val="superscript"/>
          <w:lang w:val="en-US" w:eastAsia="zh-CN"/>
        </w:rPr>
        <w:t>[23]</w:t>
      </w:r>
      <w:r>
        <w:rPr>
          <w:rFonts w:hint="eastAsia" w:ascii="Times New Roman Regular" w:hAnsi="Times New Roman Regular" w:cs="Times New Roman Regular"/>
          <w:b w:val="0"/>
          <w:bCs/>
          <w:i w:val="0"/>
          <w:iCs w:val="0"/>
          <w:sz w:val="22"/>
          <w:szCs w:val="22"/>
          <w:lang w:val="en-US" w:eastAsia="zh-CN"/>
        </w:rPr>
        <w:t xml:space="preserve"> is the core of the ITIL framework. This phase emphasizes the ability to continually assess, monitor, and improve services and processes to keep pace with changing needs and evolving business objectives. Through Continual Service Improvement, organizations are able to continuously improve service quality, enhance customer satisfaction, and optimize the efficiency of IT governance and management.</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Overall, ITIL, as a comprehensive service management framework that emphasizes continuous improvement and full lifecycle service management, aims to improve IT service quality, achieve close alignment with business objectives, and continuously enhance an organization's IT governance capabilities.</w:t>
      </w:r>
    </w:p>
    <w:p>
      <w:pPr>
        <w:keepNext w:val="0"/>
        <w:keepLines w:val="0"/>
        <w:pageBreakBefore w:val="0"/>
        <w:widowControl w:val="0"/>
        <w:numPr>
          <w:ilvl w:val="1"/>
          <w:numId w:val="1"/>
        </w:numPr>
        <w:kinsoku/>
        <w:wordWrap/>
        <w:overflowPunct/>
        <w:topLinePunct w:val="0"/>
        <w:autoSpaceDE/>
        <w:autoSpaceDN/>
        <w:bidi w:val="0"/>
        <w:adjustRightInd/>
        <w:snapToGrid/>
        <w:spacing w:after="313" w:afterLines="100"/>
        <w:ind w:left="0" w:leftChars="0" w:firstLine="0" w:firstLineChars="0"/>
        <w:textAlignment w:val="auto"/>
        <w:outlineLvl w:val="1"/>
        <w:rPr>
          <w:rFonts w:hint="default" w:ascii="Times New Roman Regular" w:hAnsi="Times New Roman Regular" w:cs="Times New Roman Regular"/>
          <w:b/>
          <w:bCs w:val="0"/>
          <w:i w:val="0"/>
          <w:iCs w:val="0"/>
          <w:sz w:val="24"/>
          <w:szCs w:val="24"/>
          <w:lang w:val="en-US" w:eastAsia="zh-CN"/>
        </w:rPr>
      </w:pPr>
      <w:r>
        <w:rPr>
          <w:rFonts w:hint="default" w:ascii="Times New Roman" w:hAnsi="Times New Roman" w:eastAsia="+中文正文" w:cs="Times New Roman Regular"/>
          <w:b/>
          <w:bCs w:val="0"/>
          <w:i w:val="0"/>
          <w:iCs w:val="0"/>
          <w:sz w:val="24"/>
          <w:szCs w:val="24"/>
          <w:lang w:val="en-US" w:eastAsia="zh-CN"/>
        </w:rPr>
        <w:t>National Institute of Standards and Technology (NIST</w:t>
      </w:r>
      <w:r>
        <w:rPr>
          <w:rFonts w:hint="eastAsia" w:ascii="Times New Roman" w:hAnsi="Times New Roman" w:eastAsia="+中文正文" w:cs="Times New Roman Regular"/>
          <w:b/>
          <w:bCs w:val="0"/>
          <w:i w:val="0"/>
          <w:i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center"/>
        <w:textAlignment w:val="auto"/>
        <w:rPr>
          <w:rFonts w:hint="default" w:ascii="Times New Roman Regular" w:hAnsi="Times New Roman Regular" w:cs="Times New Roman Regular"/>
          <w:b w:val="0"/>
          <w:bCs/>
          <w:i w:val="0"/>
          <w:iCs w:val="0"/>
          <w:sz w:val="22"/>
          <w:szCs w:val="22"/>
          <w:lang w:val="en-US" w:eastAsia="zh-CN"/>
        </w:rPr>
      </w:pPr>
      <w:r>
        <w:drawing>
          <wp:inline distT="0" distB="0" distL="114300" distR="114300">
            <wp:extent cx="2879725" cy="1834515"/>
            <wp:effectExtent l="0" t="0" r="15875" b="1968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a:off x="0" y="0"/>
                      <a:ext cx="2879725" cy="183451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center"/>
        <w:textAlignment w:val="auto"/>
        <w:rPr>
          <w:rFonts w:hint="eastAsia"/>
          <w:lang w:val="en-US" w:eastAsia="zh-CN"/>
        </w:rPr>
      </w:pPr>
      <w:r>
        <w:rPr>
          <w:rFonts w:hint="default" w:ascii="Times New Roman" w:hAnsi="Times New Roman" w:eastAsia="+中文正文" w:cs="Times New Roman Regular"/>
          <w:sz w:val="20"/>
          <w:szCs w:val="20"/>
          <w:lang w:val="en-US" w:eastAsia="zh-CN"/>
        </w:rPr>
        <w:t>Fig</w:t>
      </w:r>
      <w:r>
        <w:rPr>
          <w:rFonts w:hint="default" w:ascii="Times New Roman Regular" w:hAnsi="Times New Roman Regular" w:cs="Times New Roman Regular"/>
          <w:sz w:val="20"/>
          <w:szCs w:val="20"/>
          <w:lang w:val="en-US" w:eastAsia="zh-CN"/>
        </w:rPr>
        <w:t xml:space="preserve">. </w:t>
      </w:r>
      <w:r>
        <w:rPr>
          <w:rFonts w:hint="eastAsia" w:ascii="Times New Roman" w:hAnsi="Times New Roman" w:eastAsia="+中文正文" w:cs="Times New Roman Regular"/>
          <w:sz w:val="20"/>
          <w:szCs w:val="20"/>
          <w:lang w:val="en-US" w:eastAsia="zh-CN"/>
        </w:rPr>
        <w:t>2</w:t>
      </w:r>
      <w:r>
        <w:rPr>
          <w:rFonts w:hint="default" w:ascii="Times New Roman Regular" w:hAnsi="Times New Roman Regular" w:cs="Times New Roman Regular"/>
          <w:sz w:val="20"/>
          <w:szCs w:val="20"/>
          <w:lang w:val="en-US" w:eastAsia="zh-CN"/>
        </w:rPr>
        <w:t xml:space="preserve">. </w:t>
      </w:r>
      <w:r>
        <w:rPr>
          <w:rFonts w:hint="default" w:ascii="Times New Roman" w:hAnsi="Times New Roman" w:eastAsia="+中文正文" w:cs="Times New Roman Regular"/>
          <w:sz w:val="20"/>
          <w:szCs w:val="20"/>
          <w:lang w:val="en-US" w:eastAsia="zh-CN"/>
        </w:rPr>
        <w:t xml:space="preserve">The </w:t>
      </w:r>
      <w:r>
        <w:rPr>
          <w:rFonts w:hint="eastAsia" w:ascii="Times New Roman" w:hAnsi="Times New Roman" w:eastAsia="+中文正文" w:cs="Times New Roman Regular"/>
          <w:sz w:val="20"/>
          <w:szCs w:val="20"/>
          <w:lang w:val="en-US" w:eastAsia="zh-CN"/>
        </w:rPr>
        <w:t xml:space="preserve">NIST </w:t>
      </w:r>
      <w:r>
        <w:rPr>
          <w:rFonts w:hint="default" w:ascii="Times New Roman" w:hAnsi="Times New Roman" w:eastAsia="+中文正文" w:cs="Times New Roman Regular"/>
          <w:sz w:val="20"/>
          <w:szCs w:val="20"/>
          <w:lang w:val="en-US" w:eastAsia="zh-CN"/>
        </w:rPr>
        <w:t>Framework</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The NIST Framework is a cybersecurity framework developed by the National Institute of Standards and Technology (NIST)</w:t>
      </w:r>
      <w:r>
        <w:rPr>
          <w:rFonts w:hint="eastAsia" w:ascii="Times New Roman Bold Italic" w:hAnsi="Times New Roman Bold Italic" w:eastAsia="+中文正文" w:cs="Times New Roman Bold Italic"/>
          <w:b/>
          <w:bCs w:val="0"/>
          <w:i/>
          <w:iCs/>
          <w:sz w:val="22"/>
          <w:szCs w:val="22"/>
          <w:vertAlign w:val="superscript"/>
          <w:lang w:val="en-US" w:eastAsia="zh-CN"/>
        </w:rPr>
        <w:t>[24][25]</w:t>
      </w:r>
      <w:r>
        <w:rPr>
          <w:rFonts w:hint="default" w:ascii="Times New Roman Regular" w:hAnsi="Times New Roman Regular" w:cs="Times New Roman Regular"/>
          <w:b w:val="0"/>
          <w:bCs/>
          <w:i w:val="0"/>
          <w:iCs w:val="0"/>
          <w:sz w:val="22"/>
          <w:szCs w:val="22"/>
          <w:lang w:val="en-US" w:eastAsia="zh-CN"/>
        </w:rPr>
        <w:t xml:space="preserve"> to help organizations assess, improve, and communicate their cybersecurity risk management. The framework consists of five core components, which are Identify, Protect, Detect, Respond, and Recover.</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First, the Identify phase is designed to allow organizations to identify and understand the cybersecurity threats, vulnerabilities, and assets they face. This phase involves the assessment and analysis of potential risk factors.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Next is Protect, which looks at putting in place appropriate controls to protect systems, data and network devices against potential cyber threats and attacks.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Next is Detect, where the organization establishes mechanisms and processes to detect cybersecurity incidents and threats in a timely manner in order to quickly detect and confirm potential security issues.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Then comes Respond, a phase that involves developing plans and processes for responding to security incidents so that the organization can quickly and effectively respond to and contingently deal with security threats and attacks.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Finally, there is Recover, where the organization develops and implements recovery measures that enable it to quickly recover from a security incident and resume normal operations.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The NIST framework provides a flexible structure to help organizations assess their existing cybersecurity practices and provide guidance to improve those practices to increase security and resilience to changing cybersecurity threats and environments. The framework is applicable to organizations of all sizes and types and provides them with a common approach to managing and improving cybersecurity.</w:t>
      </w:r>
    </w:p>
    <w:p>
      <w:pPr>
        <w:keepNext w:val="0"/>
        <w:keepLines w:val="0"/>
        <w:pageBreakBefore w:val="0"/>
        <w:widowControl w:val="0"/>
        <w:numPr>
          <w:ilvl w:val="1"/>
          <w:numId w:val="1"/>
        </w:numPr>
        <w:kinsoku/>
        <w:wordWrap/>
        <w:overflowPunct/>
        <w:topLinePunct w:val="0"/>
        <w:autoSpaceDE/>
        <w:autoSpaceDN/>
        <w:bidi w:val="0"/>
        <w:adjustRightInd/>
        <w:snapToGrid/>
        <w:spacing w:after="313" w:afterLines="100"/>
        <w:ind w:left="0" w:leftChars="0" w:firstLine="0" w:firstLineChars="0"/>
        <w:textAlignment w:val="auto"/>
        <w:outlineLvl w:val="1"/>
        <w:rPr>
          <w:rFonts w:hint="default" w:ascii="Times New Roman Regular" w:hAnsi="Times New Roman Regular" w:cs="Times New Roman Regular"/>
          <w:b/>
          <w:bCs w:val="0"/>
          <w:i w:val="0"/>
          <w:iCs w:val="0"/>
          <w:sz w:val="24"/>
          <w:szCs w:val="24"/>
          <w:lang w:val="en-US" w:eastAsia="zh-CN"/>
        </w:rPr>
      </w:pPr>
      <w:r>
        <w:rPr>
          <w:rFonts w:hint="eastAsia" w:ascii="Times New Roman" w:hAnsi="Times New Roman" w:eastAsia="+中文正文" w:cs="Times New Roman Regular"/>
          <w:b/>
          <w:bCs w:val="0"/>
          <w:i w:val="0"/>
          <w:iCs w:val="0"/>
          <w:sz w:val="24"/>
          <w:szCs w:val="24"/>
          <w:lang w:val="en-US" w:eastAsia="zh-CN"/>
        </w:rPr>
        <w:t>ISO 27002</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center"/>
        <w:textAlignment w:val="auto"/>
      </w:pPr>
      <w:r>
        <w:drawing>
          <wp:inline distT="0" distB="0" distL="114300" distR="114300">
            <wp:extent cx="3599815" cy="1741805"/>
            <wp:effectExtent l="0" t="0" r="6985" b="1079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6"/>
                    <a:stretch>
                      <a:fillRect/>
                    </a:stretch>
                  </pic:blipFill>
                  <pic:spPr>
                    <a:xfrm>
                      <a:off x="0" y="0"/>
                      <a:ext cx="3599815" cy="174180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center"/>
        <w:textAlignment w:val="auto"/>
        <w:rPr>
          <w:rFonts w:hint="eastAsia"/>
          <w:lang w:val="en-US" w:eastAsia="zh-CN"/>
        </w:rPr>
      </w:pPr>
      <w:r>
        <w:rPr>
          <w:rFonts w:hint="default" w:ascii="Times New Roman" w:hAnsi="Times New Roman" w:eastAsia="+中文正文" w:cs="Times New Roman Regular"/>
          <w:sz w:val="20"/>
          <w:szCs w:val="20"/>
          <w:lang w:val="en-US" w:eastAsia="zh-CN"/>
        </w:rPr>
        <w:t>Fig</w:t>
      </w:r>
      <w:r>
        <w:rPr>
          <w:rFonts w:hint="default" w:ascii="Times New Roman Regular" w:hAnsi="Times New Roman Regular" w:cs="Times New Roman Regular"/>
          <w:sz w:val="20"/>
          <w:szCs w:val="20"/>
          <w:lang w:val="en-US" w:eastAsia="zh-CN"/>
        </w:rPr>
        <w:t xml:space="preserve">. </w:t>
      </w:r>
      <w:r>
        <w:rPr>
          <w:rFonts w:hint="eastAsia" w:ascii="Times New Roman" w:hAnsi="Times New Roman" w:eastAsia="+中文正文" w:cs="Times New Roman Regular"/>
          <w:sz w:val="20"/>
          <w:szCs w:val="20"/>
          <w:lang w:val="en-US" w:eastAsia="zh-CN"/>
        </w:rPr>
        <w:t>3</w:t>
      </w:r>
      <w:r>
        <w:rPr>
          <w:rFonts w:hint="default" w:ascii="Times New Roman Regular" w:hAnsi="Times New Roman Regular" w:cs="Times New Roman Regular"/>
          <w:sz w:val="20"/>
          <w:szCs w:val="20"/>
          <w:lang w:val="en-US" w:eastAsia="zh-CN"/>
        </w:rPr>
        <w:t xml:space="preserve">. </w:t>
      </w:r>
      <w:r>
        <w:rPr>
          <w:rFonts w:hint="default" w:ascii="Times New Roman" w:hAnsi="Times New Roman" w:eastAsia="+中文正文" w:cs="Times New Roman Regular"/>
          <w:sz w:val="20"/>
          <w:szCs w:val="20"/>
          <w:lang w:val="en-US" w:eastAsia="zh-CN"/>
        </w:rPr>
        <w:t xml:space="preserve">The </w:t>
      </w:r>
      <w:r>
        <w:rPr>
          <w:rFonts w:hint="eastAsia" w:ascii="Times New Roman" w:hAnsi="Times New Roman" w:eastAsia="+中文正文" w:cs="Times New Roman Regular"/>
          <w:sz w:val="20"/>
          <w:szCs w:val="20"/>
          <w:lang w:val="en-US" w:eastAsia="zh-CN"/>
        </w:rPr>
        <w:t xml:space="preserve">ISO 27002 </w:t>
      </w:r>
      <w:r>
        <w:rPr>
          <w:rFonts w:hint="default" w:ascii="Times New Roman" w:hAnsi="Times New Roman" w:eastAsia="+中文正文" w:cs="Times New Roman Regular"/>
          <w:sz w:val="20"/>
          <w:szCs w:val="20"/>
          <w:lang w:val="en-US" w:eastAsia="zh-CN"/>
        </w:rPr>
        <w:t>Framework</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ISO/IEC 27002 is an international standard in the field of information security management designed to provide organisations with guidance on information security best practices and controls. This standard provides a framework and guidance for building an information security management system (ISMS)</w:t>
      </w:r>
      <w:r>
        <w:rPr>
          <w:rFonts w:hint="eastAsia" w:ascii="Times New Roman Bold Italic" w:hAnsi="Times New Roman Bold Italic" w:eastAsia="+中文正文" w:cs="Times New Roman Bold Italic"/>
          <w:b/>
          <w:bCs w:val="0"/>
          <w:i/>
          <w:iCs/>
          <w:sz w:val="22"/>
          <w:szCs w:val="22"/>
          <w:vertAlign w:val="superscript"/>
          <w:lang w:val="en-US" w:eastAsia="zh-CN"/>
        </w:rPr>
        <w:t>[26][27]</w:t>
      </w:r>
      <w:r>
        <w:rPr>
          <w:rFonts w:hint="default" w:ascii="Times New Roman Regular" w:hAnsi="Times New Roman Regular" w:cs="Times New Roman Regular"/>
          <w:b w:val="0"/>
          <w:bCs/>
          <w:i w:val="0"/>
          <w:iCs w:val="0"/>
          <w:sz w:val="22"/>
          <w:szCs w:val="22"/>
          <w:lang w:val="en-US" w:eastAsia="zh-CN"/>
        </w:rPr>
        <w:t xml:space="preserve"> to ensure that information assets are adequately protected and managed.</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Firstly, ISO/IEC 27002 emphasises the importance of an information security policy. It requires organisations to establish, implement and maintain an information security policy that clearly guides the organisation's expectations and commitment to information security.</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Secondly, the standard focuses on organisational security, emphasising the establishment of a security management framework and processes to ensure the effectiveness and consistency of the information security management system.</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ISO/IEC 27002 also emphasises the security of people, including the security management of employees, suppliers and partners. This covers security awareness training, assignment of responsibilities and duties, and compliance with security policies.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 addition, the standard covers aspects of asset management, access control, cryptographic techniques, physical and environmental security, operational security, communication and network security, and supplier relationship management. These areas provide a range of controls to protect information assets, ensure secure system operation, and manage secure relationships with external partners.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 summary, ISO/IEC 27002, as a comprehensive information security standard, provides organisations with information security controls that cover all aspects of information security and guides organisations in developing, assessing and adopting appropriate measures based on their needs and environments to ensure the security and reliability of information assets.</w:t>
      </w:r>
    </w:p>
    <w:p>
      <w:pPr>
        <w:numPr>
          <w:ilvl w:val="0"/>
          <w:numId w:val="1"/>
        </w:numPr>
        <w:jc w:val="center"/>
        <w:outlineLvl w:val="0"/>
        <w:rPr>
          <w:rFonts w:hint="default" w:ascii="Times New Roman Regular" w:hAnsi="Times New Roman Regular" w:cs="Times New Roman Regular"/>
          <w:b/>
          <w:bCs w:val="0"/>
          <w:i w:val="0"/>
          <w:iCs w:val="0"/>
          <w:sz w:val="28"/>
          <w:szCs w:val="28"/>
          <w:lang w:val="en-US" w:eastAsia="zh-CN"/>
        </w:rPr>
      </w:pPr>
      <w:r>
        <w:rPr>
          <w:rFonts w:hint="eastAsia" w:ascii="Times New Roman" w:hAnsi="Times New Roman" w:eastAsia="+中文正文" w:cs="Times New Roman Regular"/>
          <w:b/>
          <w:bCs w:val="0"/>
          <w:i w:val="0"/>
          <w:iCs w:val="0"/>
          <w:sz w:val="28"/>
          <w:szCs w:val="28"/>
          <w:lang w:val="en-US" w:eastAsia="zh-CN"/>
        </w:rPr>
        <w:t>Problems and Solutions</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w:hAnsi="Times New Roman" w:eastAsia="+中文正文" w:cs="Times New Roman Regular"/>
          <w:b/>
          <w:bCs w:val="0"/>
          <w:i w:val="0"/>
          <w:iCs w:val="0"/>
          <w:sz w:val="24"/>
          <w:szCs w:val="24"/>
          <w:lang w:val="en-US" w:eastAsia="zh-CN"/>
        </w:rPr>
        <w:t>Dilemma faced by NG</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NatureGarden (NG), as a global company, faces information security challenges on multiple fronts.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First, NG allows employees and customers to use personal devices to access company networks and resources, which can lead to security risks because the security of personal devices is difficult to fully control. The lack of effective security controls for these devices may increase a company's exposure to the risk of a data breach or unauthorised access. This relates to the "access control" and "device security" requirements of many standards.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Second, the vast amounts of customer data and billions of dollars worth of intellectual property handled by NG need to be adequately protected. Ensuring that this data and intellectual property is protected from unauthorised access and the risk of disclosure is critical, in line with the data protection requirements of standards such as ISO 27001.</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NG also needs to consider compliance, as there are a variety of different laws and regulations that exist in different countries and regions, such as data protection regulations (e.g. GDPR), privacy laws and regulations on cross-border data flows. Ensuring that a company's operations are compliant with these regulations is necessary to protect the privacy of customers' and employees' personal data.</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Additionally, establishing proper security governance, risk management mechanisms and continuous improvement programmes is also a concern for NG. This requires the company to identify and assess security risks and take appropriate measures to mitigate them and continuously improve its security management system in accordance with the guidance of standards such as the NIST framework and ISO 27001.</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 summary, NG faces information security challenges from a variety of sources, including employee personal device access, customer data protection, compliance requirements, and lack of a robust security management system. Addressing these issues requires the development and implementation of strict information security policies, the adoption of appropriate security measures and technologies, and the continuous improvement of the company's security management practices.</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w:hAnsi="Times New Roman" w:eastAsia="+中文正文" w:cs="Times New Roman Regular"/>
          <w:b/>
          <w:bCs w:val="0"/>
          <w:i w:val="0"/>
          <w:iCs w:val="0"/>
          <w:sz w:val="24"/>
          <w:szCs w:val="24"/>
          <w:lang w:val="en-US" w:eastAsia="zh-CN"/>
        </w:rPr>
        <w:t>Solutions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 response to the information security challenges currently facing NatureGarden (NG), some solutions are detailed below</w:t>
      </w:r>
      <w:r>
        <w:rPr>
          <w:rFonts w:hint="eastAsia" w:ascii="Times New Roman Regular" w:hAnsi="Times New Roman Regular" w:cs="Times New Roman Regular"/>
          <w:b w:val="0"/>
          <w:bCs/>
          <w:i w:val="0"/>
          <w:iCs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NG needs to develop detailed information security policies that clearly define the norms for employees and customers using personal devices to access company resources. These policies should include requirements for access control, data classification, encryption requirements, and network security measures. In addition, the policies should cover procedures for reporting data breaches and security breaches, and they should be reviewed and updated regularly to ensure that they are aligned with the latest regulations and best practices.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Establish an information security governance committee, comprised of senior management and representatives from various departments, to oversee information security matters. At the same time, develop an information security strategy and plan that clarifies the alignment of security goals with business objectives, ensures the correct allocation of resources, and establishes a roadmap for long-term security goals.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NG needs to conduct a comprehensive risk assessment, including identifying the value of data and assets, threat and vulnerability analyses, and an assessment of likelihood and impact levels. Subsequently, based on the assessment results, appropriate risk management strategies such as risk transfer, risk mitigation and risk acceptance are developed and implemented to reduce likelihood and impact.</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Establish an Information Security Management System (ISMS) that complies with international standards such as ISO 27001 and ensure that it comprehensively covers the company's information assets and processes. This includes the implementation of best practices such as access control, encryption, continuous monitoring and vulnerability management, as well as information security training to improve employee security awareness and behaviour.</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Establish a comprehensive emergency response plan, including the designation of an emergency response team, drill and test plans, disaster recovery and business continuity plans. Strengthen network security measures, data encryption and device management to ensure protection against unauthorised access and data leakage.</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Ensure that Service Level Agreements (SLAs) with suppliers and partners clearly include information security requirements, and evaluate and monitor partners' security measures and compliance to ensure that they meet the company's security standards.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By adopting these comprehensive information security measures, NatureGarden will be able to establish a more complete information security system to protect the company's and customers' data assets, reduce security risks, and ensure the continuity and reliability of the company's business operations.</w:t>
      </w:r>
    </w:p>
    <w:p>
      <w:pPr>
        <w:numPr>
          <w:ilvl w:val="0"/>
          <w:numId w:val="1"/>
        </w:numPr>
        <w:jc w:val="center"/>
        <w:outlineLvl w:val="0"/>
        <w:rPr>
          <w:rFonts w:hint="default" w:ascii="Times New Roman Regular" w:hAnsi="Times New Roman Regular" w:cs="Times New Roman Regular"/>
          <w:b/>
          <w:bCs w:val="0"/>
          <w:i w:val="0"/>
          <w:iCs w:val="0"/>
          <w:sz w:val="28"/>
          <w:szCs w:val="28"/>
          <w:lang w:val="en-US" w:eastAsia="zh-CN"/>
        </w:rPr>
      </w:pPr>
      <w:r>
        <w:rPr>
          <w:rFonts w:hint="eastAsia" w:ascii="Times New Roman" w:hAnsi="Times New Roman" w:eastAsia="+中文正文" w:cs="Times New Roman Regular"/>
          <w:b/>
          <w:bCs w:val="0"/>
          <w:i w:val="0"/>
          <w:iCs w:val="0"/>
          <w:sz w:val="28"/>
          <w:szCs w:val="28"/>
          <w:lang w:val="en-US" w:eastAsia="zh-CN"/>
        </w:rPr>
        <w:t>Specific Measures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Based on the solution ideas mentioned in Chapter 3, NG can take the following specific measures</w:t>
      </w:r>
      <w:r>
        <w:rPr>
          <w:rFonts w:hint="eastAsia" w:ascii="Times New Roman Regular" w:hAnsi="Times New Roman Regular" w:cs="Times New Roman Regular"/>
          <w:b w:val="0"/>
          <w:bCs/>
          <w:i w:val="0"/>
          <w:iCs w:val="0"/>
          <w:sz w:val="22"/>
          <w:szCs w:val="22"/>
          <w:lang w:val="en-US" w:eastAsia="zh-CN"/>
        </w:rPr>
        <w:t>.</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w:hAnsi="Times New Roman" w:eastAsia="+中文正文" w:cs="Times New Roman Regular"/>
          <w:b/>
          <w:bCs w:val="0"/>
          <w:i w:val="0"/>
          <w:iCs w:val="0"/>
          <w:sz w:val="24"/>
          <w:szCs w:val="24"/>
          <w:lang w:val="en-US" w:eastAsia="zh-CN"/>
        </w:rPr>
        <w:t>Enhanced employee training and awareness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Regular information security training is critical to employee awareness and behaviour. ng can improve employees' ability to identify and respond to security risks through regular training programmes covering security policies, best practices and phishing attacks. Simulated phishing attack drills can test employees' response capabilities and strengthen their alertness to potential threats.</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Implement Multi-Factor Authentication (MFA)</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Enforcing MFA improves the security of access to systems. Combining passwords, biometrics and hardware tokens ensures that authentication is more reliable, thus effectively preventing unauthorised access.</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Conduct security audits and monitoring</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Regular security audits and continuous monitoring are important means of identifying security threats. ng needs to establish a systematic monitoring mechanism to monitor and analyse network activities, access logs and abnormal events to identify and respond to potential security risks in a timely manner.</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Implement data encryption and data classification</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Data classification and encryption are key measures to protect sensitive information. Establish clear data classification standards and implement end-to-end encryption for sensitive data to ensure data security during transmission and storage.</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Establish Emergency Communication and Response Mechanisms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Emergency communication mechanisms and emergency response plans are essential in the event of a security incident. ng needs to set up effective communication channels and incident response programmes to quickly and effectively respond to security incidents and reduce the impact on the business.</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Regular rehearsals and testing of security programmes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eastAsia" w:ascii="Times New Roman Regular" w:hAnsi="Times New Roman Regular" w:cs="Times New Roman Regular"/>
          <w:b w:val="0"/>
          <w:bCs/>
          <w:i w:val="0"/>
          <w:iCs w:val="0"/>
          <w:sz w:val="22"/>
          <w:szCs w:val="22"/>
          <w:lang w:val="en-US" w:eastAsia="zh-CN"/>
        </w:rPr>
        <w:t>Regular simulation tests and rehearsals are an important means of evaluating the effectiveness of security programmes.NG should evaluate the response capability of its staff through rehearsals that simulate phishing attacks, incident response and recovery, and continuously improve security measures.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Some of these summarised measures will help NG to establish a more comprehensive and robust information security system that effectively protects company data and assets, reduces security risks, and improves its ability to prevent and respond to potential threats.</w:t>
      </w:r>
    </w:p>
    <w:p>
      <w:pPr>
        <w:numPr>
          <w:ilvl w:val="0"/>
          <w:numId w:val="1"/>
        </w:numPr>
        <w:jc w:val="center"/>
        <w:outlineLvl w:val="0"/>
        <w:rPr>
          <w:rFonts w:hint="default" w:ascii="Times New Roman Regular" w:hAnsi="Times New Roman Regular" w:cs="Times New Roman Regular"/>
          <w:b/>
          <w:bCs w:val="0"/>
          <w:i w:val="0"/>
          <w:iCs w:val="0"/>
          <w:sz w:val="28"/>
          <w:szCs w:val="28"/>
          <w:lang w:val="en-US" w:eastAsia="zh-CN"/>
        </w:rPr>
      </w:pPr>
      <w:r>
        <w:rPr>
          <w:rFonts w:hint="default" w:ascii="Times New Roman" w:hAnsi="Times New Roman" w:eastAsia="+中文正文" w:cs="Times New Roman Regular"/>
          <w:b/>
          <w:bCs w:val="0"/>
          <w:i w:val="0"/>
          <w:iCs w:val="0"/>
          <w:sz w:val="28"/>
          <w:szCs w:val="28"/>
          <w:lang w:val="en-US" w:eastAsia="zh-CN"/>
        </w:rPr>
        <w:t>Importance of continuously promulgating and updating regulations or standards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eastAsia"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 addition to those specific measures mentioned in Chapter 4, NGs likewise need to update their approach according to the latest policy environment. The continuous promulgation and updating of regulations or standards is of key importance in the field of information security. The following are a few aspects of their importance</w:t>
      </w:r>
      <w:r>
        <w:rPr>
          <w:rFonts w:hint="eastAsia" w:ascii="Times New Roman Regular" w:hAnsi="Times New Roman Regular" w:cs="Times New Roman Regular"/>
          <w:b w:val="0"/>
          <w:bCs/>
          <w:i w:val="0"/>
          <w:iCs w:val="0"/>
          <w:sz w:val="22"/>
          <w:szCs w:val="22"/>
          <w:lang w:val="en-US" w:eastAsia="zh-CN"/>
        </w:rPr>
        <w:t>.</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Keeping up with technology and threats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Information technology and security threats are constantly evolving and changing. Regularly updated regulations and standards can take into account the emergence of new technologies and changes in threats in a timely manner, prompting organisations to adopt security measures that are more responsive to the current environment.</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Protecting Personal Privacy and Data Security</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As information technology increases, concerns about personal privacy and data security continue to grow. New regulations are often enacted to protect individual privacy and ensure that data is appropriately protected, such as the GDPR and the CCPA, which dictate how organisations handle personal data and what their responsibilities are.</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Provide guidance and best practices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Standards and regulations provide guidance and best practices for organisations to help them establish and maintain information security systems. For example, ISO 27001 provides a comprehensive information security management framework that guides organisations in establishing an information security management system to better protect information assets.</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Enhance industry compliance and credibility</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Adhering to the latest regulations and standards can help organisations ensure compliance and enhance their credibility and reputation in the industry. Continuous adherence to updated standards helps demonstrate good management practices for data and information security.</w:t>
      </w: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line="360" w:lineRule="auto"/>
        <w:ind w:left="0" w:leftChars="0" w:firstLine="0" w:firstLineChars="0"/>
        <w:jc w:val="left"/>
        <w:textAlignment w:val="auto"/>
        <w:outlineLvl w:val="1"/>
        <w:rPr>
          <w:rFonts w:hint="eastAsia" w:ascii="Times New Roman Regular" w:hAnsi="Times New Roman Regular" w:cs="Times New Roman Regular"/>
          <w:b/>
          <w:bCs w:val="0"/>
          <w:i w:val="0"/>
          <w:iCs w:val="0"/>
          <w:sz w:val="24"/>
          <w:szCs w:val="24"/>
          <w:lang w:val="en-US" w:eastAsia="zh-CN"/>
        </w:rPr>
      </w:pPr>
      <w:r>
        <w:rPr>
          <w:rFonts w:hint="eastAsia" w:ascii="Times New Roman Regular" w:hAnsi="Times New Roman Regular" w:cs="Times New Roman Regular"/>
          <w:b/>
          <w:bCs w:val="0"/>
          <w:i w:val="0"/>
          <w:iCs w:val="0"/>
          <w:sz w:val="24"/>
          <w:szCs w:val="24"/>
          <w:lang w:val="en-US" w:eastAsia="zh-CN"/>
        </w:rPr>
        <w:t>Addressing emerging threats and vulnerabilities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Malicious actors are constantly looking for new avenues of attack and vulnerabilities, and new regulations and standards take these threats into account and provide countermeasures. Continuous updates help organisations better prevent and respond to emerging threats and reduce the risk of attacks.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In summary, the continuous promulgation and updating of regulations or standards is critical to information security. These regulations and standards not only guide organisations in establishing comprehensive security measures, but also help them to adapt to the changing security environment, protect data, mitigate risks, and enhance compliance and trustworthiness.</w:t>
      </w:r>
    </w:p>
    <w:p>
      <w:pPr>
        <w:numPr>
          <w:ilvl w:val="0"/>
          <w:numId w:val="1"/>
        </w:numPr>
        <w:jc w:val="center"/>
        <w:outlineLvl w:val="0"/>
        <w:rPr>
          <w:rFonts w:hint="default" w:ascii="Times New Roman Regular" w:hAnsi="Times New Roman Regular" w:cs="Times New Roman Regular"/>
          <w:b/>
          <w:bCs w:val="0"/>
          <w:i w:val="0"/>
          <w:iCs w:val="0"/>
          <w:sz w:val="28"/>
          <w:szCs w:val="28"/>
          <w:lang w:val="en-US" w:eastAsia="zh-CN"/>
        </w:rPr>
      </w:pPr>
      <w:r>
        <w:rPr>
          <w:rFonts w:hint="eastAsia" w:ascii="Times New Roman" w:hAnsi="Times New Roman" w:eastAsia="+中文正文" w:cs="Times New Roman Regular"/>
          <w:b/>
          <w:bCs w:val="0"/>
          <w:i w:val="0"/>
          <w:iCs w:val="0"/>
          <w:sz w:val="28"/>
          <w:szCs w:val="28"/>
          <w:lang w:val="en-US" w:eastAsia="zh-CN"/>
        </w:rPr>
        <w:t>C</w:t>
      </w:r>
      <w:r>
        <w:rPr>
          <w:rFonts w:hint="default" w:ascii="Times New Roman" w:hAnsi="Times New Roman" w:eastAsia="+中文正文" w:cs="Times New Roman Regular"/>
          <w:b/>
          <w:bCs w:val="0"/>
          <w:i w:val="0"/>
          <w:iCs w:val="0"/>
          <w:sz w:val="28"/>
          <w:szCs w:val="28"/>
          <w:lang w:val="en-US" w:eastAsia="zh-CN"/>
        </w:rPr>
        <w:t>onclusion</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Overall, NatureGarden (NG), a leading brand selling healthy living products with global operations, needs to immediately focus on and address its current information security challenges. The global nature of the company's business and the wide distribution of its employees and customers made data security and privacy protection a top priority. To do so, NG needed to establish a comprehensive information security system to ensure the safety of customer and employee data, mitigate potential security risks, protect the company's intellectual property, and enhance compliance and credibility in the industry.</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Effective solutions include establishing exhaustive information security policies and specifications covering employee and customer use of personal devices and following compliance regulations such as GDPR, CCPA, etc. to ensure data privacy. In addition, implementing a security management framework such as ISO 27001, conducting comprehensive risk assessment and management, establishing a sound emergency response plan and enhancing staff training are all vital measures.</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r>
        <w:rPr>
          <w:rFonts w:hint="default" w:ascii="Times New Roman Regular" w:hAnsi="Times New Roman Regular" w:cs="Times New Roman Regular"/>
          <w:b w:val="0"/>
          <w:bCs/>
          <w:i w:val="0"/>
          <w:iCs w:val="0"/>
          <w:sz w:val="22"/>
          <w:szCs w:val="22"/>
          <w:lang w:val="en-US" w:eastAsia="zh-CN"/>
        </w:rPr>
        <w:t>NG also needs to closely follow changes in regulations and standards in the field of information security and continuously update and improve its information security measures. Only through continuous improvement and keeping up with the latest security standards and best practices can NG better adapt to the constant changes in the field of information security and ensure the continued security and stable operation of its business. This will help improve NG's reputation in the industry, enhance the protection of its information assets, and ultimately achieve safe, secure and sustainable business development.</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bookmarkStart w:id="0" w:name="_GoBack"/>
      <w:bookmarkEnd w:id="0"/>
    </w:p>
    <w:p>
      <w:pPr>
        <w:pStyle w:val="5"/>
        <w:keepNext w:val="0"/>
        <w:keepLines w:val="0"/>
        <w:widowControl/>
        <w:suppressLineNumbers w:val="0"/>
        <w:jc w:val="center"/>
        <w:outlineLvl w:val="0"/>
        <w:rPr>
          <w:rFonts w:hint="default" w:ascii="Times New Roman Bold" w:hAnsi="Times New Roman Bold" w:eastAsia="time" w:cs="Times New Roman Bold"/>
          <w:b/>
          <w:bCs/>
          <w:i w:val="0"/>
          <w:sz w:val="28"/>
          <w:szCs w:val="28"/>
        </w:rPr>
      </w:pPr>
      <w:r>
        <w:rPr>
          <w:rStyle w:val="6"/>
          <w:rFonts w:hint="default" w:ascii="Times New Roman" w:hAnsi="Times New Roman" w:eastAsia="+中文正文" w:cs="Times New Roman Bold"/>
          <w:b/>
          <w:bCs/>
          <w:i w:val="0"/>
          <w:iCs/>
          <w:sz w:val="28"/>
          <w:szCs w:val="28"/>
        </w:rPr>
        <w:t>R</w:t>
      </w:r>
      <w:r>
        <w:rPr>
          <w:rFonts w:hint="default" w:ascii="Times New Roman" w:hAnsi="Times New Roman" w:eastAsia="+中文正文" w:cs="Times New Roman Bold"/>
          <w:b/>
          <w:bCs/>
          <w:i w:val="0"/>
          <w:iCs/>
          <w:sz w:val="28"/>
          <w:szCs w:val="28"/>
        </w:rPr>
        <w:t>EFERENCES</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ascii="Times New Roman" w:hAnsi="Times New Roman" w:eastAsia="+中文正文"/>
          <w:lang w:val="en-US" w:eastAsia="zh-CN"/>
        </w:rPr>
        <w:t>Anderson R. Security engineering: a guide to building dependable distributed systems[M]. John Wiley &amp; Sons, 2020.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Stallings W. Computer security principles and practice[M]. 2015.</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Pfleeger C P. Security in computing[M]. Prentice-Hall, Inc., 1988.</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Aldossary S, Allen W. Data security, privacy, availability and integrity in cloud computing: issues and current solutions[J]. International Journal of Advanced Computer Science and Applications, 2016, 7(4).</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Stamp M. Information security: principles and practice[M]. John Wiley &amp; Sons, 2011.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Jaquith A. Security metrics: replacing fear, uncertainty, and doubt[M]. Pearson Education, 2007.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Leung K, Peterson M F. Managing a globally distributed workforce: Social and interpersonal issues[J]. 2011.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Montgomery D B, Yip G S. The challenge of global customer management[J]. Marketing Management, 2000, 9(4): 22.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Peltier T R. Information Security Policies, Procedures, and Standards: guidelines for effective information security management[M]. CRC press, 2016.</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Flowerday S V, Tuyikeze T. Information security policy development and implementation: The what, how and who[J]. computers &amp; security, 2016, 61: 169-183.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Brewster E, Griffiths R, Lawes A, et al. IT service management: a guide for ITIL foundation exam candidates[M]. BCS, The Chartered Institute for IT, 2012.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Gallacher L, Morris H. ITIL foundation exam study guide[M]. John Wiley &amp; Sons, 2012.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Disterer G. ISO/IEC 27000, 27001 and 27002 for information security management[J]. Journal of Information Security, 2013, 4(2).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Bellovin S M, Cheswick W R. Network firewalls[J]. IEEE communications magazine, 1994, 32(9): 50-57.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Bace R G, Mell P. Intrusion detection systems[J]. 2001.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Srinivasan R. Protecting anti-virus software under viral attacks[D]. Arizona State University, 2007.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Galup S D, Dattero R, Quan J J, et al. An overview of IT service management[J]. Communications of the ACM, 2009, 52(5): 124-127.</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Iden J, Eikebrokk T R. Implementing IT Service Management: A systematic literature review[J]. International Journal of Information Management, 2013, 33(3): 512-523.</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Huang M H, Rust R T. Technology-driven service strategy[J]. Journal of the Academy of Marketing Science, 2017, 45(6): 906-924.</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Mager B. Service design[M]//Wörterbuch Design. Birkhäuser Basel, 2008: 361-364.</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Salonen A. Service transition strategies of industrial manufacturers[J]. Industrial Marketing Management, 2011, 40(5): 683-690.</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Fitzsimmons J A, Sullivan R S. Service operations management[M]. New York: McGraw-Hill, 1982.</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Heikkinen S, Jäntti M. Studying continual service improvement and monitoring the quality of ITSM[C]//Quality of Information and Communications Technology: 12th International Conference, QUATIC 2019, Ciudad Real, Spain, September 11–13, 2019, Proceedings 12. Springer International Publishing, 2019: 193-206.</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Mell P, Grance T. The NIST definition of cloud computing[J]. 2011.</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Ferraiolo D F, Sandhu R, Gavrila S, et al. Proposed NIST standard for role-based access control[J]. ACM Transactions on Information and System Security (TISSEC), 2001, 4(3): 224-274.</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Saucier G. Isms and the structure of social attitudes[J]. Journal of personality and social psychology, 2000, 78(2): 366.</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default" w:eastAsiaTheme="minorEastAsia"/>
          <w:lang w:val="en-US" w:eastAsia="zh-CN"/>
        </w:rPr>
        <w:t>Broderick J S. ISMS, security standards and security regulations[J]. information security technical report, 2006, 11(1): 26-31.</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jc w:val="both"/>
        <w:textAlignment w:val="auto"/>
        <w:rPr>
          <w:rFonts w:hint="default" w:ascii="Times New Roman Regular" w:hAnsi="Times New Roman Regular" w:cs="Times New Roman Regular"/>
          <w:b w:val="0"/>
          <w:bCs/>
          <w:i w:val="0"/>
          <w:iCs w:val="0"/>
          <w:sz w:val="22"/>
          <w:szCs w:val="2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w:panose1 w:val="00000000000000000000"/>
    <w:charset w:val="00"/>
    <w:family w:val="auto"/>
    <w:pitch w:val="default"/>
    <w:sig w:usb0="E00002FF" w:usb1="5000785B" w:usb2="00000000" w:usb3="00000000" w:csb0="2000019F" w:csb1="4F01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Times New Roman Bold Italic">
    <w:panose1 w:val="02020503050405090304"/>
    <w:charset w:val="00"/>
    <w:family w:val="auto"/>
    <w:pitch w:val="default"/>
    <w:sig w:usb0="E0000AFF" w:usb1="00007843" w:usb2="00000001" w:usb3="00000000" w:csb0="400001BF" w:csb1="DFF70000"/>
  </w:font>
  <w:font w:name="+中文正文">
    <w:altName w:val="苹方-简"/>
    <w:panose1 w:val="00000000000000000000"/>
    <w:charset w:val="00"/>
    <w:family w:val="auto"/>
    <w:pitch w:val="default"/>
    <w:sig w:usb0="00000000" w:usb1="00000000" w:usb2="00000000" w:usb3="00000000" w:csb0="00000000" w:csb1="00000000"/>
  </w:font>
  <w:font w:name="time">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8F704D2"/>
    <w:multiLevelType w:val="singleLevel"/>
    <w:tmpl w:val="F8F704D2"/>
    <w:lvl w:ilvl="0" w:tentative="0">
      <w:start w:val="1"/>
      <w:numFmt w:val="decimal"/>
      <w:suff w:val="space"/>
      <w:lvlText w:val="[%1]"/>
      <w:lvlJc w:val="left"/>
    </w:lvl>
  </w:abstractNum>
  <w:abstractNum w:abstractNumId="1">
    <w:nsid w:val="FFBFADB0"/>
    <w:multiLevelType w:val="multilevel"/>
    <w:tmpl w:val="FFBFADB0"/>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FF8596"/>
    <w:rsid w:val="07FD9B3A"/>
    <w:rsid w:val="0B1DA1E2"/>
    <w:rsid w:val="0DFF16E1"/>
    <w:rsid w:val="0E7FAE54"/>
    <w:rsid w:val="15FBE409"/>
    <w:rsid w:val="18A5ED44"/>
    <w:rsid w:val="1BBF4D61"/>
    <w:rsid w:val="1FDF23C4"/>
    <w:rsid w:val="277CF7F1"/>
    <w:rsid w:val="2BDB9930"/>
    <w:rsid w:val="2C6F602D"/>
    <w:rsid w:val="2DBFB703"/>
    <w:rsid w:val="2F1EA2FF"/>
    <w:rsid w:val="2FB7E4D0"/>
    <w:rsid w:val="31AD1C80"/>
    <w:rsid w:val="357F04C1"/>
    <w:rsid w:val="35CF7689"/>
    <w:rsid w:val="35FE0356"/>
    <w:rsid w:val="37F65C79"/>
    <w:rsid w:val="3A773A56"/>
    <w:rsid w:val="3DFE39B3"/>
    <w:rsid w:val="3F7BC90F"/>
    <w:rsid w:val="3FDBAF23"/>
    <w:rsid w:val="3FF72DED"/>
    <w:rsid w:val="3FFF72A3"/>
    <w:rsid w:val="46FE113F"/>
    <w:rsid w:val="4AADD7B3"/>
    <w:rsid w:val="4B7F8B96"/>
    <w:rsid w:val="4EDF0DE9"/>
    <w:rsid w:val="4FCF2076"/>
    <w:rsid w:val="53BB3F7D"/>
    <w:rsid w:val="5AAE9856"/>
    <w:rsid w:val="5F7A89F5"/>
    <w:rsid w:val="5F955D58"/>
    <w:rsid w:val="5FA6AACB"/>
    <w:rsid w:val="5FCF15B9"/>
    <w:rsid w:val="5FE72B9D"/>
    <w:rsid w:val="5FF7003B"/>
    <w:rsid w:val="62FE7E87"/>
    <w:rsid w:val="636ADF65"/>
    <w:rsid w:val="65F6C530"/>
    <w:rsid w:val="65FF55D4"/>
    <w:rsid w:val="66F73DA0"/>
    <w:rsid w:val="6AF2C666"/>
    <w:rsid w:val="6BF7C18C"/>
    <w:rsid w:val="6CF91831"/>
    <w:rsid w:val="6D9D3F7E"/>
    <w:rsid w:val="6EFFB648"/>
    <w:rsid w:val="6FB5584D"/>
    <w:rsid w:val="6FBF2FD8"/>
    <w:rsid w:val="6FEDDF88"/>
    <w:rsid w:val="6FEE5699"/>
    <w:rsid w:val="6FF700E3"/>
    <w:rsid w:val="71DD0E81"/>
    <w:rsid w:val="72BD6E8A"/>
    <w:rsid w:val="737CED26"/>
    <w:rsid w:val="73FF8596"/>
    <w:rsid w:val="77F767F4"/>
    <w:rsid w:val="77FE46B6"/>
    <w:rsid w:val="7A4F4907"/>
    <w:rsid w:val="7A7E4FE1"/>
    <w:rsid w:val="7ABB3799"/>
    <w:rsid w:val="7AEFF528"/>
    <w:rsid w:val="7B4B61CF"/>
    <w:rsid w:val="7B95551D"/>
    <w:rsid w:val="7BAD6F8F"/>
    <w:rsid w:val="7D7738FD"/>
    <w:rsid w:val="7DBE2569"/>
    <w:rsid w:val="7DCA6D8C"/>
    <w:rsid w:val="7DDD7E91"/>
    <w:rsid w:val="7DFE187A"/>
    <w:rsid w:val="7DFF6C84"/>
    <w:rsid w:val="7E772A88"/>
    <w:rsid w:val="7EAD2C83"/>
    <w:rsid w:val="7EAF54B1"/>
    <w:rsid w:val="7EB7F6F0"/>
    <w:rsid w:val="7EF7846A"/>
    <w:rsid w:val="7F6F0E3A"/>
    <w:rsid w:val="7F7AF4D5"/>
    <w:rsid w:val="7F7F7DC6"/>
    <w:rsid w:val="7FBFED8F"/>
    <w:rsid w:val="7FDE3B26"/>
    <w:rsid w:val="7FDE9F12"/>
    <w:rsid w:val="7FDF88C8"/>
    <w:rsid w:val="7FEF27FF"/>
    <w:rsid w:val="7FF76462"/>
    <w:rsid w:val="7FF78742"/>
    <w:rsid w:val="7FF842B7"/>
    <w:rsid w:val="7FFB99E4"/>
    <w:rsid w:val="7FFD1641"/>
    <w:rsid w:val="87BBE367"/>
    <w:rsid w:val="97F3E1DD"/>
    <w:rsid w:val="9F7A5422"/>
    <w:rsid w:val="9FFA873C"/>
    <w:rsid w:val="9FFFA154"/>
    <w:rsid w:val="ABEBA473"/>
    <w:rsid w:val="ADF7AA74"/>
    <w:rsid w:val="AFF50520"/>
    <w:rsid w:val="B2F8BFAF"/>
    <w:rsid w:val="B5BEB789"/>
    <w:rsid w:val="B5F7FA9E"/>
    <w:rsid w:val="B7DF3EBC"/>
    <w:rsid w:val="BDF7DF52"/>
    <w:rsid w:val="BEBF7220"/>
    <w:rsid w:val="BEE654BA"/>
    <w:rsid w:val="BF75E1CA"/>
    <w:rsid w:val="BFEBBEF4"/>
    <w:rsid w:val="BFF7720C"/>
    <w:rsid w:val="BFFF9896"/>
    <w:rsid w:val="C7FF9A7E"/>
    <w:rsid w:val="CEFA816B"/>
    <w:rsid w:val="CFE41A45"/>
    <w:rsid w:val="CFEF3828"/>
    <w:rsid w:val="CFFE497C"/>
    <w:rsid w:val="D7FEA334"/>
    <w:rsid w:val="D7FF29A4"/>
    <w:rsid w:val="D9DD91A8"/>
    <w:rsid w:val="DB77E616"/>
    <w:rsid w:val="DBA47311"/>
    <w:rsid w:val="DCF95301"/>
    <w:rsid w:val="DDFD3247"/>
    <w:rsid w:val="DE2BEE1D"/>
    <w:rsid w:val="DF9B7F7F"/>
    <w:rsid w:val="DFAF47D0"/>
    <w:rsid w:val="DFDF8EE3"/>
    <w:rsid w:val="DFFFDC4B"/>
    <w:rsid w:val="E5E68273"/>
    <w:rsid w:val="E73F4BB3"/>
    <w:rsid w:val="EBE97635"/>
    <w:rsid w:val="EE7E680F"/>
    <w:rsid w:val="EFFC0799"/>
    <w:rsid w:val="F0BE980E"/>
    <w:rsid w:val="F2C4E407"/>
    <w:rsid w:val="F38E77B3"/>
    <w:rsid w:val="F47D04C2"/>
    <w:rsid w:val="F4D863A8"/>
    <w:rsid w:val="F4FB6F15"/>
    <w:rsid w:val="F66BD9CF"/>
    <w:rsid w:val="F6F7CA03"/>
    <w:rsid w:val="F70EF297"/>
    <w:rsid w:val="F75E0374"/>
    <w:rsid w:val="F9FBEAA8"/>
    <w:rsid w:val="FB6ED2C9"/>
    <w:rsid w:val="FB9BC3FB"/>
    <w:rsid w:val="FBCEA702"/>
    <w:rsid w:val="FBF91982"/>
    <w:rsid w:val="FD7705F8"/>
    <w:rsid w:val="FDB18579"/>
    <w:rsid w:val="FDFF7703"/>
    <w:rsid w:val="FE1B058B"/>
    <w:rsid w:val="FE3EF78A"/>
    <w:rsid w:val="FF1BC36E"/>
    <w:rsid w:val="FF373A0F"/>
    <w:rsid w:val="FF6A5892"/>
    <w:rsid w:val="FF7D74DD"/>
    <w:rsid w:val="FFACCB6E"/>
    <w:rsid w:val="FFB78609"/>
    <w:rsid w:val="FFBB45A6"/>
    <w:rsid w:val="FFDB4124"/>
    <w:rsid w:val="FFEBC1E9"/>
    <w:rsid w:val="FFFE5292"/>
    <w:rsid w:val="FFFEF7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qFormat/>
    <w:uiPriority w:val="0"/>
    <w:rPr>
      <w:color w:val="0000FF"/>
      <w:u w:val="single"/>
    </w:rPr>
  </w:style>
  <w:style w:type="paragraph" w:customStyle="1" w:styleId="5">
    <w:name w:val="p1"/>
    <w:basedOn w:val="1"/>
    <w:qFormat/>
    <w:uiPriority w:val="0"/>
    <w:pPr>
      <w:spacing w:before="0" w:beforeAutospacing="0" w:after="0" w:afterAutospacing="0"/>
      <w:ind w:left="0" w:right="0"/>
      <w:jc w:val="left"/>
    </w:pPr>
    <w:rPr>
      <w:rFonts w:ascii="Helvetica" w:hAnsi="Helvetica" w:eastAsia="Helvetica" w:cs="Helvetica"/>
      <w:kern w:val="0"/>
      <w:sz w:val="14"/>
      <w:szCs w:val="14"/>
      <w:lang w:val="en-US" w:eastAsia="zh-CN" w:bidi="ar"/>
    </w:rPr>
  </w:style>
  <w:style w:type="character" w:customStyle="1" w:styleId="6">
    <w:name w:val="s1"/>
    <w:basedOn w:val="3"/>
    <w:qFormat/>
    <w:uiPriority w:val="0"/>
    <w:rPr>
      <w:rFonts w:hint="default" w:ascii="Helvetica" w:hAnsi="Helvetica" w:eastAsia="Helvetica" w:cs="Helvetica"/>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Office_6.3.0.8471_F1E327BC-269C-435d-A152-05C5408002CA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2024-01-05T17:43:00Z</dcterms:created>
  <dc:creator>WPS_1697147892</dc:creator>
  <cp:lastModifiedBy>WPS_1697147892</cp:lastModifiedBy>
  <dcterms:modified xsi:type="dcterms:W3CDTF">2024-01-06T02:31:51Z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2052-6.3.0.8471</vt:lpwstr>
  </property>
  <property fmtid="{D5CDD505-2E9C-101B-9397-08002B2CF9AE}" pid="3" name="ICV">
    <vt:lpwstr>EEC2AA92962C4A8B8E2398655C057958_41</vt:lpwstr>
  </property>
</Properties>
</file>