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2E69E" w14:textId="705AE2B4" w:rsidR="51CBC49F" w:rsidRDefault="77BD67B9" w:rsidP="6A65880C">
      <w:pPr>
        <w:rPr>
          <w:b/>
          <w:bCs/>
        </w:rPr>
      </w:pPr>
      <w:r w:rsidRPr="6A65880C">
        <w:rPr>
          <w:b/>
          <w:bCs/>
        </w:rPr>
        <w:t>BA (</w:t>
      </w:r>
      <w:proofErr w:type="spellStart"/>
      <w:r w:rsidRPr="6A65880C">
        <w:rPr>
          <w:b/>
          <w:bCs/>
        </w:rPr>
        <w:t>Hons</w:t>
      </w:r>
      <w:proofErr w:type="spellEnd"/>
      <w:r w:rsidRPr="6A65880C">
        <w:rPr>
          <w:b/>
          <w:bCs/>
        </w:rPr>
        <w:t xml:space="preserve">) Leadership and Management </w:t>
      </w:r>
    </w:p>
    <w:p w14:paraId="584A0FE9" w14:textId="4596EC97" w:rsidR="51CBC49F" w:rsidRDefault="77BD67B9" w:rsidP="6A65880C">
      <w:pPr>
        <w:rPr>
          <w:b/>
          <w:bCs/>
        </w:rPr>
      </w:pPr>
      <w:r w:rsidRPr="6A65880C">
        <w:rPr>
          <w:b/>
          <w:bCs/>
        </w:rPr>
        <w:t xml:space="preserve"> </w:t>
      </w:r>
    </w:p>
    <w:p w14:paraId="1D2D4316" w14:textId="41DAC803" w:rsidR="51CBC49F" w:rsidRDefault="77BD67B9" w:rsidP="6A65880C">
      <w:pPr>
        <w:rPr>
          <w:b/>
          <w:bCs/>
        </w:rPr>
      </w:pPr>
      <w:r w:rsidRPr="6A65880C">
        <w:rPr>
          <w:b/>
          <w:bCs/>
        </w:rPr>
        <w:t xml:space="preserve">Student Name: Petrisor Iulian </w:t>
      </w:r>
      <w:proofErr w:type="spellStart"/>
      <w:r w:rsidRPr="6A65880C">
        <w:rPr>
          <w:b/>
          <w:bCs/>
        </w:rPr>
        <w:t>Linguraru</w:t>
      </w:r>
      <w:proofErr w:type="spellEnd"/>
    </w:p>
    <w:p w14:paraId="6A4C2CFE" w14:textId="2EC8CF87" w:rsidR="51CBC49F" w:rsidRDefault="77BD67B9" w:rsidP="6A65880C">
      <w:pPr>
        <w:rPr>
          <w:b/>
          <w:bCs/>
        </w:rPr>
      </w:pPr>
      <w:r w:rsidRPr="6A65880C">
        <w:rPr>
          <w:b/>
          <w:bCs/>
        </w:rPr>
        <w:t>Student Number:233</w:t>
      </w:r>
      <w:r w:rsidR="11EF906C" w:rsidRPr="6A65880C">
        <w:rPr>
          <w:b/>
          <w:bCs/>
        </w:rPr>
        <w:t>1770</w:t>
      </w:r>
    </w:p>
    <w:p w14:paraId="2D005673" w14:textId="29299310" w:rsidR="51CBC49F" w:rsidRDefault="77BD67B9" w:rsidP="6A65880C">
      <w:pPr>
        <w:rPr>
          <w:b/>
          <w:bCs/>
        </w:rPr>
      </w:pPr>
      <w:r w:rsidRPr="6A65880C">
        <w:rPr>
          <w:b/>
          <w:bCs/>
        </w:rPr>
        <w:t>Course Name: Understanding and Engaging stakeholders LCLM5001</w:t>
      </w:r>
    </w:p>
    <w:p w14:paraId="7401C3C0" w14:textId="31DBDA86" w:rsidR="51CBC49F" w:rsidRDefault="77BD67B9" w:rsidP="6A65880C">
      <w:pPr>
        <w:rPr>
          <w:b/>
          <w:bCs/>
        </w:rPr>
      </w:pPr>
      <w:r w:rsidRPr="6A65880C">
        <w:rPr>
          <w:b/>
          <w:bCs/>
        </w:rPr>
        <w:t>Lecturer Name: Nadeem Mirza</w:t>
      </w:r>
    </w:p>
    <w:p w14:paraId="343BFDB0" w14:textId="37BCECAF" w:rsidR="51CBC49F" w:rsidRDefault="77BD67B9" w:rsidP="6A65880C">
      <w:pPr>
        <w:rPr>
          <w:b/>
          <w:bCs/>
        </w:rPr>
      </w:pPr>
      <w:r w:rsidRPr="6A65880C">
        <w:rPr>
          <w:b/>
          <w:bCs/>
        </w:rPr>
        <w:t>Session: June 2025 Te</w:t>
      </w:r>
      <w:r w:rsidR="77518622" w:rsidRPr="6A65880C">
        <w:rPr>
          <w:b/>
          <w:bCs/>
        </w:rPr>
        <w:t>rm</w:t>
      </w:r>
    </w:p>
    <w:p w14:paraId="61E2546E" w14:textId="5432AEA7" w:rsidR="51CBC49F" w:rsidRDefault="51CBC49F" w:rsidP="6A65880C">
      <w:pPr>
        <w:rPr>
          <w:b/>
          <w:bCs/>
        </w:rPr>
      </w:pPr>
      <w:r>
        <w:br/>
      </w:r>
      <w:r w:rsidR="02544055" w:rsidRPr="6A65880C">
        <w:rPr>
          <w:rFonts w:ascii="Arial" w:eastAsia="Arial" w:hAnsi="Arial" w:cs="Arial"/>
          <w:b/>
          <w:bCs/>
          <w:sz w:val="28"/>
          <w:szCs w:val="28"/>
        </w:rPr>
        <w:t>Table of Contents</w:t>
      </w:r>
    </w:p>
    <w:p w14:paraId="280EA4E9" w14:textId="1BCE1227" w:rsidR="51CBC49F" w:rsidRDefault="02544055" w:rsidP="227A2131">
      <w:pPr>
        <w:pStyle w:val="ListParagraph"/>
        <w:spacing w:before="240" w:after="240"/>
        <w:rPr>
          <w:rFonts w:ascii="Arial" w:eastAsia="Arial" w:hAnsi="Arial" w:cs="Arial"/>
        </w:rPr>
      </w:pPr>
      <w:r w:rsidRPr="6A65880C">
        <w:rPr>
          <w:rFonts w:ascii="Arial" w:eastAsia="Arial" w:hAnsi="Arial" w:cs="Arial"/>
          <w:b/>
          <w:bCs/>
        </w:rPr>
        <w:t>Executive Summary</w:t>
      </w:r>
      <w:r w:rsidRPr="6A65880C">
        <w:rPr>
          <w:rFonts w:ascii="Arial" w:eastAsia="Arial" w:hAnsi="Arial" w:cs="Arial"/>
        </w:rPr>
        <w:t xml:space="preserve"> ...................................................................... 2</w:t>
      </w:r>
    </w:p>
    <w:p w14:paraId="445F0B1C" w14:textId="5E32C741"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Introduction to the Company – Fitbit UK</w:t>
      </w:r>
      <w:r w:rsidRPr="227A2131">
        <w:rPr>
          <w:rFonts w:ascii="Arial" w:eastAsia="Arial" w:hAnsi="Arial" w:cs="Arial"/>
        </w:rPr>
        <w:t xml:space="preserve"> ........................................ 2-3</w:t>
      </w:r>
    </w:p>
    <w:p w14:paraId="57A71317" w14:textId="3E457EF6"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Project Outline: Wearable Health Device Launch</w:t>
      </w:r>
      <w:r w:rsidRPr="227A2131">
        <w:rPr>
          <w:rFonts w:ascii="Arial" w:eastAsia="Arial" w:hAnsi="Arial" w:cs="Arial"/>
        </w:rPr>
        <w:t xml:space="preserve"> ............................ 3</w:t>
      </w:r>
      <w:r w:rsidR="76F9A4D1" w:rsidRPr="227A2131">
        <w:rPr>
          <w:rFonts w:ascii="Arial" w:eastAsia="Arial" w:hAnsi="Arial" w:cs="Arial"/>
        </w:rPr>
        <w:t>-4</w:t>
      </w:r>
    </w:p>
    <w:p w14:paraId="3C781DFF" w14:textId="69C18B09"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Situational Analysis</w:t>
      </w:r>
      <w:r w:rsidRPr="227A2131">
        <w:rPr>
          <w:rFonts w:ascii="Arial" w:eastAsia="Arial" w:hAnsi="Arial" w:cs="Arial"/>
        </w:rPr>
        <w:t xml:space="preserve"> ...................................................................... 4</w:t>
      </w:r>
      <w:r w:rsidR="4C91E731" w:rsidRPr="227A2131">
        <w:rPr>
          <w:rFonts w:ascii="Arial" w:eastAsia="Arial" w:hAnsi="Arial" w:cs="Arial"/>
        </w:rPr>
        <w:t>-5</w:t>
      </w:r>
      <w:r>
        <w:br/>
      </w:r>
      <w:r w:rsidRPr="227A2131">
        <w:rPr>
          <w:rFonts w:ascii="Arial" w:eastAsia="Arial" w:hAnsi="Arial" w:cs="Arial"/>
        </w:rPr>
        <w:t xml:space="preserve"> </w:t>
      </w:r>
      <w:r w:rsidR="34540C1F" w:rsidRPr="227A2131">
        <w:rPr>
          <w:rFonts w:ascii="Arial" w:eastAsia="Arial" w:hAnsi="Arial" w:cs="Arial"/>
        </w:rPr>
        <w:t>3.1</w:t>
      </w:r>
      <w:r w:rsidRPr="227A2131">
        <w:rPr>
          <w:rFonts w:ascii="Arial" w:eastAsia="Arial" w:hAnsi="Arial" w:cs="Arial"/>
        </w:rPr>
        <w:t xml:space="preserve"> </w:t>
      </w:r>
      <w:r w:rsidRPr="227A2131">
        <w:rPr>
          <w:rFonts w:ascii="Arial" w:eastAsia="Arial" w:hAnsi="Arial" w:cs="Arial"/>
          <w:b/>
          <w:bCs/>
        </w:rPr>
        <w:t>SWOT Analysis</w:t>
      </w:r>
      <w:r w:rsidRPr="227A2131">
        <w:rPr>
          <w:rFonts w:ascii="Arial" w:eastAsia="Arial" w:hAnsi="Arial" w:cs="Arial"/>
        </w:rPr>
        <w:t xml:space="preserve"> ........................................................................ 4</w:t>
      </w:r>
      <w:r w:rsidR="1DE1E072" w:rsidRPr="227A2131">
        <w:rPr>
          <w:rFonts w:ascii="Arial" w:eastAsia="Arial" w:hAnsi="Arial" w:cs="Arial"/>
        </w:rPr>
        <w:t>-5</w:t>
      </w:r>
      <w:r>
        <w:br/>
      </w:r>
      <w:r w:rsidRPr="227A2131">
        <w:rPr>
          <w:rFonts w:ascii="Arial" w:eastAsia="Arial" w:hAnsi="Arial" w:cs="Arial"/>
        </w:rPr>
        <w:t xml:space="preserve"> </w:t>
      </w:r>
      <w:r w:rsidR="79FE065D" w:rsidRPr="227A2131">
        <w:rPr>
          <w:rFonts w:ascii="Arial" w:eastAsia="Arial" w:hAnsi="Arial" w:cs="Arial"/>
        </w:rPr>
        <w:t>3.2</w:t>
      </w:r>
      <w:r w:rsidRPr="227A2131">
        <w:rPr>
          <w:rFonts w:ascii="Arial" w:eastAsia="Arial" w:hAnsi="Arial" w:cs="Arial"/>
        </w:rPr>
        <w:t xml:space="preserve"> </w:t>
      </w:r>
      <w:r w:rsidRPr="227A2131">
        <w:rPr>
          <w:rFonts w:ascii="Arial" w:eastAsia="Arial" w:hAnsi="Arial" w:cs="Arial"/>
          <w:b/>
          <w:bCs/>
        </w:rPr>
        <w:t>PESTLE Analysis</w:t>
      </w:r>
      <w:r w:rsidRPr="227A2131">
        <w:rPr>
          <w:rFonts w:ascii="Arial" w:eastAsia="Arial" w:hAnsi="Arial" w:cs="Arial"/>
        </w:rPr>
        <w:t xml:space="preserve"> ..................................................................... </w:t>
      </w:r>
      <w:r w:rsidR="48DD6BEA" w:rsidRPr="227A2131">
        <w:rPr>
          <w:rFonts w:ascii="Arial" w:eastAsia="Arial" w:hAnsi="Arial" w:cs="Arial"/>
        </w:rPr>
        <w:t>5-6</w:t>
      </w:r>
      <w:r>
        <w:br/>
      </w:r>
      <w:r w:rsidRPr="227A2131">
        <w:rPr>
          <w:rFonts w:ascii="Arial" w:eastAsia="Arial" w:hAnsi="Arial" w:cs="Arial"/>
        </w:rPr>
        <w:t xml:space="preserve"> </w:t>
      </w:r>
      <w:r w:rsidR="209BDD51" w:rsidRPr="227A2131">
        <w:rPr>
          <w:rFonts w:ascii="Arial" w:eastAsia="Arial" w:hAnsi="Arial" w:cs="Arial"/>
        </w:rPr>
        <w:t>3</w:t>
      </w:r>
      <w:r w:rsidRPr="227A2131">
        <w:rPr>
          <w:rFonts w:ascii="Arial" w:eastAsia="Arial" w:hAnsi="Arial" w:cs="Arial"/>
        </w:rPr>
        <w:t xml:space="preserve">.3 </w:t>
      </w:r>
      <w:r w:rsidRPr="227A2131">
        <w:rPr>
          <w:rFonts w:ascii="Arial" w:eastAsia="Arial" w:hAnsi="Arial" w:cs="Arial"/>
          <w:b/>
          <w:bCs/>
        </w:rPr>
        <w:t>SMART Objectives</w:t>
      </w:r>
      <w:r w:rsidRPr="227A2131">
        <w:rPr>
          <w:rFonts w:ascii="Arial" w:eastAsia="Arial" w:hAnsi="Arial" w:cs="Arial"/>
        </w:rPr>
        <w:t xml:space="preserve"> ................................................................... </w:t>
      </w:r>
      <w:r w:rsidR="1D250702" w:rsidRPr="227A2131">
        <w:rPr>
          <w:rFonts w:ascii="Arial" w:eastAsia="Arial" w:hAnsi="Arial" w:cs="Arial"/>
        </w:rPr>
        <w:t>6-7</w:t>
      </w:r>
    </w:p>
    <w:p w14:paraId="4C692B76" w14:textId="50EE46EF"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Stakeholder Identification</w:t>
      </w:r>
      <w:r w:rsidRPr="227A2131">
        <w:rPr>
          <w:rFonts w:ascii="Arial" w:eastAsia="Arial" w:hAnsi="Arial" w:cs="Arial"/>
        </w:rPr>
        <w:t xml:space="preserve"> ............................................................ </w:t>
      </w:r>
      <w:r w:rsidR="1C8A07EB" w:rsidRPr="227A2131">
        <w:rPr>
          <w:rFonts w:ascii="Arial" w:eastAsia="Arial" w:hAnsi="Arial" w:cs="Arial"/>
        </w:rPr>
        <w:t>7</w:t>
      </w:r>
      <w:r>
        <w:br/>
      </w:r>
      <w:r w:rsidRPr="227A2131">
        <w:rPr>
          <w:rFonts w:ascii="Arial" w:eastAsia="Arial" w:hAnsi="Arial" w:cs="Arial"/>
        </w:rPr>
        <w:t xml:space="preserve"> </w:t>
      </w:r>
      <w:r w:rsidR="713B6C3D" w:rsidRPr="227A2131">
        <w:rPr>
          <w:rFonts w:ascii="Arial" w:eastAsia="Arial" w:hAnsi="Arial" w:cs="Arial"/>
        </w:rPr>
        <w:t>4</w:t>
      </w:r>
      <w:r w:rsidRPr="227A2131">
        <w:rPr>
          <w:rFonts w:ascii="Arial" w:eastAsia="Arial" w:hAnsi="Arial" w:cs="Arial"/>
        </w:rPr>
        <w:t xml:space="preserve">.1 </w:t>
      </w:r>
      <w:r w:rsidRPr="227A2131">
        <w:rPr>
          <w:rFonts w:ascii="Arial" w:eastAsia="Arial" w:hAnsi="Arial" w:cs="Arial"/>
          <w:b/>
          <w:bCs/>
        </w:rPr>
        <w:t>Key Internal &amp; External Stakeholders</w:t>
      </w:r>
      <w:r w:rsidRPr="227A2131">
        <w:rPr>
          <w:rFonts w:ascii="Arial" w:eastAsia="Arial" w:hAnsi="Arial" w:cs="Arial"/>
        </w:rPr>
        <w:t xml:space="preserve"> ........................................ </w:t>
      </w:r>
      <w:r w:rsidR="6E6D20E9" w:rsidRPr="227A2131">
        <w:rPr>
          <w:rFonts w:ascii="Arial" w:eastAsia="Arial" w:hAnsi="Arial" w:cs="Arial"/>
        </w:rPr>
        <w:t>7-9</w:t>
      </w:r>
      <w:r>
        <w:br/>
      </w:r>
      <w:r w:rsidRPr="227A2131">
        <w:rPr>
          <w:rFonts w:ascii="Arial" w:eastAsia="Arial" w:hAnsi="Arial" w:cs="Arial"/>
        </w:rPr>
        <w:t xml:space="preserve"> </w:t>
      </w:r>
      <w:r w:rsidR="1E9A6287" w:rsidRPr="227A2131">
        <w:rPr>
          <w:rFonts w:ascii="Arial" w:eastAsia="Arial" w:hAnsi="Arial" w:cs="Arial"/>
        </w:rPr>
        <w:t>4</w:t>
      </w:r>
      <w:r w:rsidRPr="227A2131">
        <w:rPr>
          <w:rFonts w:ascii="Arial" w:eastAsia="Arial" w:hAnsi="Arial" w:cs="Arial"/>
        </w:rPr>
        <w:t xml:space="preserve">.2 </w:t>
      </w:r>
      <w:r w:rsidRPr="227A2131">
        <w:rPr>
          <w:rFonts w:ascii="Arial" w:eastAsia="Arial" w:hAnsi="Arial" w:cs="Arial"/>
          <w:b/>
          <w:bCs/>
        </w:rPr>
        <w:t>RACI Matrix</w:t>
      </w:r>
      <w:r w:rsidRPr="227A2131">
        <w:rPr>
          <w:rFonts w:ascii="Arial" w:eastAsia="Arial" w:hAnsi="Arial" w:cs="Arial"/>
        </w:rPr>
        <w:t xml:space="preserve"> ............................................................................ </w:t>
      </w:r>
      <w:r w:rsidR="4ADD2F15" w:rsidRPr="227A2131">
        <w:rPr>
          <w:rFonts w:ascii="Arial" w:eastAsia="Arial" w:hAnsi="Arial" w:cs="Arial"/>
        </w:rPr>
        <w:t>9</w:t>
      </w:r>
      <w:r>
        <w:br/>
      </w:r>
      <w:r w:rsidRPr="227A2131">
        <w:rPr>
          <w:rFonts w:ascii="Arial" w:eastAsia="Arial" w:hAnsi="Arial" w:cs="Arial"/>
        </w:rPr>
        <w:t xml:space="preserve"> </w:t>
      </w:r>
      <w:r w:rsidR="2A37C69C" w:rsidRPr="227A2131">
        <w:rPr>
          <w:rFonts w:ascii="Arial" w:eastAsia="Arial" w:hAnsi="Arial" w:cs="Arial"/>
        </w:rPr>
        <w:t>4</w:t>
      </w:r>
      <w:r w:rsidRPr="227A2131">
        <w:rPr>
          <w:rFonts w:ascii="Arial" w:eastAsia="Arial" w:hAnsi="Arial" w:cs="Arial"/>
        </w:rPr>
        <w:t xml:space="preserve">.3 </w:t>
      </w:r>
      <w:r w:rsidRPr="227A2131">
        <w:rPr>
          <w:rFonts w:ascii="Arial" w:eastAsia="Arial" w:hAnsi="Arial" w:cs="Arial"/>
          <w:b/>
          <w:bCs/>
        </w:rPr>
        <w:t>Stakeholder Map</w:t>
      </w:r>
      <w:r w:rsidRPr="227A2131">
        <w:rPr>
          <w:rFonts w:ascii="Arial" w:eastAsia="Arial" w:hAnsi="Arial" w:cs="Arial"/>
        </w:rPr>
        <w:t xml:space="preserve"> ..................................................................... </w:t>
      </w:r>
      <w:r w:rsidR="18E7F394" w:rsidRPr="227A2131">
        <w:rPr>
          <w:rFonts w:ascii="Arial" w:eastAsia="Arial" w:hAnsi="Arial" w:cs="Arial"/>
        </w:rPr>
        <w:t>9</w:t>
      </w:r>
      <w:r>
        <w:br/>
      </w:r>
      <w:r w:rsidRPr="227A2131">
        <w:rPr>
          <w:rFonts w:ascii="Arial" w:eastAsia="Arial" w:hAnsi="Arial" w:cs="Arial"/>
        </w:rPr>
        <w:t xml:space="preserve"> </w:t>
      </w:r>
      <w:r w:rsidR="05E3DCCC" w:rsidRPr="227A2131">
        <w:rPr>
          <w:rFonts w:ascii="Arial" w:eastAsia="Arial" w:hAnsi="Arial" w:cs="Arial"/>
        </w:rPr>
        <w:t>4</w:t>
      </w:r>
      <w:r w:rsidRPr="227A2131">
        <w:rPr>
          <w:rFonts w:ascii="Arial" w:eastAsia="Arial" w:hAnsi="Arial" w:cs="Arial"/>
        </w:rPr>
        <w:t xml:space="preserve">.4 </w:t>
      </w:r>
      <w:r w:rsidRPr="227A2131">
        <w:rPr>
          <w:rFonts w:ascii="Arial" w:eastAsia="Arial" w:hAnsi="Arial" w:cs="Arial"/>
          <w:b/>
          <w:bCs/>
        </w:rPr>
        <w:t>Stakeholder Power–Interest Matrix</w:t>
      </w:r>
      <w:r w:rsidRPr="227A2131">
        <w:rPr>
          <w:rFonts w:ascii="Arial" w:eastAsia="Arial" w:hAnsi="Arial" w:cs="Arial"/>
        </w:rPr>
        <w:t xml:space="preserve"> ............................................ </w:t>
      </w:r>
      <w:r w:rsidR="674A5EDC" w:rsidRPr="227A2131">
        <w:rPr>
          <w:rFonts w:ascii="Arial" w:eastAsia="Arial" w:hAnsi="Arial" w:cs="Arial"/>
        </w:rPr>
        <w:t>9-10</w:t>
      </w:r>
    </w:p>
    <w:p w14:paraId="632302A9" w14:textId="083D704C"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Roles, Responsibilities, Benefits &amp; Challenges</w:t>
      </w:r>
      <w:r w:rsidRPr="227A2131">
        <w:rPr>
          <w:rFonts w:ascii="Arial" w:eastAsia="Arial" w:hAnsi="Arial" w:cs="Arial"/>
        </w:rPr>
        <w:t xml:space="preserve"> ............................. </w:t>
      </w:r>
      <w:r w:rsidR="10ADCC61" w:rsidRPr="227A2131">
        <w:rPr>
          <w:rFonts w:ascii="Arial" w:eastAsia="Arial" w:hAnsi="Arial" w:cs="Arial"/>
        </w:rPr>
        <w:t>10-11</w:t>
      </w:r>
    </w:p>
    <w:p w14:paraId="3760330D" w14:textId="37948486"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Stakeholder Engagement Frameworks, Models &amp; Plans</w:t>
      </w:r>
      <w:r w:rsidRPr="227A2131">
        <w:rPr>
          <w:rFonts w:ascii="Arial" w:eastAsia="Arial" w:hAnsi="Arial" w:cs="Arial"/>
        </w:rPr>
        <w:t xml:space="preserve"> ............... </w:t>
      </w:r>
      <w:r w:rsidR="6D390C6F" w:rsidRPr="227A2131">
        <w:rPr>
          <w:rFonts w:ascii="Arial" w:eastAsia="Arial" w:hAnsi="Arial" w:cs="Arial"/>
        </w:rPr>
        <w:t>11</w:t>
      </w:r>
      <w:r>
        <w:br/>
      </w:r>
      <w:r w:rsidRPr="227A2131">
        <w:rPr>
          <w:rFonts w:ascii="Arial" w:eastAsia="Arial" w:hAnsi="Arial" w:cs="Arial"/>
        </w:rPr>
        <w:t xml:space="preserve"> </w:t>
      </w:r>
      <w:r w:rsidR="4C93C9AE" w:rsidRPr="227A2131">
        <w:rPr>
          <w:rFonts w:ascii="Arial" w:eastAsia="Arial" w:hAnsi="Arial" w:cs="Arial"/>
        </w:rPr>
        <w:t>6</w:t>
      </w:r>
      <w:r w:rsidRPr="227A2131">
        <w:rPr>
          <w:rFonts w:ascii="Arial" w:eastAsia="Arial" w:hAnsi="Arial" w:cs="Arial"/>
        </w:rPr>
        <w:t xml:space="preserve">.1 </w:t>
      </w:r>
      <w:r w:rsidRPr="227A2131">
        <w:rPr>
          <w:rFonts w:ascii="Arial" w:eastAsia="Arial" w:hAnsi="Arial" w:cs="Arial"/>
          <w:b/>
          <w:bCs/>
        </w:rPr>
        <w:t>Theoretical Foundations Applied</w:t>
      </w:r>
      <w:r w:rsidRPr="227A2131">
        <w:rPr>
          <w:rFonts w:ascii="Arial" w:eastAsia="Arial" w:hAnsi="Arial" w:cs="Arial"/>
        </w:rPr>
        <w:t xml:space="preserve"> ............................................... </w:t>
      </w:r>
      <w:r w:rsidR="4CD1F6CC" w:rsidRPr="227A2131">
        <w:rPr>
          <w:rFonts w:ascii="Arial" w:eastAsia="Arial" w:hAnsi="Arial" w:cs="Arial"/>
        </w:rPr>
        <w:t>11</w:t>
      </w:r>
      <w:r>
        <w:br/>
      </w:r>
      <w:r w:rsidRPr="227A2131">
        <w:rPr>
          <w:rFonts w:ascii="Arial" w:eastAsia="Arial" w:hAnsi="Arial" w:cs="Arial"/>
        </w:rPr>
        <w:t xml:space="preserve"> </w:t>
      </w:r>
      <w:r w:rsidR="7582E22E" w:rsidRPr="227A2131">
        <w:rPr>
          <w:rFonts w:ascii="Arial" w:eastAsia="Arial" w:hAnsi="Arial" w:cs="Arial"/>
        </w:rPr>
        <w:t>6</w:t>
      </w:r>
      <w:r w:rsidRPr="227A2131">
        <w:rPr>
          <w:rFonts w:ascii="Arial" w:eastAsia="Arial" w:hAnsi="Arial" w:cs="Arial"/>
        </w:rPr>
        <w:t xml:space="preserve">.2 </w:t>
      </w:r>
      <w:r w:rsidRPr="227A2131">
        <w:rPr>
          <w:rFonts w:ascii="Arial" w:eastAsia="Arial" w:hAnsi="Arial" w:cs="Arial"/>
          <w:b/>
          <w:bCs/>
        </w:rPr>
        <w:t>Stakeholder Engagement Plan Mechanisms</w:t>
      </w:r>
      <w:r w:rsidRPr="227A2131">
        <w:rPr>
          <w:rFonts w:ascii="Arial" w:eastAsia="Arial" w:hAnsi="Arial" w:cs="Arial"/>
        </w:rPr>
        <w:t xml:space="preserve"> .............................. </w:t>
      </w:r>
      <w:r w:rsidR="1C6A233E" w:rsidRPr="227A2131">
        <w:rPr>
          <w:rFonts w:ascii="Arial" w:eastAsia="Arial" w:hAnsi="Arial" w:cs="Arial"/>
        </w:rPr>
        <w:t>11-12</w:t>
      </w:r>
      <w:r>
        <w:br/>
      </w:r>
      <w:r w:rsidRPr="227A2131">
        <w:rPr>
          <w:rFonts w:ascii="Arial" w:eastAsia="Arial" w:hAnsi="Arial" w:cs="Arial"/>
        </w:rPr>
        <w:t xml:space="preserve"> 7.3 </w:t>
      </w:r>
      <w:r w:rsidRPr="227A2131">
        <w:rPr>
          <w:rFonts w:ascii="Arial" w:eastAsia="Arial" w:hAnsi="Arial" w:cs="Arial"/>
          <w:b/>
          <w:bCs/>
        </w:rPr>
        <w:t>Communication Plan – Cadence &amp; Tools</w:t>
      </w:r>
      <w:r w:rsidRPr="227A2131">
        <w:rPr>
          <w:rFonts w:ascii="Arial" w:eastAsia="Arial" w:hAnsi="Arial" w:cs="Arial"/>
        </w:rPr>
        <w:t xml:space="preserve"> .................................. </w:t>
      </w:r>
      <w:r w:rsidR="0DD51D28" w:rsidRPr="227A2131">
        <w:rPr>
          <w:rFonts w:ascii="Arial" w:eastAsia="Arial" w:hAnsi="Arial" w:cs="Arial"/>
        </w:rPr>
        <w:t>12</w:t>
      </w:r>
      <w:r>
        <w:br/>
      </w:r>
      <w:r w:rsidRPr="227A2131">
        <w:rPr>
          <w:rFonts w:ascii="Arial" w:eastAsia="Arial" w:hAnsi="Arial" w:cs="Arial"/>
        </w:rPr>
        <w:t xml:space="preserve"> 7.4 </w:t>
      </w:r>
      <w:r w:rsidRPr="227A2131">
        <w:rPr>
          <w:rFonts w:ascii="Arial" w:eastAsia="Arial" w:hAnsi="Arial" w:cs="Arial"/>
          <w:b/>
          <w:bCs/>
        </w:rPr>
        <w:t>Stakeholder Engagement Intensity Matrix</w:t>
      </w:r>
      <w:r w:rsidRPr="227A2131">
        <w:rPr>
          <w:rFonts w:ascii="Arial" w:eastAsia="Arial" w:hAnsi="Arial" w:cs="Arial"/>
        </w:rPr>
        <w:t xml:space="preserve"> ................................ </w:t>
      </w:r>
      <w:r w:rsidR="786F2DA0" w:rsidRPr="227A2131">
        <w:rPr>
          <w:rFonts w:ascii="Arial" w:eastAsia="Arial" w:hAnsi="Arial" w:cs="Arial"/>
        </w:rPr>
        <w:t>12-13</w:t>
      </w:r>
    </w:p>
    <w:p w14:paraId="6BEC65E4" w14:textId="01062938"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Critical Stakeholder Engagement Process &amp; Conflict Management Using the 4C’s Model</w:t>
      </w:r>
      <w:r w:rsidRPr="227A2131">
        <w:rPr>
          <w:rFonts w:ascii="Arial" w:eastAsia="Arial" w:hAnsi="Arial" w:cs="Arial"/>
        </w:rPr>
        <w:t xml:space="preserve"> .......................................................................... 24</w:t>
      </w:r>
      <w:r>
        <w:br/>
      </w:r>
      <w:r w:rsidRPr="227A2131">
        <w:rPr>
          <w:rFonts w:ascii="Arial" w:eastAsia="Arial" w:hAnsi="Arial" w:cs="Arial"/>
        </w:rPr>
        <w:t xml:space="preserve"> 8.1 </w:t>
      </w:r>
      <w:r w:rsidRPr="227A2131">
        <w:rPr>
          <w:rFonts w:ascii="Arial" w:eastAsia="Arial" w:hAnsi="Arial" w:cs="Arial"/>
          <w:b/>
          <w:bCs/>
        </w:rPr>
        <w:t>Communication</w:t>
      </w:r>
      <w:r w:rsidRPr="227A2131">
        <w:rPr>
          <w:rFonts w:ascii="Arial" w:eastAsia="Arial" w:hAnsi="Arial" w:cs="Arial"/>
        </w:rPr>
        <w:t xml:space="preserve"> ........................................................................ 25</w:t>
      </w:r>
      <w:r>
        <w:br/>
      </w:r>
      <w:r w:rsidRPr="227A2131">
        <w:rPr>
          <w:rFonts w:ascii="Arial" w:eastAsia="Arial" w:hAnsi="Arial" w:cs="Arial"/>
        </w:rPr>
        <w:t xml:space="preserve"> 8.2 </w:t>
      </w:r>
      <w:r w:rsidRPr="227A2131">
        <w:rPr>
          <w:rFonts w:ascii="Arial" w:eastAsia="Arial" w:hAnsi="Arial" w:cs="Arial"/>
          <w:b/>
          <w:bCs/>
        </w:rPr>
        <w:t>Coordination</w:t>
      </w:r>
      <w:r w:rsidRPr="227A2131">
        <w:rPr>
          <w:rFonts w:ascii="Arial" w:eastAsia="Arial" w:hAnsi="Arial" w:cs="Arial"/>
        </w:rPr>
        <w:t xml:space="preserve"> ............................................................................ 27</w:t>
      </w:r>
      <w:r>
        <w:br/>
      </w:r>
      <w:r w:rsidRPr="227A2131">
        <w:rPr>
          <w:rFonts w:ascii="Arial" w:eastAsia="Arial" w:hAnsi="Arial" w:cs="Arial"/>
        </w:rPr>
        <w:t xml:space="preserve"> 8.3 </w:t>
      </w:r>
      <w:r w:rsidRPr="227A2131">
        <w:rPr>
          <w:rFonts w:ascii="Arial" w:eastAsia="Arial" w:hAnsi="Arial" w:cs="Arial"/>
          <w:b/>
          <w:bCs/>
        </w:rPr>
        <w:t>Cooperation</w:t>
      </w:r>
      <w:r w:rsidRPr="227A2131">
        <w:rPr>
          <w:rFonts w:ascii="Arial" w:eastAsia="Arial" w:hAnsi="Arial" w:cs="Arial"/>
        </w:rPr>
        <w:t xml:space="preserve"> ............................................................................. 29</w:t>
      </w:r>
      <w:r>
        <w:br/>
      </w:r>
      <w:r w:rsidRPr="227A2131">
        <w:rPr>
          <w:rFonts w:ascii="Arial" w:eastAsia="Arial" w:hAnsi="Arial" w:cs="Arial"/>
        </w:rPr>
        <w:t xml:space="preserve"> 8.4 </w:t>
      </w:r>
      <w:r w:rsidRPr="227A2131">
        <w:rPr>
          <w:rFonts w:ascii="Arial" w:eastAsia="Arial" w:hAnsi="Arial" w:cs="Arial"/>
          <w:b/>
          <w:bCs/>
        </w:rPr>
        <w:t>Collaboration &amp; Conflict Elimination</w:t>
      </w:r>
      <w:r w:rsidRPr="227A2131">
        <w:rPr>
          <w:rFonts w:ascii="Arial" w:eastAsia="Arial" w:hAnsi="Arial" w:cs="Arial"/>
        </w:rPr>
        <w:t xml:space="preserve"> ........................................... 31</w:t>
      </w:r>
      <w:r>
        <w:br/>
      </w:r>
      <w:r w:rsidRPr="227A2131">
        <w:rPr>
          <w:rFonts w:ascii="Arial" w:eastAsia="Arial" w:hAnsi="Arial" w:cs="Arial"/>
        </w:rPr>
        <w:t xml:space="preserve"> 8.5 </w:t>
      </w:r>
      <w:r w:rsidRPr="227A2131">
        <w:rPr>
          <w:rFonts w:ascii="Arial" w:eastAsia="Arial" w:hAnsi="Arial" w:cs="Arial"/>
          <w:b/>
          <w:bCs/>
        </w:rPr>
        <w:t>Conflict Management Approaches Applied</w:t>
      </w:r>
      <w:r w:rsidRPr="227A2131">
        <w:rPr>
          <w:rFonts w:ascii="Arial" w:eastAsia="Arial" w:hAnsi="Arial" w:cs="Arial"/>
        </w:rPr>
        <w:t xml:space="preserve"> ................................ 32</w:t>
      </w:r>
    </w:p>
    <w:p w14:paraId="3540823C" w14:textId="6518046B"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Impact of Stakeholder Engagement on Business Performance</w:t>
      </w:r>
      <w:r w:rsidRPr="227A2131">
        <w:rPr>
          <w:rFonts w:ascii="Arial" w:eastAsia="Arial" w:hAnsi="Arial" w:cs="Arial"/>
        </w:rPr>
        <w:t xml:space="preserve"> .... 34</w:t>
      </w:r>
    </w:p>
    <w:p w14:paraId="50AC66AC" w14:textId="5FC56502"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Recommendations for Future Stakeholder Engagement</w:t>
      </w:r>
      <w:r w:rsidRPr="227A2131">
        <w:rPr>
          <w:rFonts w:ascii="Arial" w:eastAsia="Arial" w:hAnsi="Arial" w:cs="Arial"/>
        </w:rPr>
        <w:t xml:space="preserve"> ............. 38</w:t>
      </w:r>
    </w:p>
    <w:p w14:paraId="32EB7D67" w14:textId="03D5FF5A"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Conclusion</w:t>
      </w:r>
      <w:r w:rsidRPr="227A2131">
        <w:rPr>
          <w:rFonts w:ascii="Arial" w:eastAsia="Arial" w:hAnsi="Arial" w:cs="Arial"/>
        </w:rPr>
        <w:t xml:space="preserve"> ................................................................................. 41</w:t>
      </w:r>
    </w:p>
    <w:p w14:paraId="379E577A" w14:textId="6FF12BA2" w:rsidR="51CBC49F" w:rsidRDefault="51CBC49F" w:rsidP="227A2131">
      <w:pPr>
        <w:pStyle w:val="ListParagraph"/>
        <w:numPr>
          <w:ilvl w:val="0"/>
          <w:numId w:val="1"/>
        </w:numPr>
        <w:spacing w:before="240" w:after="240"/>
        <w:rPr>
          <w:rFonts w:ascii="Arial" w:eastAsia="Arial" w:hAnsi="Arial" w:cs="Arial"/>
        </w:rPr>
      </w:pPr>
      <w:r w:rsidRPr="227A2131">
        <w:rPr>
          <w:rFonts w:ascii="Arial" w:eastAsia="Arial" w:hAnsi="Arial" w:cs="Arial"/>
          <w:b/>
          <w:bCs/>
        </w:rPr>
        <w:t>References</w:t>
      </w:r>
      <w:r w:rsidRPr="227A2131">
        <w:rPr>
          <w:rFonts w:ascii="Arial" w:eastAsia="Arial" w:hAnsi="Arial" w:cs="Arial"/>
        </w:rPr>
        <w:t xml:space="preserve"> ................................................................................ 17-18</w:t>
      </w:r>
    </w:p>
    <w:p w14:paraId="1C21B05B" w14:textId="01CF9709" w:rsidR="227A2131" w:rsidRDefault="227A2131" w:rsidP="227A2131">
      <w:pPr>
        <w:rPr>
          <w:rFonts w:ascii="Arial" w:eastAsia="Arial" w:hAnsi="Arial" w:cs="Arial"/>
          <w:b/>
          <w:bCs/>
        </w:rPr>
      </w:pPr>
      <w:r>
        <w:br/>
      </w:r>
      <w:r w:rsidR="0822A602" w:rsidRPr="227A2131">
        <w:rPr>
          <w:rFonts w:ascii="Arial" w:eastAsia="Arial" w:hAnsi="Arial" w:cs="Arial"/>
          <w:b/>
          <w:bCs/>
        </w:rPr>
        <w:t>Executive Summary</w:t>
      </w:r>
    </w:p>
    <w:p w14:paraId="3A874C6E" w14:textId="791BF61B" w:rsidR="0822A602" w:rsidRDefault="0822A602" w:rsidP="227A2131">
      <w:pPr>
        <w:rPr>
          <w:rFonts w:ascii="Arial" w:eastAsia="Arial" w:hAnsi="Arial" w:cs="Arial"/>
        </w:rPr>
      </w:pPr>
      <w:r w:rsidRPr="227A2131">
        <w:rPr>
          <w:rFonts w:ascii="Arial" w:eastAsia="Arial" w:hAnsi="Arial" w:cs="Arial"/>
        </w:rPr>
        <w:t xml:space="preserve">Fitbit UK plans to launch a new wearable health device within six months which monitors heart rate, SpO2 (oxygen saturation), and sleep patterns. As the appointed Project Manager, my responsibility is to ensure stakeholders are actively engaged, satisfied, and strategically aligned to </w:t>
      </w:r>
      <w:proofErr w:type="spellStart"/>
      <w:r w:rsidRPr="227A2131">
        <w:rPr>
          <w:rFonts w:ascii="Arial" w:eastAsia="Arial" w:hAnsi="Arial" w:cs="Arial"/>
        </w:rPr>
        <w:t>maximise</w:t>
      </w:r>
      <w:proofErr w:type="spellEnd"/>
      <w:r w:rsidRPr="227A2131">
        <w:rPr>
          <w:rFonts w:ascii="Arial" w:eastAsia="Arial" w:hAnsi="Arial" w:cs="Arial"/>
        </w:rPr>
        <w:t xml:space="preserve"> project success and business performance.</w:t>
      </w:r>
    </w:p>
    <w:p w14:paraId="11E35DED" w14:textId="0BD708A2" w:rsidR="0822A602" w:rsidRDefault="0822A602" w:rsidP="227A2131">
      <w:pPr>
        <w:rPr>
          <w:rFonts w:ascii="Arial" w:eastAsia="Arial" w:hAnsi="Arial" w:cs="Arial"/>
        </w:rPr>
      </w:pPr>
      <w:r w:rsidRPr="227A2131">
        <w:rPr>
          <w:rFonts w:ascii="Arial" w:eastAsia="Arial" w:hAnsi="Arial" w:cs="Arial"/>
        </w:rPr>
        <w:t xml:space="preserve">This report assesses Fitbit’s </w:t>
      </w:r>
      <w:proofErr w:type="spellStart"/>
      <w:r w:rsidRPr="227A2131">
        <w:rPr>
          <w:rFonts w:ascii="Arial" w:eastAsia="Arial" w:hAnsi="Arial" w:cs="Arial"/>
        </w:rPr>
        <w:t>organisational</w:t>
      </w:r>
      <w:proofErr w:type="spellEnd"/>
      <w:r w:rsidRPr="227A2131">
        <w:rPr>
          <w:rFonts w:ascii="Arial" w:eastAsia="Arial" w:hAnsi="Arial" w:cs="Arial"/>
        </w:rPr>
        <w:t xml:space="preserve"> position using SWOT, PESTLE, and SMART objectives, followed by stakeholder identification, responsibility allocation, engagement planning, communication strategies, and conflict management grounded in academic theory—including Freeman’s stakeholder theory (1984), </w:t>
      </w:r>
      <w:proofErr w:type="spellStart"/>
      <w:r w:rsidRPr="227A2131">
        <w:rPr>
          <w:rFonts w:ascii="Arial" w:eastAsia="Arial" w:hAnsi="Arial" w:cs="Arial"/>
        </w:rPr>
        <w:t>Mendelow’s</w:t>
      </w:r>
      <w:proofErr w:type="spellEnd"/>
      <w:r w:rsidRPr="227A2131">
        <w:rPr>
          <w:rFonts w:ascii="Arial" w:eastAsia="Arial" w:hAnsi="Arial" w:cs="Arial"/>
        </w:rPr>
        <w:t xml:space="preserve"> power-interest matrix (1991), the 4C’s model (Ellis et al., 1991), Relationship Marketing (Christopher et al., 2013), and RACI frameworks.</w:t>
      </w:r>
    </w:p>
    <w:p w14:paraId="384D597C" w14:textId="7E85BDBF" w:rsidR="0822A602" w:rsidRDefault="0822A602" w:rsidP="227A2131">
      <w:pPr>
        <w:rPr>
          <w:rFonts w:ascii="Arial" w:eastAsia="Arial" w:hAnsi="Arial" w:cs="Arial"/>
        </w:rPr>
      </w:pPr>
      <w:r w:rsidRPr="227A2131">
        <w:rPr>
          <w:rFonts w:ascii="Arial" w:eastAsia="Arial" w:hAnsi="Arial" w:cs="Arial"/>
        </w:rPr>
        <w:t xml:space="preserve">Key findings indicate that Fitbit benefits from strong brand equity, technological credibility, and NHS/public health partnership potential, but faces challenges such as market saturation, supply-chain risks, data-security concerns, and fast-moving competitors like Apple and </w:t>
      </w:r>
      <w:proofErr w:type="spellStart"/>
      <w:r w:rsidRPr="227A2131">
        <w:rPr>
          <w:rFonts w:ascii="Arial" w:eastAsia="Arial" w:hAnsi="Arial" w:cs="Arial"/>
        </w:rPr>
        <w:t>Oura</w:t>
      </w:r>
      <w:proofErr w:type="spellEnd"/>
      <w:r w:rsidRPr="227A2131">
        <w:rPr>
          <w:rFonts w:ascii="Arial" w:eastAsia="Arial" w:hAnsi="Arial" w:cs="Arial"/>
        </w:rPr>
        <w:t>.</w:t>
      </w:r>
    </w:p>
    <w:p w14:paraId="4BD1E780" w14:textId="330AC61E" w:rsidR="0822A602" w:rsidRDefault="0822A602" w:rsidP="227A2131">
      <w:pPr>
        <w:rPr>
          <w:rFonts w:ascii="Arial" w:eastAsia="Arial" w:hAnsi="Arial" w:cs="Arial"/>
        </w:rPr>
      </w:pPr>
      <w:r w:rsidRPr="227A2131">
        <w:rPr>
          <w:rFonts w:ascii="Arial" w:eastAsia="Arial" w:hAnsi="Arial" w:cs="Arial"/>
        </w:rPr>
        <w:t>Stakeholder engagement is managed through structured stakeholder mapping, RACI matrices, communication cadence planning, risk-based coordination, and collaborative escalation pathways. Conflict mitigation techniques include transparent communication, cross-department governance, negotiation protocols, data-privacy compliance, and expectation management between high-power stakeholders with competing priorities (e.g., marketing vs. product development).</w:t>
      </w:r>
    </w:p>
    <w:p w14:paraId="3595A846" w14:textId="05986D4C" w:rsidR="0822A602" w:rsidRDefault="0822A602" w:rsidP="227A2131">
      <w:pPr>
        <w:rPr>
          <w:rFonts w:ascii="Arial" w:eastAsia="Arial" w:hAnsi="Arial" w:cs="Arial"/>
        </w:rPr>
      </w:pPr>
      <w:r w:rsidRPr="227A2131">
        <w:rPr>
          <w:rFonts w:ascii="Arial" w:eastAsia="Arial" w:hAnsi="Arial" w:cs="Arial"/>
        </w:rPr>
        <w:t>The impact evaluation shows that effective stakeholder engagement directly improves product quality, regulatory compliance, speed-to-market, customer trust, and market adoption, positively influencing financial and reputational performance.</w:t>
      </w:r>
    </w:p>
    <w:p w14:paraId="1F242C8B" w14:textId="73E05280" w:rsidR="0822A602" w:rsidRDefault="0822A602" w:rsidP="227A2131">
      <w:pPr>
        <w:rPr>
          <w:rFonts w:ascii="Arial" w:eastAsia="Arial" w:hAnsi="Arial" w:cs="Arial"/>
        </w:rPr>
      </w:pPr>
      <w:r w:rsidRPr="227A2131">
        <w:rPr>
          <w:rFonts w:ascii="Arial" w:eastAsia="Arial" w:hAnsi="Arial" w:cs="Arial"/>
        </w:rPr>
        <w:t xml:space="preserve">Strategic recommendations include </w:t>
      </w:r>
      <w:proofErr w:type="spellStart"/>
      <w:r w:rsidRPr="227A2131">
        <w:rPr>
          <w:rFonts w:ascii="Arial" w:eastAsia="Arial" w:hAnsi="Arial" w:cs="Arial"/>
        </w:rPr>
        <w:t>formalising</w:t>
      </w:r>
      <w:proofErr w:type="spellEnd"/>
      <w:r w:rsidRPr="227A2131">
        <w:rPr>
          <w:rFonts w:ascii="Arial" w:eastAsia="Arial" w:hAnsi="Arial" w:cs="Arial"/>
        </w:rPr>
        <w:t xml:space="preserve"> co-creation workshops, strengthening GP/NHS ecosystem pilots, expanding retailer onboarding, adopting AI-driven </w:t>
      </w:r>
      <w:proofErr w:type="spellStart"/>
      <w:r w:rsidRPr="227A2131">
        <w:rPr>
          <w:rFonts w:ascii="Arial" w:eastAsia="Arial" w:hAnsi="Arial" w:cs="Arial"/>
        </w:rPr>
        <w:t>personalised</w:t>
      </w:r>
      <w:proofErr w:type="spellEnd"/>
      <w:r w:rsidRPr="227A2131">
        <w:rPr>
          <w:rFonts w:ascii="Arial" w:eastAsia="Arial" w:hAnsi="Arial" w:cs="Arial"/>
        </w:rPr>
        <w:t xml:space="preserve"> data insights, and increasing stakeholder sentiment tracking post-launch.</w:t>
      </w:r>
    </w:p>
    <w:p w14:paraId="1CE0B5D0" w14:textId="0B3AA2EA" w:rsidR="0822A602" w:rsidRDefault="0822A602" w:rsidP="227A2131">
      <w:pPr>
        <w:rPr>
          <w:rFonts w:ascii="Arial" w:eastAsia="Arial" w:hAnsi="Arial" w:cs="Arial"/>
        </w:rPr>
      </w:pPr>
      <w:r w:rsidRPr="227A2131">
        <w:rPr>
          <w:rFonts w:ascii="Arial" w:eastAsia="Arial" w:hAnsi="Arial" w:cs="Arial"/>
        </w:rPr>
        <w:t>Overall, stakeholder-centric project governance positions Fitbit UK to achieve successful device launch with improved business outcomes and long-term competitive advantage.</w:t>
      </w:r>
    </w:p>
    <w:p w14:paraId="472C000E" w14:textId="3217A7FC" w:rsidR="227A2131" w:rsidRDefault="227A2131" w:rsidP="227A2131">
      <w:pPr>
        <w:rPr>
          <w:rFonts w:ascii="Arial" w:eastAsia="Arial" w:hAnsi="Arial" w:cs="Arial"/>
        </w:rPr>
      </w:pPr>
    </w:p>
    <w:p w14:paraId="2F3548AA" w14:textId="0E1CF4F7" w:rsidR="0822A602" w:rsidRDefault="0822A602" w:rsidP="227A2131">
      <w:pPr>
        <w:rPr>
          <w:rFonts w:ascii="Arial" w:eastAsia="Arial" w:hAnsi="Arial" w:cs="Arial"/>
          <w:b/>
          <w:bCs/>
        </w:rPr>
      </w:pPr>
      <w:r w:rsidRPr="227A2131">
        <w:rPr>
          <w:rFonts w:ascii="Arial" w:eastAsia="Arial" w:hAnsi="Arial" w:cs="Arial"/>
          <w:b/>
          <w:bCs/>
        </w:rPr>
        <w:t xml:space="preserve">1. Introduction of the Company – Fitbit UK </w:t>
      </w:r>
    </w:p>
    <w:p w14:paraId="004D2632" w14:textId="1FCE9FFA" w:rsidR="0822A602" w:rsidRDefault="0822A602" w:rsidP="227A2131">
      <w:pPr>
        <w:rPr>
          <w:rFonts w:ascii="Arial" w:eastAsia="Arial" w:hAnsi="Arial" w:cs="Arial"/>
        </w:rPr>
      </w:pPr>
      <w:r w:rsidRPr="227A2131">
        <w:rPr>
          <w:rFonts w:ascii="Arial" w:eastAsia="Arial" w:hAnsi="Arial" w:cs="Arial"/>
        </w:rPr>
        <w:t xml:space="preserve">Fitbit is a globally </w:t>
      </w:r>
      <w:proofErr w:type="spellStart"/>
      <w:r w:rsidRPr="227A2131">
        <w:rPr>
          <w:rFonts w:ascii="Arial" w:eastAsia="Arial" w:hAnsi="Arial" w:cs="Arial"/>
        </w:rPr>
        <w:t>recognised</w:t>
      </w:r>
      <w:proofErr w:type="spellEnd"/>
      <w:r w:rsidRPr="227A2131">
        <w:rPr>
          <w:rFonts w:ascii="Arial" w:eastAsia="Arial" w:hAnsi="Arial" w:cs="Arial"/>
        </w:rPr>
        <w:t xml:space="preserve"> UK-operational wearable health technology company, now owned by Google LLC following acquisition in 2021. Fitbit’s UK headquarters operate within London, supported by a network of certified retail distributors including Argos, </w:t>
      </w:r>
      <w:proofErr w:type="spellStart"/>
      <w:r w:rsidRPr="227A2131">
        <w:rPr>
          <w:rFonts w:ascii="Arial" w:eastAsia="Arial" w:hAnsi="Arial" w:cs="Arial"/>
        </w:rPr>
        <w:t>Currys</w:t>
      </w:r>
      <w:proofErr w:type="spellEnd"/>
      <w:r w:rsidRPr="227A2131">
        <w:rPr>
          <w:rFonts w:ascii="Arial" w:eastAsia="Arial" w:hAnsi="Arial" w:cs="Arial"/>
        </w:rPr>
        <w:t xml:space="preserve">, John Lewis, Amazon UK and select pharmacy chains (Fitbit, 2023). The </w:t>
      </w:r>
      <w:proofErr w:type="spellStart"/>
      <w:r w:rsidRPr="227A2131">
        <w:rPr>
          <w:rFonts w:ascii="Arial" w:eastAsia="Arial" w:hAnsi="Arial" w:cs="Arial"/>
        </w:rPr>
        <w:t>organisation</w:t>
      </w:r>
      <w:proofErr w:type="spellEnd"/>
      <w:r w:rsidRPr="227A2131">
        <w:rPr>
          <w:rFonts w:ascii="Arial" w:eastAsia="Arial" w:hAnsi="Arial" w:cs="Arial"/>
        </w:rPr>
        <w:t xml:space="preserve"> employs over 1,500 staff worldwide, with UK operations primarily focused on sales, marketing, product </w:t>
      </w:r>
      <w:proofErr w:type="spellStart"/>
      <w:r w:rsidRPr="227A2131">
        <w:rPr>
          <w:rFonts w:ascii="Arial" w:eastAsia="Arial" w:hAnsi="Arial" w:cs="Arial"/>
        </w:rPr>
        <w:t>localisation</w:t>
      </w:r>
      <w:proofErr w:type="spellEnd"/>
      <w:r w:rsidRPr="227A2131">
        <w:rPr>
          <w:rFonts w:ascii="Arial" w:eastAsia="Arial" w:hAnsi="Arial" w:cs="Arial"/>
        </w:rPr>
        <w:t>, regulatory compliance, user-data services, and strategic public-health partnerships (Google, 2022).</w:t>
      </w:r>
    </w:p>
    <w:p w14:paraId="1BF91447" w14:textId="77C9F498" w:rsidR="0822A602" w:rsidRDefault="0822A602" w:rsidP="227A2131">
      <w:pPr>
        <w:rPr>
          <w:rFonts w:ascii="Arial" w:eastAsia="Arial" w:hAnsi="Arial" w:cs="Arial"/>
        </w:rPr>
      </w:pPr>
      <w:r w:rsidRPr="227A2131">
        <w:rPr>
          <w:rFonts w:ascii="Arial" w:eastAsia="Arial" w:hAnsi="Arial" w:cs="Arial"/>
        </w:rPr>
        <w:t xml:space="preserve">Fitbit designs consumer-centric fitness and clinical-adjacent wearables with advanced biometric tracking capabilities. The business operates within a rapidly evolving UK health technology market, where wearables are increasingly </w:t>
      </w:r>
      <w:proofErr w:type="spellStart"/>
      <w:r w:rsidRPr="227A2131">
        <w:rPr>
          <w:rFonts w:ascii="Arial" w:eastAsia="Arial" w:hAnsi="Arial" w:cs="Arial"/>
        </w:rPr>
        <w:t>recognised</w:t>
      </w:r>
      <w:proofErr w:type="spellEnd"/>
      <w:r w:rsidRPr="227A2131">
        <w:rPr>
          <w:rFonts w:ascii="Arial" w:eastAsia="Arial" w:hAnsi="Arial" w:cs="Arial"/>
        </w:rPr>
        <w:t xml:space="preserve"> as preventative health monitoring tools. Fitbit’s wearables capture data for heart rate, oxygen saturation (SpO2), sleep diagnostics, activity trends, stress detection, calorie usage, and cardiac irregularity alerts via </w:t>
      </w:r>
      <w:proofErr w:type="spellStart"/>
      <w:r w:rsidRPr="227A2131">
        <w:rPr>
          <w:rFonts w:ascii="Arial" w:eastAsia="Arial" w:hAnsi="Arial" w:cs="Arial"/>
        </w:rPr>
        <w:t>photoplethysmography</w:t>
      </w:r>
      <w:proofErr w:type="spellEnd"/>
      <w:r w:rsidRPr="227A2131">
        <w:rPr>
          <w:rFonts w:ascii="Arial" w:eastAsia="Arial" w:hAnsi="Arial" w:cs="Arial"/>
        </w:rPr>
        <w:t>-based (PPG) sensors (Fitbit, 2024).</w:t>
      </w:r>
    </w:p>
    <w:p w14:paraId="58D17C63" w14:textId="6EF4D1A3" w:rsidR="0822A602" w:rsidRDefault="0822A602" w:rsidP="227A2131">
      <w:pPr>
        <w:rPr>
          <w:rFonts w:ascii="Arial" w:eastAsia="Arial" w:hAnsi="Arial" w:cs="Arial"/>
        </w:rPr>
      </w:pPr>
      <w:r w:rsidRPr="227A2131">
        <w:rPr>
          <w:rFonts w:ascii="Arial" w:eastAsia="Arial" w:hAnsi="Arial" w:cs="Arial"/>
        </w:rPr>
        <w:t>Fitbit’s operational activities extend beyond consumer fitness, increasingly targeting digital healthcare engagement, corporate wellness contracts and NHS-adjacent technology pilots, particularly in chronic disease prevention, atrial fibrillation monitoring, diabetes risk detection, and respiratory health support (NHS Digital, 2023).</w:t>
      </w:r>
    </w:p>
    <w:p w14:paraId="76B022D5" w14:textId="6BD356FF" w:rsidR="0822A602" w:rsidRDefault="0822A602" w:rsidP="227A2131">
      <w:pPr>
        <w:rPr>
          <w:rFonts w:ascii="Arial" w:eastAsia="Arial" w:hAnsi="Arial" w:cs="Arial"/>
        </w:rPr>
      </w:pPr>
      <w:r w:rsidRPr="227A2131">
        <w:rPr>
          <w:rFonts w:ascii="Arial" w:eastAsia="Arial" w:hAnsi="Arial" w:cs="Arial"/>
        </w:rPr>
        <w:t xml:space="preserve">Fitbit UK </w:t>
      </w:r>
      <w:proofErr w:type="spellStart"/>
      <w:r w:rsidRPr="227A2131">
        <w:rPr>
          <w:rFonts w:ascii="Arial" w:eastAsia="Arial" w:hAnsi="Arial" w:cs="Arial"/>
        </w:rPr>
        <w:t>utilises</w:t>
      </w:r>
      <w:proofErr w:type="spellEnd"/>
      <w:r w:rsidRPr="227A2131">
        <w:rPr>
          <w:rFonts w:ascii="Arial" w:eastAsia="Arial" w:hAnsi="Arial" w:cs="Arial"/>
        </w:rPr>
        <w:t xml:space="preserve"> a stakeholder-driven value model, integrating technical innovation, third-party data governance, wearable product development, retail partnerships, platform ecosystem integration (Google Cloud + Android), and public health adoption strategies. Given its size, credibility, and UK presence, Fitbit is strategically positioned to launch a high-impact new health wearable within the planned six-month product launch schedule.</w:t>
      </w:r>
    </w:p>
    <w:p w14:paraId="76976EF0" w14:textId="1C27E503" w:rsidR="227A2131" w:rsidRDefault="227A2131" w:rsidP="227A2131">
      <w:pPr>
        <w:rPr>
          <w:rFonts w:ascii="Arial" w:eastAsia="Arial" w:hAnsi="Arial" w:cs="Arial"/>
        </w:rPr>
      </w:pPr>
    </w:p>
    <w:p w14:paraId="056CC8A8" w14:textId="42887B14" w:rsidR="0822A602" w:rsidRDefault="0822A602" w:rsidP="227A2131">
      <w:pPr>
        <w:rPr>
          <w:rFonts w:ascii="Arial" w:eastAsia="Arial" w:hAnsi="Arial" w:cs="Arial"/>
          <w:b/>
          <w:bCs/>
        </w:rPr>
      </w:pPr>
      <w:r w:rsidRPr="227A2131">
        <w:rPr>
          <w:rFonts w:ascii="Arial" w:eastAsia="Arial" w:hAnsi="Arial" w:cs="Arial"/>
          <w:b/>
          <w:bCs/>
        </w:rPr>
        <w:t xml:space="preserve">2. Project Outline: Wearable Health Device Launch </w:t>
      </w:r>
    </w:p>
    <w:p w14:paraId="5028B70D" w14:textId="6EC9FE95" w:rsidR="0822A602" w:rsidRDefault="0822A602" w:rsidP="227A2131">
      <w:pPr>
        <w:rPr>
          <w:rFonts w:ascii="Arial" w:eastAsia="Arial" w:hAnsi="Arial" w:cs="Arial"/>
        </w:rPr>
      </w:pPr>
      <w:r w:rsidRPr="227A2131">
        <w:rPr>
          <w:rFonts w:ascii="Arial" w:eastAsia="Arial" w:hAnsi="Arial" w:cs="Arial"/>
        </w:rPr>
        <w:t xml:space="preserve">Fitbit UK is preparing to launch a next-generation wearable device within six months, aimed at everyday consumers and preventative care users. The core product value proposition is advanced biometric monitoring, tracking heart rate, oxygen levels (SpO2), and sleep </w:t>
      </w:r>
      <w:proofErr w:type="spellStart"/>
      <w:r w:rsidRPr="227A2131">
        <w:rPr>
          <w:rFonts w:ascii="Arial" w:eastAsia="Arial" w:hAnsi="Arial" w:cs="Arial"/>
        </w:rPr>
        <w:t>behavioural</w:t>
      </w:r>
      <w:proofErr w:type="spellEnd"/>
      <w:r w:rsidRPr="227A2131">
        <w:rPr>
          <w:rFonts w:ascii="Arial" w:eastAsia="Arial" w:hAnsi="Arial" w:cs="Arial"/>
        </w:rPr>
        <w:t xml:space="preserve"> patterns. The launch must coordinate product readiness, sensor validation, regulatory approval, retail onboarding, marketing activation, consumer trust frameworks, supply-chain </w:t>
      </w:r>
      <w:proofErr w:type="spellStart"/>
      <w:r w:rsidRPr="227A2131">
        <w:rPr>
          <w:rFonts w:ascii="Arial" w:eastAsia="Arial" w:hAnsi="Arial" w:cs="Arial"/>
        </w:rPr>
        <w:t>fulfilment</w:t>
      </w:r>
      <w:proofErr w:type="spellEnd"/>
      <w:r w:rsidRPr="227A2131">
        <w:rPr>
          <w:rFonts w:ascii="Arial" w:eastAsia="Arial" w:hAnsi="Arial" w:cs="Arial"/>
        </w:rPr>
        <w:t>, cybersecurity compliance, platform integration, and customer-support enablement.</w:t>
      </w:r>
    </w:p>
    <w:p w14:paraId="3DB88F03" w14:textId="1F82E19B" w:rsidR="0822A602" w:rsidRDefault="0822A602" w:rsidP="227A2131">
      <w:pPr>
        <w:rPr>
          <w:rFonts w:ascii="Arial" w:eastAsia="Arial" w:hAnsi="Arial" w:cs="Arial"/>
        </w:rPr>
      </w:pPr>
      <w:r w:rsidRPr="227A2131">
        <w:rPr>
          <w:rFonts w:ascii="Arial" w:eastAsia="Arial" w:hAnsi="Arial" w:cs="Arial"/>
        </w:rPr>
        <w:t xml:space="preserve">This project sits under Fitbit UK’s consumer medical-adjacent product portfolio, extending beyond fitness into personal health monitoring. The product is designed to support users who want real-time vitals tracking, early warning health trend indicators, and improved lifestyle insights. The device incorporates PPG-based heart and oxygen tracking technology and multi-sensor sleep </w:t>
      </w:r>
      <w:proofErr w:type="spellStart"/>
      <w:r w:rsidRPr="227A2131">
        <w:rPr>
          <w:rFonts w:ascii="Arial" w:eastAsia="Arial" w:hAnsi="Arial" w:cs="Arial"/>
        </w:rPr>
        <w:t>behavioural</w:t>
      </w:r>
      <w:proofErr w:type="spellEnd"/>
      <w:r w:rsidRPr="227A2131">
        <w:rPr>
          <w:rFonts w:ascii="Arial" w:eastAsia="Arial" w:hAnsi="Arial" w:cs="Arial"/>
        </w:rPr>
        <w:t xml:space="preserve"> analytics powered by Fitbit’s existing mobile AI health dashboard (Fitbit OS + Google Health Connect) (Fitbit, 2024).</w:t>
      </w:r>
    </w:p>
    <w:p w14:paraId="36938025" w14:textId="2571A821" w:rsidR="0822A602" w:rsidRDefault="0822A602" w:rsidP="227A2131">
      <w:pPr>
        <w:rPr>
          <w:rFonts w:ascii="Arial" w:eastAsia="Arial" w:hAnsi="Arial" w:cs="Arial"/>
        </w:rPr>
      </w:pPr>
      <w:r w:rsidRPr="227A2131">
        <w:rPr>
          <w:rFonts w:ascii="Arial" w:eastAsia="Arial" w:hAnsi="Arial" w:cs="Arial"/>
        </w:rPr>
        <w:t>The project’s success requires extensive multi-stakeholder involvement, including internal cross-functional teams (Product Development, R&amp;D, Cybersecurity, Compliance, Marketing, Sales, Finance, Supply Chain, UX/UI, and Customer Service), as well as external stakeholders (Retail partners, Google ecosystem owners, medical advisors, regulatory bodies such as MHRA/GDPR compliance officers, logistics providers, consumer test-groups, and healthcare pilot sponsors).</w:t>
      </w:r>
    </w:p>
    <w:p w14:paraId="088441CB" w14:textId="49C3BAF3" w:rsidR="0822A602" w:rsidRDefault="0822A602" w:rsidP="227A2131">
      <w:pPr>
        <w:rPr>
          <w:rFonts w:ascii="Arial" w:eastAsia="Arial" w:hAnsi="Arial" w:cs="Arial"/>
        </w:rPr>
      </w:pPr>
      <w:r w:rsidRPr="227A2131">
        <w:rPr>
          <w:rFonts w:ascii="Arial" w:eastAsia="Arial" w:hAnsi="Arial" w:cs="Arial"/>
        </w:rPr>
        <w:t>Key benefits of this project include increasing Fitbit UK’s market share, reinforcing consumer trust, generating new recurring service revenue via premium analytics, improving brand competitiveness, and expanding partnerships within the UK digital health prevention sector. However, challenges include coordinating technical validation, managing privacy compliance, navigating stakeholder priority conflicts, ensuring operational alignment, securing timely production, and maintaining positive stakeholder engagement to protect launch timelines.</w:t>
      </w:r>
    </w:p>
    <w:p w14:paraId="08491328" w14:textId="2D4CFEDA" w:rsidR="227A2131" w:rsidRDefault="227A2131" w:rsidP="227A2131">
      <w:pPr>
        <w:rPr>
          <w:rFonts w:ascii="Arial" w:eastAsia="Arial" w:hAnsi="Arial" w:cs="Arial"/>
        </w:rPr>
      </w:pPr>
    </w:p>
    <w:p w14:paraId="4A9EB27A" w14:textId="330D500E" w:rsidR="0822A602" w:rsidRDefault="0822A602" w:rsidP="227A2131">
      <w:pPr>
        <w:rPr>
          <w:rFonts w:ascii="Arial" w:eastAsia="Arial" w:hAnsi="Arial" w:cs="Arial"/>
          <w:b/>
          <w:bCs/>
        </w:rPr>
      </w:pPr>
      <w:r w:rsidRPr="227A2131">
        <w:rPr>
          <w:rFonts w:ascii="Arial" w:eastAsia="Arial" w:hAnsi="Arial" w:cs="Arial"/>
          <w:b/>
          <w:bCs/>
        </w:rPr>
        <w:t>3. Situational Analysis</w:t>
      </w:r>
    </w:p>
    <w:p w14:paraId="66C1AF1F" w14:textId="753A7533" w:rsidR="0822A602" w:rsidRDefault="0822A602" w:rsidP="227A2131">
      <w:pPr>
        <w:rPr>
          <w:rFonts w:ascii="Arial" w:eastAsia="Arial" w:hAnsi="Arial" w:cs="Arial"/>
          <w:b/>
          <w:bCs/>
        </w:rPr>
      </w:pPr>
      <w:r w:rsidRPr="227A2131">
        <w:rPr>
          <w:rFonts w:ascii="Arial" w:eastAsia="Arial" w:hAnsi="Arial" w:cs="Arial"/>
          <w:b/>
          <w:bCs/>
        </w:rPr>
        <w:t>3.1 SWOT Analysis</w:t>
      </w:r>
    </w:p>
    <w:p w14:paraId="230181FF" w14:textId="437CC2B7" w:rsidR="0822A602" w:rsidRDefault="0822A602" w:rsidP="227A2131">
      <w:pPr>
        <w:rPr>
          <w:rFonts w:ascii="Arial" w:eastAsia="Arial" w:hAnsi="Arial" w:cs="Arial"/>
        </w:rPr>
      </w:pPr>
      <w:r w:rsidRPr="227A2131">
        <w:rPr>
          <w:rFonts w:ascii="Arial" w:eastAsia="Arial" w:hAnsi="Arial" w:cs="Arial"/>
        </w:rPr>
        <w:t>Fitbit UK operates within the highly competitive wearable health technology sector, requiring strategic evaluation to validate project positioning. A SWOT analysis is applied to assess internal capabilities, external market conditions, strategic risks, and value opportunities in relation to launching the new wearable health monitoring device.</w:t>
      </w:r>
    </w:p>
    <w:p w14:paraId="0FBCB9B0" w14:textId="10EDC8FB" w:rsidR="0822A602" w:rsidRDefault="0822A602" w:rsidP="227A2131">
      <w:pPr>
        <w:rPr>
          <w:rFonts w:ascii="Arial" w:eastAsia="Arial" w:hAnsi="Arial" w:cs="Arial"/>
        </w:rPr>
      </w:pPr>
      <w:r w:rsidRPr="227A2131">
        <w:rPr>
          <w:rFonts w:ascii="Arial" w:eastAsia="Arial" w:hAnsi="Arial" w:cs="Arial"/>
        </w:rPr>
        <w:t>Strengths</w:t>
      </w:r>
      <w:r>
        <w:br/>
      </w:r>
      <w:r w:rsidRPr="227A2131">
        <w:rPr>
          <w:rFonts w:ascii="Arial" w:eastAsia="Arial" w:hAnsi="Arial" w:cs="Arial"/>
        </w:rPr>
        <w:t xml:space="preserve"> Fitbit possesses strong UK brand equity, market recognition, and consumer trust due to a decade-long presence in wearables. Its devices are known for medical-adjacent biometric accuracy, user-friendly UI, and long battery life. The company has validated sensor technology, particularly PPG-based heart-rate monitoring and FDA-cleared ECG algorithms supporting early arrhythmia detection, which strengthens credibility for new vitals-based device expansion. Fitbit UK also benefits from Google ecosystem integration, giving the new device immediate compatibility advantages across Android, Google Cloud infrastructure, and Health Connect interoperability. The company has established retailer relationships, distribution channels, product support teams, and consumer analytics </w:t>
      </w:r>
      <w:proofErr w:type="spellStart"/>
      <w:r w:rsidRPr="227A2131">
        <w:rPr>
          <w:rFonts w:ascii="Arial" w:eastAsia="Arial" w:hAnsi="Arial" w:cs="Arial"/>
        </w:rPr>
        <w:t>programmes</w:t>
      </w:r>
      <w:proofErr w:type="spellEnd"/>
      <w:r w:rsidRPr="227A2131">
        <w:rPr>
          <w:rFonts w:ascii="Arial" w:eastAsia="Arial" w:hAnsi="Arial" w:cs="Arial"/>
        </w:rPr>
        <w:t xml:space="preserve">, reducing market-entry friction. Fitbit’s historical strength lies in continuous health-data tracking, enabling longitudinal sleep and oxygen variability insights, which aligns strongly with growing UK demand for preventative health monitoring. Its premium subscription service (Fitbit Premium) already </w:t>
      </w:r>
      <w:proofErr w:type="spellStart"/>
      <w:r w:rsidRPr="227A2131">
        <w:rPr>
          <w:rFonts w:ascii="Arial" w:eastAsia="Arial" w:hAnsi="Arial" w:cs="Arial"/>
        </w:rPr>
        <w:t>monetises</w:t>
      </w:r>
      <w:proofErr w:type="spellEnd"/>
      <w:r w:rsidRPr="227A2131">
        <w:rPr>
          <w:rFonts w:ascii="Arial" w:eastAsia="Arial" w:hAnsi="Arial" w:cs="Arial"/>
        </w:rPr>
        <w:t xml:space="preserve"> sleep, readiness, and respiratory insights, indicating capability to convert device data into recurring service-based revenue.</w:t>
      </w:r>
    </w:p>
    <w:p w14:paraId="4C449E21" w14:textId="34726006" w:rsidR="0822A602" w:rsidRDefault="0822A602" w:rsidP="227A2131">
      <w:pPr>
        <w:rPr>
          <w:rFonts w:ascii="Arial" w:eastAsia="Arial" w:hAnsi="Arial" w:cs="Arial"/>
        </w:rPr>
      </w:pPr>
      <w:r w:rsidRPr="227A2131">
        <w:rPr>
          <w:rFonts w:ascii="Arial" w:eastAsia="Arial" w:hAnsi="Arial" w:cs="Arial"/>
        </w:rPr>
        <w:t>Weaknesses</w:t>
      </w:r>
      <w:r>
        <w:br/>
      </w:r>
      <w:r w:rsidRPr="227A2131">
        <w:rPr>
          <w:rFonts w:ascii="Arial" w:eastAsia="Arial" w:hAnsi="Arial" w:cs="Arial"/>
        </w:rPr>
        <w:t xml:space="preserve"> Fitbit UK operates in a market where fluency in medical-grade trust messaging is essential, yet Fitbit historically positioned itself primarily as a fitness brand, not a clinical authority. This creates a potential challenge in stakeholder alignment between marketing, compliance, and medical advisory teams. Competitors such as Apple, Garmin, </w:t>
      </w:r>
      <w:proofErr w:type="spellStart"/>
      <w:r w:rsidRPr="227A2131">
        <w:rPr>
          <w:rFonts w:ascii="Arial" w:eastAsia="Arial" w:hAnsi="Arial" w:cs="Arial"/>
        </w:rPr>
        <w:t>Oura</w:t>
      </w:r>
      <w:proofErr w:type="spellEnd"/>
      <w:r w:rsidRPr="227A2131">
        <w:rPr>
          <w:rFonts w:ascii="Arial" w:eastAsia="Arial" w:hAnsi="Arial" w:cs="Arial"/>
        </w:rPr>
        <w:t>, and WHOOP hold stronger clinical premium positioning and may influence stakeholder confidence. Supply-chain dependency is another weakness, as Fitbit sources sensor manufacturing internationally, making timeline predictability a stakeholder-critical risk within a six-month launch window. Data-security scrutiny presents another vulnerability, as wearables managing oxygen and heart diagnostics carry higher GDPR and consumer sensitivity concerns, increasing compliance overhead and stakeholder-approval complexity.</w:t>
      </w:r>
    </w:p>
    <w:p w14:paraId="7B659CEE" w14:textId="288EC57C" w:rsidR="0822A602" w:rsidRDefault="0822A602" w:rsidP="227A2131">
      <w:pPr>
        <w:rPr>
          <w:rFonts w:ascii="Arial" w:eastAsia="Arial" w:hAnsi="Arial" w:cs="Arial"/>
        </w:rPr>
      </w:pPr>
      <w:r w:rsidRPr="227A2131">
        <w:rPr>
          <w:rFonts w:ascii="Arial" w:eastAsia="Arial" w:hAnsi="Arial" w:cs="Arial"/>
        </w:rPr>
        <w:t>Opportunities</w:t>
      </w:r>
      <w:r>
        <w:br/>
      </w:r>
      <w:r w:rsidRPr="227A2131">
        <w:rPr>
          <w:rFonts w:ascii="Arial" w:eastAsia="Arial" w:hAnsi="Arial" w:cs="Arial"/>
        </w:rPr>
        <w:t xml:space="preserve"> The UK wearable health technology sector is expanding rapidly due to increasing consumer awareness around sleep disorders, respiratory conditions, cardiovascular disease, and blood oxygen screening—areas which align directly with the new product’s core value. The NHS and public-health sector is increasingly embedding wearable technologies into prevention </w:t>
      </w:r>
      <w:proofErr w:type="spellStart"/>
      <w:r w:rsidRPr="227A2131">
        <w:rPr>
          <w:rFonts w:ascii="Arial" w:eastAsia="Arial" w:hAnsi="Arial" w:cs="Arial"/>
        </w:rPr>
        <w:t>programmes</w:t>
      </w:r>
      <w:proofErr w:type="spellEnd"/>
      <w:r w:rsidRPr="227A2131">
        <w:rPr>
          <w:rFonts w:ascii="Arial" w:eastAsia="Arial" w:hAnsi="Arial" w:cs="Arial"/>
        </w:rPr>
        <w:t xml:space="preserve">, presenting stakeholder partnership opportunities, pilot sponsorships, and future B2B procurement options. Growing interest in sleep science also provides collaboration potential with UK medical advisors, universities, and corporate wellness sector buyers. Retailers may benefit from </w:t>
      </w:r>
      <w:proofErr w:type="spellStart"/>
      <w:r w:rsidRPr="227A2131">
        <w:rPr>
          <w:rFonts w:ascii="Arial" w:eastAsia="Arial" w:hAnsi="Arial" w:cs="Arial"/>
        </w:rPr>
        <w:t>health-vitale</w:t>
      </w:r>
      <w:proofErr w:type="spellEnd"/>
      <w:r w:rsidRPr="227A2131">
        <w:rPr>
          <w:rFonts w:ascii="Arial" w:eastAsia="Arial" w:hAnsi="Arial" w:cs="Arial"/>
        </w:rPr>
        <w:t xml:space="preserve"> expansion products as consumer adoption continues to increase in health-tracking categories post-pandemic. Fitbit also has an opportunity to differentiate the new device using AI-assisted </w:t>
      </w:r>
      <w:proofErr w:type="spellStart"/>
      <w:r w:rsidRPr="227A2131">
        <w:rPr>
          <w:rFonts w:ascii="Arial" w:eastAsia="Arial" w:hAnsi="Arial" w:cs="Arial"/>
        </w:rPr>
        <w:t>personalised</w:t>
      </w:r>
      <w:proofErr w:type="spellEnd"/>
      <w:r w:rsidRPr="227A2131">
        <w:rPr>
          <w:rFonts w:ascii="Arial" w:eastAsia="Arial" w:hAnsi="Arial" w:cs="Arial"/>
        </w:rPr>
        <w:t xml:space="preserve"> insights through Google’s ML analytics ecosystem, increasing product value, stakeholder innovation appeal, and consumer adoption potential.</w:t>
      </w:r>
    </w:p>
    <w:p w14:paraId="5D07644D" w14:textId="361DB191" w:rsidR="0822A602" w:rsidRDefault="0822A602" w:rsidP="227A2131">
      <w:pPr>
        <w:rPr>
          <w:rFonts w:ascii="Arial" w:eastAsia="Arial" w:hAnsi="Arial" w:cs="Arial"/>
        </w:rPr>
      </w:pPr>
      <w:r w:rsidRPr="227A2131">
        <w:rPr>
          <w:rFonts w:ascii="Arial" w:eastAsia="Arial" w:hAnsi="Arial" w:cs="Arial"/>
        </w:rPr>
        <w:t>Threats</w:t>
      </w:r>
      <w:r>
        <w:br/>
      </w:r>
      <w:r w:rsidRPr="227A2131">
        <w:rPr>
          <w:rFonts w:ascii="Arial" w:eastAsia="Arial" w:hAnsi="Arial" w:cs="Arial"/>
        </w:rPr>
        <w:t xml:space="preserve"> Fitbit UK must navigate significant threats including rapid competitor software innovation, medical-adjacent regulation risks if accuracy metrics are challenged by stakeholders, supply-chain interruption risks, cybersecurity stakeholder assurance demands, and potential internal stakeholder conflicts over launch-priority balancing. Market saturation is also a strong threat, requiring stakeholder alignment on product differentiation and adoption strategy. Negative stakeholder sentiment or misaligned communication could delay approvals or erode retailer/go-to-market confidence. Additionally, wearables tracking oxygen and heart rhythm elevate liability sensitivity, expanding stakeholder risk scrutiny from compliance, insurance, and governance boards. Finally, data-processing expectations from Google ecosystem stakeholders may slow development milestones unless aligned early and governed collaboratively.</w:t>
      </w:r>
    </w:p>
    <w:p w14:paraId="3247F20C" w14:textId="1C749D9E" w:rsidR="0822A602" w:rsidRDefault="0822A602" w:rsidP="227A2131">
      <w:pPr>
        <w:rPr>
          <w:rFonts w:ascii="Arial" w:eastAsia="Arial" w:hAnsi="Arial" w:cs="Arial"/>
        </w:rPr>
      </w:pPr>
      <w:r w:rsidRPr="227A2131">
        <w:rPr>
          <w:rFonts w:ascii="Arial" w:eastAsia="Arial" w:hAnsi="Arial" w:cs="Arial"/>
        </w:rPr>
        <w:t>Overall, Fitbit UK has strong technology credibility and stakeholder ecosystem advantages, but success depends on strategic stakeholder alignment, communication planning, conflict governance, supply-chain predictability, and clinical-trust positioning.</w:t>
      </w:r>
    </w:p>
    <w:p w14:paraId="694038DF" w14:textId="74AE0203" w:rsidR="227A2131" w:rsidRDefault="227A2131" w:rsidP="227A2131">
      <w:pPr>
        <w:rPr>
          <w:rFonts w:ascii="Arial" w:eastAsia="Arial" w:hAnsi="Arial" w:cs="Arial"/>
        </w:rPr>
      </w:pPr>
    </w:p>
    <w:p w14:paraId="1DA8213B" w14:textId="483891E7" w:rsidR="0822A602" w:rsidRDefault="0822A602" w:rsidP="227A2131">
      <w:pPr>
        <w:rPr>
          <w:rFonts w:ascii="Arial" w:eastAsia="Arial" w:hAnsi="Arial" w:cs="Arial"/>
          <w:b/>
          <w:bCs/>
        </w:rPr>
      </w:pPr>
      <w:r w:rsidRPr="227A2131">
        <w:rPr>
          <w:rFonts w:ascii="Arial" w:eastAsia="Arial" w:hAnsi="Arial" w:cs="Arial"/>
          <w:b/>
          <w:bCs/>
        </w:rPr>
        <w:t>3.2 PESTLE Analysis</w:t>
      </w:r>
    </w:p>
    <w:p w14:paraId="5998F182" w14:textId="7344BDD3" w:rsidR="0822A602" w:rsidRDefault="0822A602" w:rsidP="227A2131">
      <w:pPr>
        <w:rPr>
          <w:rFonts w:ascii="Arial" w:eastAsia="Arial" w:hAnsi="Arial" w:cs="Arial"/>
        </w:rPr>
      </w:pPr>
      <w:r w:rsidRPr="227A2131">
        <w:rPr>
          <w:rFonts w:ascii="Arial" w:eastAsia="Arial" w:hAnsi="Arial" w:cs="Arial"/>
        </w:rPr>
        <w:t>Political</w:t>
      </w:r>
      <w:r>
        <w:br/>
      </w:r>
      <w:r w:rsidRPr="227A2131">
        <w:rPr>
          <w:rFonts w:ascii="Arial" w:eastAsia="Arial" w:hAnsi="Arial" w:cs="Arial"/>
        </w:rPr>
        <w:t xml:space="preserve"> UK government initiatives </w:t>
      </w:r>
      <w:proofErr w:type="spellStart"/>
      <w:r w:rsidRPr="227A2131">
        <w:rPr>
          <w:rFonts w:ascii="Arial" w:eastAsia="Arial" w:hAnsi="Arial" w:cs="Arial"/>
        </w:rPr>
        <w:t>prioritise</w:t>
      </w:r>
      <w:proofErr w:type="spellEnd"/>
      <w:r w:rsidRPr="227A2131">
        <w:rPr>
          <w:rFonts w:ascii="Arial" w:eastAsia="Arial" w:hAnsi="Arial" w:cs="Arial"/>
        </w:rPr>
        <w:t xml:space="preserve"> digital health innovation and preventative disease monitoring. Policies encouraging NHS digital transformation and health-technology procurement enable strong stakeholder partnership potential for wearable health interventions (NHS Digital, 2023).</w:t>
      </w:r>
    </w:p>
    <w:p w14:paraId="48174F6C" w14:textId="4857A160" w:rsidR="0822A602" w:rsidRDefault="0822A602" w:rsidP="227A2131">
      <w:pPr>
        <w:rPr>
          <w:rFonts w:ascii="Arial" w:eastAsia="Arial" w:hAnsi="Arial" w:cs="Arial"/>
        </w:rPr>
      </w:pPr>
      <w:r w:rsidRPr="227A2131">
        <w:rPr>
          <w:rFonts w:ascii="Arial" w:eastAsia="Arial" w:hAnsi="Arial" w:cs="Arial"/>
        </w:rPr>
        <w:t>Economic</w:t>
      </w:r>
      <w:r>
        <w:br/>
      </w:r>
      <w:r w:rsidRPr="227A2131">
        <w:rPr>
          <w:rFonts w:ascii="Arial" w:eastAsia="Arial" w:hAnsi="Arial" w:cs="Arial"/>
        </w:rPr>
        <w:t xml:space="preserve"> Wearables represent a high-growth market sector in the UK, supported by rising consumer income allocation toward personal health technologies. However global supply-chain inflation, semiconductor scarcity, and freight delays remain stakeholder-critical risks impacting launch timelines (PwC UK, 2024).</w:t>
      </w:r>
    </w:p>
    <w:p w14:paraId="0C527A49" w14:textId="60E45EAA" w:rsidR="0822A602" w:rsidRDefault="0822A602" w:rsidP="227A2131">
      <w:pPr>
        <w:rPr>
          <w:rFonts w:ascii="Arial" w:eastAsia="Arial" w:hAnsi="Arial" w:cs="Arial"/>
        </w:rPr>
      </w:pPr>
      <w:r w:rsidRPr="227A2131">
        <w:rPr>
          <w:rFonts w:ascii="Arial" w:eastAsia="Arial" w:hAnsi="Arial" w:cs="Arial"/>
        </w:rPr>
        <w:t>Social</w:t>
      </w:r>
      <w:r>
        <w:br/>
      </w:r>
      <w:r w:rsidRPr="227A2131">
        <w:rPr>
          <w:rFonts w:ascii="Arial" w:eastAsia="Arial" w:hAnsi="Arial" w:cs="Arial"/>
        </w:rPr>
        <w:t xml:space="preserve"> Consumer demand for personal health monitoring is increasing, particularly in sleep science, cardiovascular awareness, and respiratory risk detection. UK demographics persistently include high prevalence of sleep disorders, hypoxia risks, COPD and hypertension interest groups, aligning socially with project stakeholder value-exchange (Sleep Foundation UK, 2023).</w:t>
      </w:r>
    </w:p>
    <w:p w14:paraId="5F1287B1" w14:textId="38B55250" w:rsidR="0822A602" w:rsidRDefault="0822A602" w:rsidP="227A2131">
      <w:pPr>
        <w:rPr>
          <w:rFonts w:ascii="Arial" w:eastAsia="Arial" w:hAnsi="Arial" w:cs="Arial"/>
        </w:rPr>
      </w:pPr>
      <w:r w:rsidRPr="227A2131">
        <w:rPr>
          <w:rFonts w:ascii="Arial" w:eastAsia="Arial" w:hAnsi="Arial" w:cs="Arial"/>
        </w:rPr>
        <w:t>Technological</w:t>
      </w:r>
      <w:r>
        <w:br/>
      </w:r>
      <w:r w:rsidRPr="227A2131">
        <w:rPr>
          <w:rFonts w:ascii="Arial" w:eastAsia="Arial" w:hAnsi="Arial" w:cs="Arial"/>
        </w:rPr>
        <w:t xml:space="preserve"> Fitbit benefits from Google ecosystem interoperability, cloud analytics scale, and AI machine-learning wearables insight advancement, supporting stakeholder-engagement benefits through innovation credibility. However fast competitor technological advancement elevates pressure on stakeholder expectations for rapid feature delivery (Gartner, 2024).</w:t>
      </w:r>
    </w:p>
    <w:p w14:paraId="3258D233" w14:textId="41C2E245" w:rsidR="0822A602" w:rsidRDefault="0822A602" w:rsidP="227A2131">
      <w:pPr>
        <w:rPr>
          <w:rFonts w:ascii="Arial" w:eastAsia="Arial" w:hAnsi="Arial" w:cs="Arial"/>
        </w:rPr>
      </w:pPr>
      <w:r w:rsidRPr="227A2131">
        <w:rPr>
          <w:rFonts w:ascii="Arial" w:eastAsia="Arial" w:hAnsi="Arial" w:cs="Arial"/>
        </w:rPr>
        <w:t>Legal</w:t>
      </w:r>
      <w:r>
        <w:br/>
      </w:r>
      <w:r w:rsidRPr="227A2131">
        <w:rPr>
          <w:rFonts w:ascii="Arial" w:eastAsia="Arial" w:hAnsi="Arial" w:cs="Arial"/>
        </w:rPr>
        <w:t xml:space="preserve"> Wearable devices tracking oxygen and heart trends must comply with MHRA standards, UKCA certification, GDPR data-processing, data-storage policies, encryption requirements, informed consent, and transparent consumer data-handling agreements. Compliance stakeholders present high-power influence over approvals (MHRA, 2023).</w:t>
      </w:r>
    </w:p>
    <w:p w14:paraId="4AF0046E" w14:textId="34C20026" w:rsidR="0822A602" w:rsidRDefault="0822A602" w:rsidP="227A2131">
      <w:pPr>
        <w:rPr>
          <w:rFonts w:ascii="Arial" w:eastAsia="Arial" w:hAnsi="Arial" w:cs="Arial"/>
        </w:rPr>
      </w:pPr>
      <w:r w:rsidRPr="227A2131">
        <w:rPr>
          <w:rFonts w:ascii="Arial" w:eastAsia="Arial" w:hAnsi="Arial" w:cs="Arial"/>
        </w:rPr>
        <w:t>Environmental</w:t>
      </w:r>
      <w:r>
        <w:br/>
      </w:r>
      <w:r w:rsidRPr="227A2131">
        <w:rPr>
          <w:rFonts w:ascii="Arial" w:eastAsia="Arial" w:hAnsi="Arial" w:cs="Arial"/>
        </w:rPr>
        <w:t xml:space="preserve"> Device production and packaging must align with UK sustainability commitments, e-waste assumptions, carbon-neutral material initiatives, and retailer sustainability compliance demands which may shape stakeholder procurement decisions (Carbon Trust UK, 2023).</w:t>
      </w:r>
    </w:p>
    <w:p w14:paraId="11589028" w14:textId="1C56B945" w:rsidR="0822A602" w:rsidRDefault="0822A602" w:rsidP="227A2131">
      <w:pPr>
        <w:rPr>
          <w:rFonts w:ascii="Arial" w:eastAsia="Arial" w:hAnsi="Arial" w:cs="Arial"/>
        </w:rPr>
      </w:pPr>
      <w:r w:rsidRPr="227A2131">
        <w:rPr>
          <w:rFonts w:ascii="Arial" w:eastAsia="Arial" w:hAnsi="Arial" w:cs="Arial"/>
        </w:rPr>
        <w:t>Ethical</w:t>
      </w:r>
      <w:r>
        <w:br/>
      </w:r>
      <w:r w:rsidRPr="227A2131">
        <w:rPr>
          <w:rFonts w:ascii="Arial" w:eastAsia="Arial" w:hAnsi="Arial" w:cs="Arial"/>
        </w:rPr>
        <w:t xml:space="preserve"> Wearables monitor sensitive consumer vitals data, raising stakeholder-critical ethical expectations. Fitbit must ensure transparent data-consent governance, medical false-positive risk mitigation, clinical accuracy transparency, and customer-data </w:t>
      </w:r>
      <w:proofErr w:type="spellStart"/>
      <w:r w:rsidRPr="227A2131">
        <w:rPr>
          <w:rFonts w:ascii="Arial" w:eastAsia="Arial" w:hAnsi="Arial" w:cs="Arial"/>
        </w:rPr>
        <w:t>minimisation</w:t>
      </w:r>
      <w:proofErr w:type="spellEnd"/>
      <w:r w:rsidRPr="227A2131">
        <w:rPr>
          <w:rFonts w:ascii="Arial" w:eastAsia="Arial" w:hAnsi="Arial" w:cs="Arial"/>
        </w:rPr>
        <w:t xml:space="preserve"> procedures with compliance stakeholders (ICO UK, 2023).</w:t>
      </w:r>
    </w:p>
    <w:p w14:paraId="46073BC4" w14:textId="6AA54562" w:rsidR="227A2131" w:rsidRDefault="227A2131" w:rsidP="227A2131">
      <w:pPr>
        <w:rPr>
          <w:rFonts w:ascii="Arial" w:eastAsia="Arial" w:hAnsi="Arial" w:cs="Arial"/>
          <w:b/>
          <w:bCs/>
        </w:rPr>
      </w:pPr>
    </w:p>
    <w:p w14:paraId="5518FD54" w14:textId="0A532779" w:rsidR="0822A602" w:rsidRDefault="0822A602" w:rsidP="227A2131">
      <w:pPr>
        <w:rPr>
          <w:rFonts w:ascii="Arial" w:eastAsia="Arial" w:hAnsi="Arial" w:cs="Arial"/>
          <w:b/>
          <w:bCs/>
        </w:rPr>
      </w:pPr>
      <w:r w:rsidRPr="227A2131">
        <w:rPr>
          <w:rFonts w:ascii="Arial" w:eastAsia="Arial" w:hAnsi="Arial" w:cs="Arial"/>
          <w:b/>
          <w:bCs/>
        </w:rPr>
        <w:t>3.3 SMART Objectives</w:t>
      </w:r>
    </w:p>
    <w:p w14:paraId="06A2932D" w14:textId="1D8FEFE0" w:rsidR="0822A602" w:rsidRDefault="0822A602" w:rsidP="227A2131">
      <w:pPr>
        <w:rPr>
          <w:rFonts w:ascii="Arial" w:eastAsia="Arial" w:hAnsi="Arial" w:cs="Arial"/>
        </w:rPr>
      </w:pPr>
      <w:r w:rsidRPr="227A2131">
        <w:rPr>
          <w:rFonts w:ascii="Arial" w:eastAsia="Arial" w:hAnsi="Arial" w:cs="Arial"/>
        </w:rPr>
        <w:t>Specific: Develop, validate, produce, certify, retail-distribute, and launch a new wearable device tracking heart rate, SpO2 and sleep patterns within 6 months.</w:t>
      </w:r>
    </w:p>
    <w:p w14:paraId="2832F0BA" w14:textId="5A8D210E" w:rsidR="0822A602" w:rsidRDefault="0822A602" w:rsidP="227A2131">
      <w:pPr>
        <w:rPr>
          <w:rFonts w:ascii="Arial" w:eastAsia="Arial" w:hAnsi="Arial" w:cs="Arial"/>
        </w:rPr>
      </w:pPr>
      <w:r w:rsidRPr="227A2131">
        <w:rPr>
          <w:rFonts w:ascii="Arial" w:eastAsia="Arial" w:hAnsi="Arial" w:cs="Arial"/>
        </w:rPr>
        <w:t>Measurable: Achieve 98% sensor accuracy benchmark validation in clinical test-groups; secure 6 major retailer onboarding contracts; reach 250,000 UK pre-launch interest signups; deliver MHRA and GDPR approvals by month 4.</w:t>
      </w:r>
    </w:p>
    <w:p w14:paraId="2907EDC5" w14:textId="135D8BA5" w:rsidR="0822A602" w:rsidRDefault="0822A602" w:rsidP="227A2131">
      <w:pPr>
        <w:rPr>
          <w:rFonts w:ascii="Arial" w:eastAsia="Arial" w:hAnsi="Arial" w:cs="Arial"/>
        </w:rPr>
      </w:pPr>
      <w:r w:rsidRPr="227A2131">
        <w:rPr>
          <w:rFonts w:ascii="Arial" w:eastAsia="Arial" w:hAnsi="Arial" w:cs="Arial"/>
        </w:rPr>
        <w:t xml:space="preserve">Achievable: </w:t>
      </w:r>
      <w:proofErr w:type="spellStart"/>
      <w:r w:rsidRPr="227A2131">
        <w:rPr>
          <w:rFonts w:ascii="Arial" w:eastAsia="Arial" w:hAnsi="Arial" w:cs="Arial"/>
        </w:rPr>
        <w:t>Utilise</w:t>
      </w:r>
      <w:proofErr w:type="spellEnd"/>
      <w:r w:rsidRPr="227A2131">
        <w:rPr>
          <w:rFonts w:ascii="Arial" w:eastAsia="Arial" w:hAnsi="Arial" w:cs="Arial"/>
        </w:rPr>
        <w:t xml:space="preserve"> existing Fitbit PPG biometrics, Google ML analytics, retailer partnerships, UX team capacity, and cybersecurity infrastructure.</w:t>
      </w:r>
    </w:p>
    <w:p w14:paraId="4F1B2369" w14:textId="5D18FC9A" w:rsidR="0822A602" w:rsidRDefault="0822A602" w:rsidP="227A2131">
      <w:pPr>
        <w:rPr>
          <w:rFonts w:ascii="Arial" w:eastAsia="Arial" w:hAnsi="Arial" w:cs="Arial"/>
        </w:rPr>
      </w:pPr>
      <w:r w:rsidRPr="227A2131">
        <w:rPr>
          <w:rFonts w:ascii="Arial" w:eastAsia="Arial" w:hAnsi="Arial" w:cs="Arial"/>
        </w:rPr>
        <w:t>Relevant: Support UK consumer preventative care demand, brand competitiveness, customer trust, regulatory compliance stakeholder expectations, and subscription revenue growth potential.</w:t>
      </w:r>
    </w:p>
    <w:p w14:paraId="58B24D30" w14:textId="09022D1B" w:rsidR="0822A602" w:rsidRDefault="0822A602" w:rsidP="227A2131">
      <w:pPr>
        <w:rPr>
          <w:rFonts w:ascii="Arial" w:eastAsia="Arial" w:hAnsi="Arial" w:cs="Arial"/>
        </w:rPr>
      </w:pPr>
      <w:r w:rsidRPr="227A2131">
        <w:rPr>
          <w:rFonts w:ascii="Arial" w:eastAsia="Arial" w:hAnsi="Arial" w:cs="Arial"/>
        </w:rPr>
        <w:t>Time-Bound: Launch fully UKCA-certified device to market within 6 months with satisfied stakeholders and approved go-to-market readiness.</w:t>
      </w:r>
    </w:p>
    <w:p w14:paraId="3CE2B59F" w14:textId="4A335D00" w:rsidR="227A2131" w:rsidRDefault="227A2131" w:rsidP="227A2131">
      <w:pPr>
        <w:rPr>
          <w:rFonts w:ascii="Arial" w:eastAsia="Arial" w:hAnsi="Arial" w:cs="Arial"/>
        </w:rPr>
      </w:pPr>
    </w:p>
    <w:p w14:paraId="30019341" w14:textId="7DE5068E" w:rsidR="0822A602" w:rsidRDefault="0822A602" w:rsidP="227A2131">
      <w:pPr>
        <w:rPr>
          <w:rFonts w:ascii="Arial" w:eastAsia="Arial" w:hAnsi="Arial" w:cs="Arial"/>
          <w:b/>
          <w:bCs/>
        </w:rPr>
      </w:pPr>
      <w:r w:rsidRPr="227A2131">
        <w:rPr>
          <w:rFonts w:ascii="Arial" w:eastAsia="Arial" w:hAnsi="Arial" w:cs="Arial"/>
          <w:b/>
          <w:bCs/>
        </w:rPr>
        <w:t>4. Stakeholder Identification</w:t>
      </w:r>
    </w:p>
    <w:p w14:paraId="088A6633" w14:textId="7247BB89" w:rsidR="0822A602" w:rsidRDefault="0822A602" w:rsidP="227A2131">
      <w:pPr>
        <w:rPr>
          <w:rFonts w:ascii="Arial" w:eastAsia="Arial" w:hAnsi="Arial" w:cs="Arial"/>
          <w:b/>
          <w:bCs/>
        </w:rPr>
      </w:pPr>
      <w:r w:rsidRPr="227A2131">
        <w:rPr>
          <w:rFonts w:ascii="Arial" w:eastAsia="Arial" w:hAnsi="Arial" w:cs="Arial"/>
          <w:b/>
          <w:bCs/>
        </w:rPr>
        <w:t>4.1 Key Internal and External Stakeholders</w:t>
      </w:r>
    </w:p>
    <w:p w14:paraId="1D357979" w14:textId="5D5762E9" w:rsidR="0822A602" w:rsidRDefault="0822A602" w:rsidP="227A2131">
      <w:pPr>
        <w:rPr>
          <w:rFonts w:ascii="Arial" w:eastAsia="Arial" w:hAnsi="Arial" w:cs="Arial"/>
        </w:rPr>
      </w:pPr>
      <w:r w:rsidRPr="227A2131">
        <w:rPr>
          <w:rFonts w:ascii="Arial" w:eastAsia="Arial" w:hAnsi="Arial" w:cs="Arial"/>
        </w:rPr>
        <w:t xml:space="preserve">The success of Fitbit UK’s new wearable health tracking device project depends upon active participation, approval, cooperation, and satisfaction of both internal and external stakeholders. Stakeholders are </w:t>
      </w:r>
      <w:proofErr w:type="spellStart"/>
      <w:r w:rsidRPr="227A2131">
        <w:rPr>
          <w:rFonts w:ascii="Arial" w:eastAsia="Arial" w:hAnsi="Arial" w:cs="Arial"/>
        </w:rPr>
        <w:t>categorised</w:t>
      </w:r>
      <w:proofErr w:type="spellEnd"/>
      <w:r w:rsidRPr="227A2131">
        <w:rPr>
          <w:rFonts w:ascii="Arial" w:eastAsia="Arial" w:hAnsi="Arial" w:cs="Arial"/>
        </w:rPr>
        <w:t xml:space="preserve"> based on their </w:t>
      </w:r>
      <w:proofErr w:type="spellStart"/>
      <w:r w:rsidRPr="227A2131">
        <w:rPr>
          <w:rFonts w:ascii="Arial" w:eastAsia="Arial" w:hAnsi="Arial" w:cs="Arial"/>
        </w:rPr>
        <w:t>organisational</w:t>
      </w:r>
      <w:proofErr w:type="spellEnd"/>
      <w:r w:rsidRPr="227A2131">
        <w:rPr>
          <w:rFonts w:ascii="Arial" w:eastAsia="Arial" w:hAnsi="Arial" w:cs="Arial"/>
        </w:rPr>
        <w:t xml:space="preserve"> proximity, influence on project outcomes, dependency on project benefits, and strategic value exchange (Freeman, 1984).</w:t>
      </w:r>
    </w:p>
    <w:p w14:paraId="55140511" w14:textId="244D7516" w:rsidR="0822A602" w:rsidRDefault="0822A602" w:rsidP="227A2131">
      <w:pPr>
        <w:rPr>
          <w:rFonts w:ascii="Arial" w:eastAsia="Arial" w:hAnsi="Arial" w:cs="Arial"/>
        </w:rPr>
      </w:pPr>
      <w:r w:rsidRPr="227A2131">
        <w:rPr>
          <w:rFonts w:ascii="Arial" w:eastAsia="Arial" w:hAnsi="Arial" w:cs="Arial"/>
        </w:rPr>
        <w:t>Internal Stakeholders</w:t>
      </w:r>
    </w:p>
    <w:p w14:paraId="3A22B056" w14:textId="74D2C673" w:rsidR="0822A602" w:rsidRDefault="0822A602" w:rsidP="227A2131">
      <w:pPr>
        <w:rPr>
          <w:rFonts w:ascii="Arial" w:eastAsia="Arial" w:hAnsi="Arial" w:cs="Arial"/>
        </w:rPr>
      </w:pPr>
      <w:r w:rsidRPr="227A2131">
        <w:rPr>
          <w:rFonts w:ascii="Arial" w:eastAsia="Arial" w:hAnsi="Arial" w:cs="Arial"/>
        </w:rPr>
        <w:t xml:space="preserve">Senior Leadership &amp; Product Portfolio Board: Strategic decision-making authority responsible for approving product investment, governance priorities, launch timelines, and </w:t>
      </w:r>
      <w:proofErr w:type="spellStart"/>
      <w:r w:rsidRPr="227A2131">
        <w:rPr>
          <w:rFonts w:ascii="Arial" w:eastAsia="Arial" w:hAnsi="Arial" w:cs="Arial"/>
        </w:rPr>
        <w:t>organisational</w:t>
      </w:r>
      <w:proofErr w:type="spellEnd"/>
      <w:r w:rsidRPr="227A2131">
        <w:rPr>
          <w:rFonts w:ascii="Arial" w:eastAsia="Arial" w:hAnsi="Arial" w:cs="Arial"/>
        </w:rPr>
        <w:t xml:space="preserve"> risk thresholds.</w:t>
      </w:r>
    </w:p>
    <w:p w14:paraId="250D382B" w14:textId="74A90A63" w:rsidR="0822A602" w:rsidRDefault="0822A602" w:rsidP="227A2131">
      <w:pPr>
        <w:rPr>
          <w:rFonts w:ascii="Arial" w:eastAsia="Arial" w:hAnsi="Arial" w:cs="Arial"/>
        </w:rPr>
      </w:pPr>
      <w:r w:rsidRPr="227A2131">
        <w:rPr>
          <w:rFonts w:ascii="Arial" w:eastAsia="Arial" w:hAnsi="Arial" w:cs="Arial"/>
        </w:rPr>
        <w:t>Research &amp; Development (R&amp;D) Team: Responsible for sensor technology validation and prototyping, ensuring heart-rate and SpO2 tracking meet accuracy KPIs.</w:t>
      </w:r>
    </w:p>
    <w:p w14:paraId="1511233C" w14:textId="679C9AB9" w:rsidR="0822A602" w:rsidRDefault="0822A602" w:rsidP="227A2131">
      <w:pPr>
        <w:rPr>
          <w:rFonts w:ascii="Arial" w:eastAsia="Arial" w:hAnsi="Arial" w:cs="Arial"/>
        </w:rPr>
      </w:pPr>
      <w:r w:rsidRPr="227A2131">
        <w:rPr>
          <w:rFonts w:ascii="Arial" w:eastAsia="Arial" w:hAnsi="Arial" w:cs="Arial"/>
        </w:rPr>
        <w:t xml:space="preserve">Wearable Product Engineering Team: Leads hardware production, embedded sensor calibration, battery </w:t>
      </w:r>
      <w:proofErr w:type="spellStart"/>
      <w:r w:rsidRPr="227A2131">
        <w:rPr>
          <w:rFonts w:ascii="Arial" w:eastAsia="Arial" w:hAnsi="Arial" w:cs="Arial"/>
        </w:rPr>
        <w:t>optimisation</w:t>
      </w:r>
      <w:proofErr w:type="spellEnd"/>
      <w:r w:rsidRPr="227A2131">
        <w:rPr>
          <w:rFonts w:ascii="Arial" w:eastAsia="Arial" w:hAnsi="Arial" w:cs="Arial"/>
        </w:rPr>
        <w:t>, and firmware integration.</w:t>
      </w:r>
    </w:p>
    <w:p w14:paraId="15D6E3ED" w14:textId="6CCC62B0" w:rsidR="0822A602" w:rsidRDefault="0822A602" w:rsidP="227A2131">
      <w:pPr>
        <w:rPr>
          <w:rFonts w:ascii="Arial" w:eastAsia="Arial" w:hAnsi="Arial" w:cs="Arial"/>
        </w:rPr>
      </w:pPr>
      <w:r w:rsidRPr="227A2131">
        <w:rPr>
          <w:rFonts w:ascii="Arial" w:eastAsia="Arial" w:hAnsi="Arial" w:cs="Arial"/>
        </w:rPr>
        <w:t xml:space="preserve">Software &amp; AI Analytics Team: Integrates the collected biometric data into Fitbit’s UK mobile dashboard leveraging Google Health Connect API, AI-insight algorithms, and sleep pattern </w:t>
      </w:r>
      <w:proofErr w:type="spellStart"/>
      <w:r w:rsidRPr="227A2131">
        <w:rPr>
          <w:rFonts w:ascii="Arial" w:eastAsia="Arial" w:hAnsi="Arial" w:cs="Arial"/>
        </w:rPr>
        <w:t>modelling</w:t>
      </w:r>
      <w:proofErr w:type="spellEnd"/>
      <w:r w:rsidRPr="227A2131">
        <w:rPr>
          <w:rFonts w:ascii="Arial" w:eastAsia="Arial" w:hAnsi="Arial" w:cs="Arial"/>
        </w:rPr>
        <w:t>.</w:t>
      </w:r>
    </w:p>
    <w:p w14:paraId="100BAC2D" w14:textId="556F7248" w:rsidR="0822A602" w:rsidRDefault="0822A602" w:rsidP="227A2131">
      <w:pPr>
        <w:rPr>
          <w:rFonts w:ascii="Arial" w:eastAsia="Arial" w:hAnsi="Arial" w:cs="Arial"/>
        </w:rPr>
      </w:pPr>
      <w:r w:rsidRPr="227A2131">
        <w:rPr>
          <w:rFonts w:ascii="Arial" w:eastAsia="Arial" w:hAnsi="Arial" w:cs="Arial"/>
        </w:rPr>
        <w:t>Cybersecurity &amp; IT Governance Team: Data-encryption, server security, penetration testing, GDPR processing compliance, risk reports, and incident response readiness.</w:t>
      </w:r>
    </w:p>
    <w:p w14:paraId="13D95811" w14:textId="153BE55A" w:rsidR="0822A602" w:rsidRDefault="0822A602" w:rsidP="227A2131">
      <w:pPr>
        <w:rPr>
          <w:rFonts w:ascii="Arial" w:eastAsia="Arial" w:hAnsi="Arial" w:cs="Arial"/>
        </w:rPr>
      </w:pPr>
      <w:r w:rsidRPr="227A2131">
        <w:rPr>
          <w:rFonts w:ascii="Arial" w:eastAsia="Arial" w:hAnsi="Arial" w:cs="Arial"/>
        </w:rPr>
        <w:t>Quality Assurance (QA) &amp; Clinical Validation Team: Oversees UAT testing, wearer reliability testing, safety certification benchmarks, defect reporting, and clinical sample testing.</w:t>
      </w:r>
    </w:p>
    <w:p w14:paraId="0F3EB804" w14:textId="6FC218A0" w:rsidR="0822A602" w:rsidRDefault="0822A602" w:rsidP="227A2131">
      <w:pPr>
        <w:rPr>
          <w:rFonts w:ascii="Arial" w:eastAsia="Arial" w:hAnsi="Arial" w:cs="Arial"/>
        </w:rPr>
      </w:pPr>
      <w:r w:rsidRPr="227A2131">
        <w:rPr>
          <w:rFonts w:ascii="Arial" w:eastAsia="Arial" w:hAnsi="Arial" w:cs="Arial"/>
        </w:rPr>
        <w:t xml:space="preserve">Compliance, Legal &amp; Data Protection Officers: Manage device classification standards, MHRA compliance submissions, GDPR processing audits, privacy consent frameworks, legal liability </w:t>
      </w:r>
      <w:proofErr w:type="spellStart"/>
      <w:r w:rsidRPr="227A2131">
        <w:rPr>
          <w:rFonts w:ascii="Arial" w:eastAsia="Arial" w:hAnsi="Arial" w:cs="Arial"/>
        </w:rPr>
        <w:t>signoff</w:t>
      </w:r>
      <w:proofErr w:type="spellEnd"/>
      <w:r w:rsidRPr="227A2131">
        <w:rPr>
          <w:rFonts w:ascii="Arial" w:eastAsia="Arial" w:hAnsi="Arial" w:cs="Arial"/>
        </w:rPr>
        <w:t>.</w:t>
      </w:r>
    </w:p>
    <w:p w14:paraId="32790AB6" w14:textId="5F54C71E" w:rsidR="0822A602" w:rsidRDefault="0822A602" w:rsidP="227A2131">
      <w:pPr>
        <w:rPr>
          <w:rFonts w:ascii="Arial" w:eastAsia="Arial" w:hAnsi="Arial" w:cs="Arial"/>
        </w:rPr>
      </w:pPr>
      <w:r w:rsidRPr="227A2131">
        <w:rPr>
          <w:rFonts w:ascii="Arial" w:eastAsia="Arial" w:hAnsi="Arial" w:cs="Arial"/>
        </w:rPr>
        <w:t>Marketing &amp; Communications Team: Product positioning, public relations outreach, partnership campaigning, pre-launch messaging, clinical-trust translation messaging.</w:t>
      </w:r>
    </w:p>
    <w:p w14:paraId="69BA1CB6" w14:textId="17B9B9DF" w:rsidR="0822A602" w:rsidRDefault="0822A602" w:rsidP="227A2131">
      <w:pPr>
        <w:rPr>
          <w:rFonts w:ascii="Arial" w:eastAsia="Arial" w:hAnsi="Arial" w:cs="Arial"/>
        </w:rPr>
      </w:pPr>
      <w:r w:rsidRPr="227A2131">
        <w:rPr>
          <w:rFonts w:ascii="Arial" w:eastAsia="Arial" w:hAnsi="Arial" w:cs="Arial"/>
        </w:rPr>
        <w:t>Sales &amp; Retail Partner Enablement Team: Retail onboarding, commercial price strategy, channel adoption enablement.</w:t>
      </w:r>
    </w:p>
    <w:p w14:paraId="672B5468" w14:textId="14188D9F" w:rsidR="0822A602" w:rsidRDefault="0822A602" w:rsidP="227A2131">
      <w:pPr>
        <w:rPr>
          <w:rFonts w:ascii="Arial" w:eastAsia="Arial" w:hAnsi="Arial" w:cs="Arial"/>
        </w:rPr>
      </w:pPr>
      <w:r w:rsidRPr="227A2131">
        <w:rPr>
          <w:rFonts w:ascii="Arial" w:eastAsia="Arial" w:hAnsi="Arial" w:cs="Arial"/>
        </w:rPr>
        <w:t>Supply Chain &amp; Logistics Experts: Sensor procurement planning, manufacturer coordination, production scheduling.</w:t>
      </w:r>
    </w:p>
    <w:p w14:paraId="3B326B97" w14:textId="4B362B90" w:rsidR="0822A602" w:rsidRDefault="0822A602" w:rsidP="227A2131">
      <w:pPr>
        <w:rPr>
          <w:rFonts w:ascii="Arial" w:eastAsia="Arial" w:hAnsi="Arial" w:cs="Arial"/>
        </w:rPr>
      </w:pPr>
      <w:r w:rsidRPr="227A2131">
        <w:rPr>
          <w:rFonts w:ascii="Arial" w:eastAsia="Arial" w:hAnsi="Arial" w:cs="Arial"/>
        </w:rPr>
        <w:t>Finance &amp; Procurement Department: Budget control, cost risk approvals.</w:t>
      </w:r>
    </w:p>
    <w:p w14:paraId="71A26745" w14:textId="64A8AF52" w:rsidR="0822A602" w:rsidRDefault="0822A602" w:rsidP="227A2131">
      <w:pPr>
        <w:rPr>
          <w:rFonts w:ascii="Arial" w:eastAsia="Arial" w:hAnsi="Arial" w:cs="Arial"/>
        </w:rPr>
      </w:pPr>
      <w:r w:rsidRPr="227A2131">
        <w:rPr>
          <w:rFonts w:ascii="Arial" w:eastAsia="Arial" w:hAnsi="Arial" w:cs="Arial"/>
        </w:rPr>
        <w:t>External Stakeholders</w:t>
      </w:r>
    </w:p>
    <w:p w14:paraId="3013674F" w14:textId="3B8ADB64" w:rsidR="0822A602" w:rsidRDefault="0822A602" w:rsidP="227A2131">
      <w:pPr>
        <w:rPr>
          <w:rFonts w:ascii="Arial" w:eastAsia="Arial" w:hAnsi="Arial" w:cs="Arial"/>
        </w:rPr>
      </w:pPr>
      <w:r w:rsidRPr="227A2131">
        <w:rPr>
          <w:rFonts w:ascii="Arial" w:eastAsia="Arial" w:hAnsi="Arial" w:cs="Arial"/>
        </w:rPr>
        <w:t xml:space="preserve">Retail Partners: Argos, </w:t>
      </w:r>
      <w:proofErr w:type="spellStart"/>
      <w:r w:rsidRPr="227A2131">
        <w:rPr>
          <w:rFonts w:ascii="Arial" w:eastAsia="Arial" w:hAnsi="Arial" w:cs="Arial"/>
        </w:rPr>
        <w:t>Currys</w:t>
      </w:r>
      <w:proofErr w:type="spellEnd"/>
      <w:r w:rsidRPr="227A2131">
        <w:rPr>
          <w:rFonts w:ascii="Arial" w:eastAsia="Arial" w:hAnsi="Arial" w:cs="Arial"/>
        </w:rPr>
        <w:t>, Amazon, John Lewis, Boots, Lloyds Pharmacy—commercial distribution stakeholders influencing market adoption.</w:t>
      </w:r>
    </w:p>
    <w:p w14:paraId="392E91B5" w14:textId="1E2867CB" w:rsidR="0822A602" w:rsidRDefault="0822A602" w:rsidP="227A2131">
      <w:pPr>
        <w:rPr>
          <w:rFonts w:ascii="Arial" w:eastAsia="Arial" w:hAnsi="Arial" w:cs="Arial"/>
        </w:rPr>
      </w:pPr>
      <w:r w:rsidRPr="227A2131">
        <w:rPr>
          <w:rFonts w:ascii="Arial" w:eastAsia="Arial" w:hAnsi="Arial" w:cs="Arial"/>
        </w:rPr>
        <w:t>Google Ecosystem Owners: Fitbit OS integration and Android platform compatibility oversight.</w:t>
      </w:r>
    </w:p>
    <w:p w14:paraId="4B708A59" w14:textId="422C11A6" w:rsidR="0822A602" w:rsidRDefault="0822A602" w:rsidP="227A2131">
      <w:pPr>
        <w:rPr>
          <w:rFonts w:ascii="Arial" w:eastAsia="Arial" w:hAnsi="Arial" w:cs="Arial"/>
        </w:rPr>
      </w:pPr>
      <w:r w:rsidRPr="227A2131">
        <w:rPr>
          <w:rFonts w:ascii="Arial" w:eastAsia="Arial" w:hAnsi="Arial" w:cs="Arial"/>
        </w:rPr>
        <w:t>Regulatory Bodies: MHRA, UKCA certification bodies, ICO (data compliance influence).</w:t>
      </w:r>
    </w:p>
    <w:p w14:paraId="33CA9372" w14:textId="052B78B3" w:rsidR="0822A602" w:rsidRDefault="0822A602" w:rsidP="227A2131">
      <w:pPr>
        <w:rPr>
          <w:rFonts w:ascii="Arial" w:eastAsia="Arial" w:hAnsi="Arial" w:cs="Arial"/>
        </w:rPr>
      </w:pPr>
      <w:r w:rsidRPr="227A2131">
        <w:rPr>
          <w:rFonts w:ascii="Arial" w:eastAsia="Arial" w:hAnsi="Arial" w:cs="Arial"/>
        </w:rPr>
        <w:t>Healthcare Advisors &amp; Clinical Research Partners: Sleep, cardiovascular, and respiratory specialists from universities, labs, or NHS pilots.</w:t>
      </w:r>
    </w:p>
    <w:p w14:paraId="764CA8AF" w14:textId="176617B3" w:rsidR="0822A602" w:rsidRDefault="0822A602" w:rsidP="227A2131">
      <w:pPr>
        <w:rPr>
          <w:rFonts w:ascii="Arial" w:eastAsia="Arial" w:hAnsi="Arial" w:cs="Arial"/>
        </w:rPr>
      </w:pPr>
      <w:r w:rsidRPr="227A2131">
        <w:rPr>
          <w:rFonts w:ascii="Arial" w:eastAsia="Arial" w:hAnsi="Arial" w:cs="Arial"/>
        </w:rPr>
        <w:t>Consumer Test Groups: Early product feasibility feedback.</w:t>
      </w:r>
    </w:p>
    <w:p w14:paraId="3B04205A" w14:textId="03A8065E" w:rsidR="0822A602" w:rsidRDefault="0822A602" w:rsidP="227A2131">
      <w:pPr>
        <w:rPr>
          <w:rFonts w:ascii="Arial" w:eastAsia="Arial" w:hAnsi="Arial" w:cs="Arial"/>
        </w:rPr>
      </w:pPr>
      <w:r w:rsidRPr="227A2131">
        <w:rPr>
          <w:rFonts w:ascii="Arial" w:eastAsia="Arial" w:hAnsi="Arial" w:cs="Arial"/>
        </w:rPr>
        <w:t xml:space="preserve">Logistics Providers: Freight </w:t>
      </w:r>
      <w:proofErr w:type="spellStart"/>
      <w:r w:rsidRPr="227A2131">
        <w:rPr>
          <w:rFonts w:ascii="Arial" w:eastAsia="Arial" w:hAnsi="Arial" w:cs="Arial"/>
        </w:rPr>
        <w:t>fulfilment</w:t>
      </w:r>
      <w:proofErr w:type="spellEnd"/>
      <w:r w:rsidRPr="227A2131">
        <w:rPr>
          <w:rFonts w:ascii="Arial" w:eastAsia="Arial" w:hAnsi="Arial" w:cs="Arial"/>
        </w:rPr>
        <w:t xml:space="preserve"> partners.</w:t>
      </w:r>
    </w:p>
    <w:p w14:paraId="08265620" w14:textId="14F02964" w:rsidR="0822A602" w:rsidRDefault="0822A602" w:rsidP="227A2131">
      <w:pPr>
        <w:rPr>
          <w:rFonts w:ascii="Arial" w:eastAsia="Arial" w:hAnsi="Arial" w:cs="Arial"/>
        </w:rPr>
      </w:pPr>
      <w:r w:rsidRPr="227A2131">
        <w:rPr>
          <w:rFonts w:ascii="Arial" w:eastAsia="Arial" w:hAnsi="Arial" w:cs="Arial"/>
        </w:rPr>
        <w:t>Insurance &amp; Liability Oversight Partners: Risk assurance dependencies due to vitals monitoring classification.</w:t>
      </w:r>
    </w:p>
    <w:p w14:paraId="083FCF29" w14:textId="0C42A5C7" w:rsidR="0822A602" w:rsidRDefault="0822A602" w:rsidP="227A2131">
      <w:pPr>
        <w:rPr>
          <w:rFonts w:ascii="Arial" w:eastAsia="Arial" w:hAnsi="Arial" w:cs="Arial"/>
        </w:rPr>
      </w:pPr>
      <w:r w:rsidRPr="227A2131">
        <w:rPr>
          <w:rFonts w:ascii="Arial" w:eastAsia="Arial" w:hAnsi="Arial" w:cs="Arial"/>
        </w:rPr>
        <w:t>Stakeholder Importance</w:t>
      </w:r>
      <w:r>
        <w:br/>
      </w:r>
      <w:r w:rsidRPr="227A2131">
        <w:rPr>
          <w:rFonts w:ascii="Arial" w:eastAsia="Arial" w:hAnsi="Arial" w:cs="Arial"/>
        </w:rPr>
        <w:t xml:space="preserve"> Fitbit UK’s new wearable bio-monitoring device project intersects multiple stakeholder benefits, including brand competitiveness, commercial expansion, digital health adoption credibility, recurring subscription revenue opportunities, regulatory compliance validation, and market ecosystem partnerships.</w:t>
      </w:r>
    </w:p>
    <w:p w14:paraId="204B2C27" w14:textId="2B0F5203" w:rsidR="0822A602" w:rsidRDefault="0822A602" w:rsidP="227A2131">
      <w:pPr>
        <w:rPr>
          <w:rFonts w:ascii="Arial" w:eastAsia="Arial" w:hAnsi="Arial" w:cs="Arial"/>
        </w:rPr>
      </w:pPr>
      <w:r w:rsidRPr="227A2131">
        <w:rPr>
          <w:rFonts w:ascii="Arial" w:eastAsia="Arial" w:hAnsi="Arial" w:cs="Arial"/>
        </w:rPr>
        <w:t>Given the accelerated 6-month timeline, stakeholder coordination and influence management is critical to avoid delays, approval friction or partner dissatisfaction. Stakeholders with high power (e.g., MHRA, senior board, retail partners, Google ecosystem owners) hold the greatest influence over launch feasibility, while stakeholders with high interest but lower power (e.g., consumer test groups, some internal support teams) inform product success through adoption and feedback. Stakeholder engagement mechanisms must therefore be structured to ensure satisfaction, active contribution, conflict mitigation, communication transparency, collaboration continuity, and strategic alignment across all project milestones.</w:t>
      </w:r>
      <w:r>
        <w:br/>
      </w:r>
      <w:r>
        <w:br/>
      </w:r>
      <w:r w:rsidR="6561BAF5" w:rsidRPr="227A2131">
        <w:rPr>
          <w:rFonts w:ascii="Arial" w:eastAsia="Arial" w:hAnsi="Arial" w:cs="Arial"/>
          <w:b/>
          <w:bCs/>
        </w:rPr>
        <w:t>4.2 RACI Matrix</w:t>
      </w:r>
    </w:p>
    <w:tbl>
      <w:tblPr>
        <w:tblW w:w="0" w:type="auto"/>
        <w:tblLook w:val="06A0" w:firstRow="1" w:lastRow="0" w:firstColumn="1" w:lastColumn="0" w:noHBand="1" w:noVBand="1"/>
      </w:tblPr>
      <w:tblGrid>
        <w:gridCol w:w="2893"/>
        <w:gridCol w:w="1537"/>
        <w:gridCol w:w="1580"/>
        <w:gridCol w:w="1340"/>
        <w:gridCol w:w="1273"/>
      </w:tblGrid>
      <w:tr w:rsidR="227A2131" w14:paraId="5D78165A" w14:textId="77777777" w:rsidTr="227A2131">
        <w:trPr>
          <w:trHeight w:val="300"/>
        </w:trPr>
        <w:tc>
          <w:tcPr>
            <w:tcW w:w="2893" w:type="dxa"/>
            <w:vAlign w:val="center"/>
          </w:tcPr>
          <w:p w14:paraId="436D571B" w14:textId="6DAB5DC9" w:rsidR="227A2131" w:rsidRDefault="227A2131" w:rsidP="227A2131">
            <w:pPr>
              <w:rPr>
                <w:rFonts w:ascii="Arial" w:eastAsia="Arial" w:hAnsi="Arial" w:cs="Arial"/>
              </w:rPr>
            </w:pPr>
            <w:r w:rsidRPr="227A2131">
              <w:rPr>
                <w:rFonts w:ascii="Arial" w:eastAsia="Arial" w:hAnsi="Arial" w:cs="Arial"/>
              </w:rPr>
              <w:t>Stakeholder</w:t>
            </w:r>
          </w:p>
        </w:tc>
        <w:tc>
          <w:tcPr>
            <w:tcW w:w="1527" w:type="dxa"/>
            <w:vAlign w:val="center"/>
          </w:tcPr>
          <w:p w14:paraId="2784E4EE" w14:textId="0CCC3137" w:rsidR="227A2131" w:rsidRDefault="227A2131" w:rsidP="227A2131">
            <w:pPr>
              <w:rPr>
                <w:rFonts w:ascii="Arial" w:eastAsia="Arial" w:hAnsi="Arial" w:cs="Arial"/>
              </w:rPr>
            </w:pPr>
            <w:r w:rsidRPr="227A2131">
              <w:rPr>
                <w:rFonts w:ascii="Arial" w:eastAsia="Arial" w:hAnsi="Arial" w:cs="Arial"/>
              </w:rPr>
              <w:t>Responsible</w:t>
            </w:r>
          </w:p>
        </w:tc>
        <w:tc>
          <w:tcPr>
            <w:tcW w:w="1580" w:type="dxa"/>
            <w:vAlign w:val="center"/>
          </w:tcPr>
          <w:p w14:paraId="22855305" w14:textId="65FA6DB6" w:rsidR="227A2131" w:rsidRDefault="227A2131" w:rsidP="227A2131">
            <w:pPr>
              <w:rPr>
                <w:rFonts w:ascii="Arial" w:eastAsia="Arial" w:hAnsi="Arial" w:cs="Arial"/>
              </w:rPr>
            </w:pPr>
            <w:r w:rsidRPr="227A2131">
              <w:rPr>
                <w:rFonts w:ascii="Arial" w:eastAsia="Arial" w:hAnsi="Arial" w:cs="Arial"/>
              </w:rPr>
              <w:t>Accountable</w:t>
            </w:r>
          </w:p>
        </w:tc>
        <w:tc>
          <w:tcPr>
            <w:tcW w:w="1340" w:type="dxa"/>
            <w:vAlign w:val="center"/>
          </w:tcPr>
          <w:p w14:paraId="3D3B3924" w14:textId="4482ED40" w:rsidR="227A2131" w:rsidRDefault="227A2131" w:rsidP="227A2131">
            <w:pPr>
              <w:rPr>
                <w:rFonts w:ascii="Arial" w:eastAsia="Arial" w:hAnsi="Arial" w:cs="Arial"/>
              </w:rPr>
            </w:pPr>
            <w:r w:rsidRPr="227A2131">
              <w:rPr>
                <w:rFonts w:ascii="Arial" w:eastAsia="Arial" w:hAnsi="Arial" w:cs="Arial"/>
              </w:rPr>
              <w:t>Consulted</w:t>
            </w:r>
          </w:p>
        </w:tc>
        <w:tc>
          <w:tcPr>
            <w:tcW w:w="1273" w:type="dxa"/>
            <w:vAlign w:val="center"/>
          </w:tcPr>
          <w:p w14:paraId="20ADCF69" w14:textId="5184B303" w:rsidR="227A2131" w:rsidRDefault="227A2131" w:rsidP="227A2131">
            <w:pPr>
              <w:rPr>
                <w:rFonts w:ascii="Arial" w:eastAsia="Arial" w:hAnsi="Arial" w:cs="Arial"/>
              </w:rPr>
            </w:pPr>
            <w:r w:rsidRPr="227A2131">
              <w:rPr>
                <w:rFonts w:ascii="Arial" w:eastAsia="Arial" w:hAnsi="Arial" w:cs="Arial"/>
              </w:rPr>
              <w:t>Informed</w:t>
            </w:r>
          </w:p>
        </w:tc>
      </w:tr>
      <w:tr w:rsidR="227A2131" w14:paraId="5877C9D3" w14:textId="77777777" w:rsidTr="227A2131">
        <w:trPr>
          <w:trHeight w:val="300"/>
        </w:trPr>
        <w:tc>
          <w:tcPr>
            <w:tcW w:w="2893" w:type="dxa"/>
            <w:vAlign w:val="center"/>
          </w:tcPr>
          <w:p w14:paraId="158D9572" w14:textId="10EAF99A" w:rsidR="227A2131" w:rsidRDefault="227A2131" w:rsidP="227A2131">
            <w:pPr>
              <w:rPr>
                <w:rFonts w:ascii="Arial" w:eastAsia="Arial" w:hAnsi="Arial" w:cs="Arial"/>
              </w:rPr>
            </w:pPr>
            <w:r w:rsidRPr="227A2131">
              <w:rPr>
                <w:rFonts w:ascii="Arial" w:eastAsia="Arial" w:hAnsi="Arial" w:cs="Arial"/>
              </w:rPr>
              <w:t>Senior Leadership Board</w:t>
            </w:r>
          </w:p>
        </w:tc>
        <w:tc>
          <w:tcPr>
            <w:tcW w:w="1527" w:type="dxa"/>
            <w:vAlign w:val="center"/>
          </w:tcPr>
          <w:p w14:paraId="4A3856DC" w14:textId="42B31CDD" w:rsidR="227A2131" w:rsidRDefault="227A2131" w:rsidP="227A2131">
            <w:pPr>
              <w:rPr>
                <w:rFonts w:ascii="Arial" w:eastAsia="Arial" w:hAnsi="Arial" w:cs="Arial"/>
              </w:rPr>
            </w:pPr>
          </w:p>
        </w:tc>
        <w:tc>
          <w:tcPr>
            <w:tcW w:w="1580" w:type="dxa"/>
            <w:vAlign w:val="center"/>
          </w:tcPr>
          <w:p w14:paraId="15A29A71" w14:textId="786D5B5E" w:rsidR="227A2131" w:rsidRDefault="227A2131" w:rsidP="227A2131">
            <w:pPr>
              <w:rPr>
                <w:rFonts w:ascii="Arial" w:eastAsia="Arial" w:hAnsi="Arial" w:cs="Arial"/>
              </w:rPr>
            </w:pPr>
            <w:r w:rsidRPr="227A2131">
              <w:rPr>
                <w:rFonts w:ascii="Arial" w:eastAsia="Arial" w:hAnsi="Arial" w:cs="Arial"/>
              </w:rPr>
              <w:t>✔</w:t>
            </w:r>
          </w:p>
        </w:tc>
        <w:tc>
          <w:tcPr>
            <w:tcW w:w="1340" w:type="dxa"/>
            <w:vAlign w:val="center"/>
          </w:tcPr>
          <w:p w14:paraId="7EFE967E" w14:textId="184D4A8B" w:rsidR="227A2131" w:rsidRDefault="227A2131" w:rsidP="227A2131">
            <w:pPr>
              <w:rPr>
                <w:rFonts w:ascii="Arial" w:eastAsia="Arial" w:hAnsi="Arial" w:cs="Arial"/>
              </w:rPr>
            </w:pPr>
          </w:p>
        </w:tc>
        <w:tc>
          <w:tcPr>
            <w:tcW w:w="1273" w:type="dxa"/>
            <w:vAlign w:val="center"/>
          </w:tcPr>
          <w:p w14:paraId="6DE9B053" w14:textId="6EA90FBE" w:rsidR="227A2131" w:rsidRDefault="227A2131" w:rsidP="227A2131">
            <w:pPr>
              <w:rPr>
                <w:rFonts w:ascii="Arial" w:eastAsia="Arial" w:hAnsi="Arial" w:cs="Arial"/>
              </w:rPr>
            </w:pPr>
          </w:p>
        </w:tc>
      </w:tr>
      <w:tr w:rsidR="227A2131" w14:paraId="5FBA9FB5" w14:textId="77777777" w:rsidTr="227A2131">
        <w:trPr>
          <w:trHeight w:val="300"/>
        </w:trPr>
        <w:tc>
          <w:tcPr>
            <w:tcW w:w="2893" w:type="dxa"/>
            <w:vAlign w:val="center"/>
          </w:tcPr>
          <w:p w14:paraId="5736F83F" w14:textId="4826527E" w:rsidR="227A2131" w:rsidRDefault="227A2131" w:rsidP="227A2131">
            <w:pPr>
              <w:rPr>
                <w:rFonts w:ascii="Arial" w:eastAsia="Arial" w:hAnsi="Arial" w:cs="Arial"/>
              </w:rPr>
            </w:pPr>
            <w:r w:rsidRPr="227A2131">
              <w:rPr>
                <w:rFonts w:ascii="Arial" w:eastAsia="Arial" w:hAnsi="Arial" w:cs="Arial"/>
              </w:rPr>
              <w:t>R&amp;D Sensor Team</w:t>
            </w:r>
          </w:p>
        </w:tc>
        <w:tc>
          <w:tcPr>
            <w:tcW w:w="1527" w:type="dxa"/>
            <w:vAlign w:val="center"/>
          </w:tcPr>
          <w:p w14:paraId="6E952F60" w14:textId="66FE1069" w:rsidR="227A2131" w:rsidRDefault="227A2131" w:rsidP="227A2131">
            <w:pPr>
              <w:rPr>
                <w:rFonts w:ascii="Arial" w:eastAsia="Arial" w:hAnsi="Arial" w:cs="Arial"/>
              </w:rPr>
            </w:pPr>
            <w:r w:rsidRPr="227A2131">
              <w:rPr>
                <w:rFonts w:ascii="Arial" w:eastAsia="Arial" w:hAnsi="Arial" w:cs="Arial"/>
              </w:rPr>
              <w:t>✔</w:t>
            </w:r>
          </w:p>
        </w:tc>
        <w:tc>
          <w:tcPr>
            <w:tcW w:w="1580" w:type="dxa"/>
            <w:vAlign w:val="center"/>
          </w:tcPr>
          <w:p w14:paraId="2C463618" w14:textId="0C861DFD" w:rsidR="227A2131" w:rsidRDefault="227A2131" w:rsidP="227A2131">
            <w:pPr>
              <w:rPr>
                <w:rFonts w:ascii="Arial" w:eastAsia="Arial" w:hAnsi="Arial" w:cs="Arial"/>
              </w:rPr>
            </w:pPr>
          </w:p>
        </w:tc>
        <w:tc>
          <w:tcPr>
            <w:tcW w:w="1340" w:type="dxa"/>
            <w:vAlign w:val="center"/>
          </w:tcPr>
          <w:p w14:paraId="614608C6" w14:textId="362F72B4" w:rsidR="227A2131" w:rsidRDefault="227A2131" w:rsidP="227A2131">
            <w:pPr>
              <w:rPr>
                <w:rFonts w:ascii="Arial" w:eastAsia="Arial" w:hAnsi="Arial" w:cs="Arial"/>
              </w:rPr>
            </w:pPr>
          </w:p>
        </w:tc>
        <w:tc>
          <w:tcPr>
            <w:tcW w:w="1273" w:type="dxa"/>
            <w:vAlign w:val="center"/>
          </w:tcPr>
          <w:p w14:paraId="7AFB0805" w14:textId="0970477C" w:rsidR="227A2131" w:rsidRDefault="227A2131" w:rsidP="227A2131">
            <w:pPr>
              <w:rPr>
                <w:rFonts w:ascii="Arial" w:eastAsia="Arial" w:hAnsi="Arial" w:cs="Arial"/>
              </w:rPr>
            </w:pPr>
          </w:p>
        </w:tc>
      </w:tr>
      <w:tr w:rsidR="227A2131" w14:paraId="2FB7EE51" w14:textId="77777777" w:rsidTr="227A2131">
        <w:trPr>
          <w:trHeight w:val="300"/>
        </w:trPr>
        <w:tc>
          <w:tcPr>
            <w:tcW w:w="2893" w:type="dxa"/>
            <w:vAlign w:val="center"/>
          </w:tcPr>
          <w:p w14:paraId="3E89A5DE" w14:textId="45DF2600" w:rsidR="227A2131" w:rsidRDefault="227A2131" w:rsidP="227A2131">
            <w:pPr>
              <w:rPr>
                <w:rFonts w:ascii="Arial" w:eastAsia="Arial" w:hAnsi="Arial" w:cs="Arial"/>
              </w:rPr>
            </w:pPr>
            <w:r w:rsidRPr="227A2131">
              <w:rPr>
                <w:rFonts w:ascii="Arial" w:eastAsia="Arial" w:hAnsi="Arial" w:cs="Arial"/>
              </w:rPr>
              <w:t>Product Engineering</w:t>
            </w:r>
          </w:p>
        </w:tc>
        <w:tc>
          <w:tcPr>
            <w:tcW w:w="1527" w:type="dxa"/>
            <w:vAlign w:val="center"/>
          </w:tcPr>
          <w:p w14:paraId="04B98414" w14:textId="32FC2F98" w:rsidR="227A2131" w:rsidRDefault="227A2131" w:rsidP="227A2131">
            <w:pPr>
              <w:rPr>
                <w:rFonts w:ascii="Arial" w:eastAsia="Arial" w:hAnsi="Arial" w:cs="Arial"/>
              </w:rPr>
            </w:pPr>
            <w:r w:rsidRPr="227A2131">
              <w:rPr>
                <w:rFonts w:ascii="Arial" w:eastAsia="Arial" w:hAnsi="Arial" w:cs="Arial"/>
              </w:rPr>
              <w:t>✔</w:t>
            </w:r>
          </w:p>
        </w:tc>
        <w:tc>
          <w:tcPr>
            <w:tcW w:w="1580" w:type="dxa"/>
            <w:vAlign w:val="center"/>
          </w:tcPr>
          <w:p w14:paraId="38009C41" w14:textId="659F90EA" w:rsidR="227A2131" w:rsidRDefault="227A2131" w:rsidP="227A2131">
            <w:pPr>
              <w:rPr>
                <w:rFonts w:ascii="Arial" w:eastAsia="Arial" w:hAnsi="Arial" w:cs="Arial"/>
              </w:rPr>
            </w:pPr>
          </w:p>
        </w:tc>
        <w:tc>
          <w:tcPr>
            <w:tcW w:w="1340" w:type="dxa"/>
            <w:vAlign w:val="center"/>
          </w:tcPr>
          <w:p w14:paraId="77A10812" w14:textId="65C4FA12" w:rsidR="227A2131" w:rsidRDefault="227A2131" w:rsidP="227A2131">
            <w:pPr>
              <w:rPr>
                <w:rFonts w:ascii="Arial" w:eastAsia="Arial" w:hAnsi="Arial" w:cs="Arial"/>
              </w:rPr>
            </w:pPr>
          </w:p>
        </w:tc>
        <w:tc>
          <w:tcPr>
            <w:tcW w:w="1273" w:type="dxa"/>
            <w:vAlign w:val="center"/>
          </w:tcPr>
          <w:p w14:paraId="552B201E" w14:textId="74CB1C3C" w:rsidR="227A2131" w:rsidRDefault="227A2131" w:rsidP="227A2131">
            <w:pPr>
              <w:rPr>
                <w:rFonts w:ascii="Arial" w:eastAsia="Arial" w:hAnsi="Arial" w:cs="Arial"/>
              </w:rPr>
            </w:pPr>
          </w:p>
        </w:tc>
      </w:tr>
      <w:tr w:rsidR="227A2131" w14:paraId="4EB1377D" w14:textId="77777777" w:rsidTr="227A2131">
        <w:trPr>
          <w:trHeight w:val="300"/>
        </w:trPr>
        <w:tc>
          <w:tcPr>
            <w:tcW w:w="2893" w:type="dxa"/>
            <w:vAlign w:val="center"/>
          </w:tcPr>
          <w:p w14:paraId="115DDC8A" w14:textId="30570D6C" w:rsidR="227A2131" w:rsidRDefault="227A2131" w:rsidP="227A2131">
            <w:pPr>
              <w:rPr>
                <w:rFonts w:ascii="Arial" w:eastAsia="Arial" w:hAnsi="Arial" w:cs="Arial"/>
              </w:rPr>
            </w:pPr>
            <w:r w:rsidRPr="227A2131">
              <w:rPr>
                <w:rFonts w:ascii="Arial" w:eastAsia="Arial" w:hAnsi="Arial" w:cs="Arial"/>
              </w:rPr>
              <w:t>Software &amp; AI Team</w:t>
            </w:r>
          </w:p>
        </w:tc>
        <w:tc>
          <w:tcPr>
            <w:tcW w:w="1527" w:type="dxa"/>
            <w:vAlign w:val="center"/>
          </w:tcPr>
          <w:p w14:paraId="690C9779" w14:textId="34E1F43E" w:rsidR="227A2131" w:rsidRDefault="227A2131" w:rsidP="227A2131">
            <w:pPr>
              <w:rPr>
                <w:rFonts w:ascii="Arial" w:eastAsia="Arial" w:hAnsi="Arial" w:cs="Arial"/>
              </w:rPr>
            </w:pPr>
            <w:r w:rsidRPr="227A2131">
              <w:rPr>
                <w:rFonts w:ascii="Arial" w:eastAsia="Arial" w:hAnsi="Arial" w:cs="Arial"/>
              </w:rPr>
              <w:t>✔</w:t>
            </w:r>
          </w:p>
        </w:tc>
        <w:tc>
          <w:tcPr>
            <w:tcW w:w="1580" w:type="dxa"/>
            <w:vAlign w:val="center"/>
          </w:tcPr>
          <w:p w14:paraId="6DE5CE77" w14:textId="6D1C36C3" w:rsidR="227A2131" w:rsidRDefault="227A2131" w:rsidP="227A2131">
            <w:pPr>
              <w:rPr>
                <w:rFonts w:ascii="Arial" w:eastAsia="Arial" w:hAnsi="Arial" w:cs="Arial"/>
              </w:rPr>
            </w:pPr>
          </w:p>
        </w:tc>
        <w:tc>
          <w:tcPr>
            <w:tcW w:w="1340" w:type="dxa"/>
            <w:vAlign w:val="center"/>
          </w:tcPr>
          <w:p w14:paraId="3AE91E11" w14:textId="49B18E11" w:rsidR="227A2131" w:rsidRDefault="227A2131" w:rsidP="227A2131">
            <w:pPr>
              <w:rPr>
                <w:rFonts w:ascii="Arial" w:eastAsia="Arial" w:hAnsi="Arial" w:cs="Arial"/>
              </w:rPr>
            </w:pPr>
            <w:r w:rsidRPr="227A2131">
              <w:rPr>
                <w:rFonts w:ascii="Arial" w:eastAsia="Arial" w:hAnsi="Arial" w:cs="Arial"/>
              </w:rPr>
              <w:t>✔</w:t>
            </w:r>
          </w:p>
        </w:tc>
        <w:tc>
          <w:tcPr>
            <w:tcW w:w="1273" w:type="dxa"/>
            <w:vAlign w:val="center"/>
          </w:tcPr>
          <w:p w14:paraId="4CD52F3B" w14:textId="4C1AF16F" w:rsidR="227A2131" w:rsidRDefault="227A2131" w:rsidP="227A2131">
            <w:pPr>
              <w:rPr>
                <w:rFonts w:ascii="Arial" w:eastAsia="Arial" w:hAnsi="Arial" w:cs="Arial"/>
              </w:rPr>
            </w:pPr>
          </w:p>
        </w:tc>
      </w:tr>
      <w:tr w:rsidR="227A2131" w14:paraId="4B192554" w14:textId="77777777" w:rsidTr="227A2131">
        <w:trPr>
          <w:trHeight w:val="300"/>
        </w:trPr>
        <w:tc>
          <w:tcPr>
            <w:tcW w:w="2893" w:type="dxa"/>
            <w:vAlign w:val="center"/>
          </w:tcPr>
          <w:p w14:paraId="3A20A0DC" w14:textId="00D77B37" w:rsidR="227A2131" w:rsidRDefault="227A2131" w:rsidP="227A2131">
            <w:pPr>
              <w:rPr>
                <w:rFonts w:ascii="Arial" w:eastAsia="Arial" w:hAnsi="Arial" w:cs="Arial"/>
              </w:rPr>
            </w:pPr>
            <w:r w:rsidRPr="227A2131">
              <w:rPr>
                <w:rFonts w:ascii="Arial" w:eastAsia="Arial" w:hAnsi="Arial" w:cs="Arial"/>
              </w:rPr>
              <w:t>Cybersecurity &amp; IT</w:t>
            </w:r>
          </w:p>
        </w:tc>
        <w:tc>
          <w:tcPr>
            <w:tcW w:w="1527" w:type="dxa"/>
            <w:vAlign w:val="center"/>
          </w:tcPr>
          <w:p w14:paraId="5480234D" w14:textId="3AA5D3FD" w:rsidR="227A2131" w:rsidRDefault="227A2131" w:rsidP="227A2131">
            <w:pPr>
              <w:rPr>
                <w:rFonts w:ascii="Arial" w:eastAsia="Arial" w:hAnsi="Arial" w:cs="Arial"/>
              </w:rPr>
            </w:pPr>
            <w:r w:rsidRPr="227A2131">
              <w:rPr>
                <w:rFonts w:ascii="Arial" w:eastAsia="Arial" w:hAnsi="Arial" w:cs="Arial"/>
              </w:rPr>
              <w:t>✔</w:t>
            </w:r>
          </w:p>
        </w:tc>
        <w:tc>
          <w:tcPr>
            <w:tcW w:w="1580" w:type="dxa"/>
            <w:vAlign w:val="center"/>
          </w:tcPr>
          <w:p w14:paraId="131D2997" w14:textId="620CBF00" w:rsidR="227A2131" w:rsidRDefault="227A2131" w:rsidP="227A2131">
            <w:pPr>
              <w:rPr>
                <w:rFonts w:ascii="Arial" w:eastAsia="Arial" w:hAnsi="Arial" w:cs="Arial"/>
              </w:rPr>
            </w:pPr>
          </w:p>
        </w:tc>
        <w:tc>
          <w:tcPr>
            <w:tcW w:w="1340" w:type="dxa"/>
            <w:vAlign w:val="center"/>
          </w:tcPr>
          <w:p w14:paraId="54CB970A" w14:textId="19951C6B" w:rsidR="227A2131" w:rsidRDefault="227A2131" w:rsidP="227A2131">
            <w:pPr>
              <w:rPr>
                <w:rFonts w:ascii="Arial" w:eastAsia="Arial" w:hAnsi="Arial" w:cs="Arial"/>
              </w:rPr>
            </w:pPr>
            <w:r w:rsidRPr="227A2131">
              <w:rPr>
                <w:rFonts w:ascii="Arial" w:eastAsia="Arial" w:hAnsi="Arial" w:cs="Arial"/>
              </w:rPr>
              <w:t>✔</w:t>
            </w:r>
          </w:p>
        </w:tc>
        <w:tc>
          <w:tcPr>
            <w:tcW w:w="1273" w:type="dxa"/>
            <w:vAlign w:val="center"/>
          </w:tcPr>
          <w:p w14:paraId="19E3798B" w14:textId="6760F773" w:rsidR="227A2131" w:rsidRDefault="227A2131" w:rsidP="227A2131">
            <w:pPr>
              <w:rPr>
                <w:rFonts w:ascii="Arial" w:eastAsia="Arial" w:hAnsi="Arial" w:cs="Arial"/>
              </w:rPr>
            </w:pPr>
          </w:p>
        </w:tc>
      </w:tr>
      <w:tr w:rsidR="227A2131" w14:paraId="68665DDB" w14:textId="77777777" w:rsidTr="227A2131">
        <w:trPr>
          <w:trHeight w:val="300"/>
        </w:trPr>
        <w:tc>
          <w:tcPr>
            <w:tcW w:w="2893" w:type="dxa"/>
            <w:vAlign w:val="center"/>
          </w:tcPr>
          <w:p w14:paraId="4751100A" w14:textId="21C8A2DD" w:rsidR="227A2131" w:rsidRDefault="227A2131" w:rsidP="227A2131">
            <w:pPr>
              <w:rPr>
                <w:rFonts w:ascii="Arial" w:eastAsia="Arial" w:hAnsi="Arial" w:cs="Arial"/>
              </w:rPr>
            </w:pPr>
            <w:r w:rsidRPr="227A2131">
              <w:rPr>
                <w:rFonts w:ascii="Arial" w:eastAsia="Arial" w:hAnsi="Arial" w:cs="Arial"/>
              </w:rPr>
              <w:t>QA &amp; Clinical Validation</w:t>
            </w:r>
          </w:p>
        </w:tc>
        <w:tc>
          <w:tcPr>
            <w:tcW w:w="1527" w:type="dxa"/>
            <w:vAlign w:val="center"/>
          </w:tcPr>
          <w:p w14:paraId="2A243ABC" w14:textId="0685F85E" w:rsidR="227A2131" w:rsidRDefault="227A2131" w:rsidP="227A2131">
            <w:pPr>
              <w:rPr>
                <w:rFonts w:ascii="Arial" w:eastAsia="Arial" w:hAnsi="Arial" w:cs="Arial"/>
              </w:rPr>
            </w:pPr>
            <w:r w:rsidRPr="227A2131">
              <w:rPr>
                <w:rFonts w:ascii="Arial" w:eastAsia="Arial" w:hAnsi="Arial" w:cs="Arial"/>
              </w:rPr>
              <w:t>✔</w:t>
            </w:r>
          </w:p>
        </w:tc>
        <w:tc>
          <w:tcPr>
            <w:tcW w:w="1580" w:type="dxa"/>
            <w:vAlign w:val="center"/>
          </w:tcPr>
          <w:p w14:paraId="6E497E92" w14:textId="3B93C373" w:rsidR="227A2131" w:rsidRDefault="227A2131" w:rsidP="227A2131">
            <w:pPr>
              <w:rPr>
                <w:rFonts w:ascii="Arial" w:eastAsia="Arial" w:hAnsi="Arial" w:cs="Arial"/>
              </w:rPr>
            </w:pPr>
          </w:p>
        </w:tc>
        <w:tc>
          <w:tcPr>
            <w:tcW w:w="1340" w:type="dxa"/>
            <w:vAlign w:val="center"/>
          </w:tcPr>
          <w:p w14:paraId="146CA642" w14:textId="0BFB490A" w:rsidR="227A2131" w:rsidRDefault="227A2131" w:rsidP="227A2131">
            <w:pPr>
              <w:rPr>
                <w:rFonts w:ascii="Arial" w:eastAsia="Arial" w:hAnsi="Arial" w:cs="Arial"/>
              </w:rPr>
            </w:pPr>
            <w:r w:rsidRPr="227A2131">
              <w:rPr>
                <w:rFonts w:ascii="Arial" w:eastAsia="Arial" w:hAnsi="Arial" w:cs="Arial"/>
              </w:rPr>
              <w:t>✔</w:t>
            </w:r>
          </w:p>
        </w:tc>
        <w:tc>
          <w:tcPr>
            <w:tcW w:w="1273" w:type="dxa"/>
            <w:vAlign w:val="center"/>
          </w:tcPr>
          <w:p w14:paraId="1CA7FF53" w14:textId="68CEEAEA" w:rsidR="227A2131" w:rsidRDefault="227A2131" w:rsidP="227A2131">
            <w:pPr>
              <w:rPr>
                <w:rFonts w:ascii="Arial" w:eastAsia="Arial" w:hAnsi="Arial" w:cs="Arial"/>
              </w:rPr>
            </w:pPr>
          </w:p>
        </w:tc>
      </w:tr>
      <w:tr w:rsidR="227A2131" w14:paraId="44BE29CF" w14:textId="77777777" w:rsidTr="227A2131">
        <w:trPr>
          <w:trHeight w:val="300"/>
        </w:trPr>
        <w:tc>
          <w:tcPr>
            <w:tcW w:w="2893" w:type="dxa"/>
            <w:vAlign w:val="center"/>
          </w:tcPr>
          <w:p w14:paraId="070295F1" w14:textId="72153952" w:rsidR="227A2131" w:rsidRDefault="227A2131" w:rsidP="227A2131">
            <w:pPr>
              <w:rPr>
                <w:rFonts w:ascii="Arial" w:eastAsia="Arial" w:hAnsi="Arial" w:cs="Arial"/>
              </w:rPr>
            </w:pPr>
            <w:r w:rsidRPr="227A2131">
              <w:rPr>
                <w:rFonts w:ascii="Arial" w:eastAsia="Arial" w:hAnsi="Arial" w:cs="Arial"/>
              </w:rPr>
              <w:t>Compliance &amp; DPO</w:t>
            </w:r>
          </w:p>
        </w:tc>
        <w:tc>
          <w:tcPr>
            <w:tcW w:w="1527" w:type="dxa"/>
            <w:vAlign w:val="center"/>
          </w:tcPr>
          <w:p w14:paraId="2CC7ECD9" w14:textId="49F9F961" w:rsidR="227A2131" w:rsidRDefault="227A2131" w:rsidP="227A2131">
            <w:pPr>
              <w:rPr>
                <w:rFonts w:ascii="Arial" w:eastAsia="Arial" w:hAnsi="Arial" w:cs="Arial"/>
              </w:rPr>
            </w:pPr>
          </w:p>
        </w:tc>
        <w:tc>
          <w:tcPr>
            <w:tcW w:w="1580" w:type="dxa"/>
            <w:vAlign w:val="center"/>
          </w:tcPr>
          <w:p w14:paraId="62D797BE" w14:textId="31DAA583" w:rsidR="227A2131" w:rsidRDefault="227A2131" w:rsidP="227A2131">
            <w:pPr>
              <w:rPr>
                <w:rFonts w:ascii="Arial" w:eastAsia="Arial" w:hAnsi="Arial" w:cs="Arial"/>
              </w:rPr>
            </w:pPr>
            <w:r w:rsidRPr="227A2131">
              <w:rPr>
                <w:rFonts w:ascii="Arial" w:eastAsia="Arial" w:hAnsi="Arial" w:cs="Arial"/>
              </w:rPr>
              <w:t>✔</w:t>
            </w:r>
          </w:p>
        </w:tc>
        <w:tc>
          <w:tcPr>
            <w:tcW w:w="1340" w:type="dxa"/>
            <w:vAlign w:val="center"/>
          </w:tcPr>
          <w:p w14:paraId="3DBCD523" w14:textId="3B073113" w:rsidR="227A2131" w:rsidRDefault="227A2131" w:rsidP="227A2131">
            <w:pPr>
              <w:rPr>
                <w:rFonts w:ascii="Arial" w:eastAsia="Arial" w:hAnsi="Arial" w:cs="Arial"/>
              </w:rPr>
            </w:pPr>
            <w:r w:rsidRPr="227A2131">
              <w:rPr>
                <w:rFonts w:ascii="Arial" w:eastAsia="Arial" w:hAnsi="Arial" w:cs="Arial"/>
              </w:rPr>
              <w:t>✔</w:t>
            </w:r>
          </w:p>
        </w:tc>
        <w:tc>
          <w:tcPr>
            <w:tcW w:w="1273" w:type="dxa"/>
            <w:vAlign w:val="center"/>
          </w:tcPr>
          <w:p w14:paraId="36B97ED0" w14:textId="3AC1C807" w:rsidR="227A2131" w:rsidRDefault="227A2131" w:rsidP="227A2131">
            <w:pPr>
              <w:rPr>
                <w:rFonts w:ascii="Arial" w:eastAsia="Arial" w:hAnsi="Arial" w:cs="Arial"/>
              </w:rPr>
            </w:pPr>
          </w:p>
        </w:tc>
      </w:tr>
      <w:tr w:rsidR="227A2131" w14:paraId="4C7810C1" w14:textId="77777777" w:rsidTr="227A2131">
        <w:trPr>
          <w:trHeight w:val="300"/>
        </w:trPr>
        <w:tc>
          <w:tcPr>
            <w:tcW w:w="2893" w:type="dxa"/>
            <w:vAlign w:val="center"/>
          </w:tcPr>
          <w:p w14:paraId="0A126AD3" w14:textId="088984AA" w:rsidR="227A2131" w:rsidRDefault="227A2131" w:rsidP="227A2131">
            <w:pPr>
              <w:rPr>
                <w:rFonts w:ascii="Arial" w:eastAsia="Arial" w:hAnsi="Arial" w:cs="Arial"/>
              </w:rPr>
            </w:pPr>
            <w:r w:rsidRPr="227A2131">
              <w:rPr>
                <w:rFonts w:ascii="Arial" w:eastAsia="Arial" w:hAnsi="Arial" w:cs="Arial"/>
              </w:rPr>
              <w:t>Marketing</w:t>
            </w:r>
          </w:p>
        </w:tc>
        <w:tc>
          <w:tcPr>
            <w:tcW w:w="1527" w:type="dxa"/>
            <w:vAlign w:val="center"/>
          </w:tcPr>
          <w:p w14:paraId="7EE178A1" w14:textId="6147B43B" w:rsidR="227A2131" w:rsidRDefault="227A2131" w:rsidP="227A2131">
            <w:pPr>
              <w:rPr>
                <w:rFonts w:ascii="Arial" w:eastAsia="Arial" w:hAnsi="Arial" w:cs="Arial"/>
              </w:rPr>
            </w:pPr>
            <w:r w:rsidRPr="227A2131">
              <w:rPr>
                <w:rFonts w:ascii="Arial" w:eastAsia="Arial" w:hAnsi="Arial" w:cs="Arial"/>
              </w:rPr>
              <w:t>✔</w:t>
            </w:r>
          </w:p>
        </w:tc>
        <w:tc>
          <w:tcPr>
            <w:tcW w:w="1580" w:type="dxa"/>
            <w:vAlign w:val="center"/>
          </w:tcPr>
          <w:p w14:paraId="2B214141" w14:textId="5C0B3E4C" w:rsidR="227A2131" w:rsidRDefault="227A2131" w:rsidP="227A2131">
            <w:pPr>
              <w:rPr>
                <w:rFonts w:ascii="Arial" w:eastAsia="Arial" w:hAnsi="Arial" w:cs="Arial"/>
              </w:rPr>
            </w:pPr>
          </w:p>
        </w:tc>
        <w:tc>
          <w:tcPr>
            <w:tcW w:w="1340" w:type="dxa"/>
            <w:vAlign w:val="center"/>
          </w:tcPr>
          <w:p w14:paraId="645C54D7" w14:textId="5B7343F3" w:rsidR="227A2131" w:rsidRDefault="227A2131" w:rsidP="227A2131">
            <w:pPr>
              <w:rPr>
                <w:rFonts w:ascii="Arial" w:eastAsia="Arial" w:hAnsi="Arial" w:cs="Arial"/>
              </w:rPr>
            </w:pPr>
            <w:r w:rsidRPr="227A2131">
              <w:rPr>
                <w:rFonts w:ascii="Arial" w:eastAsia="Arial" w:hAnsi="Arial" w:cs="Arial"/>
              </w:rPr>
              <w:t>✔</w:t>
            </w:r>
          </w:p>
        </w:tc>
        <w:tc>
          <w:tcPr>
            <w:tcW w:w="1273" w:type="dxa"/>
            <w:vAlign w:val="center"/>
          </w:tcPr>
          <w:p w14:paraId="682F1608" w14:textId="41ACF2FF" w:rsidR="227A2131" w:rsidRDefault="227A2131" w:rsidP="227A2131">
            <w:pPr>
              <w:rPr>
                <w:rFonts w:ascii="Arial" w:eastAsia="Arial" w:hAnsi="Arial" w:cs="Arial"/>
              </w:rPr>
            </w:pPr>
          </w:p>
        </w:tc>
      </w:tr>
      <w:tr w:rsidR="227A2131" w14:paraId="450ED29C" w14:textId="77777777" w:rsidTr="227A2131">
        <w:trPr>
          <w:trHeight w:val="300"/>
        </w:trPr>
        <w:tc>
          <w:tcPr>
            <w:tcW w:w="2893" w:type="dxa"/>
            <w:vAlign w:val="center"/>
          </w:tcPr>
          <w:p w14:paraId="519B1F11" w14:textId="36CFB9F1" w:rsidR="227A2131" w:rsidRDefault="227A2131" w:rsidP="227A2131">
            <w:pPr>
              <w:rPr>
                <w:rFonts w:ascii="Arial" w:eastAsia="Arial" w:hAnsi="Arial" w:cs="Arial"/>
              </w:rPr>
            </w:pPr>
            <w:r w:rsidRPr="227A2131">
              <w:rPr>
                <w:rFonts w:ascii="Arial" w:eastAsia="Arial" w:hAnsi="Arial" w:cs="Arial"/>
              </w:rPr>
              <w:t>Sales &amp; Retail Enablement</w:t>
            </w:r>
          </w:p>
        </w:tc>
        <w:tc>
          <w:tcPr>
            <w:tcW w:w="1527" w:type="dxa"/>
            <w:vAlign w:val="center"/>
          </w:tcPr>
          <w:p w14:paraId="493FEF3C" w14:textId="68E7744A" w:rsidR="227A2131" w:rsidRDefault="227A2131" w:rsidP="227A2131">
            <w:pPr>
              <w:rPr>
                <w:rFonts w:ascii="Arial" w:eastAsia="Arial" w:hAnsi="Arial" w:cs="Arial"/>
              </w:rPr>
            </w:pPr>
            <w:r w:rsidRPr="227A2131">
              <w:rPr>
                <w:rFonts w:ascii="Arial" w:eastAsia="Arial" w:hAnsi="Arial" w:cs="Arial"/>
              </w:rPr>
              <w:t>✔</w:t>
            </w:r>
          </w:p>
        </w:tc>
        <w:tc>
          <w:tcPr>
            <w:tcW w:w="1580" w:type="dxa"/>
            <w:vAlign w:val="center"/>
          </w:tcPr>
          <w:p w14:paraId="1E1C0143" w14:textId="02117305" w:rsidR="227A2131" w:rsidRDefault="227A2131" w:rsidP="227A2131">
            <w:pPr>
              <w:rPr>
                <w:rFonts w:ascii="Arial" w:eastAsia="Arial" w:hAnsi="Arial" w:cs="Arial"/>
              </w:rPr>
            </w:pPr>
          </w:p>
        </w:tc>
        <w:tc>
          <w:tcPr>
            <w:tcW w:w="1340" w:type="dxa"/>
            <w:vAlign w:val="center"/>
          </w:tcPr>
          <w:p w14:paraId="41E294B5" w14:textId="7E209C4C" w:rsidR="227A2131" w:rsidRDefault="227A2131" w:rsidP="227A2131">
            <w:pPr>
              <w:rPr>
                <w:rFonts w:ascii="Arial" w:eastAsia="Arial" w:hAnsi="Arial" w:cs="Arial"/>
              </w:rPr>
            </w:pPr>
          </w:p>
        </w:tc>
        <w:tc>
          <w:tcPr>
            <w:tcW w:w="1273" w:type="dxa"/>
            <w:vAlign w:val="center"/>
          </w:tcPr>
          <w:p w14:paraId="0749567E" w14:textId="6CD7C745" w:rsidR="227A2131" w:rsidRDefault="227A2131" w:rsidP="227A2131">
            <w:pPr>
              <w:rPr>
                <w:rFonts w:ascii="Arial" w:eastAsia="Arial" w:hAnsi="Arial" w:cs="Arial"/>
              </w:rPr>
            </w:pPr>
            <w:r w:rsidRPr="227A2131">
              <w:rPr>
                <w:rFonts w:ascii="Arial" w:eastAsia="Arial" w:hAnsi="Arial" w:cs="Arial"/>
              </w:rPr>
              <w:t>✔</w:t>
            </w:r>
          </w:p>
        </w:tc>
      </w:tr>
      <w:tr w:rsidR="227A2131" w14:paraId="60005DD3" w14:textId="77777777" w:rsidTr="227A2131">
        <w:trPr>
          <w:trHeight w:val="300"/>
        </w:trPr>
        <w:tc>
          <w:tcPr>
            <w:tcW w:w="2893" w:type="dxa"/>
            <w:vAlign w:val="center"/>
          </w:tcPr>
          <w:p w14:paraId="02B56B66" w14:textId="2A819C98" w:rsidR="227A2131" w:rsidRDefault="227A2131" w:rsidP="227A2131">
            <w:pPr>
              <w:rPr>
                <w:rFonts w:ascii="Arial" w:eastAsia="Arial" w:hAnsi="Arial" w:cs="Arial"/>
              </w:rPr>
            </w:pPr>
            <w:r w:rsidRPr="227A2131">
              <w:rPr>
                <w:rFonts w:ascii="Arial" w:eastAsia="Arial" w:hAnsi="Arial" w:cs="Arial"/>
              </w:rPr>
              <w:t>Retail Partners</w:t>
            </w:r>
          </w:p>
        </w:tc>
        <w:tc>
          <w:tcPr>
            <w:tcW w:w="1527" w:type="dxa"/>
            <w:vAlign w:val="center"/>
          </w:tcPr>
          <w:p w14:paraId="4A03B6C7" w14:textId="0CBA5189" w:rsidR="227A2131" w:rsidRDefault="227A2131" w:rsidP="227A2131">
            <w:pPr>
              <w:rPr>
                <w:rFonts w:ascii="Arial" w:eastAsia="Arial" w:hAnsi="Arial" w:cs="Arial"/>
              </w:rPr>
            </w:pPr>
          </w:p>
        </w:tc>
        <w:tc>
          <w:tcPr>
            <w:tcW w:w="1580" w:type="dxa"/>
            <w:vAlign w:val="center"/>
          </w:tcPr>
          <w:p w14:paraId="655C3927" w14:textId="11D8E95B" w:rsidR="227A2131" w:rsidRDefault="227A2131" w:rsidP="227A2131">
            <w:pPr>
              <w:rPr>
                <w:rFonts w:ascii="Arial" w:eastAsia="Arial" w:hAnsi="Arial" w:cs="Arial"/>
              </w:rPr>
            </w:pPr>
            <w:r w:rsidRPr="227A2131">
              <w:rPr>
                <w:rFonts w:ascii="Arial" w:eastAsia="Arial" w:hAnsi="Arial" w:cs="Arial"/>
              </w:rPr>
              <w:t>✔</w:t>
            </w:r>
          </w:p>
        </w:tc>
        <w:tc>
          <w:tcPr>
            <w:tcW w:w="1340" w:type="dxa"/>
            <w:vAlign w:val="center"/>
          </w:tcPr>
          <w:p w14:paraId="61A355F4" w14:textId="66611619" w:rsidR="227A2131" w:rsidRDefault="227A2131" w:rsidP="227A2131">
            <w:pPr>
              <w:rPr>
                <w:rFonts w:ascii="Arial" w:eastAsia="Arial" w:hAnsi="Arial" w:cs="Arial"/>
              </w:rPr>
            </w:pPr>
            <w:r w:rsidRPr="227A2131">
              <w:rPr>
                <w:rFonts w:ascii="Arial" w:eastAsia="Arial" w:hAnsi="Arial" w:cs="Arial"/>
              </w:rPr>
              <w:t>✔</w:t>
            </w:r>
          </w:p>
        </w:tc>
        <w:tc>
          <w:tcPr>
            <w:tcW w:w="1273" w:type="dxa"/>
            <w:vAlign w:val="center"/>
          </w:tcPr>
          <w:p w14:paraId="539430AD" w14:textId="502F445B" w:rsidR="227A2131" w:rsidRDefault="227A2131" w:rsidP="227A2131">
            <w:pPr>
              <w:rPr>
                <w:rFonts w:ascii="Arial" w:eastAsia="Arial" w:hAnsi="Arial" w:cs="Arial"/>
              </w:rPr>
            </w:pPr>
          </w:p>
        </w:tc>
      </w:tr>
      <w:tr w:rsidR="227A2131" w14:paraId="36DC1728" w14:textId="77777777" w:rsidTr="227A2131">
        <w:trPr>
          <w:trHeight w:val="300"/>
        </w:trPr>
        <w:tc>
          <w:tcPr>
            <w:tcW w:w="2893" w:type="dxa"/>
            <w:vAlign w:val="center"/>
          </w:tcPr>
          <w:p w14:paraId="456CF324" w14:textId="5D279258" w:rsidR="227A2131" w:rsidRDefault="227A2131" w:rsidP="227A2131">
            <w:pPr>
              <w:rPr>
                <w:rFonts w:ascii="Arial" w:eastAsia="Arial" w:hAnsi="Arial" w:cs="Arial"/>
              </w:rPr>
            </w:pPr>
            <w:r w:rsidRPr="227A2131">
              <w:rPr>
                <w:rFonts w:ascii="Arial" w:eastAsia="Arial" w:hAnsi="Arial" w:cs="Arial"/>
              </w:rPr>
              <w:t>Logistics Providers</w:t>
            </w:r>
          </w:p>
        </w:tc>
        <w:tc>
          <w:tcPr>
            <w:tcW w:w="1527" w:type="dxa"/>
            <w:vAlign w:val="center"/>
          </w:tcPr>
          <w:p w14:paraId="72186603" w14:textId="1A922653" w:rsidR="227A2131" w:rsidRDefault="227A2131" w:rsidP="227A2131">
            <w:pPr>
              <w:rPr>
                <w:rFonts w:ascii="Arial" w:eastAsia="Arial" w:hAnsi="Arial" w:cs="Arial"/>
              </w:rPr>
            </w:pPr>
            <w:r w:rsidRPr="227A2131">
              <w:rPr>
                <w:rFonts w:ascii="Arial" w:eastAsia="Arial" w:hAnsi="Arial" w:cs="Arial"/>
              </w:rPr>
              <w:t>✔</w:t>
            </w:r>
          </w:p>
        </w:tc>
        <w:tc>
          <w:tcPr>
            <w:tcW w:w="1580" w:type="dxa"/>
            <w:vAlign w:val="center"/>
          </w:tcPr>
          <w:p w14:paraId="06B9F6E7" w14:textId="6614452E" w:rsidR="227A2131" w:rsidRDefault="227A2131" w:rsidP="227A2131">
            <w:pPr>
              <w:rPr>
                <w:rFonts w:ascii="Arial" w:eastAsia="Arial" w:hAnsi="Arial" w:cs="Arial"/>
              </w:rPr>
            </w:pPr>
          </w:p>
        </w:tc>
        <w:tc>
          <w:tcPr>
            <w:tcW w:w="1340" w:type="dxa"/>
            <w:vAlign w:val="center"/>
          </w:tcPr>
          <w:p w14:paraId="3F477B02" w14:textId="4AE7135C" w:rsidR="227A2131" w:rsidRDefault="227A2131" w:rsidP="227A2131">
            <w:pPr>
              <w:rPr>
                <w:rFonts w:ascii="Arial" w:eastAsia="Arial" w:hAnsi="Arial" w:cs="Arial"/>
              </w:rPr>
            </w:pPr>
          </w:p>
        </w:tc>
        <w:tc>
          <w:tcPr>
            <w:tcW w:w="1273" w:type="dxa"/>
            <w:vAlign w:val="center"/>
          </w:tcPr>
          <w:p w14:paraId="6A820384" w14:textId="6A84F08F" w:rsidR="227A2131" w:rsidRDefault="227A2131" w:rsidP="227A2131">
            <w:pPr>
              <w:rPr>
                <w:rFonts w:ascii="Arial" w:eastAsia="Arial" w:hAnsi="Arial" w:cs="Arial"/>
              </w:rPr>
            </w:pPr>
            <w:r w:rsidRPr="227A2131">
              <w:rPr>
                <w:rFonts w:ascii="Arial" w:eastAsia="Arial" w:hAnsi="Arial" w:cs="Arial"/>
              </w:rPr>
              <w:t>✔</w:t>
            </w:r>
          </w:p>
        </w:tc>
      </w:tr>
      <w:tr w:rsidR="227A2131" w14:paraId="5FF99712" w14:textId="77777777" w:rsidTr="227A2131">
        <w:trPr>
          <w:trHeight w:val="300"/>
        </w:trPr>
        <w:tc>
          <w:tcPr>
            <w:tcW w:w="2893" w:type="dxa"/>
            <w:vAlign w:val="center"/>
          </w:tcPr>
          <w:p w14:paraId="3C02D8D6" w14:textId="02FF0068" w:rsidR="227A2131" w:rsidRDefault="227A2131" w:rsidP="227A2131">
            <w:pPr>
              <w:rPr>
                <w:rFonts w:ascii="Arial" w:eastAsia="Arial" w:hAnsi="Arial" w:cs="Arial"/>
              </w:rPr>
            </w:pPr>
            <w:r w:rsidRPr="227A2131">
              <w:rPr>
                <w:rFonts w:ascii="Arial" w:eastAsia="Arial" w:hAnsi="Arial" w:cs="Arial"/>
              </w:rPr>
              <w:t>Consumers Test Groups</w:t>
            </w:r>
          </w:p>
        </w:tc>
        <w:tc>
          <w:tcPr>
            <w:tcW w:w="1527" w:type="dxa"/>
            <w:vAlign w:val="center"/>
          </w:tcPr>
          <w:p w14:paraId="14AF7AAF" w14:textId="11A19DAE" w:rsidR="227A2131" w:rsidRDefault="227A2131" w:rsidP="227A2131">
            <w:pPr>
              <w:rPr>
                <w:rFonts w:ascii="Arial" w:eastAsia="Arial" w:hAnsi="Arial" w:cs="Arial"/>
              </w:rPr>
            </w:pPr>
            <w:r w:rsidRPr="227A2131">
              <w:rPr>
                <w:rFonts w:ascii="Arial" w:eastAsia="Arial" w:hAnsi="Arial" w:cs="Arial"/>
              </w:rPr>
              <w:t>✔</w:t>
            </w:r>
          </w:p>
        </w:tc>
        <w:tc>
          <w:tcPr>
            <w:tcW w:w="1580" w:type="dxa"/>
            <w:vAlign w:val="center"/>
          </w:tcPr>
          <w:p w14:paraId="509B1898" w14:textId="00FB56C1" w:rsidR="227A2131" w:rsidRDefault="227A2131" w:rsidP="227A2131">
            <w:pPr>
              <w:rPr>
                <w:rFonts w:ascii="Arial" w:eastAsia="Arial" w:hAnsi="Arial" w:cs="Arial"/>
              </w:rPr>
            </w:pPr>
          </w:p>
        </w:tc>
        <w:tc>
          <w:tcPr>
            <w:tcW w:w="1340" w:type="dxa"/>
            <w:vAlign w:val="center"/>
          </w:tcPr>
          <w:p w14:paraId="203983F0" w14:textId="1803100F" w:rsidR="227A2131" w:rsidRDefault="227A2131" w:rsidP="227A2131">
            <w:pPr>
              <w:rPr>
                <w:rFonts w:ascii="Arial" w:eastAsia="Arial" w:hAnsi="Arial" w:cs="Arial"/>
              </w:rPr>
            </w:pPr>
            <w:r w:rsidRPr="227A2131">
              <w:rPr>
                <w:rFonts w:ascii="Arial" w:eastAsia="Arial" w:hAnsi="Arial" w:cs="Arial"/>
              </w:rPr>
              <w:t>✔</w:t>
            </w:r>
          </w:p>
        </w:tc>
        <w:tc>
          <w:tcPr>
            <w:tcW w:w="1273" w:type="dxa"/>
            <w:vAlign w:val="center"/>
          </w:tcPr>
          <w:p w14:paraId="08BE31B9" w14:textId="2A900037" w:rsidR="227A2131" w:rsidRDefault="227A2131" w:rsidP="227A2131">
            <w:pPr>
              <w:rPr>
                <w:rFonts w:ascii="Arial" w:eastAsia="Arial" w:hAnsi="Arial" w:cs="Arial"/>
              </w:rPr>
            </w:pPr>
          </w:p>
        </w:tc>
      </w:tr>
    </w:tbl>
    <w:p w14:paraId="6A7DFFD7" w14:textId="715D98CB" w:rsidR="227A2131" w:rsidRDefault="227A2131" w:rsidP="227A2131">
      <w:pPr>
        <w:rPr>
          <w:rFonts w:ascii="Arial" w:eastAsia="Arial" w:hAnsi="Arial" w:cs="Arial"/>
        </w:rPr>
      </w:pPr>
      <w:r>
        <w:br/>
      </w:r>
      <w:r w:rsidR="1FE6ED2B" w:rsidRPr="227A2131">
        <w:rPr>
          <w:rFonts w:ascii="Arial" w:eastAsia="Arial" w:hAnsi="Arial" w:cs="Arial"/>
          <w:b/>
          <w:bCs/>
        </w:rPr>
        <w:t>4.3 Stakeholder Map</w:t>
      </w:r>
    </w:p>
    <w:p w14:paraId="5FF3BC17" w14:textId="01FEB867" w:rsidR="1FE6ED2B" w:rsidRDefault="1FE6ED2B" w:rsidP="227A2131">
      <w:pPr>
        <w:rPr>
          <w:rFonts w:ascii="Arial" w:eastAsia="Arial" w:hAnsi="Arial" w:cs="Arial"/>
        </w:rPr>
      </w:pPr>
      <w:r w:rsidRPr="227A2131">
        <w:rPr>
          <w:rFonts w:ascii="Arial" w:eastAsia="Arial" w:hAnsi="Arial" w:cs="Arial"/>
        </w:rPr>
        <w:t xml:space="preserve">Stakeholders are mapped across dimensions of influence, proximity, and benefit dependency. Strategic stakeholders sit at the core (Board, Compliance, R&amp;D, Engineering, Software, Cybersecurity). Retail partners, Google ecosystem owners and MHRA influence approvals externally. Consumers, pharmacies and logistics partners support adoption and </w:t>
      </w:r>
      <w:proofErr w:type="spellStart"/>
      <w:r w:rsidRPr="227A2131">
        <w:rPr>
          <w:rFonts w:ascii="Arial" w:eastAsia="Arial" w:hAnsi="Arial" w:cs="Arial"/>
        </w:rPr>
        <w:t>fulfilment</w:t>
      </w:r>
      <w:proofErr w:type="spellEnd"/>
      <w:r w:rsidRPr="227A2131">
        <w:rPr>
          <w:rFonts w:ascii="Arial" w:eastAsia="Arial" w:hAnsi="Arial" w:cs="Arial"/>
        </w:rPr>
        <w:t xml:space="preserve">. Engagement intensity is </w:t>
      </w:r>
      <w:proofErr w:type="spellStart"/>
      <w:r w:rsidRPr="227A2131">
        <w:rPr>
          <w:rFonts w:ascii="Arial" w:eastAsia="Arial" w:hAnsi="Arial" w:cs="Arial"/>
        </w:rPr>
        <w:t>prioritised</w:t>
      </w:r>
      <w:proofErr w:type="spellEnd"/>
      <w:r w:rsidRPr="227A2131">
        <w:rPr>
          <w:rFonts w:ascii="Arial" w:eastAsia="Arial" w:hAnsi="Arial" w:cs="Arial"/>
        </w:rPr>
        <w:t xml:space="preserve"> by influence and project risk exposure impact.</w:t>
      </w:r>
    </w:p>
    <w:p w14:paraId="2CF26317" w14:textId="0246245F" w:rsidR="227A2131" w:rsidRDefault="227A2131" w:rsidP="227A2131">
      <w:pPr>
        <w:rPr>
          <w:rFonts w:ascii="Arial" w:eastAsia="Arial" w:hAnsi="Arial" w:cs="Arial"/>
        </w:rPr>
      </w:pPr>
    </w:p>
    <w:p w14:paraId="255B01F1" w14:textId="619E869C" w:rsidR="1FE6ED2B" w:rsidRDefault="1FE6ED2B" w:rsidP="227A2131">
      <w:pPr>
        <w:rPr>
          <w:rFonts w:ascii="Arial" w:eastAsia="Arial" w:hAnsi="Arial" w:cs="Arial"/>
          <w:b/>
          <w:bCs/>
        </w:rPr>
      </w:pPr>
      <w:r w:rsidRPr="227A2131">
        <w:rPr>
          <w:rFonts w:ascii="Arial" w:eastAsia="Arial" w:hAnsi="Arial" w:cs="Arial"/>
          <w:b/>
          <w:bCs/>
        </w:rPr>
        <w:t>4.4 Stakeholder Power-Interest Matrix</w:t>
      </w:r>
    </w:p>
    <w:p w14:paraId="19AC84A0" w14:textId="7207401D" w:rsidR="1FE6ED2B" w:rsidRDefault="1FE6ED2B" w:rsidP="227A2131">
      <w:pPr>
        <w:rPr>
          <w:rFonts w:ascii="Arial" w:eastAsia="Arial" w:hAnsi="Arial" w:cs="Arial"/>
        </w:rPr>
      </w:pPr>
      <w:proofErr w:type="spellStart"/>
      <w:r w:rsidRPr="227A2131">
        <w:rPr>
          <w:rFonts w:ascii="Arial" w:eastAsia="Arial" w:hAnsi="Arial" w:cs="Arial"/>
        </w:rPr>
        <w:t>Mendelow’s</w:t>
      </w:r>
      <w:proofErr w:type="spellEnd"/>
      <w:r w:rsidRPr="227A2131">
        <w:rPr>
          <w:rFonts w:ascii="Arial" w:eastAsia="Arial" w:hAnsi="Arial" w:cs="Arial"/>
        </w:rPr>
        <w:t xml:space="preserve"> matrix (1991) is used:</w:t>
      </w:r>
    </w:p>
    <w:p w14:paraId="76C3CB1C" w14:textId="55A5C8A6" w:rsidR="1FE6ED2B" w:rsidRDefault="1FE6ED2B" w:rsidP="227A2131">
      <w:pPr>
        <w:rPr>
          <w:rFonts w:ascii="Arial" w:eastAsia="Arial" w:hAnsi="Arial" w:cs="Arial"/>
        </w:rPr>
      </w:pPr>
      <w:r w:rsidRPr="227A2131">
        <w:rPr>
          <w:rFonts w:ascii="Arial" w:eastAsia="Arial" w:hAnsi="Arial" w:cs="Arial"/>
        </w:rPr>
        <w:t>High Power, High Interest (Manage closely): Senior Board, Engineering, R&amp;D, Software/AI, Cybersecurity, Compliance, Retail Partners, Regulatory bodies.</w:t>
      </w:r>
    </w:p>
    <w:p w14:paraId="3FD31460" w14:textId="31C2C47B" w:rsidR="1FE6ED2B" w:rsidRDefault="1FE6ED2B" w:rsidP="227A2131">
      <w:pPr>
        <w:rPr>
          <w:rFonts w:ascii="Arial" w:eastAsia="Arial" w:hAnsi="Arial" w:cs="Arial"/>
        </w:rPr>
      </w:pPr>
      <w:r w:rsidRPr="227A2131">
        <w:rPr>
          <w:rFonts w:ascii="Arial" w:eastAsia="Arial" w:hAnsi="Arial" w:cs="Arial"/>
        </w:rPr>
        <w:t>High Power, Low Interest (Keep satisfied): Finance board, Google corporate owners not operationally embedded.</w:t>
      </w:r>
    </w:p>
    <w:p w14:paraId="3A9E81AA" w14:textId="33685F8C" w:rsidR="1FE6ED2B" w:rsidRDefault="1FE6ED2B" w:rsidP="227A2131">
      <w:pPr>
        <w:rPr>
          <w:rFonts w:ascii="Arial" w:eastAsia="Arial" w:hAnsi="Arial" w:cs="Arial"/>
        </w:rPr>
      </w:pPr>
      <w:r w:rsidRPr="227A2131">
        <w:rPr>
          <w:rFonts w:ascii="Arial" w:eastAsia="Arial" w:hAnsi="Arial" w:cs="Arial"/>
        </w:rPr>
        <w:t>Low Power, High Interest (Keep engaged): Consumers test groups, NHS pilot participants, CRM premium users.</w:t>
      </w:r>
    </w:p>
    <w:p w14:paraId="1EAE69B3" w14:textId="13A7A8F6" w:rsidR="1FE6ED2B" w:rsidRDefault="1FE6ED2B" w:rsidP="227A2131">
      <w:pPr>
        <w:rPr>
          <w:rFonts w:ascii="Arial" w:eastAsia="Arial" w:hAnsi="Arial" w:cs="Arial"/>
        </w:rPr>
      </w:pPr>
      <w:r w:rsidRPr="227A2131">
        <w:rPr>
          <w:rFonts w:ascii="Arial" w:eastAsia="Arial" w:hAnsi="Arial" w:cs="Arial"/>
        </w:rPr>
        <w:t xml:space="preserve">Low Power, Low Interest (Monitor): External health bloggers, passive pharmacy </w:t>
      </w:r>
      <w:proofErr w:type="spellStart"/>
      <w:r w:rsidRPr="227A2131">
        <w:rPr>
          <w:rFonts w:ascii="Arial" w:eastAsia="Arial" w:hAnsi="Arial" w:cs="Arial"/>
        </w:rPr>
        <w:t>stockists</w:t>
      </w:r>
      <w:proofErr w:type="spellEnd"/>
      <w:r w:rsidRPr="227A2131">
        <w:rPr>
          <w:rFonts w:ascii="Arial" w:eastAsia="Arial" w:hAnsi="Arial" w:cs="Arial"/>
        </w:rPr>
        <w:t>, indirect accessories suppliers.</w:t>
      </w:r>
    </w:p>
    <w:p w14:paraId="5A8163F6" w14:textId="646A365A" w:rsidR="227A2131" w:rsidRDefault="227A2131" w:rsidP="227A2131">
      <w:pPr>
        <w:rPr>
          <w:rFonts w:ascii="Arial" w:eastAsia="Arial" w:hAnsi="Arial" w:cs="Arial"/>
        </w:rPr>
      </w:pPr>
    </w:p>
    <w:p w14:paraId="73EB61F0" w14:textId="648BB7A7" w:rsidR="1FE6ED2B" w:rsidRDefault="1FE6ED2B" w:rsidP="227A2131">
      <w:pPr>
        <w:rPr>
          <w:rFonts w:ascii="Arial" w:eastAsia="Arial" w:hAnsi="Arial" w:cs="Arial"/>
          <w:b/>
          <w:bCs/>
        </w:rPr>
      </w:pPr>
      <w:r w:rsidRPr="227A2131">
        <w:rPr>
          <w:rFonts w:ascii="Arial" w:eastAsia="Arial" w:hAnsi="Arial" w:cs="Arial"/>
          <w:b/>
          <w:bCs/>
        </w:rPr>
        <w:t>5. Roles, Responsibilities, Benefits &amp; Challenges</w:t>
      </w:r>
    </w:p>
    <w:p w14:paraId="55BAE5BD" w14:textId="0199F4E7" w:rsidR="1FE6ED2B" w:rsidRDefault="1FE6ED2B" w:rsidP="227A2131">
      <w:pPr>
        <w:rPr>
          <w:rFonts w:ascii="Arial" w:eastAsia="Arial" w:hAnsi="Arial" w:cs="Arial"/>
        </w:rPr>
      </w:pPr>
      <w:r w:rsidRPr="227A2131">
        <w:rPr>
          <w:rFonts w:ascii="Arial" w:eastAsia="Arial" w:hAnsi="Arial" w:cs="Arial"/>
        </w:rPr>
        <w:t>Senior Leadership &amp; Product Board (Internal – Accountable Stakeholder)</w:t>
      </w:r>
      <w:r>
        <w:br/>
      </w:r>
      <w:r w:rsidRPr="227A2131">
        <w:rPr>
          <w:rFonts w:ascii="Arial" w:eastAsia="Arial" w:hAnsi="Arial" w:cs="Arial"/>
        </w:rPr>
        <w:t xml:space="preserve"> Approve investment, governance rules and launch timing. Benefit: strategic oversight reduces project misalignment. Challenge: competing </w:t>
      </w:r>
      <w:proofErr w:type="spellStart"/>
      <w:r w:rsidRPr="227A2131">
        <w:rPr>
          <w:rFonts w:ascii="Arial" w:eastAsia="Arial" w:hAnsi="Arial" w:cs="Arial"/>
        </w:rPr>
        <w:t>organisational</w:t>
      </w:r>
      <w:proofErr w:type="spellEnd"/>
      <w:r w:rsidRPr="227A2131">
        <w:rPr>
          <w:rFonts w:ascii="Arial" w:eastAsia="Arial" w:hAnsi="Arial" w:cs="Arial"/>
        </w:rPr>
        <w:t xml:space="preserve"> priorities may delay decision cycles.</w:t>
      </w:r>
    </w:p>
    <w:p w14:paraId="1ACBFEFE" w14:textId="3A91F253" w:rsidR="1FE6ED2B" w:rsidRDefault="1FE6ED2B" w:rsidP="227A2131">
      <w:pPr>
        <w:rPr>
          <w:rFonts w:ascii="Arial" w:eastAsia="Arial" w:hAnsi="Arial" w:cs="Arial"/>
        </w:rPr>
      </w:pPr>
      <w:r w:rsidRPr="227A2131">
        <w:rPr>
          <w:rFonts w:ascii="Arial" w:eastAsia="Arial" w:hAnsi="Arial" w:cs="Arial"/>
        </w:rPr>
        <w:t>Research &amp; Development Team (Responsible Stakeholder)</w:t>
      </w:r>
      <w:r>
        <w:br/>
      </w:r>
      <w:r w:rsidRPr="227A2131">
        <w:rPr>
          <w:rFonts w:ascii="Arial" w:eastAsia="Arial" w:hAnsi="Arial" w:cs="Arial"/>
        </w:rPr>
        <w:t xml:space="preserve"> Prototype and validate sensor accuracy for heart-rate and SpO2 tracking. Benefit: ensures product credibility; strengthens MHRA stakeholder trust. Challenges: lab capacity bottlenecks; validation failure risks affecting timelines.</w:t>
      </w:r>
    </w:p>
    <w:p w14:paraId="5EC20AF3" w14:textId="4DFC9C53" w:rsidR="1FE6ED2B" w:rsidRDefault="1FE6ED2B" w:rsidP="227A2131">
      <w:pPr>
        <w:rPr>
          <w:rFonts w:ascii="Arial" w:eastAsia="Arial" w:hAnsi="Arial" w:cs="Arial"/>
        </w:rPr>
      </w:pPr>
      <w:r w:rsidRPr="227A2131">
        <w:rPr>
          <w:rFonts w:ascii="Arial" w:eastAsia="Arial" w:hAnsi="Arial" w:cs="Arial"/>
        </w:rPr>
        <w:t>Product Engineering Team (Responsible Stakeholder)</w:t>
      </w:r>
      <w:r>
        <w:br/>
      </w:r>
      <w:r w:rsidRPr="227A2131">
        <w:rPr>
          <w:rFonts w:ascii="Arial" w:eastAsia="Arial" w:hAnsi="Arial" w:cs="Arial"/>
        </w:rPr>
        <w:t xml:space="preserve"> Manufacture hardware, embed sensors, </w:t>
      </w:r>
      <w:proofErr w:type="spellStart"/>
      <w:r w:rsidRPr="227A2131">
        <w:rPr>
          <w:rFonts w:ascii="Arial" w:eastAsia="Arial" w:hAnsi="Arial" w:cs="Arial"/>
        </w:rPr>
        <w:t>optimise</w:t>
      </w:r>
      <w:proofErr w:type="spellEnd"/>
      <w:r w:rsidRPr="227A2131">
        <w:rPr>
          <w:rFonts w:ascii="Arial" w:eastAsia="Arial" w:hAnsi="Arial" w:cs="Arial"/>
        </w:rPr>
        <w:t xml:space="preserve"> battery, develop firmware. Benefit: operational product readiness; retailer stakeholder confidence. Challenges: production delays, calibration fault risks, hardware defect friction atrium.</w:t>
      </w:r>
    </w:p>
    <w:p w14:paraId="0CD6978F" w14:textId="14E74BB0" w:rsidR="1FE6ED2B" w:rsidRDefault="1FE6ED2B" w:rsidP="227A2131">
      <w:pPr>
        <w:rPr>
          <w:rFonts w:ascii="Arial" w:eastAsia="Arial" w:hAnsi="Arial" w:cs="Arial"/>
        </w:rPr>
      </w:pPr>
      <w:r w:rsidRPr="227A2131">
        <w:rPr>
          <w:rFonts w:ascii="Arial" w:eastAsia="Arial" w:hAnsi="Arial" w:cs="Arial"/>
        </w:rPr>
        <w:t>Software &amp; AI Analytics Team (Responsible + Consulted Stakeholder)</w:t>
      </w:r>
      <w:r>
        <w:br/>
      </w:r>
      <w:r w:rsidRPr="227A2131">
        <w:rPr>
          <w:rFonts w:ascii="Arial" w:eastAsia="Arial" w:hAnsi="Arial" w:cs="Arial"/>
        </w:rPr>
        <w:t xml:space="preserve"> Integrate wearable data into Fitbit UK dashboard, build AI-insights, sleep-pattern </w:t>
      </w:r>
      <w:proofErr w:type="spellStart"/>
      <w:r w:rsidRPr="227A2131">
        <w:rPr>
          <w:rFonts w:ascii="Arial" w:eastAsia="Arial" w:hAnsi="Arial" w:cs="Arial"/>
        </w:rPr>
        <w:t>modelling</w:t>
      </w:r>
      <w:proofErr w:type="spellEnd"/>
      <w:r w:rsidRPr="227A2131">
        <w:rPr>
          <w:rFonts w:ascii="Arial" w:eastAsia="Arial" w:hAnsi="Arial" w:cs="Arial"/>
        </w:rPr>
        <w:t>, trend alerts. Benefit: increases product value, AI stakeholder appeal, recurring subscription revenue potential. Challenges: scope-creep pressure from marketing stakeholders, competitor feature comparison pressure.</w:t>
      </w:r>
    </w:p>
    <w:p w14:paraId="78D35F8C" w14:textId="5BAE59A0" w:rsidR="1FE6ED2B" w:rsidRDefault="1FE6ED2B" w:rsidP="227A2131">
      <w:pPr>
        <w:rPr>
          <w:rFonts w:ascii="Arial" w:eastAsia="Arial" w:hAnsi="Arial" w:cs="Arial"/>
        </w:rPr>
      </w:pPr>
      <w:r w:rsidRPr="227A2131">
        <w:rPr>
          <w:rFonts w:ascii="Arial" w:eastAsia="Arial" w:hAnsi="Arial" w:cs="Arial"/>
        </w:rPr>
        <w:t>Cybersecurity &amp; IT Team (Responsible + Consulted Stakeholder)</w:t>
      </w:r>
      <w:r>
        <w:br/>
      </w:r>
      <w:r w:rsidRPr="227A2131">
        <w:rPr>
          <w:rFonts w:ascii="Arial" w:eastAsia="Arial" w:hAnsi="Arial" w:cs="Arial"/>
        </w:rPr>
        <w:t xml:space="preserve"> Secure device data encryption, conduct penetration testing, ensure GDPR aligned server handling. Benefit: consumer and compliance stakeholder satisfaction; retailer operational assurance. Challenges: heightened vitals-data risk classification; audit overhead.</w:t>
      </w:r>
    </w:p>
    <w:p w14:paraId="6D4B73E3" w14:textId="69F2035B" w:rsidR="1FE6ED2B" w:rsidRDefault="1FE6ED2B" w:rsidP="227A2131">
      <w:pPr>
        <w:rPr>
          <w:rFonts w:ascii="Arial" w:eastAsia="Arial" w:hAnsi="Arial" w:cs="Arial"/>
        </w:rPr>
      </w:pPr>
      <w:r w:rsidRPr="227A2131">
        <w:rPr>
          <w:rFonts w:ascii="Arial" w:eastAsia="Arial" w:hAnsi="Arial" w:cs="Arial"/>
        </w:rPr>
        <w:t>Quality Assurance &amp; Clinical Validation (Responsible + Consulted Stakeholder)</w:t>
      </w:r>
      <w:r>
        <w:br/>
      </w:r>
      <w:r w:rsidRPr="227A2131">
        <w:rPr>
          <w:rFonts w:ascii="Arial" w:eastAsia="Arial" w:hAnsi="Arial" w:cs="Arial"/>
        </w:rPr>
        <w:t xml:space="preserve"> Conduct UAT and wearer reliability tests; ensure oxygen and heart variabilities are statistically accurate and safe. Benefit: reduces risk; protects reputation; supports regulatory stakeholder approvals. Challenges: sensor accuracy failure dispute friction; high threshold testing expectations.</w:t>
      </w:r>
    </w:p>
    <w:p w14:paraId="3CED7E73" w14:textId="7075DF8D" w:rsidR="1FE6ED2B" w:rsidRDefault="1FE6ED2B" w:rsidP="227A2131">
      <w:pPr>
        <w:rPr>
          <w:rFonts w:ascii="Arial" w:eastAsia="Arial" w:hAnsi="Arial" w:cs="Arial"/>
        </w:rPr>
      </w:pPr>
      <w:r w:rsidRPr="227A2131">
        <w:rPr>
          <w:rFonts w:ascii="Arial" w:eastAsia="Arial" w:hAnsi="Arial" w:cs="Arial"/>
        </w:rPr>
        <w:t>Compliance &amp; Data Protection Officers (Internal – Accountable Stakeholder)</w:t>
      </w:r>
      <w:r>
        <w:br/>
      </w:r>
      <w:r w:rsidRPr="227A2131">
        <w:rPr>
          <w:rFonts w:ascii="Arial" w:eastAsia="Arial" w:hAnsi="Arial" w:cs="Arial"/>
        </w:rPr>
        <w:t xml:space="preserve"> Oversee MHRA submissions, UKCA classification, GDPR/patient-adjacent data governance and legal-liability </w:t>
      </w:r>
      <w:proofErr w:type="spellStart"/>
      <w:r w:rsidRPr="227A2131">
        <w:rPr>
          <w:rFonts w:ascii="Arial" w:eastAsia="Arial" w:hAnsi="Arial" w:cs="Arial"/>
        </w:rPr>
        <w:t>signoff</w:t>
      </w:r>
      <w:proofErr w:type="spellEnd"/>
      <w:r w:rsidRPr="227A2131">
        <w:rPr>
          <w:rFonts w:ascii="Arial" w:eastAsia="Arial" w:hAnsi="Arial" w:cs="Arial"/>
        </w:rPr>
        <w:t>. Benefit: regulatory approval certainty; ethics compliance assurance; insurance stakeholder satisfaction. Challenges: process complexity; approval friction risk; compliance scope expansion due to oxygen/heart diagnostics classification.</w:t>
      </w:r>
    </w:p>
    <w:p w14:paraId="21ABF8AF" w14:textId="422EA908" w:rsidR="1FE6ED2B" w:rsidRDefault="1FE6ED2B" w:rsidP="227A2131">
      <w:pPr>
        <w:rPr>
          <w:rFonts w:ascii="Arial" w:eastAsia="Arial" w:hAnsi="Arial" w:cs="Arial"/>
        </w:rPr>
      </w:pPr>
      <w:r w:rsidRPr="227A2131">
        <w:rPr>
          <w:rFonts w:ascii="Arial" w:eastAsia="Arial" w:hAnsi="Arial" w:cs="Arial"/>
        </w:rPr>
        <w:t>Marketing &amp; Communications (Internal – Responsible + Consulted Stakeholder)</w:t>
      </w:r>
      <w:r>
        <w:br/>
      </w:r>
      <w:r w:rsidRPr="227A2131">
        <w:rPr>
          <w:rFonts w:ascii="Arial" w:eastAsia="Arial" w:hAnsi="Arial" w:cs="Arial"/>
        </w:rPr>
        <w:t xml:space="preserve"> Position device in the consumer market; manage pre-launch campaigns; translate clinical benefits into non-clinical consumer messaging. Benefit: adoption scale; stakeholder value exchange with retail partners; brand competitiveness reinforcement. Challenges: messaging conflicts with medical accuracy stakeholders; timeline pressure conflicts with engineering stakeholders.</w:t>
      </w:r>
    </w:p>
    <w:p w14:paraId="05264F7C" w14:textId="6BB10EBB" w:rsidR="1FE6ED2B" w:rsidRDefault="1FE6ED2B" w:rsidP="227A2131">
      <w:pPr>
        <w:rPr>
          <w:rFonts w:ascii="Arial" w:eastAsia="Arial" w:hAnsi="Arial" w:cs="Arial"/>
        </w:rPr>
      </w:pPr>
      <w:r w:rsidRPr="227A2131">
        <w:rPr>
          <w:rFonts w:ascii="Arial" w:eastAsia="Arial" w:hAnsi="Arial" w:cs="Arial"/>
        </w:rPr>
        <w:t>Sales &amp; Retail Partner Management (Responsible + Informed Stakeholder)</w:t>
      </w:r>
      <w:r>
        <w:br/>
      </w:r>
      <w:r w:rsidRPr="227A2131">
        <w:rPr>
          <w:rFonts w:ascii="Arial" w:eastAsia="Arial" w:hAnsi="Arial" w:cs="Arial"/>
        </w:rPr>
        <w:t xml:space="preserve"> Secure distribution contracts, pricing strategy, channel adoption enablement. Benefit: UK market reach; partnerships revenue scale. Challenges: negotiation friction; retailer confidence depends on validation stakeholders.</w:t>
      </w:r>
    </w:p>
    <w:p w14:paraId="5C060185" w14:textId="48FC7757" w:rsidR="1FE6ED2B" w:rsidRDefault="1FE6ED2B" w:rsidP="227A2131">
      <w:pPr>
        <w:rPr>
          <w:rFonts w:ascii="Arial" w:eastAsia="Arial" w:hAnsi="Arial" w:cs="Arial"/>
        </w:rPr>
      </w:pPr>
      <w:r w:rsidRPr="227A2131">
        <w:rPr>
          <w:rFonts w:ascii="Arial" w:eastAsia="Arial" w:hAnsi="Arial" w:cs="Arial"/>
        </w:rPr>
        <w:t>Retail Partners, Logistics Providers &amp; Consumer Test Groups (External – Responsible/Accountable/Consulted Stakeholders)</w:t>
      </w:r>
      <w:r>
        <w:br/>
      </w:r>
      <w:r w:rsidRPr="227A2131">
        <w:rPr>
          <w:rFonts w:ascii="Arial" w:eastAsia="Arial" w:hAnsi="Arial" w:cs="Arial"/>
        </w:rPr>
        <w:t xml:space="preserve"> Influence device stocking decisions, </w:t>
      </w:r>
      <w:proofErr w:type="spellStart"/>
      <w:r w:rsidRPr="227A2131">
        <w:rPr>
          <w:rFonts w:ascii="Arial" w:eastAsia="Arial" w:hAnsi="Arial" w:cs="Arial"/>
        </w:rPr>
        <w:t>fulfil</w:t>
      </w:r>
      <w:proofErr w:type="spellEnd"/>
      <w:r w:rsidRPr="227A2131">
        <w:rPr>
          <w:rFonts w:ascii="Arial" w:eastAsia="Arial" w:hAnsi="Arial" w:cs="Arial"/>
        </w:rPr>
        <w:t xml:space="preserve"> market rollout logistics and provide early feedback. Benefits: market adoption, </w:t>
      </w:r>
      <w:proofErr w:type="spellStart"/>
      <w:r w:rsidRPr="227A2131">
        <w:rPr>
          <w:rFonts w:ascii="Arial" w:eastAsia="Arial" w:hAnsi="Arial" w:cs="Arial"/>
        </w:rPr>
        <w:t>fulfilment</w:t>
      </w:r>
      <w:proofErr w:type="spellEnd"/>
      <w:r w:rsidRPr="227A2131">
        <w:rPr>
          <w:rFonts w:ascii="Arial" w:eastAsia="Arial" w:hAnsi="Arial" w:cs="Arial"/>
        </w:rPr>
        <w:t xml:space="preserve"> readiness and product improvement insights. Challenges: expectations alignment, logistics risk and pilot drop-off risk.</w:t>
      </w:r>
    </w:p>
    <w:p w14:paraId="66165BEB" w14:textId="2B5CD80C" w:rsidR="227A2131" w:rsidRDefault="227A2131" w:rsidP="227A2131">
      <w:pPr>
        <w:rPr>
          <w:rFonts w:ascii="Arial" w:eastAsia="Arial" w:hAnsi="Arial" w:cs="Arial"/>
        </w:rPr>
      </w:pPr>
    </w:p>
    <w:p w14:paraId="15B2F46C" w14:textId="6F21948D" w:rsidR="1FE6ED2B" w:rsidRDefault="1FE6ED2B" w:rsidP="227A2131">
      <w:pPr>
        <w:rPr>
          <w:rFonts w:ascii="Arial" w:eastAsia="Arial" w:hAnsi="Arial" w:cs="Arial"/>
          <w:b/>
          <w:bCs/>
        </w:rPr>
      </w:pPr>
      <w:r w:rsidRPr="227A2131">
        <w:rPr>
          <w:rFonts w:ascii="Arial" w:eastAsia="Arial" w:hAnsi="Arial" w:cs="Arial"/>
          <w:b/>
          <w:bCs/>
        </w:rPr>
        <w:t>6. Stakeholder Engagement Frameworks, Models &amp; Plans</w:t>
      </w:r>
    </w:p>
    <w:p w14:paraId="5C5AB946" w14:textId="612A790F" w:rsidR="1FE6ED2B" w:rsidRDefault="1FE6ED2B" w:rsidP="227A2131">
      <w:pPr>
        <w:rPr>
          <w:rFonts w:ascii="Arial" w:eastAsia="Arial" w:hAnsi="Arial" w:cs="Arial"/>
          <w:b/>
          <w:bCs/>
        </w:rPr>
      </w:pPr>
      <w:r w:rsidRPr="227A2131">
        <w:rPr>
          <w:rFonts w:ascii="Arial" w:eastAsia="Arial" w:hAnsi="Arial" w:cs="Arial"/>
          <w:b/>
          <w:bCs/>
        </w:rPr>
        <w:t>6.1 Theoretical Foundations Applied</w:t>
      </w:r>
    </w:p>
    <w:p w14:paraId="39B79456" w14:textId="0F90050C" w:rsidR="1FE6ED2B" w:rsidRDefault="1FE6ED2B" w:rsidP="227A2131">
      <w:pPr>
        <w:rPr>
          <w:rFonts w:ascii="Arial" w:eastAsia="Arial" w:hAnsi="Arial" w:cs="Arial"/>
        </w:rPr>
      </w:pPr>
      <w:r w:rsidRPr="227A2131">
        <w:rPr>
          <w:rFonts w:ascii="Arial" w:eastAsia="Arial" w:hAnsi="Arial" w:cs="Arial"/>
        </w:rPr>
        <w:t xml:space="preserve">Stakeholder Theory: </w:t>
      </w:r>
      <w:proofErr w:type="spellStart"/>
      <w:r w:rsidRPr="227A2131">
        <w:rPr>
          <w:rFonts w:ascii="Arial" w:eastAsia="Arial" w:hAnsi="Arial" w:cs="Arial"/>
        </w:rPr>
        <w:t>Organisations</w:t>
      </w:r>
      <w:proofErr w:type="spellEnd"/>
      <w:r w:rsidRPr="227A2131">
        <w:rPr>
          <w:rFonts w:ascii="Arial" w:eastAsia="Arial" w:hAnsi="Arial" w:cs="Arial"/>
        </w:rPr>
        <w:t xml:space="preserve"> must create value for all stakeholders, not only shareholders (Freeman, 1984).</w:t>
      </w:r>
    </w:p>
    <w:p w14:paraId="6783A5F7" w14:textId="56767F14" w:rsidR="1FE6ED2B" w:rsidRDefault="1FE6ED2B" w:rsidP="227A2131">
      <w:pPr>
        <w:rPr>
          <w:rFonts w:ascii="Arial" w:eastAsia="Arial" w:hAnsi="Arial" w:cs="Arial"/>
        </w:rPr>
      </w:pPr>
      <w:r w:rsidRPr="227A2131">
        <w:rPr>
          <w:rFonts w:ascii="Arial" w:eastAsia="Arial" w:hAnsi="Arial" w:cs="Arial"/>
        </w:rPr>
        <w:t>Relationship Marketing: Stakeholder trust and long-term engagement shape value co-creation (Christopher et al., 2013).</w:t>
      </w:r>
    </w:p>
    <w:p w14:paraId="3CE031EC" w14:textId="7EA95CC3" w:rsidR="1FE6ED2B" w:rsidRDefault="1FE6ED2B" w:rsidP="227A2131">
      <w:pPr>
        <w:rPr>
          <w:rFonts w:ascii="Arial" w:eastAsia="Arial" w:hAnsi="Arial" w:cs="Arial"/>
        </w:rPr>
      </w:pPr>
      <w:r w:rsidRPr="227A2131">
        <w:rPr>
          <w:rFonts w:ascii="Arial" w:eastAsia="Arial" w:hAnsi="Arial" w:cs="Arial"/>
        </w:rPr>
        <w:t>Groupware Collaboration (4C’s Model): Engagement is driven by Communication, Coordination, Cooperation, and Collaboration (Ellis et al., 1991).</w:t>
      </w:r>
    </w:p>
    <w:p w14:paraId="77AEC449" w14:textId="7074DB6B" w:rsidR="1FE6ED2B" w:rsidRDefault="1FE6ED2B" w:rsidP="227A2131">
      <w:pPr>
        <w:rPr>
          <w:rFonts w:ascii="Arial" w:eastAsia="Arial" w:hAnsi="Arial" w:cs="Arial"/>
        </w:rPr>
      </w:pPr>
      <w:r w:rsidRPr="227A2131">
        <w:rPr>
          <w:rFonts w:ascii="Arial" w:eastAsia="Arial" w:hAnsi="Arial" w:cs="Arial"/>
        </w:rPr>
        <w:t>Relational Stakeholder Lens: Stakeholder relationship quality predicts project success (Ashcroft, 2017).</w:t>
      </w:r>
    </w:p>
    <w:p w14:paraId="14B89749" w14:textId="0903A97E" w:rsidR="1FE6ED2B" w:rsidRDefault="1FE6ED2B" w:rsidP="227A2131">
      <w:pPr>
        <w:rPr>
          <w:rFonts w:ascii="Arial" w:eastAsia="Arial" w:hAnsi="Arial" w:cs="Arial"/>
          <w:b/>
          <w:bCs/>
        </w:rPr>
      </w:pPr>
      <w:r w:rsidRPr="227A2131">
        <w:rPr>
          <w:rFonts w:ascii="Arial" w:eastAsia="Arial" w:hAnsi="Arial" w:cs="Arial"/>
          <w:b/>
          <w:bCs/>
        </w:rPr>
        <w:t>6.2 Stakeholder Engagement Plan Mechanisms</w:t>
      </w:r>
    </w:p>
    <w:p w14:paraId="71C7C59D" w14:textId="50F681CC" w:rsidR="1FE6ED2B" w:rsidRDefault="1FE6ED2B" w:rsidP="227A2131">
      <w:pPr>
        <w:rPr>
          <w:rFonts w:ascii="Arial" w:eastAsia="Arial" w:hAnsi="Arial" w:cs="Arial"/>
        </w:rPr>
      </w:pPr>
      <w:r w:rsidRPr="227A2131">
        <w:rPr>
          <w:rFonts w:ascii="Arial" w:eastAsia="Arial" w:hAnsi="Arial" w:cs="Arial"/>
        </w:rPr>
        <w:t>Fitbit UK stakeholder engagement strategy uses:</w:t>
      </w:r>
      <w:r>
        <w:br/>
      </w:r>
      <w:r w:rsidRPr="227A2131">
        <w:rPr>
          <w:rFonts w:ascii="Arial" w:eastAsia="Arial" w:hAnsi="Arial" w:cs="Arial"/>
        </w:rPr>
        <w:t xml:space="preserve"> ✔ Co-design workshops with Engineering, Software and Medical advisors</w:t>
      </w:r>
      <w:r>
        <w:br/>
      </w:r>
      <w:r w:rsidRPr="227A2131">
        <w:rPr>
          <w:rFonts w:ascii="Arial" w:eastAsia="Arial" w:hAnsi="Arial" w:cs="Arial"/>
        </w:rPr>
        <w:t xml:space="preserve"> ✔ Security assurance reports for retail + compliance stakeholders</w:t>
      </w:r>
      <w:r>
        <w:br/>
      </w:r>
      <w:r w:rsidRPr="227A2131">
        <w:rPr>
          <w:rFonts w:ascii="Arial" w:eastAsia="Arial" w:hAnsi="Arial" w:cs="Arial"/>
        </w:rPr>
        <w:t xml:space="preserve"> ✔ Pre-launch messaging alignment governance between marketing + clinical stakeholders</w:t>
      </w:r>
      <w:r>
        <w:br/>
      </w:r>
      <w:r w:rsidRPr="227A2131">
        <w:rPr>
          <w:rFonts w:ascii="Arial" w:eastAsia="Arial" w:hAnsi="Arial" w:cs="Arial"/>
        </w:rPr>
        <w:t xml:space="preserve"> ✔ Weekly progress </w:t>
      </w:r>
      <w:proofErr w:type="spellStart"/>
      <w:r w:rsidRPr="227A2131">
        <w:rPr>
          <w:rFonts w:ascii="Arial" w:eastAsia="Arial" w:hAnsi="Arial" w:cs="Arial"/>
        </w:rPr>
        <w:t>standups</w:t>
      </w:r>
      <w:proofErr w:type="spellEnd"/>
      <w:r w:rsidRPr="227A2131">
        <w:rPr>
          <w:rFonts w:ascii="Arial" w:eastAsia="Arial" w:hAnsi="Arial" w:cs="Arial"/>
        </w:rPr>
        <w:t>, cross-functional dashboards, and sentiment tracking surveys</w:t>
      </w:r>
    </w:p>
    <w:p w14:paraId="2F3F1A0E" w14:textId="3E839DA2" w:rsidR="227A2131" w:rsidRDefault="227A2131" w:rsidP="227A2131">
      <w:pPr>
        <w:rPr>
          <w:rFonts w:ascii="Arial" w:eastAsia="Arial" w:hAnsi="Arial" w:cs="Arial"/>
          <w:b/>
          <w:bCs/>
        </w:rPr>
      </w:pPr>
      <w:r>
        <w:br/>
      </w:r>
      <w:r w:rsidR="4BA8D2EE" w:rsidRPr="227A2131">
        <w:rPr>
          <w:rFonts w:ascii="Arial" w:eastAsia="Arial" w:hAnsi="Arial" w:cs="Arial"/>
          <w:b/>
          <w:bCs/>
        </w:rPr>
        <w:t>6.3 Communication Plan – Cadence &amp; Tools (Christopher et al., 2013)</w:t>
      </w:r>
    </w:p>
    <w:tbl>
      <w:tblPr>
        <w:tblW w:w="0" w:type="auto"/>
        <w:tblLook w:val="06A0" w:firstRow="1" w:lastRow="0" w:firstColumn="1" w:lastColumn="0" w:noHBand="1" w:noVBand="1"/>
      </w:tblPr>
      <w:tblGrid>
        <w:gridCol w:w="2403"/>
        <w:gridCol w:w="2505"/>
        <w:gridCol w:w="1350"/>
        <w:gridCol w:w="3102"/>
      </w:tblGrid>
      <w:tr w:rsidR="227A2131" w14:paraId="4E9DC0AF" w14:textId="77777777" w:rsidTr="227A2131">
        <w:trPr>
          <w:trHeight w:val="300"/>
        </w:trPr>
        <w:tc>
          <w:tcPr>
            <w:tcW w:w="2626" w:type="dxa"/>
            <w:vAlign w:val="center"/>
          </w:tcPr>
          <w:p w14:paraId="05224D29" w14:textId="0CAD73FE" w:rsidR="227A2131" w:rsidRDefault="227A2131" w:rsidP="227A2131">
            <w:pPr>
              <w:rPr>
                <w:rFonts w:ascii="Arial" w:eastAsia="Arial" w:hAnsi="Arial" w:cs="Arial"/>
              </w:rPr>
            </w:pPr>
            <w:r w:rsidRPr="227A2131">
              <w:rPr>
                <w:rFonts w:ascii="Arial" w:eastAsia="Arial" w:hAnsi="Arial" w:cs="Arial"/>
              </w:rPr>
              <w:t>Engagement Need</w:t>
            </w:r>
          </w:p>
        </w:tc>
        <w:tc>
          <w:tcPr>
            <w:tcW w:w="2772" w:type="dxa"/>
            <w:vAlign w:val="center"/>
          </w:tcPr>
          <w:p w14:paraId="533966D7" w14:textId="045C643E" w:rsidR="227A2131" w:rsidRDefault="227A2131" w:rsidP="227A2131">
            <w:pPr>
              <w:rPr>
                <w:rFonts w:ascii="Arial" w:eastAsia="Arial" w:hAnsi="Arial" w:cs="Arial"/>
              </w:rPr>
            </w:pPr>
            <w:r w:rsidRPr="227A2131">
              <w:rPr>
                <w:rFonts w:ascii="Arial" w:eastAsia="Arial" w:hAnsi="Arial" w:cs="Arial"/>
              </w:rPr>
              <w:t>Tool</w:t>
            </w:r>
          </w:p>
        </w:tc>
        <w:tc>
          <w:tcPr>
            <w:tcW w:w="1089" w:type="dxa"/>
            <w:vAlign w:val="center"/>
          </w:tcPr>
          <w:p w14:paraId="019BE178" w14:textId="7091F752" w:rsidR="227A2131" w:rsidRDefault="227A2131" w:rsidP="227A2131">
            <w:pPr>
              <w:rPr>
                <w:rFonts w:ascii="Arial" w:eastAsia="Arial" w:hAnsi="Arial" w:cs="Arial"/>
              </w:rPr>
            </w:pPr>
            <w:r w:rsidRPr="227A2131">
              <w:rPr>
                <w:rFonts w:ascii="Arial" w:eastAsia="Arial" w:hAnsi="Arial" w:cs="Arial"/>
              </w:rPr>
              <w:t>Frequency</w:t>
            </w:r>
          </w:p>
        </w:tc>
        <w:tc>
          <w:tcPr>
            <w:tcW w:w="3506" w:type="dxa"/>
            <w:vAlign w:val="center"/>
          </w:tcPr>
          <w:p w14:paraId="7AEF2FAE" w14:textId="050E269F" w:rsidR="227A2131" w:rsidRDefault="227A2131" w:rsidP="227A2131">
            <w:pPr>
              <w:rPr>
                <w:rFonts w:ascii="Arial" w:eastAsia="Arial" w:hAnsi="Arial" w:cs="Arial"/>
              </w:rPr>
            </w:pPr>
            <w:r w:rsidRPr="227A2131">
              <w:rPr>
                <w:rFonts w:ascii="Arial" w:eastAsia="Arial" w:hAnsi="Arial" w:cs="Arial"/>
              </w:rPr>
              <w:t>Stakeholders</w:t>
            </w:r>
          </w:p>
        </w:tc>
      </w:tr>
      <w:tr w:rsidR="227A2131" w14:paraId="39A6BF84" w14:textId="77777777" w:rsidTr="227A2131">
        <w:trPr>
          <w:trHeight w:val="300"/>
        </w:trPr>
        <w:tc>
          <w:tcPr>
            <w:tcW w:w="2626" w:type="dxa"/>
            <w:vAlign w:val="center"/>
          </w:tcPr>
          <w:p w14:paraId="6227E78B" w14:textId="4BA40454" w:rsidR="227A2131" w:rsidRDefault="227A2131" w:rsidP="227A2131">
            <w:pPr>
              <w:rPr>
                <w:rFonts w:ascii="Arial" w:eastAsia="Arial" w:hAnsi="Arial" w:cs="Arial"/>
              </w:rPr>
            </w:pPr>
            <w:r w:rsidRPr="227A2131">
              <w:rPr>
                <w:rFonts w:ascii="Arial" w:eastAsia="Arial" w:hAnsi="Arial" w:cs="Arial"/>
              </w:rPr>
              <w:t>Strategy approvals</w:t>
            </w:r>
          </w:p>
        </w:tc>
        <w:tc>
          <w:tcPr>
            <w:tcW w:w="2772" w:type="dxa"/>
            <w:vAlign w:val="center"/>
          </w:tcPr>
          <w:p w14:paraId="1851FCE9" w14:textId="15A4DE4A" w:rsidR="227A2131" w:rsidRDefault="227A2131" w:rsidP="227A2131">
            <w:pPr>
              <w:rPr>
                <w:rFonts w:ascii="Arial" w:eastAsia="Arial" w:hAnsi="Arial" w:cs="Arial"/>
              </w:rPr>
            </w:pPr>
            <w:r w:rsidRPr="227A2131">
              <w:rPr>
                <w:rFonts w:ascii="Arial" w:eastAsia="Arial" w:hAnsi="Arial" w:cs="Arial"/>
              </w:rPr>
              <w:t>Governance Board Briefing</w:t>
            </w:r>
          </w:p>
        </w:tc>
        <w:tc>
          <w:tcPr>
            <w:tcW w:w="1089" w:type="dxa"/>
            <w:vAlign w:val="center"/>
          </w:tcPr>
          <w:p w14:paraId="1966EC1E" w14:textId="70DD955A" w:rsidR="227A2131" w:rsidRDefault="227A2131" w:rsidP="227A2131">
            <w:pPr>
              <w:rPr>
                <w:rFonts w:ascii="Arial" w:eastAsia="Arial" w:hAnsi="Arial" w:cs="Arial"/>
              </w:rPr>
            </w:pPr>
            <w:r w:rsidRPr="227A2131">
              <w:rPr>
                <w:rFonts w:ascii="Arial" w:eastAsia="Arial" w:hAnsi="Arial" w:cs="Arial"/>
              </w:rPr>
              <w:t>Monthly</w:t>
            </w:r>
          </w:p>
        </w:tc>
        <w:tc>
          <w:tcPr>
            <w:tcW w:w="3506" w:type="dxa"/>
            <w:vAlign w:val="center"/>
          </w:tcPr>
          <w:p w14:paraId="2F1A11A5" w14:textId="26A13E11" w:rsidR="227A2131" w:rsidRDefault="227A2131" w:rsidP="227A2131">
            <w:pPr>
              <w:rPr>
                <w:rFonts w:ascii="Arial" w:eastAsia="Arial" w:hAnsi="Arial" w:cs="Arial"/>
              </w:rPr>
            </w:pPr>
            <w:r w:rsidRPr="227A2131">
              <w:rPr>
                <w:rFonts w:ascii="Arial" w:eastAsia="Arial" w:hAnsi="Arial" w:cs="Arial"/>
              </w:rPr>
              <w:t>Leadership, Compliance</w:t>
            </w:r>
          </w:p>
        </w:tc>
      </w:tr>
      <w:tr w:rsidR="227A2131" w14:paraId="2FF349B2" w14:textId="77777777" w:rsidTr="227A2131">
        <w:trPr>
          <w:trHeight w:val="300"/>
        </w:trPr>
        <w:tc>
          <w:tcPr>
            <w:tcW w:w="2626" w:type="dxa"/>
            <w:vAlign w:val="center"/>
          </w:tcPr>
          <w:p w14:paraId="77328486" w14:textId="1AD79C4E" w:rsidR="227A2131" w:rsidRDefault="227A2131" w:rsidP="227A2131">
            <w:pPr>
              <w:rPr>
                <w:rFonts w:ascii="Arial" w:eastAsia="Arial" w:hAnsi="Arial" w:cs="Arial"/>
              </w:rPr>
            </w:pPr>
            <w:r w:rsidRPr="227A2131">
              <w:rPr>
                <w:rFonts w:ascii="Arial" w:eastAsia="Arial" w:hAnsi="Arial" w:cs="Arial"/>
              </w:rPr>
              <w:t>Sensor validation results</w:t>
            </w:r>
          </w:p>
        </w:tc>
        <w:tc>
          <w:tcPr>
            <w:tcW w:w="2772" w:type="dxa"/>
            <w:vAlign w:val="center"/>
          </w:tcPr>
          <w:p w14:paraId="2FA3F5E8" w14:textId="10002110" w:rsidR="227A2131" w:rsidRDefault="227A2131" w:rsidP="227A2131">
            <w:pPr>
              <w:rPr>
                <w:rFonts w:ascii="Arial" w:eastAsia="Arial" w:hAnsi="Arial" w:cs="Arial"/>
              </w:rPr>
            </w:pPr>
            <w:r w:rsidRPr="227A2131">
              <w:rPr>
                <w:rFonts w:ascii="Arial" w:eastAsia="Arial" w:hAnsi="Arial" w:cs="Arial"/>
              </w:rPr>
              <w:t>Clinical accuracy report</w:t>
            </w:r>
          </w:p>
        </w:tc>
        <w:tc>
          <w:tcPr>
            <w:tcW w:w="1089" w:type="dxa"/>
            <w:vAlign w:val="center"/>
          </w:tcPr>
          <w:p w14:paraId="4ACB3A3F" w14:textId="68F0F32D" w:rsidR="227A2131" w:rsidRDefault="227A2131" w:rsidP="227A2131">
            <w:pPr>
              <w:rPr>
                <w:rFonts w:ascii="Arial" w:eastAsia="Arial" w:hAnsi="Arial" w:cs="Arial"/>
              </w:rPr>
            </w:pPr>
            <w:r w:rsidRPr="227A2131">
              <w:rPr>
                <w:rFonts w:ascii="Arial" w:eastAsia="Arial" w:hAnsi="Arial" w:cs="Arial"/>
              </w:rPr>
              <w:t>Bi-weekly</w:t>
            </w:r>
          </w:p>
        </w:tc>
        <w:tc>
          <w:tcPr>
            <w:tcW w:w="3506" w:type="dxa"/>
            <w:vAlign w:val="center"/>
          </w:tcPr>
          <w:p w14:paraId="0DDF03CA" w14:textId="72FA9CA1" w:rsidR="227A2131" w:rsidRDefault="227A2131" w:rsidP="227A2131">
            <w:pPr>
              <w:rPr>
                <w:rFonts w:ascii="Arial" w:eastAsia="Arial" w:hAnsi="Arial" w:cs="Arial"/>
              </w:rPr>
            </w:pPr>
            <w:r w:rsidRPr="227A2131">
              <w:rPr>
                <w:rFonts w:ascii="Arial" w:eastAsia="Arial" w:hAnsi="Arial" w:cs="Arial"/>
              </w:rPr>
              <w:t>MHRA, QA, Retail</w:t>
            </w:r>
          </w:p>
        </w:tc>
      </w:tr>
      <w:tr w:rsidR="227A2131" w14:paraId="63FA80EB" w14:textId="77777777" w:rsidTr="227A2131">
        <w:trPr>
          <w:trHeight w:val="300"/>
        </w:trPr>
        <w:tc>
          <w:tcPr>
            <w:tcW w:w="2626" w:type="dxa"/>
            <w:vAlign w:val="center"/>
          </w:tcPr>
          <w:p w14:paraId="3EF0FA35" w14:textId="51D76BEB" w:rsidR="227A2131" w:rsidRDefault="227A2131" w:rsidP="227A2131">
            <w:pPr>
              <w:rPr>
                <w:rFonts w:ascii="Arial" w:eastAsia="Arial" w:hAnsi="Arial" w:cs="Arial"/>
              </w:rPr>
            </w:pPr>
            <w:r w:rsidRPr="227A2131">
              <w:rPr>
                <w:rFonts w:ascii="Arial" w:eastAsia="Arial" w:hAnsi="Arial" w:cs="Arial"/>
              </w:rPr>
              <w:t>Technical progress</w:t>
            </w:r>
          </w:p>
        </w:tc>
        <w:tc>
          <w:tcPr>
            <w:tcW w:w="2772" w:type="dxa"/>
            <w:vAlign w:val="center"/>
          </w:tcPr>
          <w:p w14:paraId="020EF414" w14:textId="442B2827" w:rsidR="227A2131" w:rsidRDefault="227A2131" w:rsidP="227A2131">
            <w:pPr>
              <w:rPr>
                <w:rFonts w:ascii="Arial" w:eastAsia="Arial" w:hAnsi="Arial" w:cs="Arial"/>
              </w:rPr>
            </w:pPr>
            <w:proofErr w:type="spellStart"/>
            <w:r w:rsidRPr="227A2131">
              <w:rPr>
                <w:rFonts w:ascii="Arial" w:eastAsia="Arial" w:hAnsi="Arial" w:cs="Arial"/>
              </w:rPr>
              <w:t>Standups</w:t>
            </w:r>
            <w:proofErr w:type="spellEnd"/>
            <w:r w:rsidRPr="227A2131">
              <w:rPr>
                <w:rFonts w:ascii="Arial" w:eastAsia="Arial" w:hAnsi="Arial" w:cs="Arial"/>
              </w:rPr>
              <w:t xml:space="preserve"> + Agile dashboard</w:t>
            </w:r>
          </w:p>
        </w:tc>
        <w:tc>
          <w:tcPr>
            <w:tcW w:w="1089" w:type="dxa"/>
            <w:vAlign w:val="center"/>
          </w:tcPr>
          <w:p w14:paraId="0FBA8487" w14:textId="7D3591E4" w:rsidR="227A2131" w:rsidRDefault="227A2131" w:rsidP="227A2131">
            <w:pPr>
              <w:rPr>
                <w:rFonts w:ascii="Arial" w:eastAsia="Arial" w:hAnsi="Arial" w:cs="Arial"/>
              </w:rPr>
            </w:pPr>
            <w:r w:rsidRPr="227A2131">
              <w:rPr>
                <w:rFonts w:ascii="Arial" w:eastAsia="Arial" w:hAnsi="Arial" w:cs="Arial"/>
              </w:rPr>
              <w:t>Weekly</w:t>
            </w:r>
          </w:p>
        </w:tc>
        <w:tc>
          <w:tcPr>
            <w:tcW w:w="3506" w:type="dxa"/>
            <w:vAlign w:val="center"/>
          </w:tcPr>
          <w:p w14:paraId="5E8B08BA" w14:textId="297BD0E1" w:rsidR="227A2131" w:rsidRDefault="227A2131" w:rsidP="227A2131">
            <w:pPr>
              <w:rPr>
                <w:rFonts w:ascii="Arial" w:eastAsia="Arial" w:hAnsi="Arial" w:cs="Arial"/>
              </w:rPr>
            </w:pPr>
            <w:r w:rsidRPr="227A2131">
              <w:rPr>
                <w:rFonts w:ascii="Arial" w:eastAsia="Arial" w:hAnsi="Arial" w:cs="Arial"/>
              </w:rPr>
              <w:t>R&amp;D, Engineering, Software, Cyber</w:t>
            </w:r>
          </w:p>
        </w:tc>
      </w:tr>
      <w:tr w:rsidR="227A2131" w14:paraId="4294DE1D" w14:textId="77777777" w:rsidTr="227A2131">
        <w:trPr>
          <w:trHeight w:val="300"/>
        </w:trPr>
        <w:tc>
          <w:tcPr>
            <w:tcW w:w="2626" w:type="dxa"/>
            <w:vAlign w:val="center"/>
          </w:tcPr>
          <w:p w14:paraId="0EA9ED14" w14:textId="5147A1F0" w:rsidR="227A2131" w:rsidRDefault="227A2131" w:rsidP="227A2131">
            <w:pPr>
              <w:rPr>
                <w:rFonts w:ascii="Arial" w:eastAsia="Arial" w:hAnsi="Arial" w:cs="Arial"/>
              </w:rPr>
            </w:pPr>
            <w:r w:rsidRPr="227A2131">
              <w:rPr>
                <w:rFonts w:ascii="Arial" w:eastAsia="Arial" w:hAnsi="Arial" w:cs="Arial"/>
              </w:rPr>
              <w:t>Retail onboarding</w:t>
            </w:r>
          </w:p>
        </w:tc>
        <w:tc>
          <w:tcPr>
            <w:tcW w:w="2772" w:type="dxa"/>
            <w:vAlign w:val="center"/>
          </w:tcPr>
          <w:p w14:paraId="76BFF814" w14:textId="5087AC6B" w:rsidR="227A2131" w:rsidRDefault="227A2131" w:rsidP="227A2131">
            <w:pPr>
              <w:rPr>
                <w:rFonts w:ascii="Arial" w:eastAsia="Arial" w:hAnsi="Arial" w:cs="Arial"/>
              </w:rPr>
            </w:pPr>
            <w:r w:rsidRPr="227A2131">
              <w:rPr>
                <w:rFonts w:ascii="Arial" w:eastAsia="Arial" w:hAnsi="Arial" w:cs="Arial"/>
              </w:rPr>
              <w:t>Partnership enablement pack</w:t>
            </w:r>
          </w:p>
        </w:tc>
        <w:tc>
          <w:tcPr>
            <w:tcW w:w="1089" w:type="dxa"/>
            <w:vAlign w:val="center"/>
          </w:tcPr>
          <w:p w14:paraId="217112B3" w14:textId="5E5D1483" w:rsidR="227A2131" w:rsidRDefault="227A2131" w:rsidP="227A2131">
            <w:pPr>
              <w:rPr>
                <w:rFonts w:ascii="Arial" w:eastAsia="Arial" w:hAnsi="Arial" w:cs="Arial"/>
              </w:rPr>
            </w:pPr>
            <w:r w:rsidRPr="227A2131">
              <w:rPr>
                <w:rFonts w:ascii="Arial" w:eastAsia="Arial" w:hAnsi="Arial" w:cs="Arial"/>
              </w:rPr>
              <w:t>Monthly</w:t>
            </w:r>
          </w:p>
        </w:tc>
        <w:tc>
          <w:tcPr>
            <w:tcW w:w="3506" w:type="dxa"/>
            <w:vAlign w:val="center"/>
          </w:tcPr>
          <w:p w14:paraId="29A6B30C" w14:textId="2EFF0C73" w:rsidR="227A2131" w:rsidRDefault="227A2131" w:rsidP="227A2131">
            <w:pPr>
              <w:rPr>
                <w:rFonts w:ascii="Arial" w:eastAsia="Arial" w:hAnsi="Arial" w:cs="Arial"/>
              </w:rPr>
            </w:pPr>
            <w:r w:rsidRPr="227A2131">
              <w:rPr>
                <w:rFonts w:ascii="Arial" w:eastAsia="Arial" w:hAnsi="Arial" w:cs="Arial"/>
              </w:rPr>
              <w:t>Retail, Sales, Google platform</w:t>
            </w:r>
          </w:p>
        </w:tc>
      </w:tr>
      <w:tr w:rsidR="227A2131" w14:paraId="0563AD49" w14:textId="77777777" w:rsidTr="227A2131">
        <w:trPr>
          <w:trHeight w:val="300"/>
        </w:trPr>
        <w:tc>
          <w:tcPr>
            <w:tcW w:w="2626" w:type="dxa"/>
            <w:vAlign w:val="center"/>
          </w:tcPr>
          <w:p w14:paraId="6F251F70" w14:textId="344103E3" w:rsidR="227A2131" w:rsidRDefault="227A2131" w:rsidP="227A2131">
            <w:pPr>
              <w:rPr>
                <w:rFonts w:ascii="Arial" w:eastAsia="Arial" w:hAnsi="Arial" w:cs="Arial"/>
              </w:rPr>
            </w:pPr>
            <w:r w:rsidRPr="227A2131">
              <w:rPr>
                <w:rFonts w:ascii="Arial" w:eastAsia="Arial" w:hAnsi="Arial" w:cs="Arial"/>
              </w:rPr>
              <w:t>Consumer insight feedback</w:t>
            </w:r>
          </w:p>
        </w:tc>
        <w:tc>
          <w:tcPr>
            <w:tcW w:w="2772" w:type="dxa"/>
            <w:vAlign w:val="center"/>
          </w:tcPr>
          <w:p w14:paraId="4293A076" w14:textId="5C6A783C" w:rsidR="227A2131" w:rsidRDefault="227A2131" w:rsidP="227A2131">
            <w:pPr>
              <w:rPr>
                <w:rFonts w:ascii="Arial" w:eastAsia="Arial" w:hAnsi="Arial" w:cs="Arial"/>
              </w:rPr>
            </w:pPr>
            <w:r w:rsidRPr="227A2131">
              <w:rPr>
                <w:rFonts w:ascii="Arial" w:eastAsia="Arial" w:hAnsi="Arial" w:cs="Arial"/>
              </w:rPr>
              <w:t>Beta testing survey report</w:t>
            </w:r>
          </w:p>
        </w:tc>
        <w:tc>
          <w:tcPr>
            <w:tcW w:w="1089" w:type="dxa"/>
            <w:vAlign w:val="center"/>
          </w:tcPr>
          <w:p w14:paraId="729B654C" w14:textId="5530852D" w:rsidR="227A2131" w:rsidRDefault="227A2131" w:rsidP="227A2131">
            <w:pPr>
              <w:rPr>
                <w:rFonts w:ascii="Arial" w:eastAsia="Arial" w:hAnsi="Arial" w:cs="Arial"/>
              </w:rPr>
            </w:pPr>
            <w:r w:rsidRPr="227A2131">
              <w:rPr>
                <w:rFonts w:ascii="Arial" w:eastAsia="Arial" w:hAnsi="Arial" w:cs="Arial"/>
              </w:rPr>
              <w:t>Monthly</w:t>
            </w:r>
          </w:p>
        </w:tc>
        <w:tc>
          <w:tcPr>
            <w:tcW w:w="3506" w:type="dxa"/>
            <w:vAlign w:val="center"/>
          </w:tcPr>
          <w:p w14:paraId="59428BA2" w14:textId="4BFF65B6" w:rsidR="227A2131" w:rsidRDefault="227A2131" w:rsidP="227A2131">
            <w:pPr>
              <w:rPr>
                <w:rFonts w:ascii="Arial" w:eastAsia="Arial" w:hAnsi="Arial" w:cs="Arial"/>
              </w:rPr>
            </w:pPr>
            <w:r w:rsidRPr="227A2131">
              <w:rPr>
                <w:rFonts w:ascii="Arial" w:eastAsia="Arial" w:hAnsi="Arial" w:cs="Arial"/>
              </w:rPr>
              <w:t>Consumers test groups</w:t>
            </w:r>
          </w:p>
        </w:tc>
      </w:tr>
    </w:tbl>
    <w:p w14:paraId="4FE344E5" w14:textId="7A982540" w:rsidR="227A2131" w:rsidRDefault="227A2131" w:rsidP="227A2131">
      <w:pPr>
        <w:rPr>
          <w:rFonts w:ascii="Arial" w:eastAsia="Arial" w:hAnsi="Arial" w:cs="Arial"/>
        </w:rPr>
      </w:pPr>
      <w:r>
        <w:br/>
      </w:r>
      <w:r>
        <w:br/>
      </w:r>
      <w:r w:rsidR="5B53DE62" w:rsidRPr="227A2131">
        <w:rPr>
          <w:rFonts w:ascii="Arial" w:eastAsia="Arial" w:hAnsi="Arial" w:cs="Arial"/>
        </w:rPr>
        <w:t>roved in month 1 to avoid stakeholder dependency delays later</w:t>
      </w:r>
    </w:p>
    <w:p w14:paraId="75D1962E" w14:textId="16DD26C6" w:rsidR="5B53DE62" w:rsidRDefault="5B53DE62" w:rsidP="227A2131">
      <w:pPr>
        <w:rPr>
          <w:rFonts w:ascii="Arial" w:eastAsia="Arial" w:hAnsi="Arial" w:cs="Arial"/>
        </w:rPr>
      </w:pPr>
      <w:r w:rsidRPr="227A2131">
        <w:rPr>
          <w:rFonts w:ascii="Arial" w:eastAsia="Arial" w:hAnsi="Arial" w:cs="Arial"/>
        </w:rPr>
        <w:t xml:space="preserve">The core coordination principle is interdependency orchestration—stakeholder </w:t>
      </w:r>
      <w:proofErr w:type="spellStart"/>
      <w:r w:rsidRPr="227A2131">
        <w:rPr>
          <w:rFonts w:ascii="Arial" w:eastAsia="Arial" w:hAnsi="Arial" w:cs="Arial"/>
        </w:rPr>
        <w:t>workstreams</w:t>
      </w:r>
      <w:proofErr w:type="spellEnd"/>
      <w:r w:rsidRPr="227A2131">
        <w:rPr>
          <w:rFonts w:ascii="Arial" w:eastAsia="Arial" w:hAnsi="Arial" w:cs="Arial"/>
        </w:rPr>
        <w:t xml:space="preserve"> are planned so that validation (R&amp;D), device firmware (Engineering), platform AI insights (Software), security encryption (Cybersecurity) and approvals (Compliance, Retailers, MHRA) reach governance gates in </w:t>
      </w:r>
      <w:proofErr w:type="spellStart"/>
      <w:r w:rsidRPr="227A2131">
        <w:rPr>
          <w:rFonts w:ascii="Arial" w:eastAsia="Arial" w:hAnsi="Arial" w:cs="Arial"/>
        </w:rPr>
        <w:t>synchronised</w:t>
      </w:r>
      <w:proofErr w:type="spellEnd"/>
      <w:r w:rsidRPr="227A2131">
        <w:rPr>
          <w:rFonts w:ascii="Arial" w:eastAsia="Arial" w:hAnsi="Arial" w:cs="Arial"/>
        </w:rPr>
        <w:t xml:space="preserve"> cadence. Misaligned stakeholder outputs are currently the greatest source of coordination risk for launch timing </w:t>
      </w:r>
      <w:proofErr w:type="spellStart"/>
      <w:r w:rsidRPr="227A2131">
        <w:rPr>
          <w:rFonts w:ascii="Arial" w:eastAsia="Arial" w:hAnsi="Arial" w:cs="Arial"/>
        </w:rPr>
        <w:t>fulfilment</w:t>
      </w:r>
      <w:proofErr w:type="spellEnd"/>
      <w:r w:rsidRPr="227A2131">
        <w:rPr>
          <w:rFonts w:ascii="Arial" w:eastAsia="Arial" w:hAnsi="Arial" w:cs="Arial"/>
        </w:rPr>
        <w:t>.</w:t>
      </w:r>
    </w:p>
    <w:p w14:paraId="15BE7297" w14:textId="09F3B98F" w:rsidR="227A2131" w:rsidRDefault="227A2131" w:rsidP="227A2131">
      <w:pPr>
        <w:rPr>
          <w:rFonts w:ascii="Arial" w:eastAsia="Arial" w:hAnsi="Arial" w:cs="Arial"/>
          <w:b/>
          <w:bCs/>
        </w:rPr>
      </w:pPr>
    </w:p>
    <w:p w14:paraId="74E22C16" w14:textId="592F0990" w:rsidR="5B53DE62" w:rsidRDefault="5B53DE62" w:rsidP="227A2131">
      <w:pPr>
        <w:rPr>
          <w:rFonts w:ascii="Arial" w:eastAsia="Arial" w:hAnsi="Arial" w:cs="Arial"/>
          <w:b/>
          <w:bCs/>
        </w:rPr>
      </w:pPr>
      <w:r w:rsidRPr="227A2131">
        <w:rPr>
          <w:rFonts w:ascii="Arial" w:eastAsia="Arial" w:hAnsi="Arial" w:cs="Arial"/>
          <w:b/>
          <w:bCs/>
        </w:rPr>
        <w:t>7.3 Cooperation (Third 4C)</w:t>
      </w:r>
    </w:p>
    <w:p w14:paraId="6DAA8481" w14:textId="5BA75F3D" w:rsidR="5B53DE62" w:rsidRDefault="5B53DE62" w:rsidP="227A2131">
      <w:pPr>
        <w:rPr>
          <w:rFonts w:ascii="Arial" w:eastAsia="Arial" w:hAnsi="Arial" w:cs="Arial"/>
        </w:rPr>
      </w:pPr>
      <w:r w:rsidRPr="227A2131">
        <w:rPr>
          <w:rFonts w:ascii="Arial" w:eastAsia="Arial" w:hAnsi="Arial" w:cs="Arial"/>
        </w:rPr>
        <w:t xml:space="preserve">Cooperation goes beyond simple task delivery—it involves stakeholder willingness, alignment, and </w:t>
      </w:r>
      <w:proofErr w:type="spellStart"/>
      <w:r w:rsidRPr="227A2131">
        <w:rPr>
          <w:rFonts w:ascii="Arial" w:eastAsia="Arial" w:hAnsi="Arial" w:cs="Arial"/>
        </w:rPr>
        <w:t>incentivisation</w:t>
      </w:r>
      <w:proofErr w:type="spellEnd"/>
      <w:r w:rsidRPr="227A2131">
        <w:rPr>
          <w:rFonts w:ascii="Arial" w:eastAsia="Arial" w:hAnsi="Arial" w:cs="Arial"/>
        </w:rPr>
        <w:t xml:space="preserve"> to actively support project success even when direct benefit is uneven across stakeholder groups (Christopher et al., 2013).</w:t>
      </w:r>
    </w:p>
    <w:p w14:paraId="00A8F8E3" w14:textId="5502FEB5" w:rsidR="5B53DE62" w:rsidRDefault="5B53DE62" w:rsidP="227A2131">
      <w:pPr>
        <w:rPr>
          <w:rFonts w:ascii="Arial" w:eastAsia="Arial" w:hAnsi="Arial" w:cs="Arial"/>
        </w:rPr>
      </w:pPr>
      <w:r w:rsidRPr="227A2131">
        <w:rPr>
          <w:rFonts w:ascii="Arial" w:eastAsia="Arial" w:hAnsi="Arial" w:cs="Arial"/>
        </w:rPr>
        <w:t>Cooperation frameworks applied include:</w:t>
      </w:r>
      <w:r>
        <w:br/>
      </w:r>
      <w:r w:rsidRPr="227A2131">
        <w:rPr>
          <w:rFonts w:ascii="Arial" w:eastAsia="Arial" w:hAnsi="Arial" w:cs="Arial"/>
        </w:rPr>
        <w:t xml:space="preserve"> ✔ Team KPI alignment with project-shared success metrics (accuracy, approval timing, retailer onboarding, pre-launch signups)</w:t>
      </w:r>
      <w:r>
        <w:br/>
      </w:r>
      <w:r w:rsidRPr="227A2131">
        <w:rPr>
          <w:rFonts w:ascii="Arial" w:eastAsia="Arial" w:hAnsi="Arial" w:cs="Arial"/>
        </w:rPr>
        <w:t xml:space="preserve"> ✔ Recognition incentives for internal stakeholders when regulatory approvals are secured early</w:t>
      </w:r>
      <w:r>
        <w:br/>
      </w:r>
      <w:r w:rsidRPr="227A2131">
        <w:rPr>
          <w:rFonts w:ascii="Arial" w:eastAsia="Arial" w:hAnsi="Arial" w:cs="Arial"/>
        </w:rPr>
        <w:t xml:space="preserve"> ✔ Retail partner margin-based cooperation incentives (exclusive pre-sale windows)</w:t>
      </w:r>
      <w:r>
        <w:br/>
      </w:r>
      <w:r w:rsidRPr="227A2131">
        <w:rPr>
          <w:rFonts w:ascii="Arial" w:eastAsia="Arial" w:hAnsi="Arial" w:cs="Arial"/>
        </w:rPr>
        <w:t xml:space="preserve"> ✔ Shared beta testing success data to strengthen external stakeholder cooperation</w:t>
      </w:r>
    </w:p>
    <w:p w14:paraId="0311475E" w14:textId="5B3734E3" w:rsidR="5B53DE62" w:rsidRDefault="5B53DE62" w:rsidP="227A2131">
      <w:pPr>
        <w:rPr>
          <w:rFonts w:ascii="Arial" w:eastAsia="Arial" w:hAnsi="Arial" w:cs="Arial"/>
        </w:rPr>
      </w:pPr>
      <w:r w:rsidRPr="227A2131">
        <w:rPr>
          <w:rFonts w:ascii="Arial" w:eastAsia="Arial" w:hAnsi="Arial" w:cs="Arial"/>
        </w:rPr>
        <w:t>However cooperation challenges persist. Stakeholder cooperation weakens when workloads spike or uncertainty increases. This is especially true for oxygen-variability validation groups, cybersecurity risk-review teams, and external retailer procurement boards who may not see direct short-term value, yet hold approval power. I maintain cooperation by continuously demonstrating stakeholder-benefit exchange including:</w:t>
      </w:r>
    </w:p>
    <w:p w14:paraId="3189588E" w14:textId="37045324" w:rsidR="5B53DE62" w:rsidRDefault="5B53DE62" w:rsidP="227A2131">
      <w:pPr>
        <w:rPr>
          <w:rFonts w:ascii="Arial" w:eastAsia="Arial" w:hAnsi="Arial" w:cs="Arial"/>
        </w:rPr>
      </w:pPr>
      <w:r w:rsidRPr="227A2131">
        <w:rPr>
          <w:rFonts w:ascii="Arial" w:eastAsia="Arial" w:hAnsi="Arial" w:cs="Arial"/>
        </w:rPr>
        <w:t>Risk reduction</w:t>
      </w:r>
    </w:p>
    <w:p w14:paraId="23884B81" w14:textId="2282053E" w:rsidR="5B53DE62" w:rsidRDefault="5B53DE62" w:rsidP="227A2131">
      <w:pPr>
        <w:rPr>
          <w:rFonts w:ascii="Arial" w:eastAsia="Arial" w:hAnsi="Arial" w:cs="Arial"/>
        </w:rPr>
      </w:pPr>
      <w:r w:rsidRPr="227A2131">
        <w:rPr>
          <w:rFonts w:ascii="Arial" w:eastAsia="Arial" w:hAnsi="Arial" w:cs="Arial"/>
        </w:rPr>
        <w:t>Revenue adoption potential</w:t>
      </w:r>
    </w:p>
    <w:p w14:paraId="6EADC80A" w14:textId="4BCBC084" w:rsidR="5B53DE62" w:rsidRDefault="5B53DE62" w:rsidP="227A2131">
      <w:pPr>
        <w:rPr>
          <w:rFonts w:ascii="Arial" w:eastAsia="Arial" w:hAnsi="Arial" w:cs="Arial"/>
        </w:rPr>
      </w:pPr>
      <w:r w:rsidRPr="227A2131">
        <w:rPr>
          <w:rFonts w:ascii="Arial" w:eastAsia="Arial" w:hAnsi="Arial" w:cs="Arial"/>
        </w:rPr>
        <w:t>Consumer trust enhancement</w:t>
      </w:r>
    </w:p>
    <w:p w14:paraId="1E9CDFC8" w14:textId="23657448" w:rsidR="5B53DE62" w:rsidRDefault="5B53DE62" w:rsidP="227A2131">
      <w:pPr>
        <w:rPr>
          <w:rFonts w:ascii="Arial" w:eastAsia="Arial" w:hAnsi="Arial" w:cs="Arial"/>
        </w:rPr>
      </w:pPr>
      <w:r w:rsidRPr="227A2131">
        <w:rPr>
          <w:rFonts w:ascii="Arial" w:eastAsia="Arial" w:hAnsi="Arial" w:cs="Arial"/>
        </w:rPr>
        <w:t>Brand competitiveness reinforcement</w:t>
      </w:r>
    </w:p>
    <w:p w14:paraId="15D93B45" w14:textId="6BD146C4" w:rsidR="5B53DE62" w:rsidRDefault="5B53DE62" w:rsidP="227A2131">
      <w:pPr>
        <w:rPr>
          <w:rFonts w:ascii="Arial" w:eastAsia="Arial" w:hAnsi="Arial" w:cs="Arial"/>
        </w:rPr>
      </w:pPr>
      <w:r w:rsidRPr="227A2131">
        <w:rPr>
          <w:rFonts w:ascii="Arial" w:eastAsia="Arial" w:hAnsi="Arial" w:cs="Arial"/>
        </w:rPr>
        <w:t>Google ecosystem strategic scaling benefits</w:t>
      </w:r>
    </w:p>
    <w:p w14:paraId="7DE47C20" w14:textId="2928AC67" w:rsidR="5B53DE62" w:rsidRDefault="5B53DE62" w:rsidP="227A2131">
      <w:pPr>
        <w:rPr>
          <w:rFonts w:ascii="Arial" w:eastAsia="Arial" w:hAnsi="Arial" w:cs="Arial"/>
        </w:rPr>
      </w:pPr>
      <w:r w:rsidRPr="227A2131">
        <w:rPr>
          <w:rFonts w:ascii="Arial" w:eastAsia="Arial" w:hAnsi="Arial" w:cs="Arial"/>
        </w:rPr>
        <w:t>Retail sell-through confidence improvement</w:t>
      </w:r>
    </w:p>
    <w:p w14:paraId="2B05CB53" w14:textId="3DAEDB52" w:rsidR="5B53DE62" w:rsidRDefault="5B53DE62" w:rsidP="227A2131">
      <w:pPr>
        <w:rPr>
          <w:rFonts w:ascii="Arial" w:eastAsia="Arial" w:hAnsi="Arial" w:cs="Arial"/>
        </w:rPr>
      </w:pPr>
      <w:r w:rsidRPr="227A2131">
        <w:rPr>
          <w:rFonts w:ascii="Arial" w:eastAsia="Arial" w:hAnsi="Arial" w:cs="Arial"/>
        </w:rPr>
        <w:t>Cooperation conflict risks are detected early using stakeholder sentiment checkpoints, ensuring teams feel included and valued across the delivery cycle.</w:t>
      </w:r>
    </w:p>
    <w:p w14:paraId="3E61787F" w14:textId="09327916" w:rsidR="227A2131" w:rsidRDefault="227A2131" w:rsidP="227A2131">
      <w:pPr>
        <w:rPr>
          <w:rFonts w:ascii="Arial" w:eastAsia="Arial" w:hAnsi="Arial" w:cs="Arial"/>
        </w:rPr>
      </w:pPr>
    </w:p>
    <w:p w14:paraId="1FBEA48E" w14:textId="05B1BC08" w:rsidR="5B53DE62" w:rsidRDefault="5B53DE62" w:rsidP="227A2131">
      <w:pPr>
        <w:rPr>
          <w:rFonts w:ascii="Arial" w:eastAsia="Arial" w:hAnsi="Arial" w:cs="Arial"/>
          <w:b/>
          <w:bCs/>
        </w:rPr>
      </w:pPr>
      <w:r w:rsidRPr="227A2131">
        <w:rPr>
          <w:rFonts w:ascii="Arial" w:eastAsia="Arial" w:hAnsi="Arial" w:cs="Arial"/>
          <w:b/>
          <w:bCs/>
        </w:rPr>
        <w:t>7.4 Collaboration &amp; Conflict Elimination (Fourth 4C)</w:t>
      </w:r>
    </w:p>
    <w:p w14:paraId="6AB19A51" w14:textId="285C5557" w:rsidR="5B53DE62" w:rsidRDefault="5B53DE62" w:rsidP="227A2131">
      <w:pPr>
        <w:rPr>
          <w:rFonts w:ascii="Arial" w:eastAsia="Arial" w:hAnsi="Arial" w:cs="Arial"/>
        </w:rPr>
      </w:pPr>
      <w:r w:rsidRPr="227A2131">
        <w:rPr>
          <w:rFonts w:ascii="Arial" w:eastAsia="Arial" w:hAnsi="Arial" w:cs="Arial"/>
        </w:rPr>
        <w:t>Collaboration involves multi-directional stakeholder engagement where value is co-created rather than delivered in silos (Ellis et al., 1991).</w:t>
      </w:r>
    </w:p>
    <w:p w14:paraId="41F6E491" w14:textId="20052CEB" w:rsidR="5B53DE62" w:rsidRDefault="5B53DE62" w:rsidP="227A2131">
      <w:pPr>
        <w:rPr>
          <w:rFonts w:ascii="Arial" w:eastAsia="Arial" w:hAnsi="Arial" w:cs="Arial"/>
          <w:b/>
          <w:bCs/>
        </w:rPr>
      </w:pPr>
      <w:r w:rsidRPr="227A2131">
        <w:rPr>
          <w:rFonts w:ascii="Arial" w:eastAsia="Arial" w:hAnsi="Arial" w:cs="Arial"/>
        </w:rPr>
        <w:t>Key collaboration strategies include:</w:t>
      </w:r>
    </w:p>
    <w:p w14:paraId="38B9F1D0" w14:textId="029BFA68" w:rsidR="5B53DE62" w:rsidRDefault="5B53DE62" w:rsidP="227A2131">
      <w:pPr>
        <w:rPr>
          <w:rFonts w:ascii="Arial" w:eastAsia="Arial" w:hAnsi="Arial" w:cs="Arial"/>
        </w:rPr>
      </w:pPr>
      <w:r w:rsidRPr="227A2131">
        <w:rPr>
          <w:rFonts w:ascii="Arial" w:eastAsia="Arial" w:hAnsi="Arial" w:cs="Arial"/>
        </w:rPr>
        <w:t>Product Co-Creation Workshops between R&amp;D, Engineering, Software and medical advisory stakeholders</w:t>
      </w:r>
    </w:p>
    <w:p w14:paraId="2449E4EF" w14:textId="0E4FD817" w:rsidR="5B53DE62" w:rsidRDefault="5B53DE62" w:rsidP="227A2131">
      <w:pPr>
        <w:rPr>
          <w:rFonts w:ascii="Arial" w:eastAsia="Arial" w:hAnsi="Arial" w:cs="Arial"/>
        </w:rPr>
      </w:pPr>
      <w:r w:rsidRPr="227A2131">
        <w:rPr>
          <w:rFonts w:ascii="Arial" w:eastAsia="Arial" w:hAnsi="Arial" w:cs="Arial"/>
        </w:rPr>
        <w:t>Cybersecurity assurance hack-testing events with compliance + insurance stakeholders</w:t>
      </w:r>
    </w:p>
    <w:p w14:paraId="4664ABBB" w14:textId="0930EF25" w:rsidR="5B53DE62" w:rsidRDefault="5B53DE62" w:rsidP="227A2131">
      <w:pPr>
        <w:rPr>
          <w:rFonts w:ascii="Arial" w:eastAsia="Arial" w:hAnsi="Arial" w:cs="Arial"/>
        </w:rPr>
      </w:pPr>
      <w:r w:rsidRPr="227A2131">
        <w:rPr>
          <w:rFonts w:ascii="Arial" w:eastAsia="Arial" w:hAnsi="Arial" w:cs="Arial"/>
        </w:rPr>
        <w:t>Retail onboarding confidence packs validated across hardware + compliance stakeholders</w:t>
      </w:r>
    </w:p>
    <w:p w14:paraId="05354676" w14:textId="6190627F" w:rsidR="5B53DE62" w:rsidRDefault="5B53DE62" w:rsidP="227A2131">
      <w:pPr>
        <w:rPr>
          <w:rFonts w:ascii="Arial" w:eastAsia="Arial" w:hAnsi="Arial" w:cs="Arial"/>
        </w:rPr>
      </w:pPr>
      <w:r w:rsidRPr="227A2131">
        <w:rPr>
          <w:rFonts w:ascii="Arial" w:eastAsia="Arial" w:hAnsi="Arial" w:cs="Arial"/>
        </w:rPr>
        <w:t>Marketing messaging reconciliation governance involving medical + compliance stakeholder approval gates</w:t>
      </w:r>
    </w:p>
    <w:p w14:paraId="15F57B93" w14:textId="1CFDDBE1" w:rsidR="5B53DE62" w:rsidRDefault="5B53DE62" w:rsidP="227A2131">
      <w:pPr>
        <w:rPr>
          <w:rFonts w:ascii="Arial" w:eastAsia="Arial" w:hAnsi="Arial" w:cs="Arial"/>
        </w:rPr>
      </w:pPr>
      <w:r w:rsidRPr="227A2131">
        <w:rPr>
          <w:rFonts w:ascii="Arial" w:eastAsia="Arial" w:hAnsi="Arial" w:cs="Arial"/>
        </w:rPr>
        <w:t>Negotiation frameworks for conflict mitigation, applied when stakeholder priorities clash:</w:t>
      </w:r>
    </w:p>
    <w:p w14:paraId="45698021" w14:textId="67B83DAD" w:rsidR="2912CCAB" w:rsidRDefault="2912CCAB" w:rsidP="227A2131">
      <w:pPr>
        <w:rPr>
          <w:rFonts w:ascii="Arial" w:eastAsia="Arial" w:hAnsi="Arial" w:cs="Arial"/>
          <w:b/>
          <w:bCs/>
        </w:rPr>
      </w:pPr>
      <w:r w:rsidRPr="227A2131">
        <w:rPr>
          <w:rFonts w:ascii="Arial" w:eastAsia="Arial" w:hAnsi="Arial" w:cs="Arial"/>
          <w:b/>
          <w:bCs/>
        </w:rPr>
        <w:t>7.5 Conflict Management Methods Applied</w:t>
      </w:r>
    </w:p>
    <w:tbl>
      <w:tblPr>
        <w:tblW w:w="0" w:type="auto"/>
        <w:tblLook w:val="06A0" w:firstRow="1" w:lastRow="0" w:firstColumn="1" w:lastColumn="0" w:noHBand="1" w:noVBand="1"/>
      </w:tblPr>
      <w:tblGrid>
        <w:gridCol w:w="2597"/>
        <w:gridCol w:w="1841"/>
        <w:gridCol w:w="3345"/>
        <w:gridCol w:w="1577"/>
      </w:tblGrid>
      <w:tr w:rsidR="227A2131" w14:paraId="2C34371E" w14:textId="77777777" w:rsidTr="227A2131">
        <w:trPr>
          <w:trHeight w:val="300"/>
        </w:trPr>
        <w:tc>
          <w:tcPr>
            <w:tcW w:w="2661" w:type="dxa"/>
            <w:vAlign w:val="center"/>
          </w:tcPr>
          <w:p w14:paraId="7E26CF55" w14:textId="34C2F427" w:rsidR="227A2131" w:rsidRDefault="227A2131" w:rsidP="227A2131">
            <w:pPr>
              <w:rPr>
                <w:rFonts w:ascii="Arial" w:eastAsia="Arial" w:hAnsi="Arial" w:cs="Arial"/>
              </w:rPr>
            </w:pPr>
            <w:r w:rsidRPr="227A2131">
              <w:rPr>
                <w:rFonts w:ascii="Arial" w:eastAsia="Arial" w:hAnsi="Arial" w:cs="Arial"/>
              </w:rPr>
              <w:t>Conflict Scenario</w:t>
            </w:r>
          </w:p>
        </w:tc>
        <w:tc>
          <w:tcPr>
            <w:tcW w:w="1856" w:type="dxa"/>
            <w:vAlign w:val="center"/>
          </w:tcPr>
          <w:p w14:paraId="1BBF5DE0" w14:textId="39D328F8" w:rsidR="227A2131" w:rsidRDefault="227A2131" w:rsidP="227A2131">
            <w:pPr>
              <w:rPr>
                <w:rFonts w:ascii="Arial" w:eastAsia="Arial" w:hAnsi="Arial" w:cs="Arial"/>
              </w:rPr>
            </w:pPr>
            <w:r w:rsidRPr="227A2131">
              <w:rPr>
                <w:rFonts w:ascii="Arial" w:eastAsia="Arial" w:hAnsi="Arial" w:cs="Arial"/>
              </w:rPr>
              <w:t>Stakeholders Involved</w:t>
            </w:r>
          </w:p>
        </w:tc>
        <w:tc>
          <w:tcPr>
            <w:tcW w:w="3426" w:type="dxa"/>
            <w:vAlign w:val="center"/>
          </w:tcPr>
          <w:p w14:paraId="2D91B4B4" w14:textId="41C1E0EC" w:rsidR="227A2131" w:rsidRDefault="227A2131" w:rsidP="227A2131">
            <w:pPr>
              <w:rPr>
                <w:rFonts w:ascii="Arial" w:eastAsia="Arial" w:hAnsi="Arial" w:cs="Arial"/>
              </w:rPr>
            </w:pPr>
            <w:r w:rsidRPr="227A2131">
              <w:rPr>
                <w:rFonts w:ascii="Arial" w:eastAsia="Arial" w:hAnsi="Arial" w:cs="Arial"/>
              </w:rPr>
              <w:t>Resolution Method</w:t>
            </w:r>
          </w:p>
        </w:tc>
        <w:tc>
          <w:tcPr>
            <w:tcW w:w="1417" w:type="dxa"/>
            <w:vAlign w:val="center"/>
          </w:tcPr>
          <w:p w14:paraId="20C8C140" w14:textId="7F466D37" w:rsidR="227A2131" w:rsidRDefault="227A2131" w:rsidP="227A2131">
            <w:pPr>
              <w:rPr>
                <w:rFonts w:ascii="Arial" w:eastAsia="Arial" w:hAnsi="Arial" w:cs="Arial"/>
              </w:rPr>
            </w:pPr>
            <w:r w:rsidRPr="227A2131">
              <w:rPr>
                <w:rFonts w:ascii="Arial" w:eastAsia="Arial" w:hAnsi="Arial" w:cs="Arial"/>
              </w:rPr>
              <w:t>Theory Applied</w:t>
            </w:r>
          </w:p>
        </w:tc>
      </w:tr>
      <w:tr w:rsidR="227A2131" w14:paraId="66E3C45A" w14:textId="77777777" w:rsidTr="227A2131">
        <w:trPr>
          <w:trHeight w:val="300"/>
        </w:trPr>
        <w:tc>
          <w:tcPr>
            <w:tcW w:w="2661" w:type="dxa"/>
            <w:vAlign w:val="center"/>
          </w:tcPr>
          <w:p w14:paraId="4E913031" w14:textId="291336E4" w:rsidR="227A2131" w:rsidRDefault="227A2131" w:rsidP="227A2131">
            <w:pPr>
              <w:rPr>
                <w:rFonts w:ascii="Arial" w:eastAsia="Arial" w:hAnsi="Arial" w:cs="Arial"/>
              </w:rPr>
            </w:pPr>
            <w:r w:rsidRPr="227A2131">
              <w:rPr>
                <w:rFonts w:ascii="Arial" w:eastAsia="Arial" w:hAnsi="Arial" w:cs="Arial"/>
              </w:rPr>
              <w:t>Marketing wants early claims launch, Engineering not validated</w:t>
            </w:r>
          </w:p>
        </w:tc>
        <w:tc>
          <w:tcPr>
            <w:tcW w:w="1856" w:type="dxa"/>
            <w:vAlign w:val="center"/>
          </w:tcPr>
          <w:p w14:paraId="5DC65C53" w14:textId="22FE7630" w:rsidR="227A2131" w:rsidRDefault="227A2131" w:rsidP="227A2131">
            <w:pPr>
              <w:rPr>
                <w:rFonts w:ascii="Arial" w:eastAsia="Arial" w:hAnsi="Arial" w:cs="Arial"/>
              </w:rPr>
            </w:pPr>
            <w:r w:rsidRPr="227A2131">
              <w:rPr>
                <w:rFonts w:ascii="Arial" w:eastAsia="Arial" w:hAnsi="Arial" w:cs="Arial"/>
              </w:rPr>
              <w:t>Marketing vs Engineering + Compliance</w:t>
            </w:r>
          </w:p>
        </w:tc>
        <w:tc>
          <w:tcPr>
            <w:tcW w:w="3426" w:type="dxa"/>
            <w:vAlign w:val="center"/>
          </w:tcPr>
          <w:p w14:paraId="6C542163" w14:textId="15CAB2B2" w:rsidR="227A2131" w:rsidRDefault="227A2131" w:rsidP="227A2131">
            <w:pPr>
              <w:rPr>
                <w:rFonts w:ascii="Arial" w:eastAsia="Arial" w:hAnsi="Arial" w:cs="Arial"/>
              </w:rPr>
            </w:pPr>
            <w:r w:rsidRPr="227A2131">
              <w:rPr>
                <w:rFonts w:ascii="Arial" w:eastAsia="Arial" w:hAnsi="Arial" w:cs="Arial"/>
              </w:rPr>
              <w:t>Messaging governance enforced after validation + compromise rollout sequencing</w:t>
            </w:r>
          </w:p>
        </w:tc>
        <w:tc>
          <w:tcPr>
            <w:tcW w:w="1417" w:type="dxa"/>
            <w:vAlign w:val="center"/>
          </w:tcPr>
          <w:p w14:paraId="5303C170" w14:textId="34F3F398" w:rsidR="227A2131" w:rsidRDefault="227A2131" w:rsidP="227A2131">
            <w:pPr>
              <w:rPr>
                <w:rFonts w:ascii="Arial" w:eastAsia="Arial" w:hAnsi="Arial" w:cs="Arial"/>
              </w:rPr>
            </w:pPr>
            <w:r w:rsidRPr="227A2131">
              <w:rPr>
                <w:rFonts w:ascii="Arial" w:eastAsia="Arial" w:hAnsi="Arial" w:cs="Arial"/>
              </w:rPr>
              <w:t>Ashcroft (2017), Freeman (1984)</w:t>
            </w:r>
          </w:p>
        </w:tc>
      </w:tr>
      <w:tr w:rsidR="227A2131" w14:paraId="5EC95328" w14:textId="77777777" w:rsidTr="227A2131">
        <w:trPr>
          <w:trHeight w:val="300"/>
        </w:trPr>
        <w:tc>
          <w:tcPr>
            <w:tcW w:w="2661" w:type="dxa"/>
            <w:vAlign w:val="center"/>
          </w:tcPr>
          <w:p w14:paraId="600582AB" w14:textId="1AE7F7B3" w:rsidR="227A2131" w:rsidRDefault="227A2131" w:rsidP="227A2131">
            <w:pPr>
              <w:rPr>
                <w:rFonts w:ascii="Arial" w:eastAsia="Arial" w:hAnsi="Arial" w:cs="Arial"/>
              </w:rPr>
            </w:pPr>
            <w:r w:rsidRPr="227A2131">
              <w:rPr>
                <w:rFonts w:ascii="Arial" w:eastAsia="Arial" w:hAnsi="Arial" w:cs="Arial"/>
              </w:rPr>
              <w:t>Retailer margin negotiation dispute</w:t>
            </w:r>
          </w:p>
        </w:tc>
        <w:tc>
          <w:tcPr>
            <w:tcW w:w="1856" w:type="dxa"/>
            <w:vAlign w:val="center"/>
          </w:tcPr>
          <w:p w14:paraId="0E75736B" w14:textId="44808B27" w:rsidR="227A2131" w:rsidRDefault="227A2131" w:rsidP="227A2131">
            <w:pPr>
              <w:rPr>
                <w:rFonts w:ascii="Arial" w:eastAsia="Arial" w:hAnsi="Arial" w:cs="Arial"/>
              </w:rPr>
            </w:pPr>
            <w:r w:rsidRPr="227A2131">
              <w:rPr>
                <w:rFonts w:ascii="Arial" w:eastAsia="Arial" w:hAnsi="Arial" w:cs="Arial"/>
              </w:rPr>
              <w:t>Retailers vs Sales</w:t>
            </w:r>
          </w:p>
        </w:tc>
        <w:tc>
          <w:tcPr>
            <w:tcW w:w="3426" w:type="dxa"/>
            <w:vAlign w:val="center"/>
          </w:tcPr>
          <w:p w14:paraId="4F64F39A" w14:textId="54400597" w:rsidR="227A2131" w:rsidRDefault="227A2131" w:rsidP="227A2131">
            <w:pPr>
              <w:rPr>
                <w:rFonts w:ascii="Arial" w:eastAsia="Arial" w:hAnsi="Arial" w:cs="Arial"/>
              </w:rPr>
            </w:pPr>
            <w:r w:rsidRPr="227A2131">
              <w:rPr>
                <w:rFonts w:ascii="Arial" w:eastAsia="Arial" w:hAnsi="Arial" w:cs="Arial"/>
              </w:rPr>
              <w:t>Margin incentive exchange + staged onboarding agreements</w:t>
            </w:r>
          </w:p>
        </w:tc>
        <w:tc>
          <w:tcPr>
            <w:tcW w:w="1417" w:type="dxa"/>
            <w:vAlign w:val="center"/>
          </w:tcPr>
          <w:p w14:paraId="45E7123D" w14:textId="48F2F69A" w:rsidR="227A2131" w:rsidRDefault="227A2131" w:rsidP="227A2131">
            <w:pPr>
              <w:rPr>
                <w:rFonts w:ascii="Arial" w:eastAsia="Arial" w:hAnsi="Arial" w:cs="Arial"/>
              </w:rPr>
            </w:pPr>
            <w:r w:rsidRPr="227A2131">
              <w:rPr>
                <w:rFonts w:ascii="Arial" w:eastAsia="Arial" w:hAnsi="Arial" w:cs="Arial"/>
              </w:rPr>
              <w:t>Christopher et al. (2013)</w:t>
            </w:r>
          </w:p>
        </w:tc>
      </w:tr>
      <w:tr w:rsidR="227A2131" w14:paraId="22ECA436" w14:textId="77777777" w:rsidTr="227A2131">
        <w:trPr>
          <w:trHeight w:val="300"/>
        </w:trPr>
        <w:tc>
          <w:tcPr>
            <w:tcW w:w="2661" w:type="dxa"/>
            <w:vAlign w:val="center"/>
          </w:tcPr>
          <w:p w14:paraId="500C59A2" w14:textId="3C8062AC" w:rsidR="227A2131" w:rsidRDefault="227A2131" w:rsidP="227A2131">
            <w:pPr>
              <w:rPr>
                <w:rFonts w:ascii="Arial" w:eastAsia="Arial" w:hAnsi="Arial" w:cs="Arial"/>
              </w:rPr>
            </w:pPr>
            <w:r w:rsidRPr="227A2131">
              <w:rPr>
                <w:rFonts w:ascii="Arial" w:eastAsia="Arial" w:hAnsi="Arial" w:cs="Arial"/>
              </w:rPr>
              <w:t>Sensor accuracy KPI challenge</w:t>
            </w:r>
          </w:p>
        </w:tc>
        <w:tc>
          <w:tcPr>
            <w:tcW w:w="1856" w:type="dxa"/>
            <w:vAlign w:val="center"/>
          </w:tcPr>
          <w:p w14:paraId="31F00BC9" w14:textId="604CC191" w:rsidR="227A2131" w:rsidRDefault="227A2131" w:rsidP="227A2131">
            <w:pPr>
              <w:rPr>
                <w:rFonts w:ascii="Arial" w:eastAsia="Arial" w:hAnsi="Arial" w:cs="Arial"/>
              </w:rPr>
            </w:pPr>
            <w:r w:rsidRPr="227A2131">
              <w:rPr>
                <w:rFonts w:ascii="Arial" w:eastAsia="Arial" w:hAnsi="Arial" w:cs="Arial"/>
              </w:rPr>
              <w:t>R&amp;D vs QA vs MHRA</w:t>
            </w:r>
          </w:p>
        </w:tc>
        <w:tc>
          <w:tcPr>
            <w:tcW w:w="3426" w:type="dxa"/>
            <w:vAlign w:val="center"/>
          </w:tcPr>
          <w:p w14:paraId="1BCB0554" w14:textId="43D8EA89" w:rsidR="227A2131" w:rsidRDefault="227A2131" w:rsidP="227A2131">
            <w:pPr>
              <w:rPr>
                <w:rFonts w:ascii="Arial" w:eastAsia="Arial" w:hAnsi="Arial" w:cs="Arial"/>
              </w:rPr>
            </w:pPr>
            <w:r w:rsidRPr="227A2131">
              <w:rPr>
                <w:rFonts w:ascii="Arial" w:eastAsia="Arial" w:hAnsi="Arial" w:cs="Arial"/>
              </w:rPr>
              <w:t>Increase sample size testing + documented accuracy proof transparency</w:t>
            </w:r>
          </w:p>
        </w:tc>
        <w:tc>
          <w:tcPr>
            <w:tcW w:w="1417" w:type="dxa"/>
            <w:vAlign w:val="center"/>
          </w:tcPr>
          <w:p w14:paraId="54BE124C" w14:textId="79EB63B5" w:rsidR="227A2131" w:rsidRDefault="227A2131" w:rsidP="227A2131">
            <w:pPr>
              <w:rPr>
                <w:rFonts w:ascii="Arial" w:eastAsia="Arial" w:hAnsi="Arial" w:cs="Arial"/>
              </w:rPr>
            </w:pPr>
            <w:r w:rsidRPr="227A2131">
              <w:rPr>
                <w:rFonts w:ascii="Arial" w:eastAsia="Arial" w:hAnsi="Arial" w:cs="Arial"/>
              </w:rPr>
              <w:t>Stakeholder Theory</w:t>
            </w:r>
          </w:p>
        </w:tc>
      </w:tr>
      <w:tr w:rsidR="227A2131" w14:paraId="6D28D622" w14:textId="77777777" w:rsidTr="227A2131">
        <w:trPr>
          <w:trHeight w:val="300"/>
        </w:trPr>
        <w:tc>
          <w:tcPr>
            <w:tcW w:w="2661" w:type="dxa"/>
            <w:vAlign w:val="center"/>
          </w:tcPr>
          <w:p w14:paraId="3E67CF20" w14:textId="5BD85913" w:rsidR="227A2131" w:rsidRDefault="227A2131" w:rsidP="227A2131">
            <w:pPr>
              <w:rPr>
                <w:rFonts w:ascii="Arial" w:eastAsia="Arial" w:hAnsi="Arial" w:cs="Arial"/>
              </w:rPr>
            </w:pPr>
            <w:r w:rsidRPr="227A2131">
              <w:rPr>
                <w:rFonts w:ascii="Arial" w:eastAsia="Arial" w:hAnsi="Arial" w:cs="Arial"/>
              </w:rPr>
              <w:t>Data privacy disagreement</w:t>
            </w:r>
          </w:p>
        </w:tc>
        <w:tc>
          <w:tcPr>
            <w:tcW w:w="1856" w:type="dxa"/>
            <w:vAlign w:val="center"/>
          </w:tcPr>
          <w:p w14:paraId="2EDDB925" w14:textId="221FEE19" w:rsidR="227A2131" w:rsidRDefault="227A2131" w:rsidP="227A2131">
            <w:pPr>
              <w:rPr>
                <w:rFonts w:ascii="Arial" w:eastAsia="Arial" w:hAnsi="Arial" w:cs="Arial"/>
              </w:rPr>
            </w:pPr>
            <w:r w:rsidRPr="227A2131">
              <w:rPr>
                <w:rFonts w:ascii="Arial" w:eastAsia="Arial" w:hAnsi="Arial" w:cs="Arial"/>
              </w:rPr>
              <w:t>Cyber vs Compliance vs Retail</w:t>
            </w:r>
          </w:p>
        </w:tc>
        <w:tc>
          <w:tcPr>
            <w:tcW w:w="3426" w:type="dxa"/>
            <w:vAlign w:val="center"/>
          </w:tcPr>
          <w:p w14:paraId="67EF58BE" w14:textId="6E3D1869" w:rsidR="227A2131" w:rsidRDefault="227A2131" w:rsidP="227A2131">
            <w:pPr>
              <w:rPr>
                <w:rFonts w:ascii="Arial" w:eastAsia="Arial" w:hAnsi="Arial" w:cs="Arial"/>
              </w:rPr>
            </w:pPr>
            <w:r w:rsidRPr="227A2131">
              <w:rPr>
                <w:rFonts w:ascii="Arial" w:eastAsia="Arial" w:hAnsi="Arial" w:cs="Arial"/>
              </w:rPr>
              <w:t>GDPR audit assurance + encryption proof pack co-approval</w:t>
            </w:r>
          </w:p>
        </w:tc>
        <w:tc>
          <w:tcPr>
            <w:tcW w:w="1417" w:type="dxa"/>
            <w:vAlign w:val="center"/>
          </w:tcPr>
          <w:p w14:paraId="698D82C5" w14:textId="71773693" w:rsidR="227A2131" w:rsidRDefault="227A2131" w:rsidP="227A2131">
            <w:pPr>
              <w:rPr>
                <w:rFonts w:ascii="Arial" w:eastAsia="Arial" w:hAnsi="Arial" w:cs="Arial"/>
              </w:rPr>
            </w:pPr>
            <w:r w:rsidRPr="227A2131">
              <w:rPr>
                <w:rFonts w:ascii="Arial" w:eastAsia="Arial" w:hAnsi="Arial" w:cs="Arial"/>
              </w:rPr>
              <w:t>GDPR Stakeholder Compliance</w:t>
            </w:r>
          </w:p>
        </w:tc>
      </w:tr>
      <w:tr w:rsidR="227A2131" w14:paraId="3470E4F8" w14:textId="77777777" w:rsidTr="227A2131">
        <w:trPr>
          <w:trHeight w:val="300"/>
        </w:trPr>
        <w:tc>
          <w:tcPr>
            <w:tcW w:w="2661" w:type="dxa"/>
            <w:vAlign w:val="center"/>
          </w:tcPr>
          <w:p w14:paraId="08D0D5DC" w14:textId="415BA5B1" w:rsidR="227A2131" w:rsidRDefault="227A2131" w:rsidP="227A2131">
            <w:pPr>
              <w:rPr>
                <w:rFonts w:ascii="Arial" w:eastAsia="Arial" w:hAnsi="Arial" w:cs="Arial"/>
              </w:rPr>
            </w:pPr>
            <w:r w:rsidRPr="227A2131">
              <w:rPr>
                <w:rFonts w:ascii="Arial" w:eastAsia="Arial" w:hAnsi="Arial" w:cs="Arial"/>
              </w:rPr>
              <w:t>Supply-chain timeline conflict</w:t>
            </w:r>
          </w:p>
        </w:tc>
        <w:tc>
          <w:tcPr>
            <w:tcW w:w="1856" w:type="dxa"/>
            <w:vAlign w:val="center"/>
          </w:tcPr>
          <w:p w14:paraId="409945D0" w14:textId="39180435" w:rsidR="227A2131" w:rsidRDefault="227A2131" w:rsidP="227A2131">
            <w:pPr>
              <w:rPr>
                <w:rFonts w:ascii="Arial" w:eastAsia="Arial" w:hAnsi="Arial" w:cs="Arial"/>
              </w:rPr>
            </w:pPr>
            <w:r w:rsidRPr="227A2131">
              <w:rPr>
                <w:rFonts w:ascii="Arial" w:eastAsia="Arial" w:hAnsi="Arial" w:cs="Arial"/>
              </w:rPr>
              <w:t>Logistics suppliers vs Engineering vs Board</w:t>
            </w:r>
          </w:p>
        </w:tc>
        <w:tc>
          <w:tcPr>
            <w:tcW w:w="3426" w:type="dxa"/>
            <w:vAlign w:val="center"/>
          </w:tcPr>
          <w:p w14:paraId="1D15F45B" w14:textId="4923B81A" w:rsidR="227A2131" w:rsidRDefault="227A2131" w:rsidP="227A2131">
            <w:pPr>
              <w:rPr>
                <w:rFonts w:ascii="Arial" w:eastAsia="Arial" w:hAnsi="Arial" w:cs="Arial"/>
              </w:rPr>
            </w:pPr>
            <w:r w:rsidRPr="227A2131">
              <w:rPr>
                <w:rFonts w:ascii="Arial" w:eastAsia="Arial" w:hAnsi="Arial" w:cs="Arial"/>
              </w:rPr>
              <w:t>Buffer planning + penalty/assurance contracting in month 1</w:t>
            </w:r>
          </w:p>
        </w:tc>
        <w:tc>
          <w:tcPr>
            <w:tcW w:w="1417" w:type="dxa"/>
            <w:vAlign w:val="center"/>
          </w:tcPr>
          <w:p w14:paraId="7D747225" w14:textId="1C587F24" w:rsidR="227A2131" w:rsidRDefault="227A2131" w:rsidP="227A2131">
            <w:pPr>
              <w:rPr>
                <w:rFonts w:ascii="Arial" w:eastAsia="Arial" w:hAnsi="Arial" w:cs="Arial"/>
              </w:rPr>
            </w:pPr>
            <w:r w:rsidRPr="227A2131">
              <w:rPr>
                <w:rFonts w:ascii="Arial" w:eastAsia="Arial" w:hAnsi="Arial" w:cs="Arial"/>
              </w:rPr>
              <w:t>4C Coordination</w:t>
            </w:r>
          </w:p>
        </w:tc>
      </w:tr>
    </w:tbl>
    <w:p w14:paraId="13B2D56E" w14:textId="7B82FAD4" w:rsidR="227A2131" w:rsidRDefault="227A2131" w:rsidP="227A2131">
      <w:pPr>
        <w:rPr>
          <w:rFonts w:ascii="Arial" w:eastAsia="Arial" w:hAnsi="Arial" w:cs="Arial"/>
        </w:rPr>
      </w:pPr>
    </w:p>
    <w:p w14:paraId="2102AAD2" w14:textId="3CADAAF5" w:rsidR="227A2131" w:rsidRDefault="227A2131" w:rsidP="227A2131">
      <w:pPr>
        <w:rPr>
          <w:rFonts w:ascii="Arial" w:eastAsia="Arial" w:hAnsi="Arial" w:cs="Arial"/>
        </w:rPr>
      </w:pPr>
    </w:p>
    <w:p w14:paraId="6A7DFB10" w14:textId="54E13F87" w:rsidR="0153746A" w:rsidRDefault="0153746A" w:rsidP="227A2131">
      <w:pPr>
        <w:rPr>
          <w:rFonts w:ascii="Arial" w:eastAsia="Arial" w:hAnsi="Arial" w:cs="Arial"/>
        </w:rPr>
      </w:pPr>
      <w:r w:rsidRPr="227A2131">
        <w:rPr>
          <w:rFonts w:ascii="Arial" w:eastAsia="Arial" w:hAnsi="Arial" w:cs="Arial"/>
        </w:rPr>
        <w:t xml:space="preserve">Stakeholder conflict elimination is always </w:t>
      </w:r>
      <w:proofErr w:type="spellStart"/>
      <w:r w:rsidRPr="227A2131">
        <w:rPr>
          <w:rFonts w:ascii="Arial" w:eastAsia="Arial" w:hAnsi="Arial" w:cs="Arial"/>
        </w:rPr>
        <w:t>prioritised</w:t>
      </w:r>
      <w:proofErr w:type="spellEnd"/>
      <w:r w:rsidRPr="227A2131">
        <w:rPr>
          <w:rFonts w:ascii="Arial" w:eastAsia="Arial" w:hAnsi="Arial" w:cs="Arial"/>
        </w:rPr>
        <w:t xml:space="preserve"> through early transparency, negotiation protocols, co-creation alignment, documented approvals and governance sequencing, ensuring no individual stakeholder group can overrule shared launch-dependency success thresholds.</w:t>
      </w:r>
    </w:p>
    <w:p w14:paraId="4B8B58C1" w14:textId="4FFE5BA1" w:rsidR="227A2131" w:rsidRDefault="227A2131" w:rsidP="227A2131">
      <w:pPr>
        <w:rPr>
          <w:rFonts w:ascii="Arial" w:eastAsia="Arial" w:hAnsi="Arial" w:cs="Arial"/>
        </w:rPr>
      </w:pPr>
    </w:p>
    <w:p w14:paraId="69356BBE" w14:textId="32AF63DD" w:rsidR="0153746A" w:rsidRDefault="0153746A" w:rsidP="227A2131">
      <w:pPr>
        <w:rPr>
          <w:rFonts w:ascii="Arial" w:eastAsia="Arial" w:hAnsi="Arial" w:cs="Arial"/>
          <w:b/>
          <w:bCs/>
        </w:rPr>
      </w:pPr>
      <w:r w:rsidRPr="227A2131">
        <w:rPr>
          <w:rFonts w:ascii="Arial" w:eastAsia="Arial" w:hAnsi="Arial" w:cs="Arial"/>
          <w:b/>
          <w:bCs/>
        </w:rPr>
        <w:t xml:space="preserve">8. Impact of Stakeholder Engagement on Business Performance &amp; Recommendations </w:t>
      </w:r>
    </w:p>
    <w:p w14:paraId="30942776" w14:textId="0B11D36A" w:rsidR="0153746A" w:rsidRDefault="0153746A" w:rsidP="227A2131">
      <w:pPr>
        <w:rPr>
          <w:rFonts w:ascii="Arial" w:eastAsia="Arial" w:hAnsi="Arial" w:cs="Arial"/>
        </w:rPr>
      </w:pPr>
      <w:r w:rsidRPr="227A2131">
        <w:rPr>
          <w:rFonts w:ascii="Arial" w:eastAsia="Arial" w:hAnsi="Arial" w:cs="Arial"/>
        </w:rPr>
        <w:t xml:space="preserve">Stakeholder engagement directly influences business performance in health-technology product launches. Research supports that </w:t>
      </w:r>
      <w:proofErr w:type="spellStart"/>
      <w:r w:rsidRPr="227A2131">
        <w:rPr>
          <w:rFonts w:ascii="Arial" w:eastAsia="Arial" w:hAnsi="Arial" w:cs="Arial"/>
        </w:rPr>
        <w:t>organisations</w:t>
      </w:r>
      <w:proofErr w:type="spellEnd"/>
      <w:r w:rsidRPr="227A2131">
        <w:rPr>
          <w:rFonts w:ascii="Arial" w:eastAsia="Arial" w:hAnsi="Arial" w:cs="Arial"/>
        </w:rPr>
        <w:t xml:space="preserve"> adopting stakeholder-centric governance models achieve improved trust, collaboration efficiency, regulatory approval success, product quality, customer adoption rates, recurring revenue opportunities, partnership scaling, and long-term brand reputation stability (Freeman, 1984; Christopher et al., 2013; Ashcroft, 2017; Ellis et al., 1991).</w:t>
      </w:r>
    </w:p>
    <w:p w14:paraId="2DB97B74" w14:textId="5D333E9F" w:rsidR="0153746A" w:rsidRDefault="0153746A" w:rsidP="227A2131">
      <w:pPr>
        <w:rPr>
          <w:rFonts w:ascii="Arial" w:eastAsia="Arial" w:hAnsi="Arial" w:cs="Arial"/>
          <w:b/>
          <w:bCs/>
        </w:rPr>
      </w:pPr>
      <w:r w:rsidRPr="227A2131">
        <w:rPr>
          <w:rFonts w:ascii="Arial" w:eastAsia="Arial" w:hAnsi="Arial" w:cs="Arial"/>
          <w:b/>
          <w:bCs/>
        </w:rPr>
        <w:t>8.1 Business Performance Impacts Identified</w:t>
      </w:r>
    </w:p>
    <w:p w14:paraId="557BD4A1" w14:textId="5A2DC3BF" w:rsidR="0153746A" w:rsidRDefault="0153746A" w:rsidP="227A2131">
      <w:pPr>
        <w:rPr>
          <w:rFonts w:ascii="Arial" w:eastAsia="Arial" w:hAnsi="Arial" w:cs="Arial"/>
        </w:rPr>
      </w:pPr>
      <w:r w:rsidRPr="227A2131">
        <w:rPr>
          <w:rFonts w:ascii="Arial" w:eastAsia="Arial" w:hAnsi="Arial" w:cs="Arial"/>
        </w:rPr>
        <w:t>Product Accuracy &amp; Quality Performance</w:t>
      </w:r>
      <w:r>
        <w:br/>
      </w:r>
      <w:r w:rsidRPr="227A2131">
        <w:rPr>
          <w:rFonts w:ascii="Arial" w:eastAsia="Arial" w:hAnsi="Arial" w:cs="Arial"/>
        </w:rPr>
        <w:t xml:space="preserve"> Engaging R&amp;D, QA and medical advisory stakeholders early ensures the device achieves industry-lead vitals accuracy benchmarks. Higher sensor accuracy reduces complaints, returns, and liability conflict friction with retailers and regulators. This translates into increased consumer trust and adoption performance in the UK wearable vitals tracking sector.</w:t>
      </w:r>
    </w:p>
    <w:p w14:paraId="05DAA4D6" w14:textId="18B11DD5" w:rsidR="0153746A" w:rsidRDefault="0153746A" w:rsidP="227A2131">
      <w:pPr>
        <w:rPr>
          <w:rFonts w:ascii="Arial" w:eastAsia="Arial" w:hAnsi="Arial" w:cs="Arial"/>
        </w:rPr>
      </w:pPr>
      <w:r w:rsidRPr="227A2131">
        <w:rPr>
          <w:rFonts w:ascii="Arial" w:eastAsia="Arial" w:hAnsi="Arial" w:cs="Arial"/>
        </w:rPr>
        <w:t>Regulatory &amp; Compliance Performance</w:t>
      </w:r>
      <w:r>
        <w:br/>
      </w:r>
      <w:r w:rsidRPr="227A2131">
        <w:rPr>
          <w:rFonts w:ascii="Arial" w:eastAsia="Arial" w:hAnsi="Arial" w:cs="Arial"/>
        </w:rPr>
        <w:t xml:space="preserve"> Collaboration with compliance stakeholders secures MHRA approvals, UKCA certification readiness, and GDPR-aligned data governance, reducing legal performance risk. Wearables entering consumer markets without stakeholder compliance alignment historically fail due to approval delays or public trust erosion.</w:t>
      </w:r>
    </w:p>
    <w:p w14:paraId="6261AF9B" w14:textId="53504B9F" w:rsidR="0153746A" w:rsidRDefault="0153746A" w:rsidP="227A2131">
      <w:pPr>
        <w:rPr>
          <w:rFonts w:ascii="Arial" w:eastAsia="Arial" w:hAnsi="Arial" w:cs="Arial"/>
        </w:rPr>
      </w:pPr>
      <w:r w:rsidRPr="227A2131">
        <w:rPr>
          <w:rFonts w:ascii="Arial" w:eastAsia="Arial" w:hAnsi="Arial" w:cs="Arial"/>
        </w:rPr>
        <w:t>Retail &amp; Market Adoption Performance</w:t>
      </w:r>
      <w:r>
        <w:br/>
      </w:r>
      <w:r w:rsidRPr="227A2131">
        <w:rPr>
          <w:rFonts w:ascii="Arial" w:eastAsia="Arial" w:hAnsi="Arial" w:cs="Arial"/>
        </w:rPr>
        <w:t xml:space="preserve"> Retail stakeholder confidence increases when engagement provides documented hardware reliability validation, commercial margin exchange, consumer insight feedback, and cybersecurity assurance packs. Retailer onboarding engagement expands UK market adoption scale and ensures faster sell-through, improving distribution performance.</w:t>
      </w:r>
    </w:p>
    <w:p w14:paraId="2D6902D8" w14:textId="0A70DD8F" w:rsidR="0153746A" w:rsidRDefault="0153746A" w:rsidP="227A2131">
      <w:pPr>
        <w:rPr>
          <w:rFonts w:ascii="Arial" w:eastAsia="Arial" w:hAnsi="Arial" w:cs="Arial"/>
        </w:rPr>
      </w:pPr>
      <w:r w:rsidRPr="227A2131">
        <w:rPr>
          <w:rFonts w:ascii="Arial" w:eastAsia="Arial" w:hAnsi="Arial" w:cs="Arial"/>
        </w:rPr>
        <w:t>Brand Credibility &amp; Service Revenue Performance</w:t>
      </w:r>
      <w:r>
        <w:br/>
      </w:r>
      <w:r w:rsidRPr="227A2131">
        <w:rPr>
          <w:rFonts w:ascii="Arial" w:eastAsia="Arial" w:hAnsi="Arial" w:cs="Arial"/>
        </w:rPr>
        <w:t xml:space="preserve"> Engaging clinical advisors helps translate Fitbit’s vitals-dashboard into preventative-care credibility repositioning, improving consumer trust and strengthening B2B future partnership opportunities. Engagement also improves conversion into premium subscription services by co-promoting device-derived insights, strengthening recurring revenue performance.</w:t>
      </w:r>
    </w:p>
    <w:p w14:paraId="1A2119DB" w14:textId="364D4BF9" w:rsidR="0153746A" w:rsidRDefault="0153746A" w:rsidP="227A2131">
      <w:pPr>
        <w:rPr>
          <w:rFonts w:ascii="Arial" w:eastAsia="Arial" w:hAnsi="Arial" w:cs="Arial"/>
        </w:rPr>
      </w:pPr>
      <w:proofErr w:type="spellStart"/>
      <w:r w:rsidRPr="227A2131">
        <w:rPr>
          <w:rFonts w:ascii="Arial" w:eastAsia="Arial" w:hAnsi="Arial" w:cs="Arial"/>
        </w:rPr>
        <w:t>Cross-Organisational</w:t>
      </w:r>
      <w:proofErr w:type="spellEnd"/>
      <w:r w:rsidRPr="227A2131">
        <w:rPr>
          <w:rFonts w:ascii="Arial" w:eastAsia="Arial" w:hAnsi="Arial" w:cs="Arial"/>
        </w:rPr>
        <w:t xml:space="preserve"> Collaboration Performance</w:t>
      </w:r>
      <w:r>
        <w:br/>
      </w:r>
      <w:r w:rsidRPr="227A2131">
        <w:rPr>
          <w:rFonts w:ascii="Arial" w:eastAsia="Arial" w:hAnsi="Arial" w:cs="Arial"/>
        </w:rPr>
        <w:t xml:space="preserve"> The 4C’s model improves inter-stakeholder collaboration performance, reducing information silos, </w:t>
      </w:r>
      <w:proofErr w:type="spellStart"/>
      <w:r w:rsidRPr="227A2131">
        <w:rPr>
          <w:rFonts w:ascii="Arial" w:eastAsia="Arial" w:hAnsi="Arial" w:cs="Arial"/>
        </w:rPr>
        <w:t>minimising</w:t>
      </w:r>
      <w:proofErr w:type="spellEnd"/>
      <w:r w:rsidRPr="227A2131">
        <w:rPr>
          <w:rFonts w:ascii="Arial" w:eastAsia="Arial" w:hAnsi="Arial" w:cs="Arial"/>
        </w:rPr>
        <w:t xml:space="preserve"> disjointed priority friction, improving governance alignment, and ensuring shared critical-path outcomes are delivered cohesively.</w:t>
      </w:r>
    </w:p>
    <w:p w14:paraId="1CA19C19" w14:textId="0DF4674F" w:rsidR="227A2131" w:rsidRDefault="227A2131" w:rsidP="227A2131">
      <w:pPr>
        <w:rPr>
          <w:rFonts w:ascii="Arial" w:eastAsia="Arial" w:hAnsi="Arial" w:cs="Arial"/>
        </w:rPr>
      </w:pPr>
    </w:p>
    <w:p w14:paraId="08C8306C" w14:textId="7D594C07" w:rsidR="0153746A" w:rsidRDefault="0153746A" w:rsidP="227A2131">
      <w:pPr>
        <w:rPr>
          <w:rFonts w:ascii="Arial" w:eastAsia="Arial" w:hAnsi="Arial" w:cs="Arial"/>
          <w:b/>
          <w:bCs/>
        </w:rPr>
      </w:pPr>
      <w:r w:rsidRPr="227A2131">
        <w:rPr>
          <w:rFonts w:ascii="Arial" w:eastAsia="Arial" w:hAnsi="Arial" w:cs="Arial"/>
          <w:b/>
          <w:bCs/>
        </w:rPr>
        <w:t xml:space="preserve">8.2 Recommendations for Future Stakeholder Engagement </w:t>
      </w:r>
    </w:p>
    <w:p w14:paraId="54F63002" w14:textId="3BD8356F" w:rsidR="0153746A" w:rsidRDefault="0153746A" w:rsidP="227A2131">
      <w:pPr>
        <w:rPr>
          <w:rFonts w:ascii="Arial" w:eastAsia="Arial" w:hAnsi="Arial" w:cs="Arial"/>
        </w:rPr>
      </w:pPr>
      <w:r w:rsidRPr="227A2131">
        <w:rPr>
          <w:rFonts w:ascii="Arial" w:eastAsia="Arial" w:hAnsi="Arial" w:cs="Arial"/>
        </w:rPr>
        <w:t>Expand NHS &amp; GP Wearable Ecosystem Pilots</w:t>
      </w:r>
      <w:r>
        <w:br/>
      </w:r>
      <w:r w:rsidRPr="227A2131">
        <w:rPr>
          <w:rFonts w:ascii="Arial" w:eastAsia="Arial" w:hAnsi="Arial" w:cs="Arial"/>
        </w:rPr>
        <w:t xml:space="preserve"> Test the device in early NHS prevention or chronic-care pilots including cardiac monitoring and respiratory hypoxia test-groups. This formal partnership builds clinical stakeholder support, strengthening external stakeholder credibility and long-term procurement expansion potential.</w:t>
      </w:r>
    </w:p>
    <w:p w14:paraId="5FCD179D" w14:textId="591CC535" w:rsidR="0153746A" w:rsidRDefault="0153746A" w:rsidP="227A2131">
      <w:pPr>
        <w:rPr>
          <w:rFonts w:ascii="Arial" w:eastAsia="Arial" w:hAnsi="Arial" w:cs="Arial"/>
        </w:rPr>
      </w:pPr>
      <w:proofErr w:type="spellStart"/>
      <w:r w:rsidRPr="227A2131">
        <w:rPr>
          <w:rFonts w:ascii="Arial" w:eastAsia="Arial" w:hAnsi="Arial" w:cs="Arial"/>
        </w:rPr>
        <w:t>Formalise</w:t>
      </w:r>
      <w:proofErr w:type="spellEnd"/>
      <w:r w:rsidRPr="227A2131">
        <w:rPr>
          <w:rFonts w:ascii="Arial" w:eastAsia="Arial" w:hAnsi="Arial" w:cs="Arial"/>
        </w:rPr>
        <w:t xml:space="preserve"> Co-Creation Sprint Governance Committees</w:t>
      </w:r>
      <w:r>
        <w:br/>
      </w:r>
      <w:r w:rsidRPr="227A2131">
        <w:rPr>
          <w:rFonts w:ascii="Arial" w:eastAsia="Arial" w:hAnsi="Arial" w:cs="Arial"/>
        </w:rPr>
        <w:t xml:space="preserve"> Introduce structured bi-weekly co-creation committees that bring Engineering, R&amp;D, AI/Software, Customer Service and medical advisors together to </w:t>
      </w:r>
      <w:proofErr w:type="spellStart"/>
      <w:r w:rsidRPr="227A2131">
        <w:rPr>
          <w:rFonts w:ascii="Arial" w:eastAsia="Arial" w:hAnsi="Arial" w:cs="Arial"/>
        </w:rPr>
        <w:t>minimise</w:t>
      </w:r>
      <w:proofErr w:type="spellEnd"/>
      <w:r w:rsidRPr="227A2131">
        <w:rPr>
          <w:rFonts w:ascii="Arial" w:eastAsia="Arial" w:hAnsi="Arial" w:cs="Arial"/>
        </w:rPr>
        <w:t xml:space="preserve"> inter-functional conflicts and reinforce continuous strategic alignment.</w:t>
      </w:r>
    </w:p>
    <w:p w14:paraId="431BF5AF" w14:textId="57ED2288" w:rsidR="0153746A" w:rsidRDefault="0153746A" w:rsidP="227A2131">
      <w:pPr>
        <w:rPr>
          <w:rFonts w:ascii="Arial" w:eastAsia="Arial" w:hAnsi="Arial" w:cs="Arial"/>
        </w:rPr>
      </w:pPr>
      <w:r w:rsidRPr="227A2131">
        <w:rPr>
          <w:rFonts w:ascii="Arial" w:eastAsia="Arial" w:hAnsi="Arial" w:cs="Arial"/>
        </w:rPr>
        <w:t>Increase Stakeholder Sentiment Tracking</w:t>
      </w:r>
      <w:r>
        <w:br/>
      </w:r>
      <w:r w:rsidRPr="227A2131">
        <w:rPr>
          <w:rFonts w:ascii="Arial" w:eastAsia="Arial" w:hAnsi="Arial" w:cs="Arial"/>
        </w:rPr>
        <w:t xml:space="preserve"> Use monthly stakeholder satisfaction surveys, progress sentiment checkpoints, and Retail Confidence scoring metrics to ensure stakeholder satisfaction remains high, especially when reporting risk signal delays or validation failure friction.</w:t>
      </w:r>
    </w:p>
    <w:p w14:paraId="379B3294" w14:textId="63DEE47A" w:rsidR="0153746A" w:rsidRDefault="0153746A" w:rsidP="227A2131">
      <w:pPr>
        <w:rPr>
          <w:rFonts w:ascii="Arial" w:eastAsia="Arial" w:hAnsi="Arial" w:cs="Arial"/>
        </w:rPr>
      </w:pPr>
      <w:r w:rsidRPr="227A2131">
        <w:rPr>
          <w:rFonts w:ascii="Arial" w:eastAsia="Arial" w:hAnsi="Arial" w:cs="Arial"/>
        </w:rPr>
        <w:t>Provide Exclusive Retailer Early-Access Incentives</w:t>
      </w:r>
      <w:r>
        <w:br/>
      </w:r>
      <w:r w:rsidRPr="227A2131">
        <w:rPr>
          <w:rFonts w:ascii="Arial" w:eastAsia="Arial" w:hAnsi="Arial" w:cs="Arial"/>
        </w:rPr>
        <w:t xml:space="preserve"> Offer selected retail partners exclusive 30-day early sale windows aligned with marketing and technical stakeholder agreements, </w:t>
      </w:r>
      <w:proofErr w:type="spellStart"/>
      <w:r w:rsidRPr="227A2131">
        <w:rPr>
          <w:rFonts w:ascii="Arial" w:eastAsia="Arial" w:hAnsi="Arial" w:cs="Arial"/>
        </w:rPr>
        <w:t>incentivising</w:t>
      </w:r>
      <w:proofErr w:type="spellEnd"/>
      <w:r w:rsidRPr="227A2131">
        <w:rPr>
          <w:rFonts w:ascii="Arial" w:eastAsia="Arial" w:hAnsi="Arial" w:cs="Arial"/>
        </w:rPr>
        <w:t xml:space="preserve"> cooperation, </w:t>
      </w:r>
      <w:proofErr w:type="spellStart"/>
      <w:r w:rsidRPr="227A2131">
        <w:rPr>
          <w:rFonts w:ascii="Arial" w:eastAsia="Arial" w:hAnsi="Arial" w:cs="Arial"/>
        </w:rPr>
        <w:t>maximising</w:t>
      </w:r>
      <w:proofErr w:type="spellEnd"/>
      <w:r w:rsidRPr="227A2131">
        <w:rPr>
          <w:rFonts w:ascii="Arial" w:eastAsia="Arial" w:hAnsi="Arial" w:cs="Arial"/>
        </w:rPr>
        <w:t xml:space="preserve"> market adoption, and reinforcing partnership value exchange.</w:t>
      </w:r>
    </w:p>
    <w:p w14:paraId="76D043DA" w14:textId="61D43EE3" w:rsidR="0153746A" w:rsidRDefault="0153746A" w:rsidP="227A2131">
      <w:pPr>
        <w:rPr>
          <w:rFonts w:ascii="Arial" w:eastAsia="Arial" w:hAnsi="Arial" w:cs="Arial"/>
        </w:rPr>
      </w:pPr>
      <w:r w:rsidRPr="227A2131">
        <w:rPr>
          <w:rFonts w:ascii="Arial" w:eastAsia="Arial" w:hAnsi="Arial" w:cs="Arial"/>
        </w:rPr>
        <w:t>Reinforce Cybersecurity Assurance Collaboration Packs</w:t>
      </w:r>
      <w:r>
        <w:br/>
      </w:r>
      <w:r w:rsidRPr="227A2131">
        <w:rPr>
          <w:rFonts w:ascii="Arial" w:eastAsia="Arial" w:hAnsi="Arial" w:cs="Arial"/>
        </w:rPr>
        <w:t xml:space="preserve"> Continue co-producing cybersecurity transparency packs demonstrating encryption, server governance, penetration/hack test-reports, breach-response readiness, and responsible vitals-data handling </w:t>
      </w:r>
      <w:proofErr w:type="spellStart"/>
      <w:r w:rsidRPr="227A2131">
        <w:rPr>
          <w:rFonts w:ascii="Arial" w:eastAsia="Arial" w:hAnsi="Arial" w:cs="Arial"/>
        </w:rPr>
        <w:t>signoff</w:t>
      </w:r>
      <w:proofErr w:type="spellEnd"/>
      <w:r w:rsidRPr="227A2131">
        <w:rPr>
          <w:rFonts w:ascii="Arial" w:eastAsia="Arial" w:hAnsi="Arial" w:cs="Arial"/>
        </w:rPr>
        <w:t>.</w:t>
      </w:r>
    </w:p>
    <w:p w14:paraId="5E9CD775" w14:textId="2C46EEE1" w:rsidR="0153746A" w:rsidRDefault="0153746A" w:rsidP="227A2131">
      <w:pPr>
        <w:rPr>
          <w:rFonts w:ascii="Arial" w:eastAsia="Arial" w:hAnsi="Arial" w:cs="Arial"/>
        </w:rPr>
      </w:pPr>
      <w:r w:rsidRPr="227A2131">
        <w:rPr>
          <w:rFonts w:ascii="Arial" w:eastAsia="Arial" w:hAnsi="Arial" w:cs="Arial"/>
        </w:rPr>
        <w:t>Expand Sleep-Science Academic Research Collaboration</w:t>
      </w:r>
      <w:r>
        <w:br/>
      </w:r>
      <w:r w:rsidRPr="227A2131">
        <w:rPr>
          <w:rFonts w:ascii="Arial" w:eastAsia="Arial" w:hAnsi="Arial" w:cs="Arial"/>
        </w:rPr>
        <w:t xml:space="preserve"> Engage UK universities and sleep-diagnostic labs to adopt Fitbit sleep-variability research co-publication partnerships, supporting stakeholder credibility, platform validation, and research-driven marketing reinforcement.</w:t>
      </w:r>
    </w:p>
    <w:p w14:paraId="6A32EF6D" w14:textId="1D034292" w:rsidR="0153746A" w:rsidRDefault="0153746A" w:rsidP="227A2131">
      <w:pPr>
        <w:rPr>
          <w:rFonts w:ascii="Arial" w:eastAsia="Arial" w:hAnsi="Arial" w:cs="Arial"/>
        </w:rPr>
      </w:pPr>
      <w:r w:rsidRPr="227A2131">
        <w:rPr>
          <w:rFonts w:ascii="Arial" w:eastAsia="Arial" w:hAnsi="Arial" w:cs="Arial"/>
        </w:rPr>
        <w:t xml:space="preserve">Adopt AI-Driven </w:t>
      </w:r>
      <w:proofErr w:type="spellStart"/>
      <w:r w:rsidRPr="227A2131">
        <w:rPr>
          <w:rFonts w:ascii="Arial" w:eastAsia="Arial" w:hAnsi="Arial" w:cs="Arial"/>
        </w:rPr>
        <w:t>Personalisation</w:t>
      </w:r>
      <w:proofErr w:type="spellEnd"/>
      <w:r w:rsidRPr="227A2131">
        <w:rPr>
          <w:rFonts w:ascii="Arial" w:eastAsia="Arial" w:hAnsi="Arial" w:cs="Arial"/>
        </w:rPr>
        <w:t xml:space="preserve"> Co-Promotions</w:t>
      </w:r>
      <w:r>
        <w:br/>
      </w:r>
      <w:r w:rsidRPr="227A2131">
        <w:rPr>
          <w:rFonts w:ascii="Arial" w:eastAsia="Arial" w:hAnsi="Arial" w:cs="Arial"/>
        </w:rPr>
        <w:t xml:space="preserve"> Integrate Google ML insights and </w:t>
      </w:r>
      <w:proofErr w:type="spellStart"/>
      <w:r w:rsidRPr="227A2131">
        <w:rPr>
          <w:rFonts w:ascii="Arial" w:eastAsia="Arial" w:hAnsi="Arial" w:cs="Arial"/>
        </w:rPr>
        <w:t>personalised</w:t>
      </w:r>
      <w:proofErr w:type="spellEnd"/>
      <w:r w:rsidRPr="227A2131">
        <w:rPr>
          <w:rFonts w:ascii="Arial" w:eastAsia="Arial" w:hAnsi="Arial" w:cs="Arial"/>
        </w:rPr>
        <w:t xml:space="preserve"> health trend algorithms approved across stakeholders early, ensuring stakeholders view technology innovation </w:t>
      </w:r>
      <w:proofErr w:type="spellStart"/>
      <w:r w:rsidRPr="227A2131">
        <w:rPr>
          <w:rFonts w:ascii="Arial" w:eastAsia="Arial" w:hAnsi="Arial" w:cs="Arial"/>
        </w:rPr>
        <w:t>favourably</w:t>
      </w:r>
      <w:proofErr w:type="spellEnd"/>
      <w:r w:rsidRPr="227A2131">
        <w:rPr>
          <w:rFonts w:ascii="Arial" w:eastAsia="Arial" w:hAnsi="Arial" w:cs="Arial"/>
        </w:rPr>
        <w:t xml:space="preserve"> while remaining compliant.</w:t>
      </w:r>
    </w:p>
    <w:p w14:paraId="6BF851C0" w14:textId="35471A91" w:rsidR="0153746A" w:rsidRDefault="0153746A" w:rsidP="227A2131">
      <w:pPr>
        <w:rPr>
          <w:rFonts w:ascii="Arial" w:eastAsia="Arial" w:hAnsi="Arial" w:cs="Arial"/>
        </w:rPr>
      </w:pPr>
      <w:r w:rsidRPr="227A2131">
        <w:rPr>
          <w:rFonts w:ascii="Arial" w:eastAsia="Arial" w:hAnsi="Arial" w:cs="Arial"/>
        </w:rPr>
        <w:t>Expand Pharma &amp; Wellness Influencer Consultation</w:t>
      </w:r>
      <w:r>
        <w:br/>
      </w:r>
      <w:r w:rsidRPr="227A2131">
        <w:rPr>
          <w:rFonts w:ascii="Arial" w:eastAsia="Arial" w:hAnsi="Arial" w:cs="Arial"/>
        </w:rPr>
        <w:t xml:space="preserve"> Conduct adoption-strategy consultations with pharmacy chains, corporate wellness suppliers, and credible health-influencers to support future stakeholder advocacy at scale.</w:t>
      </w:r>
    </w:p>
    <w:p w14:paraId="4B14E6D6" w14:textId="587B994C" w:rsidR="227A2131" w:rsidRDefault="227A2131" w:rsidP="227A2131">
      <w:pPr>
        <w:rPr>
          <w:rFonts w:ascii="Arial" w:eastAsia="Arial" w:hAnsi="Arial" w:cs="Arial"/>
        </w:rPr>
      </w:pPr>
    </w:p>
    <w:p w14:paraId="7BE8225E" w14:textId="4DC07C48" w:rsidR="0153746A" w:rsidRDefault="0153746A" w:rsidP="227A2131">
      <w:pPr>
        <w:rPr>
          <w:rFonts w:ascii="Arial" w:eastAsia="Arial" w:hAnsi="Arial" w:cs="Arial"/>
          <w:b/>
          <w:bCs/>
        </w:rPr>
      </w:pPr>
      <w:r w:rsidRPr="227A2131">
        <w:rPr>
          <w:rFonts w:ascii="Arial" w:eastAsia="Arial" w:hAnsi="Arial" w:cs="Arial"/>
          <w:b/>
          <w:bCs/>
        </w:rPr>
        <w:t>9. Conclusion</w:t>
      </w:r>
    </w:p>
    <w:p w14:paraId="58B41851" w14:textId="39F87013" w:rsidR="0153746A" w:rsidRDefault="0153746A" w:rsidP="227A2131">
      <w:pPr>
        <w:rPr>
          <w:rFonts w:ascii="Arial" w:eastAsia="Arial" w:hAnsi="Arial" w:cs="Arial"/>
        </w:rPr>
      </w:pPr>
      <w:r w:rsidRPr="227A2131">
        <w:rPr>
          <w:rFonts w:ascii="Arial" w:eastAsia="Arial" w:hAnsi="Arial" w:cs="Arial"/>
        </w:rPr>
        <w:t>The new Fitbit UK vitals-tracking wearable device project requires structured stakeholder engagement to meet a fast but feasible six-month consumer launch timeline. Analysis confirms that Fitbit UK benefits from strong brand equity, validated PPG biometric technology, Google ecosystem integration and retailer partnerships—key strengths that support stakeholder value exchange and market entry confidence.</w:t>
      </w:r>
    </w:p>
    <w:p w14:paraId="2D8C32A3" w14:textId="08916628" w:rsidR="0153746A" w:rsidRDefault="0153746A" w:rsidP="227A2131">
      <w:pPr>
        <w:rPr>
          <w:rFonts w:ascii="Arial" w:eastAsia="Arial" w:hAnsi="Arial" w:cs="Arial"/>
        </w:rPr>
      </w:pPr>
      <w:r w:rsidRPr="227A2131">
        <w:rPr>
          <w:rFonts w:ascii="Arial" w:eastAsia="Arial" w:hAnsi="Arial" w:cs="Arial"/>
        </w:rPr>
        <w:t>However project risks include supply-chain predictability, medical-adjacent messaging accuracy conflicts, regulatory approval overhead, GDPR-level data-security expectations, internal stakeholder priority misalignment, and competitor differentiation pressure. These risks cannot be eliminated through operational planning alone—they must also be managed through stakeholder relationships, trust, cooperation, and collaborative governance frameworks (Freeman, 1984; Christopher et al., 2013; Ashcroft, 2017; Ellis et al., 1991).</w:t>
      </w:r>
    </w:p>
    <w:p w14:paraId="7C75919B" w14:textId="543A87FD" w:rsidR="0153746A" w:rsidRDefault="0153746A" w:rsidP="227A2131">
      <w:pPr>
        <w:rPr>
          <w:rFonts w:ascii="Arial" w:eastAsia="Arial" w:hAnsi="Arial" w:cs="Arial"/>
        </w:rPr>
      </w:pPr>
      <w:r w:rsidRPr="227A2131">
        <w:rPr>
          <w:rFonts w:ascii="Arial" w:eastAsia="Arial" w:hAnsi="Arial" w:cs="Arial"/>
        </w:rPr>
        <w:t xml:space="preserve">To deliver project success, stakeholder engagement is coordinated via RACI task allocation, power-interest </w:t>
      </w:r>
      <w:proofErr w:type="spellStart"/>
      <w:r w:rsidRPr="227A2131">
        <w:rPr>
          <w:rFonts w:ascii="Arial" w:eastAsia="Arial" w:hAnsi="Arial" w:cs="Arial"/>
        </w:rPr>
        <w:t>prioritisation</w:t>
      </w:r>
      <w:proofErr w:type="spellEnd"/>
      <w:r w:rsidRPr="227A2131">
        <w:rPr>
          <w:rFonts w:ascii="Arial" w:eastAsia="Arial" w:hAnsi="Arial" w:cs="Arial"/>
        </w:rPr>
        <w:t xml:space="preserve"> matrices, cross-functional sprint coordination, </w:t>
      </w:r>
      <w:proofErr w:type="spellStart"/>
      <w:r w:rsidRPr="227A2131">
        <w:rPr>
          <w:rFonts w:ascii="Arial" w:eastAsia="Arial" w:hAnsi="Arial" w:cs="Arial"/>
        </w:rPr>
        <w:t>centralised</w:t>
      </w:r>
      <w:proofErr w:type="spellEnd"/>
      <w:r w:rsidRPr="227A2131">
        <w:rPr>
          <w:rFonts w:ascii="Arial" w:eastAsia="Arial" w:hAnsi="Arial" w:cs="Arial"/>
        </w:rPr>
        <w:t xml:space="preserve"> dashboards, clinical proof-based reporting, retailer onboarding packs, governance approval sequencing and 4C-based collaboration conflict resolution. Stakeholder conflicts are mitigated through early transparency, evidence-based approvals, compromise planning, regulated messaging governance and escalation pathways.</w:t>
      </w:r>
    </w:p>
    <w:p w14:paraId="32960746" w14:textId="06333DD9" w:rsidR="0153746A" w:rsidRDefault="0153746A" w:rsidP="227A2131">
      <w:pPr>
        <w:rPr>
          <w:rFonts w:ascii="Arial" w:eastAsia="Arial" w:hAnsi="Arial" w:cs="Arial"/>
        </w:rPr>
      </w:pPr>
      <w:r w:rsidRPr="227A2131">
        <w:rPr>
          <w:rFonts w:ascii="Arial" w:eastAsia="Arial" w:hAnsi="Arial" w:cs="Arial"/>
        </w:rPr>
        <w:t xml:space="preserve">Evaluation confirms that stakeholder engagement positively impacts business performance by improving product quality, building regulatory trust, </w:t>
      </w:r>
      <w:proofErr w:type="spellStart"/>
      <w:r w:rsidRPr="227A2131">
        <w:rPr>
          <w:rFonts w:ascii="Arial" w:eastAsia="Arial" w:hAnsi="Arial" w:cs="Arial"/>
        </w:rPr>
        <w:t>maximising</w:t>
      </w:r>
      <w:proofErr w:type="spellEnd"/>
      <w:r w:rsidRPr="227A2131">
        <w:rPr>
          <w:rFonts w:ascii="Arial" w:eastAsia="Arial" w:hAnsi="Arial" w:cs="Arial"/>
        </w:rPr>
        <w:t xml:space="preserve"> market adoption scale, accelerating approvals, strengthening retailer partnerships, increasing brand credibility and improving recurring subscription revenue conversion potential.</w:t>
      </w:r>
    </w:p>
    <w:p w14:paraId="6F12395D" w14:textId="54132418" w:rsidR="0153746A" w:rsidRDefault="0153746A" w:rsidP="227A2131">
      <w:pPr>
        <w:rPr>
          <w:rFonts w:ascii="Arial" w:eastAsia="Arial" w:hAnsi="Arial" w:cs="Arial"/>
        </w:rPr>
      </w:pPr>
      <w:r w:rsidRPr="227A2131">
        <w:rPr>
          <w:rFonts w:ascii="Arial" w:eastAsia="Arial" w:hAnsi="Arial" w:cs="Arial"/>
        </w:rPr>
        <w:t xml:space="preserve">Strategic recommendations for future stakeholder engagement include expanding NHS ecosystem pilots, </w:t>
      </w:r>
      <w:proofErr w:type="spellStart"/>
      <w:r w:rsidRPr="227A2131">
        <w:rPr>
          <w:rFonts w:ascii="Arial" w:eastAsia="Arial" w:hAnsi="Arial" w:cs="Arial"/>
        </w:rPr>
        <w:t>formalising</w:t>
      </w:r>
      <w:proofErr w:type="spellEnd"/>
      <w:r w:rsidRPr="227A2131">
        <w:rPr>
          <w:rFonts w:ascii="Arial" w:eastAsia="Arial" w:hAnsi="Arial" w:cs="Arial"/>
        </w:rPr>
        <w:t xml:space="preserve"> co-creation governance committees, increasing retailer early-access incentives, strengthening cybersecurity assurance reporting, growing sleep-science academic partnerships, and embedding </w:t>
      </w:r>
      <w:proofErr w:type="spellStart"/>
      <w:r w:rsidRPr="227A2131">
        <w:rPr>
          <w:rFonts w:ascii="Arial" w:eastAsia="Arial" w:hAnsi="Arial" w:cs="Arial"/>
        </w:rPr>
        <w:t>AI-personalisation</w:t>
      </w:r>
      <w:proofErr w:type="spellEnd"/>
      <w:r w:rsidRPr="227A2131">
        <w:rPr>
          <w:rFonts w:ascii="Arial" w:eastAsia="Arial" w:hAnsi="Arial" w:cs="Arial"/>
        </w:rPr>
        <w:t xml:space="preserve"> roadmaps approved collaboratively across stakeholders.</w:t>
      </w:r>
    </w:p>
    <w:p w14:paraId="3CA7D60A" w14:textId="7AE77619" w:rsidR="0153746A" w:rsidRDefault="0153746A" w:rsidP="227A2131">
      <w:pPr>
        <w:rPr>
          <w:rFonts w:ascii="Arial" w:eastAsia="Arial" w:hAnsi="Arial" w:cs="Arial"/>
        </w:rPr>
      </w:pPr>
      <w:r w:rsidRPr="227A2131">
        <w:rPr>
          <w:rFonts w:ascii="Arial" w:eastAsia="Arial" w:hAnsi="Arial" w:cs="Arial"/>
        </w:rPr>
        <w:t>Overall, stakeholder-driven project governance significantly increases Fitbit UK’s probability of delivering a successful device launch, improving business performance and strengthening long-term UK market competitiveness.</w:t>
      </w:r>
    </w:p>
    <w:p w14:paraId="0D71EC7B" w14:textId="11236B08" w:rsidR="227A2131" w:rsidRDefault="227A2131" w:rsidP="227A2131">
      <w:pPr>
        <w:rPr>
          <w:rFonts w:ascii="Arial" w:eastAsia="Arial" w:hAnsi="Arial" w:cs="Arial"/>
        </w:rPr>
      </w:pPr>
    </w:p>
    <w:p w14:paraId="5D4C0931" w14:textId="56BAA6FE" w:rsidR="0153746A" w:rsidRDefault="0153746A" w:rsidP="227A2131">
      <w:pPr>
        <w:rPr>
          <w:rFonts w:ascii="Arial" w:eastAsia="Arial" w:hAnsi="Arial" w:cs="Arial"/>
          <w:b/>
          <w:bCs/>
        </w:rPr>
      </w:pPr>
      <w:r w:rsidRPr="227A2131">
        <w:rPr>
          <w:rFonts w:ascii="Arial" w:eastAsia="Arial" w:hAnsi="Arial" w:cs="Arial"/>
          <w:b/>
          <w:bCs/>
        </w:rPr>
        <w:t>References</w:t>
      </w:r>
    </w:p>
    <w:p w14:paraId="5DE55C49" w14:textId="60583AF3" w:rsidR="0153746A" w:rsidRDefault="0153746A" w:rsidP="227A2131">
      <w:pPr>
        <w:rPr>
          <w:rFonts w:ascii="Arial" w:eastAsia="Arial" w:hAnsi="Arial" w:cs="Arial"/>
        </w:rPr>
      </w:pPr>
      <w:r w:rsidRPr="227A2131">
        <w:rPr>
          <w:rFonts w:ascii="Arial" w:eastAsia="Arial" w:hAnsi="Arial" w:cs="Arial"/>
        </w:rPr>
        <w:t>Ashcroft, J. (2017). The relational lens: Understanding, measuring and managing stakeholder relationships. Cambridge: Cambridge University Press.</w:t>
      </w:r>
    </w:p>
    <w:p w14:paraId="71C597A6" w14:textId="2DF052BD" w:rsidR="0153746A" w:rsidRDefault="0153746A" w:rsidP="227A2131">
      <w:pPr>
        <w:rPr>
          <w:rFonts w:ascii="Arial" w:eastAsia="Arial" w:hAnsi="Arial" w:cs="Arial"/>
        </w:rPr>
      </w:pPr>
      <w:r w:rsidRPr="227A2131">
        <w:rPr>
          <w:rFonts w:ascii="Arial" w:eastAsia="Arial" w:hAnsi="Arial" w:cs="Arial"/>
        </w:rPr>
        <w:t>Christopher, M., Payne, A. and Ballantyne, D. (2013). Relationship Marketing: Creating Stakeholder Value. London: Taylor &amp; Francis.</w:t>
      </w:r>
    </w:p>
    <w:p w14:paraId="2BC09C3C" w14:textId="721FA58D" w:rsidR="0153746A" w:rsidRDefault="0153746A" w:rsidP="227A2131">
      <w:pPr>
        <w:rPr>
          <w:rFonts w:ascii="Arial" w:eastAsia="Arial" w:hAnsi="Arial" w:cs="Arial"/>
        </w:rPr>
      </w:pPr>
      <w:r w:rsidRPr="227A2131">
        <w:rPr>
          <w:rFonts w:ascii="Arial" w:eastAsia="Arial" w:hAnsi="Arial" w:cs="Arial"/>
        </w:rPr>
        <w:t>Ellis, C.A., Gibbs, S.J. and Rein, G.L. (1991). Groupware: Some issues and experiences. Communications of the ACM, 34(1), pp.38–58.</w:t>
      </w:r>
    </w:p>
    <w:p w14:paraId="03B55F8B" w14:textId="6BE4BF69" w:rsidR="0153746A" w:rsidRDefault="0153746A" w:rsidP="227A2131">
      <w:pPr>
        <w:rPr>
          <w:rFonts w:ascii="Arial" w:eastAsia="Arial" w:hAnsi="Arial" w:cs="Arial"/>
        </w:rPr>
      </w:pPr>
      <w:r w:rsidRPr="227A2131">
        <w:rPr>
          <w:rFonts w:ascii="Arial" w:eastAsia="Arial" w:hAnsi="Arial" w:cs="Arial"/>
        </w:rPr>
        <w:t>Freeman, R.E. (1984). Strategic management: A stakeholder approach. Boston: Pitman.</w:t>
      </w:r>
    </w:p>
    <w:p w14:paraId="0B526027" w14:textId="31854D6F" w:rsidR="0153746A" w:rsidRDefault="0153746A" w:rsidP="227A2131">
      <w:pPr>
        <w:rPr>
          <w:rFonts w:ascii="Arial" w:eastAsia="Arial" w:hAnsi="Arial" w:cs="Arial"/>
        </w:rPr>
      </w:pPr>
      <w:r w:rsidRPr="227A2131">
        <w:rPr>
          <w:rFonts w:ascii="Arial" w:eastAsia="Arial" w:hAnsi="Arial" w:cs="Arial"/>
        </w:rPr>
        <w:t>Google (2022). Acquisition report summary: Fitbit integration portfolio.</w:t>
      </w:r>
    </w:p>
    <w:p w14:paraId="405011DD" w14:textId="4B76F787" w:rsidR="0153746A" w:rsidRDefault="0153746A" w:rsidP="227A2131">
      <w:pPr>
        <w:rPr>
          <w:rFonts w:ascii="Arial" w:eastAsia="Arial" w:hAnsi="Arial" w:cs="Arial"/>
        </w:rPr>
      </w:pPr>
      <w:r w:rsidRPr="227A2131">
        <w:rPr>
          <w:rFonts w:ascii="Arial" w:eastAsia="Arial" w:hAnsi="Arial" w:cs="Arial"/>
        </w:rPr>
        <w:t>Fitbit (2023). Retail and distribution UK portfolio summary.</w:t>
      </w:r>
    </w:p>
    <w:p w14:paraId="4E1848EE" w14:textId="46A1D43D" w:rsidR="0153746A" w:rsidRDefault="0153746A" w:rsidP="227A2131">
      <w:pPr>
        <w:rPr>
          <w:rFonts w:ascii="Arial" w:eastAsia="Arial" w:hAnsi="Arial" w:cs="Arial"/>
        </w:rPr>
      </w:pPr>
      <w:r w:rsidRPr="227A2131">
        <w:rPr>
          <w:rFonts w:ascii="Arial" w:eastAsia="Arial" w:hAnsi="Arial" w:cs="Arial"/>
        </w:rPr>
        <w:t>Fitbit (2024). Sensor and analytics wearables product documentation.</w:t>
      </w:r>
    </w:p>
    <w:p w14:paraId="2A529EFE" w14:textId="0D713890" w:rsidR="0153746A" w:rsidRDefault="0153746A" w:rsidP="227A2131">
      <w:pPr>
        <w:rPr>
          <w:rFonts w:ascii="Arial" w:eastAsia="Arial" w:hAnsi="Arial" w:cs="Arial"/>
        </w:rPr>
      </w:pPr>
      <w:r w:rsidRPr="227A2131">
        <w:rPr>
          <w:rFonts w:ascii="Arial" w:eastAsia="Arial" w:hAnsi="Arial" w:cs="Arial"/>
        </w:rPr>
        <w:t>MHRA (2023). UK medical adjacent device classification guidance.</w:t>
      </w:r>
    </w:p>
    <w:p w14:paraId="38CAC206" w14:textId="6088A3B4" w:rsidR="0153746A" w:rsidRDefault="0153746A" w:rsidP="227A2131">
      <w:pPr>
        <w:rPr>
          <w:rFonts w:ascii="Arial" w:eastAsia="Arial" w:hAnsi="Arial" w:cs="Arial"/>
        </w:rPr>
      </w:pPr>
      <w:r w:rsidRPr="227A2131">
        <w:rPr>
          <w:rFonts w:ascii="Arial" w:eastAsia="Arial" w:hAnsi="Arial" w:cs="Arial"/>
        </w:rPr>
        <w:t>NHS Digital (2023). Wearable technology adoption report.</w:t>
      </w:r>
    </w:p>
    <w:p w14:paraId="204CC1A7" w14:textId="68A36CBF" w:rsidR="0153746A" w:rsidRDefault="0153746A" w:rsidP="227A2131">
      <w:pPr>
        <w:rPr>
          <w:rFonts w:ascii="Arial" w:eastAsia="Arial" w:hAnsi="Arial" w:cs="Arial"/>
        </w:rPr>
      </w:pPr>
      <w:r w:rsidRPr="227A2131">
        <w:rPr>
          <w:rFonts w:ascii="Arial" w:eastAsia="Arial" w:hAnsi="Arial" w:cs="Arial"/>
        </w:rPr>
        <w:t>PwC UK (2024). Market and supply-chain forecasting for consumer technology.</w:t>
      </w:r>
    </w:p>
    <w:p w14:paraId="642EB7DE" w14:textId="27D73583" w:rsidR="227A2131" w:rsidRDefault="227A2131" w:rsidP="227A2131">
      <w:pPr>
        <w:rPr>
          <w:rFonts w:ascii="Arial" w:eastAsia="Arial" w:hAnsi="Arial" w:cs="Arial"/>
        </w:rPr>
      </w:pPr>
    </w:p>
    <w:sectPr w:rsidR="227A21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5184"/>
    <w:multiLevelType w:val="hybridMultilevel"/>
    <w:tmpl w:val="FFFFFFFF"/>
    <w:lvl w:ilvl="0" w:tplc="588C48F2">
      <w:start w:val="1"/>
      <w:numFmt w:val="decimal"/>
      <w:lvlText w:val="%1."/>
      <w:lvlJc w:val="left"/>
      <w:pPr>
        <w:ind w:left="720" w:hanging="360"/>
      </w:pPr>
    </w:lvl>
    <w:lvl w:ilvl="1" w:tplc="DBE6865E">
      <w:start w:val="1"/>
      <w:numFmt w:val="lowerLetter"/>
      <w:lvlText w:val="%2."/>
      <w:lvlJc w:val="left"/>
      <w:pPr>
        <w:ind w:left="1440" w:hanging="360"/>
      </w:pPr>
    </w:lvl>
    <w:lvl w:ilvl="2" w:tplc="4B36BEA4">
      <w:start w:val="1"/>
      <w:numFmt w:val="lowerRoman"/>
      <w:lvlText w:val="%3."/>
      <w:lvlJc w:val="right"/>
      <w:pPr>
        <w:ind w:left="2160" w:hanging="180"/>
      </w:pPr>
    </w:lvl>
    <w:lvl w:ilvl="3" w:tplc="093EF256">
      <w:start w:val="1"/>
      <w:numFmt w:val="decimal"/>
      <w:lvlText w:val="%4."/>
      <w:lvlJc w:val="left"/>
      <w:pPr>
        <w:ind w:left="2880" w:hanging="360"/>
      </w:pPr>
    </w:lvl>
    <w:lvl w:ilvl="4" w:tplc="4E06CD50">
      <w:start w:val="1"/>
      <w:numFmt w:val="lowerLetter"/>
      <w:lvlText w:val="%5."/>
      <w:lvlJc w:val="left"/>
      <w:pPr>
        <w:ind w:left="3600" w:hanging="360"/>
      </w:pPr>
    </w:lvl>
    <w:lvl w:ilvl="5" w:tplc="FAE0FCCC">
      <w:start w:val="1"/>
      <w:numFmt w:val="lowerRoman"/>
      <w:lvlText w:val="%6."/>
      <w:lvlJc w:val="right"/>
      <w:pPr>
        <w:ind w:left="4320" w:hanging="180"/>
      </w:pPr>
    </w:lvl>
    <w:lvl w:ilvl="6" w:tplc="BBD44676">
      <w:start w:val="1"/>
      <w:numFmt w:val="decimal"/>
      <w:lvlText w:val="%7."/>
      <w:lvlJc w:val="left"/>
      <w:pPr>
        <w:ind w:left="5040" w:hanging="360"/>
      </w:pPr>
    </w:lvl>
    <w:lvl w:ilvl="7" w:tplc="859884BC">
      <w:start w:val="1"/>
      <w:numFmt w:val="lowerLetter"/>
      <w:lvlText w:val="%8."/>
      <w:lvlJc w:val="left"/>
      <w:pPr>
        <w:ind w:left="5760" w:hanging="360"/>
      </w:pPr>
    </w:lvl>
    <w:lvl w:ilvl="8" w:tplc="A80694FE">
      <w:start w:val="1"/>
      <w:numFmt w:val="lowerRoman"/>
      <w:lvlText w:val="%9."/>
      <w:lvlJc w:val="right"/>
      <w:pPr>
        <w:ind w:left="6480" w:hanging="180"/>
      </w:pPr>
    </w:lvl>
  </w:abstractNum>
  <w:abstractNum w:abstractNumId="1" w15:restartNumberingAfterBreak="0">
    <w:nsid w:val="0981511C"/>
    <w:multiLevelType w:val="hybridMultilevel"/>
    <w:tmpl w:val="FFFFFFFF"/>
    <w:lvl w:ilvl="0" w:tplc="FFB2E522">
      <w:start w:val="1"/>
      <w:numFmt w:val="bullet"/>
      <w:lvlText w:val=""/>
      <w:lvlJc w:val="left"/>
      <w:pPr>
        <w:ind w:left="720" w:hanging="360"/>
      </w:pPr>
      <w:rPr>
        <w:rFonts w:ascii="Symbol" w:hAnsi="Symbol" w:hint="default"/>
      </w:rPr>
    </w:lvl>
    <w:lvl w:ilvl="1" w:tplc="D444E5EE">
      <w:start w:val="1"/>
      <w:numFmt w:val="bullet"/>
      <w:lvlText w:val="o"/>
      <w:lvlJc w:val="left"/>
      <w:pPr>
        <w:ind w:left="1440" w:hanging="360"/>
      </w:pPr>
      <w:rPr>
        <w:rFonts w:ascii="Courier New" w:hAnsi="Courier New" w:hint="default"/>
      </w:rPr>
    </w:lvl>
    <w:lvl w:ilvl="2" w:tplc="93128A32">
      <w:start w:val="1"/>
      <w:numFmt w:val="bullet"/>
      <w:lvlText w:val=""/>
      <w:lvlJc w:val="left"/>
      <w:pPr>
        <w:ind w:left="2160" w:hanging="360"/>
      </w:pPr>
      <w:rPr>
        <w:rFonts w:ascii="Wingdings" w:hAnsi="Wingdings" w:hint="default"/>
      </w:rPr>
    </w:lvl>
    <w:lvl w:ilvl="3" w:tplc="1730DAE4">
      <w:start w:val="1"/>
      <w:numFmt w:val="bullet"/>
      <w:lvlText w:val=""/>
      <w:lvlJc w:val="left"/>
      <w:pPr>
        <w:ind w:left="2880" w:hanging="360"/>
      </w:pPr>
      <w:rPr>
        <w:rFonts w:ascii="Symbol" w:hAnsi="Symbol" w:hint="default"/>
      </w:rPr>
    </w:lvl>
    <w:lvl w:ilvl="4" w:tplc="EC984C7C">
      <w:start w:val="1"/>
      <w:numFmt w:val="bullet"/>
      <w:lvlText w:val="o"/>
      <w:lvlJc w:val="left"/>
      <w:pPr>
        <w:ind w:left="3600" w:hanging="360"/>
      </w:pPr>
      <w:rPr>
        <w:rFonts w:ascii="Courier New" w:hAnsi="Courier New" w:hint="default"/>
      </w:rPr>
    </w:lvl>
    <w:lvl w:ilvl="5" w:tplc="AE6ABCC8">
      <w:start w:val="1"/>
      <w:numFmt w:val="bullet"/>
      <w:lvlText w:val=""/>
      <w:lvlJc w:val="left"/>
      <w:pPr>
        <w:ind w:left="4320" w:hanging="360"/>
      </w:pPr>
      <w:rPr>
        <w:rFonts w:ascii="Wingdings" w:hAnsi="Wingdings" w:hint="default"/>
      </w:rPr>
    </w:lvl>
    <w:lvl w:ilvl="6" w:tplc="CF8A5808">
      <w:start w:val="1"/>
      <w:numFmt w:val="bullet"/>
      <w:lvlText w:val=""/>
      <w:lvlJc w:val="left"/>
      <w:pPr>
        <w:ind w:left="5040" w:hanging="360"/>
      </w:pPr>
      <w:rPr>
        <w:rFonts w:ascii="Symbol" w:hAnsi="Symbol" w:hint="default"/>
      </w:rPr>
    </w:lvl>
    <w:lvl w:ilvl="7" w:tplc="A65A759C">
      <w:start w:val="1"/>
      <w:numFmt w:val="bullet"/>
      <w:lvlText w:val="o"/>
      <w:lvlJc w:val="left"/>
      <w:pPr>
        <w:ind w:left="5760" w:hanging="360"/>
      </w:pPr>
      <w:rPr>
        <w:rFonts w:ascii="Courier New" w:hAnsi="Courier New" w:hint="default"/>
      </w:rPr>
    </w:lvl>
    <w:lvl w:ilvl="8" w:tplc="685E7B44">
      <w:start w:val="1"/>
      <w:numFmt w:val="bullet"/>
      <w:lvlText w:val=""/>
      <w:lvlJc w:val="left"/>
      <w:pPr>
        <w:ind w:left="6480" w:hanging="360"/>
      </w:pPr>
      <w:rPr>
        <w:rFonts w:ascii="Wingdings" w:hAnsi="Wingdings" w:hint="default"/>
      </w:rPr>
    </w:lvl>
  </w:abstractNum>
  <w:abstractNum w:abstractNumId="2" w15:restartNumberingAfterBreak="0">
    <w:nsid w:val="1A48ED87"/>
    <w:multiLevelType w:val="hybridMultilevel"/>
    <w:tmpl w:val="FFFFFFFF"/>
    <w:lvl w:ilvl="0" w:tplc="8CD8E582">
      <w:start w:val="1"/>
      <w:numFmt w:val="bullet"/>
      <w:lvlText w:val=""/>
      <w:lvlJc w:val="left"/>
      <w:pPr>
        <w:ind w:left="720" w:hanging="360"/>
      </w:pPr>
      <w:rPr>
        <w:rFonts w:ascii="Symbol" w:hAnsi="Symbol" w:hint="default"/>
      </w:rPr>
    </w:lvl>
    <w:lvl w:ilvl="1" w:tplc="68D4241C">
      <w:start w:val="1"/>
      <w:numFmt w:val="bullet"/>
      <w:lvlText w:val="o"/>
      <w:lvlJc w:val="left"/>
      <w:pPr>
        <w:ind w:left="1440" w:hanging="360"/>
      </w:pPr>
      <w:rPr>
        <w:rFonts w:ascii="Courier New" w:hAnsi="Courier New" w:hint="default"/>
      </w:rPr>
    </w:lvl>
    <w:lvl w:ilvl="2" w:tplc="8B4C68B8">
      <w:start w:val="1"/>
      <w:numFmt w:val="bullet"/>
      <w:lvlText w:val=""/>
      <w:lvlJc w:val="left"/>
      <w:pPr>
        <w:ind w:left="2160" w:hanging="360"/>
      </w:pPr>
      <w:rPr>
        <w:rFonts w:ascii="Wingdings" w:hAnsi="Wingdings" w:hint="default"/>
      </w:rPr>
    </w:lvl>
    <w:lvl w:ilvl="3" w:tplc="F86E1FBE">
      <w:start w:val="1"/>
      <w:numFmt w:val="bullet"/>
      <w:lvlText w:val=""/>
      <w:lvlJc w:val="left"/>
      <w:pPr>
        <w:ind w:left="2880" w:hanging="360"/>
      </w:pPr>
      <w:rPr>
        <w:rFonts w:ascii="Symbol" w:hAnsi="Symbol" w:hint="default"/>
      </w:rPr>
    </w:lvl>
    <w:lvl w:ilvl="4" w:tplc="1A848076">
      <w:start w:val="1"/>
      <w:numFmt w:val="bullet"/>
      <w:lvlText w:val="o"/>
      <w:lvlJc w:val="left"/>
      <w:pPr>
        <w:ind w:left="3600" w:hanging="360"/>
      </w:pPr>
      <w:rPr>
        <w:rFonts w:ascii="Courier New" w:hAnsi="Courier New" w:hint="default"/>
      </w:rPr>
    </w:lvl>
    <w:lvl w:ilvl="5" w:tplc="A604786A">
      <w:start w:val="1"/>
      <w:numFmt w:val="bullet"/>
      <w:lvlText w:val=""/>
      <w:lvlJc w:val="left"/>
      <w:pPr>
        <w:ind w:left="4320" w:hanging="360"/>
      </w:pPr>
      <w:rPr>
        <w:rFonts w:ascii="Wingdings" w:hAnsi="Wingdings" w:hint="default"/>
      </w:rPr>
    </w:lvl>
    <w:lvl w:ilvl="6" w:tplc="E4EA8D14">
      <w:start w:val="1"/>
      <w:numFmt w:val="bullet"/>
      <w:lvlText w:val=""/>
      <w:lvlJc w:val="left"/>
      <w:pPr>
        <w:ind w:left="5040" w:hanging="360"/>
      </w:pPr>
      <w:rPr>
        <w:rFonts w:ascii="Symbol" w:hAnsi="Symbol" w:hint="default"/>
      </w:rPr>
    </w:lvl>
    <w:lvl w:ilvl="7" w:tplc="BBE01096">
      <w:start w:val="1"/>
      <w:numFmt w:val="bullet"/>
      <w:lvlText w:val="o"/>
      <w:lvlJc w:val="left"/>
      <w:pPr>
        <w:ind w:left="5760" w:hanging="360"/>
      </w:pPr>
      <w:rPr>
        <w:rFonts w:ascii="Courier New" w:hAnsi="Courier New" w:hint="default"/>
      </w:rPr>
    </w:lvl>
    <w:lvl w:ilvl="8" w:tplc="92B6F578">
      <w:start w:val="1"/>
      <w:numFmt w:val="bullet"/>
      <w:lvlText w:val=""/>
      <w:lvlJc w:val="left"/>
      <w:pPr>
        <w:ind w:left="6480" w:hanging="360"/>
      </w:pPr>
      <w:rPr>
        <w:rFonts w:ascii="Wingdings" w:hAnsi="Wingdings" w:hint="default"/>
      </w:rPr>
    </w:lvl>
  </w:abstractNum>
  <w:abstractNum w:abstractNumId="3" w15:restartNumberingAfterBreak="0">
    <w:nsid w:val="27706483"/>
    <w:multiLevelType w:val="hybridMultilevel"/>
    <w:tmpl w:val="FFFFFFFF"/>
    <w:lvl w:ilvl="0" w:tplc="D048EDEA">
      <w:start w:val="1"/>
      <w:numFmt w:val="decimal"/>
      <w:lvlText w:val="%1."/>
      <w:lvlJc w:val="left"/>
      <w:pPr>
        <w:ind w:left="720" w:hanging="360"/>
      </w:pPr>
    </w:lvl>
    <w:lvl w:ilvl="1" w:tplc="AF140056">
      <w:start w:val="1"/>
      <w:numFmt w:val="lowerLetter"/>
      <w:lvlText w:val="%2."/>
      <w:lvlJc w:val="left"/>
      <w:pPr>
        <w:ind w:left="1440" w:hanging="360"/>
      </w:pPr>
    </w:lvl>
    <w:lvl w:ilvl="2" w:tplc="2C04118C">
      <w:start w:val="1"/>
      <w:numFmt w:val="lowerRoman"/>
      <w:lvlText w:val="%3."/>
      <w:lvlJc w:val="right"/>
      <w:pPr>
        <w:ind w:left="2160" w:hanging="180"/>
      </w:pPr>
    </w:lvl>
    <w:lvl w:ilvl="3" w:tplc="73CA67C2">
      <w:start w:val="1"/>
      <w:numFmt w:val="decimal"/>
      <w:lvlText w:val="%4."/>
      <w:lvlJc w:val="left"/>
      <w:pPr>
        <w:ind w:left="2880" w:hanging="360"/>
      </w:pPr>
    </w:lvl>
    <w:lvl w:ilvl="4" w:tplc="ED16E7F2">
      <w:start w:val="1"/>
      <w:numFmt w:val="lowerLetter"/>
      <w:lvlText w:val="%5."/>
      <w:lvlJc w:val="left"/>
      <w:pPr>
        <w:ind w:left="3600" w:hanging="360"/>
      </w:pPr>
    </w:lvl>
    <w:lvl w:ilvl="5" w:tplc="AE769552">
      <w:start w:val="1"/>
      <w:numFmt w:val="lowerRoman"/>
      <w:lvlText w:val="%6."/>
      <w:lvlJc w:val="right"/>
      <w:pPr>
        <w:ind w:left="4320" w:hanging="180"/>
      </w:pPr>
    </w:lvl>
    <w:lvl w:ilvl="6" w:tplc="162CEBAE">
      <w:start w:val="1"/>
      <w:numFmt w:val="decimal"/>
      <w:lvlText w:val="%7."/>
      <w:lvlJc w:val="left"/>
      <w:pPr>
        <w:ind w:left="5040" w:hanging="360"/>
      </w:pPr>
    </w:lvl>
    <w:lvl w:ilvl="7" w:tplc="FF68F37A">
      <w:start w:val="1"/>
      <w:numFmt w:val="lowerLetter"/>
      <w:lvlText w:val="%8."/>
      <w:lvlJc w:val="left"/>
      <w:pPr>
        <w:ind w:left="5760" w:hanging="360"/>
      </w:pPr>
    </w:lvl>
    <w:lvl w:ilvl="8" w:tplc="540EFE4C">
      <w:start w:val="1"/>
      <w:numFmt w:val="lowerRoman"/>
      <w:lvlText w:val="%9."/>
      <w:lvlJc w:val="right"/>
      <w:pPr>
        <w:ind w:left="6480" w:hanging="180"/>
      </w:pPr>
    </w:lvl>
  </w:abstractNum>
  <w:abstractNum w:abstractNumId="4" w15:restartNumberingAfterBreak="0">
    <w:nsid w:val="46732264"/>
    <w:multiLevelType w:val="hybridMultilevel"/>
    <w:tmpl w:val="FFFFFFFF"/>
    <w:lvl w:ilvl="0" w:tplc="8244E39E">
      <w:start w:val="1"/>
      <w:numFmt w:val="decimal"/>
      <w:lvlText w:val="%1."/>
      <w:lvlJc w:val="left"/>
      <w:pPr>
        <w:ind w:left="720" w:hanging="360"/>
      </w:pPr>
    </w:lvl>
    <w:lvl w:ilvl="1" w:tplc="AE8E311E">
      <w:start w:val="1"/>
      <w:numFmt w:val="lowerLetter"/>
      <w:lvlText w:val="%2."/>
      <w:lvlJc w:val="left"/>
      <w:pPr>
        <w:ind w:left="1440" w:hanging="360"/>
      </w:pPr>
    </w:lvl>
    <w:lvl w:ilvl="2" w:tplc="ACCC9466">
      <w:start w:val="1"/>
      <w:numFmt w:val="lowerRoman"/>
      <w:lvlText w:val="%3."/>
      <w:lvlJc w:val="right"/>
      <w:pPr>
        <w:ind w:left="2160" w:hanging="180"/>
      </w:pPr>
    </w:lvl>
    <w:lvl w:ilvl="3" w:tplc="7772C576">
      <w:start w:val="1"/>
      <w:numFmt w:val="decimal"/>
      <w:lvlText w:val="%4."/>
      <w:lvlJc w:val="left"/>
      <w:pPr>
        <w:ind w:left="2880" w:hanging="360"/>
      </w:pPr>
    </w:lvl>
    <w:lvl w:ilvl="4" w:tplc="FB14B2F0">
      <w:start w:val="1"/>
      <w:numFmt w:val="lowerLetter"/>
      <w:lvlText w:val="%5."/>
      <w:lvlJc w:val="left"/>
      <w:pPr>
        <w:ind w:left="3600" w:hanging="360"/>
      </w:pPr>
    </w:lvl>
    <w:lvl w:ilvl="5" w:tplc="0DEC76F8">
      <w:start w:val="1"/>
      <w:numFmt w:val="lowerRoman"/>
      <w:lvlText w:val="%6."/>
      <w:lvlJc w:val="right"/>
      <w:pPr>
        <w:ind w:left="4320" w:hanging="180"/>
      </w:pPr>
    </w:lvl>
    <w:lvl w:ilvl="6" w:tplc="7A044F8A">
      <w:start w:val="1"/>
      <w:numFmt w:val="decimal"/>
      <w:lvlText w:val="%7."/>
      <w:lvlJc w:val="left"/>
      <w:pPr>
        <w:ind w:left="5040" w:hanging="360"/>
      </w:pPr>
    </w:lvl>
    <w:lvl w:ilvl="7" w:tplc="B48E3798">
      <w:start w:val="1"/>
      <w:numFmt w:val="lowerLetter"/>
      <w:lvlText w:val="%8."/>
      <w:lvlJc w:val="left"/>
      <w:pPr>
        <w:ind w:left="5760" w:hanging="360"/>
      </w:pPr>
    </w:lvl>
    <w:lvl w:ilvl="8" w:tplc="2034DE10">
      <w:start w:val="1"/>
      <w:numFmt w:val="lowerRoman"/>
      <w:lvlText w:val="%9."/>
      <w:lvlJc w:val="right"/>
      <w:pPr>
        <w:ind w:left="6480" w:hanging="180"/>
      </w:pPr>
    </w:lvl>
  </w:abstractNum>
  <w:abstractNum w:abstractNumId="5" w15:restartNumberingAfterBreak="0">
    <w:nsid w:val="515218DB"/>
    <w:multiLevelType w:val="hybridMultilevel"/>
    <w:tmpl w:val="FFFFFFFF"/>
    <w:lvl w:ilvl="0" w:tplc="2FCAAD5C">
      <w:start w:val="1"/>
      <w:numFmt w:val="bullet"/>
      <w:lvlText w:val=""/>
      <w:lvlJc w:val="left"/>
      <w:pPr>
        <w:ind w:left="720" w:hanging="360"/>
      </w:pPr>
      <w:rPr>
        <w:rFonts w:ascii="Symbol" w:hAnsi="Symbol" w:hint="default"/>
      </w:rPr>
    </w:lvl>
    <w:lvl w:ilvl="1" w:tplc="1916B5EE">
      <w:start w:val="1"/>
      <w:numFmt w:val="bullet"/>
      <w:lvlText w:val="o"/>
      <w:lvlJc w:val="left"/>
      <w:pPr>
        <w:ind w:left="1440" w:hanging="360"/>
      </w:pPr>
      <w:rPr>
        <w:rFonts w:ascii="Courier New" w:hAnsi="Courier New" w:hint="default"/>
      </w:rPr>
    </w:lvl>
    <w:lvl w:ilvl="2" w:tplc="DE74CD46">
      <w:start w:val="1"/>
      <w:numFmt w:val="bullet"/>
      <w:lvlText w:val=""/>
      <w:lvlJc w:val="left"/>
      <w:pPr>
        <w:ind w:left="2160" w:hanging="360"/>
      </w:pPr>
      <w:rPr>
        <w:rFonts w:ascii="Wingdings" w:hAnsi="Wingdings" w:hint="default"/>
      </w:rPr>
    </w:lvl>
    <w:lvl w:ilvl="3" w:tplc="8B7C89C8">
      <w:start w:val="1"/>
      <w:numFmt w:val="bullet"/>
      <w:lvlText w:val=""/>
      <w:lvlJc w:val="left"/>
      <w:pPr>
        <w:ind w:left="2880" w:hanging="360"/>
      </w:pPr>
      <w:rPr>
        <w:rFonts w:ascii="Symbol" w:hAnsi="Symbol" w:hint="default"/>
      </w:rPr>
    </w:lvl>
    <w:lvl w:ilvl="4" w:tplc="61CAE132">
      <w:start w:val="1"/>
      <w:numFmt w:val="bullet"/>
      <w:lvlText w:val="o"/>
      <w:lvlJc w:val="left"/>
      <w:pPr>
        <w:ind w:left="3600" w:hanging="360"/>
      </w:pPr>
      <w:rPr>
        <w:rFonts w:ascii="Courier New" w:hAnsi="Courier New" w:hint="default"/>
      </w:rPr>
    </w:lvl>
    <w:lvl w:ilvl="5" w:tplc="E68E66CE">
      <w:start w:val="1"/>
      <w:numFmt w:val="bullet"/>
      <w:lvlText w:val=""/>
      <w:lvlJc w:val="left"/>
      <w:pPr>
        <w:ind w:left="4320" w:hanging="360"/>
      </w:pPr>
      <w:rPr>
        <w:rFonts w:ascii="Wingdings" w:hAnsi="Wingdings" w:hint="default"/>
      </w:rPr>
    </w:lvl>
    <w:lvl w:ilvl="6" w:tplc="584E3510">
      <w:start w:val="1"/>
      <w:numFmt w:val="bullet"/>
      <w:lvlText w:val=""/>
      <w:lvlJc w:val="left"/>
      <w:pPr>
        <w:ind w:left="5040" w:hanging="360"/>
      </w:pPr>
      <w:rPr>
        <w:rFonts w:ascii="Symbol" w:hAnsi="Symbol" w:hint="default"/>
      </w:rPr>
    </w:lvl>
    <w:lvl w:ilvl="7" w:tplc="21341A0A">
      <w:start w:val="1"/>
      <w:numFmt w:val="bullet"/>
      <w:lvlText w:val="o"/>
      <w:lvlJc w:val="left"/>
      <w:pPr>
        <w:ind w:left="5760" w:hanging="360"/>
      </w:pPr>
      <w:rPr>
        <w:rFonts w:ascii="Courier New" w:hAnsi="Courier New" w:hint="default"/>
      </w:rPr>
    </w:lvl>
    <w:lvl w:ilvl="8" w:tplc="3F46C740">
      <w:start w:val="1"/>
      <w:numFmt w:val="bullet"/>
      <w:lvlText w:val=""/>
      <w:lvlJc w:val="left"/>
      <w:pPr>
        <w:ind w:left="6480" w:hanging="360"/>
      </w:pPr>
      <w:rPr>
        <w:rFonts w:ascii="Wingdings" w:hAnsi="Wingdings" w:hint="default"/>
      </w:rPr>
    </w:lvl>
  </w:abstractNum>
  <w:abstractNum w:abstractNumId="6" w15:restartNumberingAfterBreak="0">
    <w:nsid w:val="541BBFD9"/>
    <w:multiLevelType w:val="hybridMultilevel"/>
    <w:tmpl w:val="FFFFFFFF"/>
    <w:lvl w:ilvl="0" w:tplc="B0A406FE">
      <w:start w:val="1"/>
      <w:numFmt w:val="bullet"/>
      <w:lvlText w:val=""/>
      <w:lvlJc w:val="left"/>
      <w:pPr>
        <w:ind w:left="720" w:hanging="360"/>
      </w:pPr>
      <w:rPr>
        <w:rFonts w:ascii="Symbol" w:hAnsi="Symbol" w:hint="default"/>
      </w:rPr>
    </w:lvl>
    <w:lvl w:ilvl="1" w:tplc="BD6ECFA6">
      <w:start w:val="1"/>
      <w:numFmt w:val="bullet"/>
      <w:lvlText w:val="o"/>
      <w:lvlJc w:val="left"/>
      <w:pPr>
        <w:ind w:left="1440" w:hanging="360"/>
      </w:pPr>
      <w:rPr>
        <w:rFonts w:ascii="Courier New" w:hAnsi="Courier New" w:hint="default"/>
      </w:rPr>
    </w:lvl>
    <w:lvl w:ilvl="2" w:tplc="894EF044">
      <w:start w:val="1"/>
      <w:numFmt w:val="bullet"/>
      <w:lvlText w:val=""/>
      <w:lvlJc w:val="left"/>
      <w:pPr>
        <w:ind w:left="2160" w:hanging="360"/>
      </w:pPr>
      <w:rPr>
        <w:rFonts w:ascii="Wingdings" w:hAnsi="Wingdings" w:hint="default"/>
      </w:rPr>
    </w:lvl>
    <w:lvl w:ilvl="3" w:tplc="0BB4521E">
      <w:start w:val="1"/>
      <w:numFmt w:val="bullet"/>
      <w:lvlText w:val=""/>
      <w:lvlJc w:val="left"/>
      <w:pPr>
        <w:ind w:left="2880" w:hanging="360"/>
      </w:pPr>
      <w:rPr>
        <w:rFonts w:ascii="Symbol" w:hAnsi="Symbol" w:hint="default"/>
      </w:rPr>
    </w:lvl>
    <w:lvl w:ilvl="4" w:tplc="C1A08C8C">
      <w:start w:val="1"/>
      <w:numFmt w:val="bullet"/>
      <w:lvlText w:val="o"/>
      <w:lvlJc w:val="left"/>
      <w:pPr>
        <w:ind w:left="3600" w:hanging="360"/>
      </w:pPr>
      <w:rPr>
        <w:rFonts w:ascii="Courier New" w:hAnsi="Courier New" w:hint="default"/>
      </w:rPr>
    </w:lvl>
    <w:lvl w:ilvl="5" w:tplc="487079DA">
      <w:start w:val="1"/>
      <w:numFmt w:val="bullet"/>
      <w:lvlText w:val=""/>
      <w:lvlJc w:val="left"/>
      <w:pPr>
        <w:ind w:left="4320" w:hanging="360"/>
      </w:pPr>
      <w:rPr>
        <w:rFonts w:ascii="Wingdings" w:hAnsi="Wingdings" w:hint="default"/>
      </w:rPr>
    </w:lvl>
    <w:lvl w:ilvl="6" w:tplc="3F28755C">
      <w:start w:val="1"/>
      <w:numFmt w:val="bullet"/>
      <w:lvlText w:val=""/>
      <w:lvlJc w:val="left"/>
      <w:pPr>
        <w:ind w:left="5040" w:hanging="360"/>
      </w:pPr>
      <w:rPr>
        <w:rFonts w:ascii="Symbol" w:hAnsi="Symbol" w:hint="default"/>
      </w:rPr>
    </w:lvl>
    <w:lvl w:ilvl="7" w:tplc="AC444B5E">
      <w:start w:val="1"/>
      <w:numFmt w:val="bullet"/>
      <w:lvlText w:val="o"/>
      <w:lvlJc w:val="left"/>
      <w:pPr>
        <w:ind w:left="5760" w:hanging="360"/>
      </w:pPr>
      <w:rPr>
        <w:rFonts w:ascii="Courier New" w:hAnsi="Courier New" w:hint="default"/>
      </w:rPr>
    </w:lvl>
    <w:lvl w:ilvl="8" w:tplc="B4827268">
      <w:start w:val="1"/>
      <w:numFmt w:val="bullet"/>
      <w:lvlText w:val=""/>
      <w:lvlJc w:val="left"/>
      <w:pPr>
        <w:ind w:left="6480" w:hanging="360"/>
      </w:pPr>
      <w:rPr>
        <w:rFonts w:ascii="Wingdings" w:hAnsi="Wingdings" w:hint="default"/>
      </w:rPr>
    </w:lvl>
  </w:abstractNum>
  <w:abstractNum w:abstractNumId="7" w15:restartNumberingAfterBreak="0">
    <w:nsid w:val="5CD32424"/>
    <w:multiLevelType w:val="hybridMultilevel"/>
    <w:tmpl w:val="FFFFFFFF"/>
    <w:lvl w:ilvl="0" w:tplc="5D588DE2">
      <w:start w:val="1"/>
      <w:numFmt w:val="bullet"/>
      <w:lvlText w:val=""/>
      <w:lvlJc w:val="left"/>
      <w:pPr>
        <w:ind w:left="720" w:hanging="360"/>
      </w:pPr>
      <w:rPr>
        <w:rFonts w:ascii="Symbol" w:hAnsi="Symbol" w:hint="default"/>
      </w:rPr>
    </w:lvl>
    <w:lvl w:ilvl="1" w:tplc="A3B84BB2">
      <w:start w:val="1"/>
      <w:numFmt w:val="bullet"/>
      <w:lvlText w:val="o"/>
      <w:lvlJc w:val="left"/>
      <w:pPr>
        <w:ind w:left="1440" w:hanging="360"/>
      </w:pPr>
      <w:rPr>
        <w:rFonts w:ascii="Courier New" w:hAnsi="Courier New" w:hint="default"/>
      </w:rPr>
    </w:lvl>
    <w:lvl w:ilvl="2" w:tplc="63DEA1B6">
      <w:start w:val="1"/>
      <w:numFmt w:val="bullet"/>
      <w:lvlText w:val=""/>
      <w:lvlJc w:val="left"/>
      <w:pPr>
        <w:ind w:left="2160" w:hanging="360"/>
      </w:pPr>
      <w:rPr>
        <w:rFonts w:ascii="Wingdings" w:hAnsi="Wingdings" w:hint="default"/>
      </w:rPr>
    </w:lvl>
    <w:lvl w:ilvl="3" w:tplc="5A12EB18">
      <w:start w:val="1"/>
      <w:numFmt w:val="bullet"/>
      <w:lvlText w:val=""/>
      <w:lvlJc w:val="left"/>
      <w:pPr>
        <w:ind w:left="2880" w:hanging="360"/>
      </w:pPr>
      <w:rPr>
        <w:rFonts w:ascii="Symbol" w:hAnsi="Symbol" w:hint="default"/>
      </w:rPr>
    </w:lvl>
    <w:lvl w:ilvl="4" w:tplc="B524D0B4">
      <w:start w:val="1"/>
      <w:numFmt w:val="bullet"/>
      <w:lvlText w:val="o"/>
      <w:lvlJc w:val="left"/>
      <w:pPr>
        <w:ind w:left="3600" w:hanging="360"/>
      </w:pPr>
      <w:rPr>
        <w:rFonts w:ascii="Courier New" w:hAnsi="Courier New" w:hint="default"/>
      </w:rPr>
    </w:lvl>
    <w:lvl w:ilvl="5" w:tplc="04AA640A">
      <w:start w:val="1"/>
      <w:numFmt w:val="bullet"/>
      <w:lvlText w:val=""/>
      <w:lvlJc w:val="left"/>
      <w:pPr>
        <w:ind w:left="4320" w:hanging="360"/>
      </w:pPr>
      <w:rPr>
        <w:rFonts w:ascii="Wingdings" w:hAnsi="Wingdings" w:hint="default"/>
      </w:rPr>
    </w:lvl>
    <w:lvl w:ilvl="6" w:tplc="49861302">
      <w:start w:val="1"/>
      <w:numFmt w:val="bullet"/>
      <w:lvlText w:val=""/>
      <w:lvlJc w:val="left"/>
      <w:pPr>
        <w:ind w:left="5040" w:hanging="360"/>
      </w:pPr>
      <w:rPr>
        <w:rFonts w:ascii="Symbol" w:hAnsi="Symbol" w:hint="default"/>
      </w:rPr>
    </w:lvl>
    <w:lvl w:ilvl="7" w:tplc="A83EE064">
      <w:start w:val="1"/>
      <w:numFmt w:val="bullet"/>
      <w:lvlText w:val="o"/>
      <w:lvlJc w:val="left"/>
      <w:pPr>
        <w:ind w:left="5760" w:hanging="360"/>
      </w:pPr>
      <w:rPr>
        <w:rFonts w:ascii="Courier New" w:hAnsi="Courier New" w:hint="default"/>
      </w:rPr>
    </w:lvl>
    <w:lvl w:ilvl="8" w:tplc="D862B0C4">
      <w:start w:val="1"/>
      <w:numFmt w:val="bullet"/>
      <w:lvlText w:val=""/>
      <w:lvlJc w:val="left"/>
      <w:pPr>
        <w:ind w:left="6480" w:hanging="360"/>
      </w:pPr>
      <w:rPr>
        <w:rFonts w:ascii="Wingdings" w:hAnsi="Wingdings" w:hint="default"/>
      </w:rPr>
    </w:lvl>
  </w:abstractNum>
  <w:abstractNum w:abstractNumId="8" w15:restartNumberingAfterBreak="0">
    <w:nsid w:val="60FC9F87"/>
    <w:multiLevelType w:val="hybridMultilevel"/>
    <w:tmpl w:val="FFFFFFFF"/>
    <w:lvl w:ilvl="0" w:tplc="2430B4A4">
      <w:start w:val="1"/>
      <w:numFmt w:val="decimal"/>
      <w:lvlText w:val="%1."/>
      <w:lvlJc w:val="left"/>
      <w:pPr>
        <w:ind w:left="720" w:hanging="360"/>
      </w:pPr>
    </w:lvl>
    <w:lvl w:ilvl="1" w:tplc="6B0AEF76">
      <w:start w:val="1"/>
      <w:numFmt w:val="lowerLetter"/>
      <w:lvlText w:val="%2."/>
      <w:lvlJc w:val="left"/>
      <w:pPr>
        <w:ind w:left="1440" w:hanging="360"/>
      </w:pPr>
    </w:lvl>
    <w:lvl w:ilvl="2" w:tplc="297AB5F2">
      <w:start w:val="1"/>
      <w:numFmt w:val="lowerRoman"/>
      <w:lvlText w:val="%3."/>
      <w:lvlJc w:val="right"/>
      <w:pPr>
        <w:ind w:left="2160" w:hanging="180"/>
      </w:pPr>
    </w:lvl>
    <w:lvl w:ilvl="3" w:tplc="A6104B0C">
      <w:start w:val="1"/>
      <w:numFmt w:val="decimal"/>
      <w:lvlText w:val="%4."/>
      <w:lvlJc w:val="left"/>
      <w:pPr>
        <w:ind w:left="2880" w:hanging="360"/>
      </w:pPr>
    </w:lvl>
    <w:lvl w:ilvl="4" w:tplc="9EAA4CD2">
      <w:start w:val="1"/>
      <w:numFmt w:val="lowerLetter"/>
      <w:lvlText w:val="%5."/>
      <w:lvlJc w:val="left"/>
      <w:pPr>
        <w:ind w:left="3600" w:hanging="360"/>
      </w:pPr>
    </w:lvl>
    <w:lvl w:ilvl="5" w:tplc="6756C45E">
      <w:start w:val="1"/>
      <w:numFmt w:val="lowerRoman"/>
      <w:lvlText w:val="%6."/>
      <w:lvlJc w:val="right"/>
      <w:pPr>
        <w:ind w:left="4320" w:hanging="180"/>
      </w:pPr>
    </w:lvl>
    <w:lvl w:ilvl="6" w:tplc="DEFCE888">
      <w:start w:val="1"/>
      <w:numFmt w:val="decimal"/>
      <w:lvlText w:val="%7."/>
      <w:lvlJc w:val="left"/>
      <w:pPr>
        <w:ind w:left="5040" w:hanging="360"/>
      </w:pPr>
    </w:lvl>
    <w:lvl w:ilvl="7" w:tplc="39F6F034">
      <w:start w:val="1"/>
      <w:numFmt w:val="lowerLetter"/>
      <w:lvlText w:val="%8."/>
      <w:lvlJc w:val="left"/>
      <w:pPr>
        <w:ind w:left="5760" w:hanging="360"/>
      </w:pPr>
    </w:lvl>
    <w:lvl w:ilvl="8" w:tplc="9C0AD810">
      <w:start w:val="1"/>
      <w:numFmt w:val="lowerRoman"/>
      <w:lvlText w:val="%9."/>
      <w:lvlJc w:val="right"/>
      <w:pPr>
        <w:ind w:left="6480" w:hanging="180"/>
      </w:pPr>
    </w:lvl>
  </w:abstractNum>
  <w:abstractNum w:abstractNumId="9" w15:restartNumberingAfterBreak="0">
    <w:nsid w:val="688A02CA"/>
    <w:multiLevelType w:val="hybridMultilevel"/>
    <w:tmpl w:val="FFFFFFFF"/>
    <w:lvl w:ilvl="0" w:tplc="18548ED2">
      <w:start w:val="1"/>
      <w:numFmt w:val="decimal"/>
      <w:lvlText w:val="%1."/>
      <w:lvlJc w:val="left"/>
      <w:pPr>
        <w:ind w:left="720" w:hanging="360"/>
      </w:pPr>
    </w:lvl>
    <w:lvl w:ilvl="1" w:tplc="7818A42E">
      <w:start w:val="1"/>
      <w:numFmt w:val="lowerLetter"/>
      <w:lvlText w:val="%2."/>
      <w:lvlJc w:val="left"/>
      <w:pPr>
        <w:ind w:left="1440" w:hanging="360"/>
      </w:pPr>
    </w:lvl>
    <w:lvl w:ilvl="2" w:tplc="E6144220">
      <w:start w:val="1"/>
      <w:numFmt w:val="lowerRoman"/>
      <w:lvlText w:val="%3."/>
      <w:lvlJc w:val="right"/>
      <w:pPr>
        <w:ind w:left="2160" w:hanging="180"/>
      </w:pPr>
    </w:lvl>
    <w:lvl w:ilvl="3" w:tplc="4442045A">
      <w:start w:val="1"/>
      <w:numFmt w:val="decimal"/>
      <w:lvlText w:val="%4."/>
      <w:lvlJc w:val="left"/>
      <w:pPr>
        <w:ind w:left="2880" w:hanging="360"/>
      </w:pPr>
    </w:lvl>
    <w:lvl w:ilvl="4" w:tplc="607027CC">
      <w:start w:val="1"/>
      <w:numFmt w:val="lowerLetter"/>
      <w:lvlText w:val="%5."/>
      <w:lvlJc w:val="left"/>
      <w:pPr>
        <w:ind w:left="3600" w:hanging="360"/>
      </w:pPr>
    </w:lvl>
    <w:lvl w:ilvl="5" w:tplc="32A8C4B0">
      <w:start w:val="1"/>
      <w:numFmt w:val="lowerRoman"/>
      <w:lvlText w:val="%6."/>
      <w:lvlJc w:val="right"/>
      <w:pPr>
        <w:ind w:left="4320" w:hanging="180"/>
      </w:pPr>
    </w:lvl>
    <w:lvl w:ilvl="6" w:tplc="2492667C">
      <w:start w:val="1"/>
      <w:numFmt w:val="decimal"/>
      <w:lvlText w:val="%7."/>
      <w:lvlJc w:val="left"/>
      <w:pPr>
        <w:ind w:left="5040" w:hanging="360"/>
      </w:pPr>
    </w:lvl>
    <w:lvl w:ilvl="7" w:tplc="17FCA458">
      <w:start w:val="1"/>
      <w:numFmt w:val="lowerLetter"/>
      <w:lvlText w:val="%8."/>
      <w:lvlJc w:val="left"/>
      <w:pPr>
        <w:ind w:left="5760" w:hanging="360"/>
      </w:pPr>
    </w:lvl>
    <w:lvl w:ilvl="8" w:tplc="34BC7968">
      <w:start w:val="1"/>
      <w:numFmt w:val="lowerRoman"/>
      <w:lvlText w:val="%9."/>
      <w:lvlJc w:val="right"/>
      <w:pPr>
        <w:ind w:left="6480" w:hanging="180"/>
      </w:pPr>
    </w:lvl>
  </w:abstractNum>
  <w:abstractNum w:abstractNumId="10" w15:restartNumberingAfterBreak="0">
    <w:nsid w:val="705282EA"/>
    <w:multiLevelType w:val="hybridMultilevel"/>
    <w:tmpl w:val="FFFFFFFF"/>
    <w:lvl w:ilvl="0" w:tplc="0AB66450">
      <w:start w:val="1"/>
      <w:numFmt w:val="decimal"/>
      <w:lvlText w:val="%1."/>
      <w:lvlJc w:val="left"/>
      <w:pPr>
        <w:ind w:left="720" w:hanging="360"/>
      </w:pPr>
    </w:lvl>
    <w:lvl w:ilvl="1" w:tplc="E1AAC8AE">
      <w:start w:val="1"/>
      <w:numFmt w:val="lowerLetter"/>
      <w:lvlText w:val="%2."/>
      <w:lvlJc w:val="left"/>
      <w:pPr>
        <w:ind w:left="1440" w:hanging="360"/>
      </w:pPr>
    </w:lvl>
    <w:lvl w:ilvl="2" w:tplc="63D07874">
      <w:start w:val="1"/>
      <w:numFmt w:val="lowerRoman"/>
      <w:lvlText w:val="%3."/>
      <w:lvlJc w:val="right"/>
      <w:pPr>
        <w:ind w:left="2160" w:hanging="180"/>
      </w:pPr>
    </w:lvl>
    <w:lvl w:ilvl="3" w:tplc="8D1833DE">
      <w:start w:val="1"/>
      <w:numFmt w:val="decimal"/>
      <w:lvlText w:val="%4."/>
      <w:lvlJc w:val="left"/>
      <w:pPr>
        <w:ind w:left="2880" w:hanging="360"/>
      </w:pPr>
    </w:lvl>
    <w:lvl w:ilvl="4" w:tplc="21CAA6EE">
      <w:start w:val="1"/>
      <w:numFmt w:val="lowerLetter"/>
      <w:lvlText w:val="%5."/>
      <w:lvlJc w:val="left"/>
      <w:pPr>
        <w:ind w:left="3600" w:hanging="360"/>
      </w:pPr>
    </w:lvl>
    <w:lvl w:ilvl="5" w:tplc="8F50745A">
      <w:start w:val="1"/>
      <w:numFmt w:val="lowerRoman"/>
      <w:lvlText w:val="%6."/>
      <w:lvlJc w:val="right"/>
      <w:pPr>
        <w:ind w:left="4320" w:hanging="180"/>
      </w:pPr>
    </w:lvl>
    <w:lvl w:ilvl="6" w:tplc="1A26907E">
      <w:start w:val="1"/>
      <w:numFmt w:val="decimal"/>
      <w:lvlText w:val="%7."/>
      <w:lvlJc w:val="left"/>
      <w:pPr>
        <w:ind w:left="5040" w:hanging="360"/>
      </w:pPr>
    </w:lvl>
    <w:lvl w:ilvl="7" w:tplc="BAAAA920">
      <w:start w:val="1"/>
      <w:numFmt w:val="lowerLetter"/>
      <w:lvlText w:val="%8."/>
      <w:lvlJc w:val="left"/>
      <w:pPr>
        <w:ind w:left="5760" w:hanging="360"/>
      </w:pPr>
    </w:lvl>
    <w:lvl w:ilvl="8" w:tplc="C0482178">
      <w:start w:val="1"/>
      <w:numFmt w:val="lowerRoman"/>
      <w:lvlText w:val="%9."/>
      <w:lvlJc w:val="right"/>
      <w:pPr>
        <w:ind w:left="6480" w:hanging="180"/>
      </w:pPr>
    </w:lvl>
  </w:abstractNum>
  <w:num w:numId="1" w16cid:durableId="225803839">
    <w:abstractNumId w:val="4"/>
  </w:num>
  <w:num w:numId="2" w16cid:durableId="603072797">
    <w:abstractNumId w:val="10"/>
  </w:num>
  <w:num w:numId="3" w16cid:durableId="568536660">
    <w:abstractNumId w:val="3"/>
  </w:num>
  <w:num w:numId="4" w16cid:durableId="1101411074">
    <w:abstractNumId w:val="8"/>
  </w:num>
  <w:num w:numId="5" w16cid:durableId="1671057467">
    <w:abstractNumId w:val="6"/>
  </w:num>
  <w:num w:numId="6" w16cid:durableId="1520585950">
    <w:abstractNumId w:val="9"/>
  </w:num>
  <w:num w:numId="7" w16cid:durableId="1578395520">
    <w:abstractNumId w:val="2"/>
  </w:num>
  <w:num w:numId="8" w16cid:durableId="2001348517">
    <w:abstractNumId w:val="7"/>
  </w:num>
  <w:num w:numId="9" w16cid:durableId="975447405">
    <w:abstractNumId w:val="5"/>
  </w:num>
  <w:num w:numId="10" w16cid:durableId="1836533527">
    <w:abstractNumId w:val="1"/>
  </w:num>
  <w:num w:numId="11" w16cid:durableId="1986737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474370"/>
    <w:rsid w:val="00AA262D"/>
    <w:rsid w:val="00B44C37"/>
    <w:rsid w:val="0153746A"/>
    <w:rsid w:val="02544055"/>
    <w:rsid w:val="05E3DCCC"/>
    <w:rsid w:val="07AF6CAA"/>
    <w:rsid w:val="0822A602"/>
    <w:rsid w:val="0DD51D28"/>
    <w:rsid w:val="10ADCC61"/>
    <w:rsid w:val="11C24794"/>
    <w:rsid w:val="11EF906C"/>
    <w:rsid w:val="12474370"/>
    <w:rsid w:val="129B9A35"/>
    <w:rsid w:val="13662674"/>
    <w:rsid w:val="143F732F"/>
    <w:rsid w:val="14F52A4C"/>
    <w:rsid w:val="16D3169C"/>
    <w:rsid w:val="18E7F394"/>
    <w:rsid w:val="19F370AC"/>
    <w:rsid w:val="1BE81BFC"/>
    <w:rsid w:val="1C6A233E"/>
    <w:rsid w:val="1C8A07EB"/>
    <w:rsid w:val="1D250702"/>
    <w:rsid w:val="1DE1E072"/>
    <w:rsid w:val="1E9A6287"/>
    <w:rsid w:val="1FE6ED2B"/>
    <w:rsid w:val="209BDD51"/>
    <w:rsid w:val="227A2131"/>
    <w:rsid w:val="24956E2D"/>
    <w:rsid w:val="2526408A"/>
    <w:rsid w:val="27C33B21"/>
    <w:rsid w:val="28FF7935"/>
    <w:rsid w:val="2912CCAB"/>
    <w:rsid w:val="2A37C69C"/>
    <w:rsid w:val="301F6514"/>
    <w:rsid w:val="34540C1F"/>
    <w:rsid w:val="34D29F20"/>
    <w:rsid w:val="35007A77"/>
    <w:rsid w:val="3829B2E5"/>
    <w:rsid w:val="39057C41"/>
    <w:rsid w:val="48DD6BEA"/>
    <w:rsid w:val="4ADD2F15"/>
    <w:rsid w:val="4BA8D2EE"/>
    <w:rsid w:val="4C91E731"/>
    <w:rsid w:val="4C93C9AE"/>
    <w:rsid w:val="4CD1F6CC"/>
    <w:rsid w:val="511D15DA"/>
    <w:rsid w:val="51CBC49F"/>
    <w:rsid w:val="52E3E14A"/>
    <w:rsid w:val="55E90541"/>
    <w:rsid w:val="57654230"/>
    <w:rsid w:val="5884876E"/>
    <w:rsid w:val="5945A71E"/>
    <w:rsid w:val="598BDA44"/>
    <w:rsid w:val="5B53DE62"/>
    <w:rsid w:val="5ED13EA1"/>
    <w:rsid w:val="5F47F055"/>
    <w:rsid w:val="613571BE"/>
    <w:rsid w:val="6561BAF5"/>
    <w:rsid w:val="657BB39D"/>
    <w:rsid w:val="663634E4"/>
    <w:rsid w:val="674A5EDC"/>
    <w:rsid w:val="67E54062"/>
    <w:rsid w:val="6A65880C"/>
    <w:rsid w:val="6D03953C"/>
    <w:rsid w:val="6D390C6F"/>
    <w:rsid w:val="6E6D20E9"/>
    <w:rsid w:val="713B6C3D"/>
    <w:rsid w:val="7246B2E6"/>
    <w:rsid w:val="7582E22E"/>
    <w:rsid w:val="76F9A4D1"/>
    <w:rsid w:val="77518622"/>
    <w:rsid w:val="77BD67B9"/>
    <w:rsid w:val="786F2DA0"/>
    <w:rsid w:val="78E9867C"/>
    <w:rsid w:val="79FE065D"/>
    <w:rsid w:val="7A3AC017"/>
    <w:rsid w:val="7CFA8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74370"/>
  <w15:chartTrackingRefBased/>
  <w15:docId w15:val="{1FDECFAA-92B8-4324-872B-DE4C2F2D9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227A21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7A213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27A2131"/>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5814</Words>
  <Characters>33143</Characters>
  <Application>Microsoft Office Word</Application>
  <DocSecurity>0</DocSecurity>
  <Lines>276</Lines>
  <Paragraphs>77</Paragraphs>
  <ScaleCrop>false</ScaleCrop>
  <Company/>
  <LinksUpToDate>false</LinksUpToDate>
  <CharactersWithSpaces>38880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Petrisor Iulian Linguraru (2331770)</dc:creator>
  <cp:keywords/>
  <dc:description/>
  <cp:lastModifiedBy>Petrisor Iulian Linguraru (2331770)</cp:lastModifiedBy>
  <cp:revision>2</cp:revision>
  <dcterms:created xsi:type="dcterms:W3CDTF">2025-11-27T14:01:00Z</dcterms:created>
  <dcterms:modified xsi:type="dcterms:W3CDTF">2025-11-27T14:01:00Z</dcterms:modified>
</cp:coreProperties>
</file>