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E5F62" w14:textId="3565EC35" w:rsidR="006327CF" w:rsidRDefault="006327CF" w:rsidP="006327CF">
      <w:pPr>
        <w:pStyle w:val="ListParagraph"/>
        <w:tabs>
          <w:tab w:val="left" w:pos="-1440"/>
          <w:tab w:val="left" w:pos="-720"/>
          <w:tab w:val="left" w:pos="0"/>
        </w:tabs>
        <w:suppressAutoHyphens/>
        <w:spacing w:line="240" w:lineRule="atLeast"/>
        <w:ind w:left="360" w:hanging="360"/>
        <w:jc w:val="center"/>
      </w:pPr>
      <w:r>
        <w:t>Portfolio Commentary I</w:t>
      </w:r>
    </w:p>
    <w:p w14:paraId="75B89C12" w14:textId="77777777" w:rsidR="006327CF" w:rsidRDefault="006327CF" w:rsidP="006327CF">
      <w:pPr>
        <w:pStyle w:val="ListParagraph"/>
        <w:tabs>
          <w:tab w:val="left" w:pos="-1440"/>
          <w:tab w:val="left" w:pos="-720"/>
          <w:tab w:val="left" w:pos="0"/>
        </w:tabs>
        <w:suppressAutoHyphens/>
        <w:spacing w:line="240" w:lineRule="atLeast"/>
        <w:ind w:left="360" w:hanging="360"/>
      </w:pPr>
    </w:p>
    <w:p w14:paraId="6760143F" w14:textId="77777777" w:rsidR="006327CF" w:rsidRDefault="006327CF" w:rsidP="006327CF">
      <w:pPr>
        <w:pStyle w:val="ListParagraph"/>
        <w:tabs>
          <w:tab w:val="left" w:pos="-1440"/>
          <w:tab w:val="left" w:pos="-720"/>
          <w:tab w:val="left" w:pos="0"/>
        </w:tabs>
        <w:suppressAutoHyphens/>
        <w:spacing w:line="240" w:lineRule="atLeast"/>
        <w:ind w:left="360" w:hanging="360"/>
        <w:jc w:val="center"/>
      </w:pPr>
    </w:p>
    <w:p w14:paraId="04EDCF80" w14:textId="7A1DF5A9" w:rsidR="004E6AC8" w:rsidRPr="003F1D50" w:rsidRDefault="006327CF" w:rsidP="004E6AC8">
      <w:pPr>
        <w:pStyle w:val="ListParagraph"/>
        <w:tabs>
          <w:tab w:val="left" w:pos="-1440"/>
          <w:tab w:val="left" w:pos="-720"/>
          <w:tab w:val="left" w:pos="0"/>
        </w:tabs>
        <w:suppressAutoHyphens/>
        <w:spacing w:line="240" w:lineRule="atLeast"/>
        <w:ind w:left="360" w:hanging="360"/>
        <w:jc w:val="both"/>
        <w:rPr>
          <w:spacing w:val="-3"/>
        </w:rPr>
      </w:pPr>
      <w:r>
        <w:tab/>
      </w:r>
      <w:r w:rsidR="004E6AC8" w:rsidRPr="003F1D50">
        <w:t>T</w:t>
      </w:r>
      <w:r w:rsidR="004E6AC8" w:rsidRPr="003F1D50">
        <w:rPr>
          <w:spacing w:val="-3"/>
        </w:rPr>
        <w:t xml:space="preserve">here are evidently four kinds of monks. The first are the Cenobites, that is, those who live in monasteries, serving under a Rule and an abbot. The second are the anchorites or hermits, that is those who not in the first fervour of their conversion, but after long probation in a monastery, having learned in association with many brethren how to fight against the devil, go out well armed from the ranks of the community to the solitary combat of the desert. </w:t>
      </w:r>
      <w:bookmarkStart w:id="0" w:name="_Hlk32667988"/>
      <w:r w:rsidR="004E6AC8" w:rsidRPr="003F1D50">
        <w:rPr>
          <w:spacing w:val="-3"/>
        </w:rPr>
        <w:t>They are able now to live without the help of others, and by their own strength and God’s assistance, to fight against the temptation of mind and body.</w:t>
      </w:r>
    </w:p>
    <w:bookmarkEnd w:id="0"/>
    <w:p w14:paraId="323E06BE" w14:textId="77777777" w:rsidR="004E6AC8" w:rsidRPr="003F1D50" w:rsidRDefault="004E6AC8" w:rsidP="004E6AC8">
      <w:pPr>
        <w:tabs>
          <w:tab w:val="left" w:pos="-1440"/>
          <w:tab w:val="left" w:pos="-720"/>
          <w:tab w:val="left" w:pos="0"/>
        </w:tabs>
        <w:suppressAutoHyphens/>
        <w:spacing w:line="240" w:lineRule="atLeast"/>
        <w:ind w:left="720" w:hanging="360"/>
        <w:jc w:val="both"/>
        <w:rPr>
          <w:i/>
          <w:iCs/>
          <w:spacing w:val="-3"/>
        </w:rPr>
      </w:pPr>
      <w:r w:rsidRPr="003F1D50">
        <w:rPr>
          <w:spacing w:val="-3"/>
        </w:rPr>
        <w:tab/>
      </w:r>
      <w:r w:rsidRPr="003F1D50">
        <w:rPr>
          <w:spacing w:val="-3"/>
        </w:rPr>
        <w:tab/>
        <w:t>(</w:t>
      </w:r>
      <w:r w:rsidRPr="003F1D50">
        <w:rPr>
          <w:i/>
          <w:spacing w:val="-3"/>
        </w:rPr>
        <w:t>Rule of St Benedict</w:t>
      </w:r>
      <w:r w:rsidRPr="003F1D50">
        <w:rPr>
          <w:iCs/>
          <w:spacing w:val="-3"/>
        </w:rPr>
        <w:t>)</w:t>
      </w:r>
    </w:p>
    <w:p w14:paraId="32773301" w14:textId="33AEB3A2" w:rsidR="0057393B" w:rsidRDefault="0057393B" w:rsidP="005F06AA">
      <w:pPr>
        <w:spacing w:line="360" w:lineRule="auto"/>
        <w:jc w:val="both"/>
        <w:rPr>
          <w:b/>
          <w:bCs/>
        </w:rPr>
      </w:pPr>
    </w:p>
    <w:p w14:paraId="429387D7" w14:textId="77777777" w:rsidR="00186ED5" w:rsidRPr="005F06AA" w:rsidRDefault="00186ED5" w:rsidP="005F06AA">
      <w:pPr>
        <w:spacing w:line="360" w:lineRule="auto"/>
        <w:jc w:val="both"/>
        <w:rPr>
          <w:b/>
          <w:bCs/>
        </w:rPr>
      </w:pPr>
    </w:p>
    <w:p w14:paraId="5B27DE8C" w14:textId="618968BF" w:rsidR="005F06AA" w:rsidRDefault="00D63FEE" w:rsidP="005F06AA">
      <w:pPr>
        <w:spacing w:line="360" w:lineRule="auto"/>
        <w:jc w:val="both"/>
      </w:pPr>
      <w:r>
        <w:t xml:space="preserve">St Benedict of </w:t>
      </w:r>
      <w:proofErr w:type="spellStart"/>
      <w:r>
        <w:t>Nursia</w:t>
      </w:r>
      <w:proofErr w:type="spellEnd"/>
      <w:r>
        <w:t xml:space="preserve"> lived between c. 480 and 547 in Italy</w:t>
      </w:r>
      <w:r w:rsidR="00C309FF">
        <w:t xml:space="preserve"> and, towards the end of his </w:t>
      </w:r>
      <w:proofErr w:type="gramStart"/>
      <w:r w:rsidR="00C309FF">
        <w:t>life,  wrote</w:t>
      </w:r>
      <w:proofErr w:type="gramEnd"/>
      <w:r w:rsidR="00C309FF">
        <w:t xml:space="preserve"> a text known as the Rule of St Benedict</w:t>
      </w:r>
      <w:r>
        <w:t xml:space="preserve">. </w:t>
      </w:r>
      <w:r w:rsidR="002D7CD1">
        <w:t>This quote</w:t>
      </w:r>
      <w:r>
        <w:t xml:space="preserve"> is from the </w:t>
      </w:r>
      <w:r w:rsidR="00C309FF">
        <w:t>first</w:t>
      </w:r>
      <w:r>
        <w:t xml:space="preserve"> chapter</w:t>
      </w:r>
      <w:r w:rsidR="00294F3B">
        <w:t xml:space="preserve"> </w:t>
      </w:r>
      <w:r w:rsidR="002E4796">
        <w:t xml:space="preserve">in which </w:t>
      </w:r>
      <w:r w:rsidR="006B1A0B">
        <w:t>he names</w:t>
      </w:r>
      <w:r w:rsidR="003A76E0">
        <w:t xml:space="preserve"> </w:t>
      </w:r>
      <w:r w:rsidR="00D63FA3">
        <w:t>four kinds of monks</w:t>
      </w:r>
      <w:r w:rsidR="003A76E0">
        <w:t>:</w:t>
      </w:r>
      <w:r w:rsidR="00D63FA3">
        <w:t xml:space="preserve"> Cenobites, Anchorites, Sarabites and Gyrovagues. The last two he considers </w:t>
      </w:r>
      <w:r w:rsidR="001B614F">
        <w:t>un</w:t>
      </w:r>
      <w:r w:rsidR="00D63FA3">
        <w:t>worthy of substantial comment</w:t>
      </w:r>
      <w:r w:rsidR="003A76E0">
        <w:t xml:space="preserve">: Sarabites are detestable and </w:t>
      </w:r>
      <w:r w:rsidR="003A76E0" w:rsidRPr="003A76E0">
        <w:t xml:space="preserve">Gyrovagues </w:t>
      </w:r>
      <w:r w:rsidR="00D63FA3" w:rsidRPr="003A76E0">
        <w:t>parasitical.</w:t>
      </w:r>
      <w:r w:rsidR="000F1A55">
        <w:rPr>
          <w:rStyle w:val="FootnoteReference"/>
        </w:rPr>
        <w:footnoteReference w:id="1"/>
      </w:r>
      <w:r w:rsidR="00D158BA">
        <w:t xml:space="preserve"> He</w:t>
      </w:r>
      <w:r w:rsidR="00294F3B">
        <w:t xml:space="preserve"> tells us that</w:t>
      </w:r>
      <w:r w:rsidR="002D7CD1">
        <w:t xml:space="preserve"> cenobites</w:t>
      </w:r>
      <w:r w:rsidR="00294F3B">
        <w:t xml:space="preserve"> are strongest</w:t>
      </w:r>
      <w:r w:rsidR="002D7CD1">
        <w:t xml:space="preserve"> and i</w:t>
      </w:r>
      <w:r w:rsidR="003A76E0">
        <w:t>t is for these monks that his Rule is composed.</w:t>
      </w:r>
      <w:r w:rsidR="00F22E61">
        <w:t xml:space="preserve"> </w:t>
      </w:r>
      <w:r w:rsidR="00F22E61" w:rsidRPr="008E3D70">
        <w:t>“</w:t>
      </w:r>
      <w:r w:rsidR="00F534A3">
        <w:rPr>
          <w:color w:val="000000"/>
        </w:rPr>
        <w:t>…</w:t>
      </w:r>
      <w:r w:rsidR="00F22E61" w:rsidRPr="008E3D70">
        <w:rPr>
          <w:color w:val="000000"/>
        </w:rPr>
        <w:t xml:space="preserve"> let us proceed, with God’s help, to lay down a rule for the strongest kind of monks, the Cenobites</w:t>
      </w:r>
      <w:r w:rsidR="00F22E61" w:rsidRPr="00201CB2">
        <w:rPr>
          <w:color w:val="000000"/>
        </w:rPr>
        <w:t>.”</w:t>
      </w:r>
      <w:r w:rsidR="00F22E61" w:rsidRPr="00201CB2">
        <w:rPr>
          <w:rStyle w:val="FootnoteReference"/>
          <w:color w:val="000000"/>
        </w:rPr>
        <w:footnoteReference w:id="2"/>
      </w:r>
      <w:r w:rsidR="003A76E0" w:rsidRPr="00201CB2">
        <w:t xml:space="preserve"> </w:t>
      </w:r>
      <w:r w:rsidR="001B614F">
        <w:t>E</w:t>
      </w:r>
      <w:r w:rsidR="00201CB2">
        <w:t>xpected to be obedient and stable</w:t>
      </w:r>
      <w:r w:rsidR="001B614F">
        <w:t>,</w:t>
      </w:r>
      <w:r w:rsidR="00201CB2">
        <w:t xml:space="preserve"> perhaps this is why Benedict considered them strongest, because they stayed where their vocation had brought them, inside the monastery.</w:t>
      </w:r>
      <w:r w:rsidR="005F06AA" w:rsidRPr="00201CB2">
        <w:t xml:space="preserve"> </w:t>
      </w:r>
      <w:r w:rsidR="00D158BA">
        <w:t>He</w:t>
      </w:r>
      <w:r w:rsidR="00BE7B1E">
        <w:t xml:space="preserve"> considered that</w:t>
      </w:r>
      <w:r w:rsidR="00BE7B1E">
        <w:t xml:space="preserve"> Anchorites</w:t>
      </w:r>
      <w:r w:rsidR="00BE7B1E">
        <w:t xml:space="preserve"> who successfully undertook the eremitical life were</w:t>
      </w:r>
      <w:r w:rsidR="001B614F">
        <w:t xml:space="preserve"> </w:t>
      </w:r>
      <w:r w:rsidR="00BE7B1E">
        <w:t xml:space="preserve">strong, but only as a result of their </w:t>
      </w:r>
      <w:r w:rsidR="001B614F">
        <w:t xml:space="preserve">monastic </w:t>
      </w:r>
      <w:proofErr w:type="spellStart"/>
      <w:r w:rsidR="00BE7B1E">
        <w:t>trainin</w:t>
      </w:r>
      <w:proofErr w:type="spellEnd"/>
      <w:r w:rsidR="00BE7B1E">
        <w:t xml:space="preserve">. </w:t>
      </w:r>
      <w:r w:rsidR="005F06AA" w:rsidRPr="00201CB2">
        <w:t>This</w:t>
      </w:r>
      <w:r w:rsidR="005F06AA" w:rsidRPr="005F06AA">
        <w:t xml:space="preserve"> is not the only rule for monastic living,</w:t>
      </w:r>
      <w:r w:rsidR="00FB5771">
        <w:t xml:space="preserve"> the other major work of this kind being the Rule of St </w:t>
      </w:r>
      <w:proofErr w:type="spellStart"/>
      <w:r w:rsidR="00FB5771">
        <w:t>Agustine</w:t>
      </w:r>
      <w:proofErr w:type="spellEnd"/>
      <w:r w:rsidR="00FB5771">
        <w:t>,</w:t>
      </w:r>
      <w:r w:rsidR="005F06AA" w:rsidRPr="005F06AA">
        <w:t xml:space="preserve"> and it is </w:t>
      </w:r>
      <w:r w:rsidR="00D46565">
        <w:t>now believed</w:t>
      </w:r>
      <w:r w:rsidR="005F06AA" w:rsidRPr="005F06AA">
        <w:t xml:space="preserve"> that Benedict’s Rule was composed from the </w:t>
      </w:r>
      <w:r w:rsidR="005F06AA" w:rsidRPr="00BE7B1E">
        <w:t>Rule of the Mast</w:t>
      </w:r>
      <w:r w:rsidR="00BE7B1E">
        <w:t>er, a</w:t>
      </w:r>
      <w:r w:rsidR="00AA37D9">
        <w:t>n</w:t>
      </w:r>
      <w:r w:rsidR="00BE7B1E">
        <w:t xml:space="preserve"> earlier</w:t>
      </w:r>
      <w:r w:rsidR="00AA37D9">
        <w:t>,</w:t>
      </w:r>
      <w:r w:rsidR="00BE7B1E">
        <w:t xml:space="preserve"> longer text written by an unknown abbot.</w:t>
      </w:r>
      <w:r w:rsidR="00BE7B1E">
        <w:rPr>
          <w:rStyle w:val="FootnoteReference"/>
        </w:rPr>
        <w:footnoteReference w:id="3"/>
      </w:r>
    </w:p>
    <w:p w14:paraId="1D5A82CA" w14:textId="77777777" w:rsidR="00AA37D9" w:rsidRDefault="00AA37D9" w:rsidP="005F06AA">
      <w:pPr>
        <w:spacing w:line="360" w:lineRule="auto"/>
        <w:jc w:val="both"/>
      </w:pPr>
    </w:p>
    <w:p w14:paraId="52C5ADDB" w14:textId="417EEBF5" w:rsidR="005F06AA" w:rsidRDefault="008D0104" w:rsidP="004A1B7E">
      <w:pPr>
        <w:pStyle w:val="pnext"/>
        <w:spacing w:before="0" w:beforeAutospacing="0" w:after="0" w:afterAutospacing="0" w:line="360" w:lineRule="auto"/>
        <w:jc w:val="both"/>
      </w:pPr>
      <w:r>
        <w:t>This chapter, if we believe Gregory the Great’s biography of Benedict, is written from experience. Gregory</w:t>
      </w:r>
      <w:r w:rsidR="0000677C">
        <w:t>,</w:t>
      </w:r>
      <w:r>
        <w:t xml:space="preserve"> wr</w:t>
      </w:r>
      <w:r w:rsidR="001B614F">
        <w:t>i</w:t>
      </w:r>
      <w:r>
        <w:t>t</w:t>
      </w:r>
      <w:r w:rsidR="0000677C">
        <w:t>ing</w:t>
      </w:r>
      <w:r>
        <w:t xml:space="preserve"> almost fifty years after Benedict’s death and from reports from four of Benedict’s fellow monks</w:t>
      </w:r>
      <w:r w:rsidR="0000677C">
        <w:t xml:space="preserve">, </w:t>
      </w:r>
      <w:r w:rsidR="00F56CD2">
        <w:t>clear</w:t>
      </w:r>
      <w:r w:rsidR="00B31365">
        <w:t>l</w:t>
      </w:r>
      <w:r w:rsidR="0000677C">
        <w:t>y</w:t>
      </w:r>
      <w:r w:rsidR="00F56CD2">
        <w:t xml:space="preserve"> admired Benedict</w:t>
      </w:r>
      <w:r>
        <w:t>.</w:t>
      </w:r>
      <w:r w:rsidR="006A40B7">
        <w:rPr>
          <w:rStyle w:val="FootnoteReference"/>
        </w:rPr>
        <w:footnoteReference w:id="4"/>
      </w:r>
      <w:r>
        <w:t xml:space="preserve"> He tells us that </w:t>
      </w:r>
      <w:r w:rsidR="001C70C4">
        <w:t xml:space="preserve">Benedict had been a hermit </w:t>
      </w:r>
      <w:r>
        <w:t xml:space="preserve">after leaving home and had, from a young age, shown </w:t>
      </w:r>
      <w:r w:rsidRPr="008D0104">
        <w:rPr>
          <w:i/>
          <w:iCs/>
        </w:rPr>
        <w:t>contemptus mundi</w:t>
      </w:r>
      <w:r>
        <w:t xml:space="preserve"> ‘… abandoning the study of literature and leaving his father’s home and property, wishing to please </w:t>
      </w:r>
      <w:r>
        <w:lastRenderedPageBreak/>
        <w:t xml:space="preserve">God alone, he went in search of the habit of a holy way of life. He therefore withdrew, knowledgeably ignorant and </w:t>
      </w:r>
      <w:r w:rsidRPr="00CE750B">
        <w:t>wisely unlearned.’</w:t>
      </w:r>
      <w:r w:rsidR="00F22E61" w:rsidRPr="00CE750B">
        <w:rPr>
          <w:rStyle w:val="FootnoteReference"/>
        </w:rPr>
        <w:footnoteReference w:id="5"/>
      </w:r>
      <w:r w:rsidR="00E00389" w:rsidRPr="00CE750B">
        <w:t xml:space="preserve"> </w:t>
      </w:r>
      <w:r w:rsidR="00CE750B">
        <w:t>Some years later</w:t>
      </w:r>
      <w:r w:rsidR="006A40B7" w:rsidRPr="00CE750B">
        <w:t xml:space="preserve"> </w:t>
      </w:r>
      <w:r w:rsidR="00B94027">
        <w:t>Benedict</w:t>
      </w:r>
      <w:r w:rsidR="006A40B7" w:rsidRPr="00CE750B">
        <w:t xml:space="preserve"> became a hermit, living in a cave for three years</w:t>
      </w:r>
      <w:r w:rsidR="00047D35" w:rsidRPr="00CE750B">
        <w:t>.</w:t>
      </w:r>
      <w:r w:rsidR="004A1B7E">
        <w:rPr>
          <w:b/>
          <w:bCs/>
        </w:rPr>
        <w:t xml:space="preserve"> </w:t>
      </w:r>
      <w:r w:rsidR="004A1B7E">
        <w:t xml:space="preserve">St Basil, living in the mid fourth century, was seen as the founder of the cenobitic life, his life overlapping with that of St Anthony, a hermit and the model for hermits to come. St Basil wrote rules for his monks and, in his Little </w:t>
      </w:r>
      <w:proofErr w:type="spellStart"/>
      <w:r w:rsidR="004A1B7E">
        <w:t>Asceticon</w:t>
      </w:r>
      <w:proofErr w:type="spellEnd"/>
      <w:r w:rsidR="004A1B7E">
        <w:t>, wrote: ‘If you live alone, whose feet will you wash?’</w:t>
      </w:r>
      <w:r w:rsidR="004A1B7E">
        <w:rPr>
          <w:rStyle w:val="FootnoteReference"/>
        </w:rPr>
        <w:footnoteReference w:id="6"/>
      </w:r>
      <w:r w:rsidR="004A1B7E">
        <w:t xml:space="preserve"> From the Rule it seems that Benedict preferred Basil’s though</w:t>
      </w:r>
      <w:r w:rsidR="00CE750B">
        <w:t>t</w:t>
      </w:r>
      <w:r w:rsidR="004A1B7E">
        <w:t xml:space="preserve"> to that of</w:t>
      </w:r>
      <w:r w:rsidR="00CE750B">
        <w:t xml:space="preserve"> St</w:t>
      </w:r>
      <w:r w:rsidR="004A1B7E">
        <w:t xml:space="preserve"> Anthony. </w:t>
      </w:r>
      <w:r w:rsidR="004A1B7E">
        <w:t xml:space="preserve">Although the eremitic life could be seen to follow the ideal of Christ’s forty days and nights in the wilderness, the coenobitic life followed the </w:t>
      </w:r>
      <w:r w:rsidR="004A1B7E" w:rsidRPr="004A1B7E">
        <w:rPr>
          <w:i/>
          <w:iCs/>
        </w:rPr>
        <w:t xml:space="preserve">vita </w:t>
      </w:r>
      <w:proofErr w:type="spellStart"/>
      <w:r w:rsidR="004A1B7E" w:rsidRPr="004A1B7E">
        <w:rPr>
          <w:i/>
          <w:iCs/>
        </w:rPr>
        <w:t>apostolica</w:t>
      </w:r>
      <w:proofErr w:type="spellEnd"/>
      <w:r w:rsidR="004A1B7E" w:rsidRPr="004A1B7E">
        <w:t>, perhaps more appropriate to mere men.</w:t>
      </w:r>
    </w:p>
    <w:p w14:paraId="2DC58C33" w14:textId="127C36AC" w:rsidR="00F22E61" w:rsidRDefault="00F22E61" w:rsidP="005F06AA">
      <w:pPr>
        <w:spacing w:line="360" w:lineRule="auto"/>
        <w:jc w:val="both"/>
      </w:pPr>
    </w:p>
    <w:p w14:paraId="14D684F5" w14:textId="6F844CB0" w:rsidR="0047345A" w:rsidRDefault="0038020B" w:rsidP="005F06AA">
      <w:pPr>
        <w:spacing w:line="360" w:lineRule="auto"/>
        <w:jc w:val="both"/>
      </w:pPr>
      <w:r>
        <w:t>Benedict</w:t>
      </w:r>
      <w:r w:rsidR="006A40B7">
        <w:t xml:space="preserve">’s own experiences of life as </w:t>
      </w:r>
      <w:r>
        <w:t>hermit</w:t>
      </w:r>
      <w:r w:rsidR="006A40B7">
        <w:t xml:space="preserve"> and </w:t>
      </w:r>
      <w:r w:rsidR="00B31365">
        <w:t>then</w:t>
      </w:r>
      <w:r w:rsidR="00B94027">
        <w:t xml:space="preserve"> </w:t>
      </w:r>
      <w:r w:rsidR="006A40B7">
        <w:t>abbot gave</w:t>
      </w:r>
      <w:r w:rsidR="00B94027">
        <w:t xml:space="preserve"> him</w:t>
      </w:r>
      <w:r w:rsidR="006A40B7">
        <w:t xml:space="preserve"> </w:t>
      </w:r>
      <w:r w:rsidR="00864399">
        <w:t xml:space="preserve">authority </w:t>
      </w:r>
      <w:r w:rsidR="006A40B7">
        <w:t xml:space="preserve">to dictate how the religious life </w:t>
      </w:r>
      <w:r w:rsidR="00EB329A">
        <w:t>should</w:t>
      </w:r>
      <w:r w:rsidR="006A40B7">
        <w:t xml:space="preserve"> be lived. He</w:t>
      </w:r>
      <w:r>
        <w:t xml:space="preserve"> </w:t>
      </w:r>
      <w:r w:rsidR="005243AC">
        <w:t>considered</w:t>
      </w:r>
      <w:r w:rsidR="006A40B7">
        <w:t xml:space="preserve"> that the hermit’s life was </w:t>
      </w:r>
      <w:r>
        <w:t xml:space="preserve">to be undertaken </w:t>
      </w:r>
      <w:r w:rsidR="00D158BA">
        <w:t xml:space="preserve">only </w:t>
      </w:r>
      <w:r>
        <w:t xml:space="preserve">by those who </w:t>
      </w:r>
      <w:r w:rsidR="00D158BA">
        <w:t>had</w:t>
      </w:r>
      <w:r>
        <w:t xml:space="preserve"> learn</w:t>
      </w:r>
      <w:r w:rsidR="00D158BA">
        <w:t>ed</w:t>
      </w:r>
      <w:r>
        <w:t xml:space="preserve"> to obey and to </w:t>
      </w:r>
      <w:r w:rsidR="003F61AA">
        <w:t xml:space="preserve">‘fight against the devil’, living a solitary life without the support of brothers or abbot. </w:t>
      </w:r>
      <w:r w:rsidR="005243AC">
        <w:t xml:space="preserve">Although </w:t>
      </w:r>
      <w:r w:rsidR="00B94027">
        <w:t>the decision to become a hermit</w:t>
      </w:r>
      <w:r w:rsidR="005243AC">
        <w:t xml:space="preserve"> perhaps demonstrated a lack of that essential virtue stability,</w:t>
      </w:r>
      <w:r w:rsidR="00A63E1D">
        <w:t xml:space="preserve"> the need for self-discipline </w:t>
      </w:r>
      <w:r w:rsidR="005243AC">
        <w:t>was</w:t>
      </w:r>
      <w:r w:rsidR="00A63E1D">
        <w:t xml:space="preserve"> even greater in </w:t>
      </w:r>
      <w:r w:rsidR="001B614F">
        <w:t>the</w:t>
      </w:r>
      <w:r w:rsidR="005243AC">
        <w:t xml:space="preserve"> </w:t>
      </w:r>
      <w:r w:rsidR="006E0DB0">
        <w:t>hermitage</w:t>
      </w:r>
      <w:r w:rsidR="00A63E1D">
        <w:t xml:space="preserve">. </w:t>
      </w:r>
      <w:r w:rsidR="00627604">
        <w:t>That Benedict turned from his solitary life does not mean</w:t>
      </w:r>
      <w:r w:rsidR="005F06AA">
        <w:t xml:space="preserve"> that </w:t>
      </w:r>
      <w:r w:rsidR="00627604">
        <w:t xml:space="preserve">he </w:t>
      </w:r>
      <w:r w:rsidR="005F06AA">
        <w:t xml:space="preserve">failed as a hermit but </w:t>
      </w:r>
      <w:r w:rsidR="00627604">
        <w:t>having</w:t>
      </w:r>
      <w:r w:rsidR="005F06AA">
        <w:t xml:space="preserve"> later</w:t>
      </w:r>
      <w:r w:rsidR="00627604">
        <w:t xml:space="preserve"> been</w:t>
      </w:r>
      <w:r w:rsidR="005F06AA">
        <w:t xml:space="preserve"> begged by a group of monks to become their abbot</w:t>
      </w:r>
      <w:r w:rsidR="005F06AA">
        <w:rPr>
          <w:rStyle w:val="FootnoteReference"/>
        </w:rPr>
        <w:footnoteReference w:id="7"/>
      </w:r>
      <w:r w:rsidR="005F06AA">
        <w:t xml:space="preserve"> </w:t>
      </w:r>
      <w:r w:rsidR="00627604">
        <w:t xml:space="preserve">he needed to </w:t>
      </w:r>
      <w:proofErr w:type="gramStart"/>
      <w:r w:rsidR="005F06AA">
        <w:t>found</w:t>
      </w:r>
      <w:proofErr w:type="gramEnd"/>
      <w:r w:rsidR="005F06AA">
        <w:t xml:space="preserve"> </w:t>
      </w:r>
      <w:r w:rsidR="0094205E">
        <w:t>a</w:t>
      </w:r>
      <w:r w:rsidR="005F06AA">
        <w:t xml:space="preserve"> monastery where he wrote the Rule.</w:t>
      </w:r>
      <w:r w:rsidR="00D158BA">
        <w:t xml:space="preserve"> </w:t>
      </w:r>
      <w:r w:rsidR="001D5D3F">
        <w:t>Militaristic language is often used to describe the religious life, both in the Rule and in other works of the same genre. At the end of this quote Benedict says of hermits: ‘They are now able to live without the help of others, and by their own strength and God’s assistance, to fight against the temptation of mind and body.’</w:t>
      </w:r>
      <w:r w:rsidR="001D5D3F">
        <w:rPr>
          <w:rStyle w:val="FootnoteReference"/>
        </w:rPr>
        <w:footnoteReference w:id="8"/>
      </w:r>
      <w:r w:rsidR="001D5D3F">
        <w:t xml:space="preserve"> This language reappears in</w:t>
      </w:r>
      <w:r w:rsidR="000F1A55">
        <w:t>, for example,</w:t>
      </w:r>
      <w:r w:rsidR="001D5D3F">
        <w:t xml:space="preserve"> the </w:t>
      </w:r>
      <w:r w:rsidR="000A1274">
        <w:t xml:space="preserve">first chapter of the </w:t>
      </w:r>
      <w:r w:rsidR="001D5D3F">
        <w:t xml:space="preserve">Cistercian </w:t>
      </w:r>
      <w:r w:rsidR="001D5D3F" w:rsidRPr="001D5D3F">
        <w:rPr>
          <w:i/>
          <w:iCs/>
        </w:rPr>
        <w:t xml:space="preserve">Exordium </w:t>
      </w:r>
      <w:proofErr w:type="spellStart"/>
      <w:r w:rsidR="000F1A55">
        <w:rPr>
          <w:i/>
          <w:iCs/>
        </w:rPr>
        <w:t>Cistercii</w:t>
      </w:r>
      <w:proofErr w:type="spellEnd"/>
      <w:r w:rsidR="000F1A55">
        <w:rPr>
          <w:i/>
          <w:iCs/>
        </w:rPr>
        <w:t xml:space="preserve"> </w:t>
      </w:r>
      <w:r w:rsidR="000F1A55" w:rsidRPr="000F1A55">
        <w:t>in which the monks are described as</w:t>
      </w:r>
      <w:r w:rsidR="000F1A55">
        <w:rPr>
          <w:i/>
          <w:iCs/>
        </w:rPr>
        <w:t xml:space="preserve"> </w:t>
      </w:r>
      <w:r w:rsidR="000A1274">
        <w:rPr>
          <w:i/>
          <w:iCs/>
        </w:rPr>
        <w:t>‘</w:t>
      </w:r>
      <w:r w:rsidR="000A1274" w:rsidRPr="000A1274">
        <w:t xml:space="preserve">soldiers of Christ’ </w:t>
      </w:r>
      <w:r w:rsidR="000A1274">
        <w:t>.</w:t>
      </w:r>
      <w:r w:rsidR="000A1274">
        <w:rPr>
          <w:rStyle w:val="FootnoteReference"/>
        </w:rPr>
        <w:footnoteReference w:id="9"/>
      </w:r>
      <w:r w:rsidR="00D158BA">
        <w:t xml:space="preserve"> </w:t>
      </w:r>
    </w:p>
    <w:p w14:paraId="63357E8E" w14:textId="77777777" w:rsidR="00A10B45" w:rsidRDefault="00A10B45" w:rsidP="005F06AA">
      <w:pPr>
        <w:spacing w:line="360" w:lineRule="auto"/>
        <w:jc w:val="both"/>
      </w:pPr>
    </w:p>
    <w:p w14:paraId="04FF3CE1" w14:textId="3D13E9C4" w:rsidR="006E0DB0" w:rsidRDefault="008608AB" w:rsidP="006E0DB0">
      <w:pPr>
        <w:spacing w:line="360" w:lineRule="auto"/>
        <w:jc w:val="both"/>
      </w:pPr>
      <w:r>
        <w:t xml:space="preserve">At the time of the foundation of </w:t>
      </w:r>
      <w:bookmarkStart w:id="5" w:name="_Hlk32505716"/>
      <w:r>
        <w:t xml:space="preserve">Cîteaux </w:t>
      </w:r>
      <w:bookmarkEnd w:id="5"/>
      <w:r>
        <w:t>many had chosen the life of a hermit</w:t>
      </w:r>
      <w:r w:rsidR="00047D35">
        <w:t xml:space="preserve"> in</w:t>
      </w:r>
      <w:r w:rsidR="00D158BA">
        <w:t>, in</w:t>
      </w:r>
      <w:r w:rsidR="00047D35">
        <w:t xml:space="preserve"> Burton</w:t>
      </w:r>
      <w:r w:rsidR="00D158BA">
        <w:t xml:space="preserve">’s words </w:t>
      </w:r>
      <w:r w:rsidR="00047D35">
        <w:t>‘</w:t>
      </w:r>
      <w:r w:rsidR="00047D35">
        <w:t>t</w:t>
      </w:r>
      <w:r w:rsidR="00047D35">
        <w:t>he revival of the eremitical tradition’</w:t>
      </w:r>
      <w:r w:rsidR="00047D35">
        <w:t>.</w:t>
      </w:r>
      <w:r w:rsidR="00047D35">
        <w:rPr>
          <w:rStyle w:val="FootnoteReference"/>
        </w:rPr>
        <w:footnoteReference w:id="10"/>
      </w:r>
      <w:r w:rsidR="00047D35">
        <w:t xml:space="preserve"> This was in</w:t>
      </w:r>
      <w:r>
        <w:t xml:space="preserve"> response to the perceived falling standards in many monasteries. Some who wished a return to </w:t>
      </w:r>
      <w:r w:rsidR="0024668D">
        <w:t>stricter adherence to the Rule chose t</w:t>
      </w:r>
      <w:r w:rsidR="00047D35">
        <w:t>o</w:t>
      </w:r>
      <w:r w:rsidR="0024668D">
        <w:t xml:space="preserve"> </w:t>
      </w:r>
      <w:proofErr w:type="gramStart"/>
      <w:r w:rsidR="0024668D">
        <w:t>found</w:t>
      </w:r>
      <w:proofErr w:type="gramEnd"/>
      <w:r w:rsidR="0024668D">
        <w:t xml:space="preserve"> new monasteries, </w:t>
      </w:r>
      <w:bookmarkStart w:id="8" w:name="_Hlk32669733"/>
      <w:r w:rsidR="00047D35" w:rsidRPr="00E31988">
        <w:t>Cîteaux</w:t>
      </w:r>
      <w:bookmarkEnd w:id="8"/>
      <w:r w:rsidR="00047D35">
        <w:t xml:space="preserve"> becoming </w:t>
      </w:r>
      <w:r w:rsidR="0024668D">
        <w:t xml:space="preserve">the most </w:t>
      </w:r>
      <w:r w:rsidR="0024668D" w:rsidRPr="00E31988">
        <w:t>famous of these</w:t>
      </w:r>
      <w:r w:rsidR="00047D35">
        <w:t xml:space="preserve">. Just as men </w:t>
      </w:r>
      <w:r w:rsidR="00047D35">
        <w:lastRenderedPageBreak/>
        <w:t xml:space="preserve">seeking a more religious way of life had flocked to Benedict in his hermitage, men </w:t>
      </w:r>
      <w:r w:rsidR="006E0DB0">
        <w:t xml:space="preserve">soon </w:t>
      </w:r>
      <w:r w:rsidR="00047D35">
        <w:t xml:space="preserve">flocked to </w:t>
      </w:r>
      <w:r w:rsidR="00047D35" w:rsidRPr="00E31988">
        <w:t>Cîteaux</w:t>
      </w:r>
      <w:r w:rsidR="00047D35">
        <w:t xml:space="preserve">. Van Engen in ‘The Crisis of Cenobitism’ discusses the turning against the prevailing monastic existence in many abbeys, stating that </w:t>
      </w:r>
      <w:r w:rsidR="0047102C">
        <w:rPr>
          <w:color w:val="000000"/>
        </w:rPr>
        <w:t>‘… m</w:t>
      </w:r>
      <w:r w:rsidR="00E31988" w:rsidRPr="00E31988">
        <w:rPr>
          <w:color w:val="000000"/>
        </w:rPr>
        <w:t xml:space="preserve">onastic houses of his </w:t>
      </w:r>
      <w:r w:rsidR="00047D35">
        <w:rPr>
          <w:color w:val="000000"/>
        </w:rPr>
        <w:t xml:space="preserve">[Robert of </w:t>
      </w:r>
      <w:proofErr w:type="spellStart"/>
      <w:r w:rsidR="00047D35">
        <w:rPr>
          <w:color w:val="000000"/>
        </w:rPr>
        <w:t>Molesme’s</w:t>
      </w:r>
      <w:proofErr w:type="spellEnd"/>
      <w:r w:rsidR="00047D35">
        <w:rPr>
          <w:color w:val="000000"/>
        </w:rPr>
        <w:t xml:space="preserve">] </w:t>
      </w:r>
      <w:r w:rsidR="00E31988" w:rsidRPr="00E31988">
        <w:rPr>
          <w:color w:val="000000"/>
        </w:rPr>
        <w:t>day had become social institutions preoccupied with legal and economic affairs</w:t>
      </w:r>
      <w:r w:rsidR="0047102C">
        <w:rPr>
          <w:color w:val="000000"/>
        </w:rPr>
        <w:t>… rendering them entirely unfit to nurture the spiritual life.’</w:t>
      </w:r>
      <w:r w:rsidR="00E31988">
        <w:rPr>
          <w:rStyle w:val="FootnoteReference"/>
          <w:color w:val="000000"/>
        </w:rPr>
        <w:footnoteReference w:id="11"/>
      </w:r>
      <w:r w:rsidR="002D7CD1">
        <w:t xml:space="preserve"> </w:t>
      </w:r>
      <w:r w:rsidR="003B4E28">
        <w:t>While the ‘crisis’ of cenobitism of the eleventh and</w:t>
      </w:r>
      <w:r w:rsidR="001B614F">
        <w:t xml:space="preserve"> </w:t>
      </w:r>
      <w:r w:rsidR="003B4E28">
        <w:t xml:space="preserve">twelfth centuries </w:t>
      </w:r>
      <w:r w:rsidR="00D158BA">
        <w:t>did not</w:t>
      </w:r>
      <w:r w:rsidR="003B4E28">
        <w:t xml:space="preserve"> affect all orders, houses or monks, enough religious felt the need to return to a stricter interpretation of the Rule to found new houses and orders or to become and, sometimes, </w:t>
      </w:r>
      <w:r w:rsidR="003B4E28" w:rsidRPr="006814BF">
        <w:t xml:space="preserve">remain hermits. </w:t>
      </w:r>
      <w:r w:rsidR="006E0DB0">
        <w:t>As Burton has said ‘The desire to return to a life of poverty, the eremitical element, and devotion to the Rule of St Benedict cannot easily be separated, for those men who were inspires to establish communities with a strict interpretation of and adherence to the Rule were often also hermits.’</w:t>
      </w:r>
      <w:r w:rsidR="006E0DB0">
        <w:rPr>
          <w:rStyle w:val="FootnoteReference"/>
        </w:rPr>
        <w:footnoteReference w:id="12"/>
      </w:r>
    </w:p>
    <w:p w14:paraId="5CCCA20A" w14:textId="317153FE" w:rsidR="002401F7" w:rsidRPr="006814BF" w:rsidRDefault="002401F7" w:rsidP="005F06AA">
      <w:pPr>
        <w:spacing w:line="360" w:lineRule="auto"/>
        <w:jc w:val="both"/>
      </w:pPr>
    </w:p>
    <w:p w14:paraId="00B72DE2" w14:textId="5931A179" w:rsidR="006814BF" w:rsidRPr="006814BF" w:rsidRDefault="006814BF" w:rsidP="006814BF">
      <w:pPr>
        <w:spacing w:line="360" w:lineRule="auto"/>
        <w:jc w:val="both"/>
        <w:rPr>
          <w:color w:val="000000"/>
        </w:rPr>
      </w:pPr>
      <w:r w:rsidRPr="006814BF">
        <w:rPr>
          <w:color w:val="000000"/>
        </w:rPr>
        <w:t xml:space="preserve">In conclusion, one can say that Benedict clearly favoured the coenobitic lifestyle, considering that the hermitage was appropriate to very few, rigorously trained men. The monastery was akin to the life </w:t>
      </w:r>
      <w:r>
        <w:rPr>
          <w:color w:val="000000"/>
        </w:rPr>
        <w:t>described in the Acts of the Apostles:</w:t>
      </w:r>
      <w:r>
        <w:t xml:space="preserve"> ‘All who believed were together and had all things in common</w:t>
      </w:r>
      <w:r>
        <w:t>.</w:t>
      </w:r>
      <w:r>
        <w:t>’</w:t>
      </w:r>
      <w:r>
        <w:rPr>
          <w:rStyle w:val="FootnoteReference"/>
        </w:rPr>
        <w:footnoteReference w:id="13"/>
      </w:r>
      <w:r>
        <w:t xml:space="preserve"> If </w:t>
      </w:r>
      <w:r w:rsidR="001B614F">
        <w:t>monastic life</w:t>
      </w:r>
      <w:r>
        <w:t xml:space="preserve"> should follow the </w:t>
      </w:r>
      <w:r w:rsidRPr="006814BF">
        <w:rPr>
          <w:i/>
          <w:iCs/>
        </w:rPr>
        <w:t xml:space="preserve">vita </w:t>
      </w:r>
      <w:proofErr w:type="spellStart"/>
      <w:r w:rsidRPr="006814BF">
        <w:rPr>
          <w:i/>
          <w:iCs/>
        </w:rPr>
        <w:t>apostolica</w:t>
      </w:r>
      <w:proofErr w:type="spellEnd"/>
      <w:r>
        <w:t>, this was key</w:t>
      </w:r>
      <w:r w:rsidR="002D7CD1">
        <w:t xml:space="preserve">, and so, while the eremitical life was acceptable for the few, the coenobitic life was generally </w:t>
      </w:r>
      <w:r w:rsidR="001B614F">
        <w:t>preferable.</w:t>
      </w:r>
    </w:p>
    <w:p w14:paraId="559806DF" w14:textId="444C8E80" w:rsidR="00D158BA" w:rsidRDefault="00D158BA">
      <w:pPr>
        <w:spacing w:after="160" w:line="259" w:lineRule="auto"/>
        <w:rPr>
          <w:color w:val="000000"/>
          <w:sz w:val="27"/>
          <w:szCs w:val="27"/>
          <w:lang w:eastAsia="en-GB"/>
        </w:rPr>
      </w:pPr>
    </w:p>
    <w:p w14:paraId="4E8219E8" w14:textId="77777777" w:rsidR="00D158BA" w:rsidRDefault="00D158BA">
      <w:pPr>
        <w:spacing w:after="160" w:line="259" w:lineRule="auto"/>
        <w:rPr>
          <w:color w:val="000000"/>
          <w:sz w:val="27"/>
          <w:szCs w:val="27"/>
          <w:lang w:eastAsia="en-GB"/>
        </w:rPr>
      </w:pPr>
      <w:r>
        <w:rPr>
          <w:color w:val="000000"/>
          <w:sz w:val="27"/>
          <w:szCs w:val="27"/>
        </w:rPr>
        <w:br w:type="page"/>
      </w:r>
    </w:p>
    <w:p w14:paraId="7329C3A6" w14:textId="4803A29C" w:rsidR="00191C92" w:rsidRDefault="004A17DD" w:rsidP="005F06AA">
      <w:pPr>
        <w:pStyle w:val="center"/>
        <w:spacing w:before="0" w:beforeAutospacing="0" w:after="0" w:afterAutospacing="0"/>
        <w:jc w:val="both"/>
        <w:rPr>
          <w:rStyle w:val="xx-large"/>
          <w:color w:val="000000"/>
          <w:sz w:val="20"/>
          <w:szCs w:val="20"/>
        </w:rPr>
      </w:pPr>
      <w:r>
        <w:rPr>
          <w:color w:val="000000"/>
          <w:sz w:val="27"/>
          <w:szCs w:val="27"/>
        </w:rPr>
        <w:lastRenderedPageBreak/>
        <w:t>BIBLIOGRAPHY</w:t>
      </w:r>
      <w:r>
        <w:rPr>
          <w:color w:val="000000"/>
          <w:sz w:val="27"/>
          <w:szCs w:val="27"/>
        </w:rPr>
        <w:br/>
      </w:r>
    </w:p>
    <w:p w14:paraId="550C0629" w14:textId="654941C9" w:rsidR="00191C92" w:rsidRDefault="00955608" w:rsidP="005F06AA">
      <w:pPr>
        <w:pStyle w:val="center"/>
        <w:spacing w:before="0" w:beforeAutospacing="0" w:after="0" w:afterAutospacing="0"/>
        <w:jc w:val="both"/>
        <w:rPr>
          <w:rStyle w:val="xx-large"/>
          <w:color w:val="000000"/>
          <w:sz w:val="20"/>
          <w:szCs w:val="20"/>
        </w:rPr>
      </w:pPr>
      <w:r>
        <w:rPr>
          <w:rStyle w:val="xx-large"/>
          <w:color w:val="000000"/>
          <w:sz w:val="20"/>
          <w:szCs w:val="20"/>
        </w:rPr>
        <w:t>Primary sources:</w:t>
      </w:r>
    </w:p>
    <w:p w14:paraId="75512466" w14:textId="0533F9E2" w:rsidR="00E43890" w:rsidRDefault="00E43890" w:rsidP="005F06AA">
      <w:pPr>
        <w:jc w:val="both"/>
        <w:rPr>
          <w:sz w:val="20"/>
          <w:szCs w:val="20"/>
        </w:rPr>
      </w:pPr>
      <w:bookmarkStart w:id="10" w:name="_Hlk32671953"/>
      <w:r>
        <w:rPr>
          <w:rStyle w:val="xx-large"/>
          <w:color w:val="000000"/>
          <w:sz w:val="20"/>
          <w:szCs w:val="20"/>
        </w:rPr>
        <w:t xml:space="preserve">St Benedict, </w:t>
      </w:r>
      <w:r w:rsidR="004A17DD" w:rsidRPr="00E43890">
        <w:rPr>
          <w:rStyle w:val="xx-large"/>
          <w:i/>
          <w:iCs/>
          <w:color w:val="000000"/>
          <w:sz w:val="20"/>
          <w:szCs w:val="20"/>
        </w:rPr>
        <w:t>St. Benedict’s</w:t>
      </w:r>
      <w:r w:rsidR="004A17DD" w:rsidRPr="00E43890">
        <w:rPr>
          <w:i/>
          <w:iCs/>
          <w:color w:val="000000"/>
          <w:sz w:val="20"/>
          <w:szCs w:val="20"/>
        </w:rPr>
        <w:t xml:space="preserve"> </w:t>
      </w:r>
      <w:r w:rsidR="004A17DD" w:rsidRPr="00E43890">
        <w:rPr>
          <w:rStyle w:val="xx-large"/>
          <w:i/>
          <w:iCs/>
          <w:color w:val="000000"/>
          <w:sz w:val="20"/>
          <w:szCs w:val="20"/>
        </w:rPr>
        <w:t>Rule for Monasteries</w:t>
      </w:r>
      <w:r>
        <w:rPr>
          <w:rStyle w:val="xx-large"/>
          <w:i/>
          <w:iCs/>
          <w:color w:val="000000"/>
          <w:sz w:val="20"/>
          <w:szCs w:val="20"/>
        </w:rPr>
        <w:t xml:space="preserve"> </w:t>
      </w:r>
      <w:r>
        <w:rPr>
          <w:rStyle w:val="xx-large"/>
          <w:color w:val="000000"/>
          <w:sz w:val="20"/>
          <w:szCs w:val="20"/>
        </w:rPr>
        <w:t>trans.</w:t>
      </w:r>
      <w:r w:rsidRPr="00E43890">
        <w:rPr>
          <w:rStyle w:val="xx-large"/>
          <w:color w:val="000000"/>
          <w:sz w:val="20"/>
          <w:szCs w:val="20"/>
        </w:rPr>
        <w:t xml:space="preserve"> </w:t>
      </w:r>
      <w:r w:rsidRPr="005A608E">
        <w:rPr>
          <w:rStyle w:val="xx-large"/>
          <w:color w:val="000000"/>
          <w:sz w:val="20"/>
          <w:szCs w:val="20"/>
        </w:rPr>
        <w:t>Doyle</w:t>
      </w:r>
      <w:r>
        <w:rPr>
          <w:rStyle w:val="xx-large"/>
          <w:color w:val="000000"/>
          <w:sz w:val="20"/>
          <w:szCs w:val="20"/>
        </w:rPr>
        <w:t xml:space="preserve">, Leonard J. (Minnesota: The Liturgical Press, </w:t>
      </w:r>
      <w:r w:rsidRPr="00E43890">
        <w:rPr>
          <w:rStyle w:val="xx-large"/>
          <w:color w:val="000000"/>
          <w:sz w:val="20"/>
          <w:szCs w:val="20"/>
        </w:rPr>
        <w:t>1935)</w:t>
      </w:r>
      <w:r w:rsidRPr="00E43890">
        <w:rPr>
          <w:rStyle w:val="xx-large"/>
          <w:i/>
          <w:iCs/>
          <w:color w:val="000000"/>
          <w:sz w:val="20"/>
          <w:szCs w:val="20"/>
        </w:rPr>
        <w:t xml:space="preserve"> </w:t>
      </w:r>
      <w:bookmarkEnd w:id="10"/>
      <w:r w:rsidR="00C0268E">
        <w:fldChar w:fldCharType="begin"/>
      </w:r>
      <w:r w:rsidR="00C0268E">
        <w:instrText xml:space="preserve"> HYPERLINK "http://www.gutenberg.org/files/50040/50040-h/50040-h.html%20accessed%2010/02/2020" </w:instrText>
      </w:r>
      <w:r w:rsidR="00C0268E">
        <w:fldChar w:fldCharType="separate"/>
      </w:r>
      <w:r w:rsidRPr="00E43890">
        <w:rPr>
          <w:rStyle w:val="Hyperlink"/>
          <w:sz w:val="20"/>
          <w:szCs w:val="20"/>
        </w:rPr>
        <w:t>http://www.gutenberg.org/files/50040/50040-h/50040-h.html accessed 10/02/2020</w:t>
      </w:r>
      <w:r w:rsidR="00C0268E">
        <w:rPr>
          <w:rStyle w:val="Hyperlink"/>
          <w:sz w:val="20"/>
          <w:szCs w:val="20"/>
        </w:rPr>
        <w:fldChar w:fldCharType="end"/>
      </w:r>
    </w:p>
    <w:p w14:paraId="26116A9E" w14:textId="4985016F" w:rsidR="00955608" w:rsidRDefault="00955608" w:rsidP="005F06AA">
      <w:pPr>
        <w:jc w:val="both"/>
        <w:rPr>
          <w:sz w:val="20"/>
          <w:szCs w:val="20"/>
        </w:rPr>
      </w:pPr>
    </w:p>
    <w:p w14:paraId="0E94EAED" w14:textId="275320BE" w:rsidR="001C0E3C" w:rsidRDefault="001C0E3C" w:rsidP="005F06AA">
      <w:pPr>
        <w:jc w:val="both"/>
        <w:rPr>
          <w:sz w:val="20"/>
          <w:szCs w:val="20"/>
        </w:rPr>
      </w:pPr>
      <w:bookmarkStart w:id="11" w:name="_Hlk32672502"/>
      <w:r>
        <w:rPr>
          <w:sz w:val="20"/>
          <w:szCs w:val="20"/>
        </w:rPr>
        <w:t xml:space="preserve">Gregory the Great, </w:t>
      </w:r>
      <w:r w:rsidRPr="001C0E3C">
        <w:rPr>
          <w:i/>
          <w:iCs/>
          <w:sz w:val="20"/>
          <w:szCs w:val="20"/>
        </w:rPr>
        <w:t>Life of Benedict</w:t>
      </w:r>
      <w:r>
        <w:rPr>
          <w:sz w:val="20"/>
          <w:szCs w:val="20"/>
        </w:rPr>
        <w:t xml:space="preserve">, in </w:t>
      </w:r>
      <w:r>
        <w:rPr>
          <w:sz w:val="20"/>
          <w:szCs w:val="20"/>
        </w:rPr>
        <w:t xml:space="preserve">White, </w:t>
      </w:r>
      <w:proofErr w:type="spellStart"/>
      <w:r>
        <w:rPr>
          <w:sz w:val="20"/>
          <w:szCs w:val="20"/>
        </w:rPr>
        <w:t>Carolinne</w:t>
      </w:r>
      <w:proofErr w:type="spellEnd"/>
      <w:r>
        <w:rPr>
          <w:sz w:val="20"/>
          <w:szCs w:val="20"/>
        </w:rPr>
        <w:t xml:space="preserve">, </w:t>
      </w:r>
      <w:r w:rsidRPr="00954D14">
        <w:rPr>
          <w:i/>
          <w:iCs/>
          <w:sz w:val="20"/>
          <w:szCs w:val="20"/>
        </w:rPr>
        <w:t>Early Christian Lives</w:t>
      </w:r>
      <w:r>
        <w:rPr>
          <w:sz w:val="20"/>
          <w:szCs w:val="20"/>
        </w:rPr>
        <w:t xml:space="preserve"> (London: Penguin, 1994)</w:t>
      </w:r>
    </w:p>
    <w:bookmarkEnd w:id="11"/>
    <w:p w14:paraId="1C8D18F1" w14:textId="77777777" w:rsidR="001C0E3C" w:rsidRDefault="001C0E3C" w:rsidP="005F06AA">
      <w:pPr>
        <w:jc w:val="both"/>
        <w:rPr>
          <w:sz w:val="20"/>
          <w:szCs w:val="20"/>
        </w:rPr>
      </w:pPr>
    </w:p>
    <w:p w14:paraId="2FFD8C0F" w14:textId="53B2A4DC" w:rsidR="00C0268E" w:rsidRDefault="00C0268E" w:rsidP="005F06AA">
      <w:pPr>
        <w:pStyle w:val="center"/>
        <w:spacing w:before="0" w:beforeAutospacing="0" w:after="0" w:afterAutospacing="0"/>
        <w:jc w:val="both"/>
        <w:rPr>
          <w:rStyle w:val="xx-large"/>
          <w:color w:val="000000"/>
          <w:sz w:val="20"/>
          <w:szCs w:val="20"/>
        </w:rPr>
      </w:pPr>
      <w:r w:rsidRPr="00C0268E">
        <w:rPr>
          <w:i/>
          <w:iCs/>
          <w:sz w:val="20"/>
          <w:szCs w:val="20"/>
        </w:rPr>
        <w:t>The Rule of the Master</w:t>
      </w:r>
      <w:r w:rsidRPr="00C0268E">
        <w:rPr>
          <w:rStyle w:val="xx-large"/>
          <w:color w:val="000000"/>
          <w:sz w:val="20"/>
          <w:szCs w:val="20"/>
        </w:rPr>
        <w:t xml:space="preserve"> </w:t>
      </w:r>
      <w:r>
        <w:rPr>
          <w:rStyle w:val="xx-large"/>
          <w:color w:val="000000"/>
          <w:sz w:val="20"/>
          <w:szCs w:val="20"/>
        </w:rPr>
        <w:t xml:space="preserve">trans Eberle, Luke </w:t>
      </w:r>
      <w:r w:rsidR="0024668D">
        <w:rPr>
          <w:rStyle w:val="xx-large"/>
          <w:color w:val="000000"/>
          <w:sz w:val="20"/>
          <w:szCs w:val="20"/>
        </w:rPr>
        <w:t>(</w:t>
      </w:r>
      <w:r>
        <w:rPr>
          <w:rStyle w:val="xx-large"/>
          <w:color w:val="000000"/>
          <w:sz w:val="20"/>
          <w:szCs w:val="20"/>
        </w:rPr>
        <w:t>Michigan: Cistercian Publications Inc., 1977)</w:t>
      </w:r>
    </w:p>
    <w:p w14:paraId="06790A70" w14:textId="2CF2F3B7" w:rsidR="00C0268E" w:rsidRPr="00E43890" w:rsidRDefault="00C0268E" w:rsidP="005F06AA">
      <w:pPr>
        <w:jc w:val="both"/>
        <w:rPr>
          <w:sz w:val="20"/>
          <w:szCs w:val="20"/>
        </w:rPr>
      </w:pPr>
    </w:p>
    <w:p w14:paraId="0B0F60B3" w14:textId="3E1D54A0" w:rsidR="00C0268E" w:rsidRPr="001C0E3C" w:rsidRDefault="0024668D" w:rsidP="001C0E3C">
      <w:pPr>
        <w:pStyle w:val="center"/>
        <w:spacing w:before="0" w:beforeAutospacing="0" w:after="0" w:afterAutospacing="0"/>
        <w:jc w:val="both"/>
        <w:rPr>
          <w:color w:val="000000"/>
          <w:sz w:val="20"/>
          <w:szCs w:val="20"/>
        </w:rPr>
      </w:pPr>
      <w:r>
        <w:rPr>
          <w:color w:val="000000"/>
          <w:sz w:val="20"/>
          <w:szCs w:val="20"/>
        </w:rPr>
        <w:t>Secondary sources:</w:t>
      </w:r>
    </w:p>
    <w:p w14:paraId="7D83695A" w14:textId="33474E00" w:rsidR="00C0268E" w:rsidRPr="00E43890" w:rsidRDefault="00C0268E" w:rsidP="005F06AA">
      <w:pPr>
        <w:jc w:val="both"/>
        <w:rPr>
          <w:sz w:val="20"/>
          <w:szCs w:val="20"/>
        </w:rPr>
      </w:pPr>
      <w:r>
        <w:rPr>
          <w:sz w:val="20"/>
          <w:szCs w:val="20"/>
        </w:rPr>
        <w:t xml:space="preserve">Baker, Derek, ‘Crossroads and </w:t>
      </w:r>
      <w:r w:rsidR="008A380F">
        <w:rPr>
          <w:sz w:val="20"/>
          <w:szCs w:val="20"/>
        </w:rPr>
        <w:t>crises</w:t>
      </w:r>
      <w:r>
        <w:rPr>
          <w:sz w:val="20"/>
          <w:szCs w:val="20"/>
        </w:rPr>
        <w:t xml:space="preserve"> in the religious life of the later eleventh century’ in The Church in Town and Countryside (Oxford: Blackwell, 1979)</w:t>
      </w:r>
    </w:p>
    <w:p w14:paraId="45553BC7" w14:textId="71E31775" w:rsidR="00F64018" w:rsidRPr="00E43890" w:rsidRDefault="00F64018" w:rsidP="005F06AA">
      <w:pPr>
        <w:jc w:val="both"/>
        <w:rPr>
          <w:sz w:val="20"/>
          <w:szCs w:val="20"/>
        </w:rPr>
      </w:pPr>
    </w:p>
    <w:p w14:paraId="65EF6F47" w14:textId="15B0CD51" w:rsidR="00F64018" w:rsidRDefault="00E43890" w:rsidP="005F06AA">
      <w:pPr>
        <w:jc w:val="both"/>
        <w:rPr>
          <w:sz w:val="20"/>
          <w:szCs w:val="20"/>
        </w:rPr>
      </w:pPr>
      <w:r>
        <w:rPr>
          <w:sz w:val="20"/>
          <w:szCs w:val="20"/>
        </w:rPr>
        <w:t>Cantor, Norman F., ‘</w:t>
      </w:r>
      <w:r w:rsidR="00F64018" w:rsidRPr="00E43890">
        <w:rPr>
          <w:sz w:val="20"/>
          <w:szCs w:val="20"/>
        </w:rPr>
        <w:t>The Crisis</w:t>
      </w:r>
      <w:r w:rsidR="00F64018" w:rsidRPr="00F64018">
        <w:rPr>
          <w:sz w:val="20"/>
          <w:szCs w:val="20"/>
        </w:rPr>
        <w:t xml:space="preserve"> of Western Monasticism, 1050-1130</w:t>
      </w:r>
      <w:r>
        <w:rPr>
          <w:sz w:val="20"/>
          <w:szCs w:val="20"/>
        </w:rPr>
        <w:t>’</w:t>
      </w:r>
      <w:r w:rsidR="00F64018" w:rsidRPr="00F64018">
        <w:rPr>
          <w:sz w:val="20"/>
          <w:szCs w:val="20"/>
        </w:rPr>
        <w:t xml:space="preserve"> </w:t>
      </w:r>
      <w:r w:rsidR="00F64018" w:rsidRPr="00E43890">
        <w:rPr>
          <w:i/>
          <w:iCs/>
          <w:sz w:val="20"/>
          <w:szCs w:val="20"/>
        </w:rPr>
        <w:t>The American Historical Review</w:t>
      </w:r>
      <w:r w:rsidR="00F64018" w:rsidRPr="00F64018">
        <w:rPr>
          <w:sz w:val="20"/>
          <w:szCs w:val="20"/>
        </w:rPr>
        <w:t>, Vol. 66, No. 1 (Oct., 1960), pp. 47-67 https://www.jstor.org/stable/1845706 Accessed: 10-02-2020 13:19 UTC</w:t>
      </w:r>
    </w:p>
    <w:p w14:paraId="3AC159DE" w14:textId="26A17164" w:rsidR="00C0268E" w:rsidRDefault="00C0268E" w:rsidP="005F06AA">
      <w:pPr>
        <w:jc w:val="both"/>
        <w:rPr>
          <w:sz w:val="20"/>
          <w:szCs w:val="20"/>
        </w:rPr>
      </w:pPr>
    </w:p>
    <w:p w14:paraId="1A87D7B5" w14:textId="701622FB" w:rsidR="00C0268E" w:rsidRDefault="00C0268E" w:rsidP="005F06AA">
      <w:pPr>
        <w:jc w:val="both"/>
        <w:rPr>
          <w:sz w:val="20"/>
          <w:szCs w:val="20"/>
        </w:rPr>
      </w:pPr>
      <w:r>
        <w:rPr>
          <w:sz w:val="20"/>
          <w:szCs w:val="20"/>
        </w:rPr>
        <w:t xml:space="preserve">Brooke, </w:t>
      </w:r>
      <w:r w:rsidR="008A380F">
        <w:rPr>
          <w:sz w:val="20"/>
          <w:szCs w:val="20"/>
        </w:rPr>
        <w:t>Christopher</w:t>
      </w:r>
      <w:r>
        <w:rPr>
          <w:sz w:val="20"/>
          <w:szCs w:val="20"/>
        </w:rPr>
        <w:t>, The Monastic World 1000 – 1300 (London: Paul Elek, 1974)</w:t>
      </w:r>
    </w:p>
    <w:p w14:paraId="4EFDD89F" w14:textId="77777777" w:rsidR="00C0268E" w:rsidRDefault="00C0268E" w:rsidP="005F06AA">
      <w:pPr>
        <w:jc w:val="both"/>
        <w:rPr>
          <w:sz w:val="20"/>
          <w:szCs w:val="20"/>
        </w:rPr>
      </w:pPr>
    </w:p>
    <w:p w14:paraId="50A2CCD5" w14:textId="322BF4D0" w:rsidR="00954D14" w:rsidRPr="00F64018" w:rsidRDefault="00954D14" w:rsidP="005F06AA">
      <w:pPr>
        <w:jc w:val="both"/>
        <w:rPr>
          <w:sz w:val="20"/>
          <w:szCs w:val="20"/>
        </w:rPr>
      </w:pPr>
      <w:r>
        <w:rPr>
          <w:sz w:val="20"/>
          <w:szCs w:val="20"/>
        </w:rPr>
        <w:t>Burton, Janet</w:t>
      </w:r>
      <w:r w:rsidR="003A39D0">
        <w:rPr>
          <w:sz w:val="20"/>
          <w:szCs w:val="20"/>
        </w:rPr>
        <w:t>,</w:t>
      </w:r>
      <w:r w:rsidRPr="00C0268E">
        <w:rPr>
          <w:i/>
          <w:iCs/>
          <w:sz w:val="20"/>
          <w:szCs w:val="20"/>
        </w:rPr>
        <w:t xml:space="preserve"> Medieval Mona</w:t>
      </w:r>
      <w:r w:rsidR="00C0268E" w:rsidRPr="00C0268E">
        <w:rPr>
          <w:i/>
          <w:iCs/>
          <w:sz w:val="20"/>
          <w:szCs w:val="20"/>
        </w:rPr>
        <w:t>s</w:t>
      </w:r>
      <w:r w:rsidRPr="00C0268E">
        <w:rPr>
          <w:i/>
          <w:iCs/>
          <w:sz w:val="20"/>
          <w:szCs w:val="20"/>
        </w:rPr>
        <w:t>ticism</w:t>
      </w:r>
      <w:r w:rsidR="00C0268E" w:rsidRPr="00C0268E">
        <w:rPr>
          <w:i/>
          <w:iCs/>
          <w:sz w:val="20"/>
          <w:szCs w:val="20"/>
        </w:rPr>
        <w:t xml:space="preserve">: Monasticism in the medieval West: from its origins to the coming of the friars </w:t>
      </w:r>
      <w:r w:rsidR="00C0268E">
        <w:rPr>
          <w:sz w:val="20"/>
          <w:szCs w:val="20"/>
        </w:rPr>
        <w:t>(Oxford: Headstart History, 1996)</w:t>
      </w:r>
    </w:p>
    <w:p w14:paraId="3007DF5D" w14:textId="1D3B4AA4" w:rsidR="00F64018" w:rsidRDefault="00F64018" w:rsidP="005F06AA">
      <w:pPr>
        <w:jc w:val="both"/>
        <w:rPr>
          <w:sz w:val="20"/>
          <w:szCs w:val="20"/>
        </w:rPr>
      </w:pPr>
    </w:p>
    <w:p w14:paraId="06AB386B" w14:textId="71FC1CC4" w:rsidR="001C70C4" w:rsidRDefault="001C70C4" w:rsidP="005F06AA">
      <w:pPr>
        <w:jc w:val="both"/>
        <w:rPr>
          <w:sz w:val="20"/>
          <w:szCs w:val="20"/>
        </w:rPr>
      </w:pPr>
      <w:r>
        <w:rPr>
          <w:sz w:val="20"/>
          <w:szCs w:val="20"/>
        </w:rPr>
        <w:t xml:space="preserve">Burton, Janet, </w:t>
      </w:r>
      <w:bookmarkStart w:id="12" w:name="_Hlk32672987"/>
      <w:r>
        <w:rPr>
          <w:i/>
          <w:iCs/>
          <w:sz w:val="20"/>
          <w:szCs w:val="20"/>
        </w:rPr>
        <w:t xml:space="preserve">Monastic and Religious Orders in Britain, 1000-1300 </w:t>
      </w:r>
      <w:r>
        <w:rPr>
          <w:sz w:val="20"/>
          <w:szCs w:val="20"/>
        </w:rPr>
        <w:t>(Cambridge: Cambridge University Press, 1994)</w:t>
      </w:r>
    </w:p>
    <w:bookmarkEnd w:id="12"/>
    <w:p w14:paraId="2E6BDC26" w14:textId="344C2360" w:rsidR="001C0E3C" w:rsidRDefault="001C0E3C" w:rsidP="001C0E3C">
      <w:pPr>
        <w:jc w:val="both"/>
        <w:rPr>
          <w:sz w:val="20"/>
          <w:szCs w:val="20"/>
        </w:rPr>
      </w:pPr>
    </w:p>
    <w:p w14:paraId="7AE96DE6" w14:textId="77777777" w:rsidR="001C0E3C" w:rsidRDefault="001C0E3C" w:rsidP="001C0E3C">
      <w:pPr>
        <w:jc w:val="both"/>
        <w:rPr>
          <w:sz w:val="20"/>
          <w:szCs w:val="20"/>
        </w:rPr>
      </w:pPr>
    </w:p>
    <w:p w14:paraId="682A176C" w14:textId="77777777" w:rsidR="001C0E3C" w:rsidRDefault="001C0E3C" w:rsidP="001C0E3C">
      <w:pPr>
        <w:jc w:val="both"/>
        <w:rPr>
          <w:sz w:val="20"/>
          <w:szCs w:val="20"/>
        </w:rPr>
      </w:pPr>
      <w:bookmarkStart w:id="13" w:name="_Hlk32672337"/>
      <w:r>
        <w:rPr>
          <w:sz w:val="20"/>
          <w:szCs w:val="20"/>
        </w:rPr>
        <w:t xml:space="preserve">Lawrence, C H, </w:t>
      </w:r>
      <w:bookmarkStart w:id="14" w:name="_Hlk32673474"/>
      <w:r w:rsidRPr="001C0E3C">
        <w:rPr>
          <w:i/>
          <w:iCs/>
          <w:sz w:val="20"/>
          <w:szCs w:val="20"/>
        </w:rPr>
        <w:t>Medieval Monasticism: Forms of religious life in Western Europe in the Middle Ages</w:t>
      </w:r>
      <w:r>
        <w:rPr>
          <w:sz w:val="20"/>
          <w:szCs w:val="20"/>
        </w:rPr>
        <w:t xml:space="preserve"> (Harlow: Longman, 1984)</w:t>
      </w:r>
    </w:p>
    <w:bookmarkEnd w:id="13"/>
    <w:bookmarkEnd w:id="14"/>
    <w:p w14:paraId="5605F88E" w14:textId="77777777" w:rsidR="001C0E3C" w:rsidRDefault="001C0E3C" w:rsidP="001C0E3C">
      <w:pPr>
        <w:jc w:val="both"/>
        <w:rPr>
          <w:sz w:val="20"/>
          <w:szCs w:val="20"/>
        </w:rPr>
      </w:pPr>
    </w:p>
    <w:p w14:paraId="6B68A89E" w14:textId="2AC9E890" w:rsidR="001C0E3C" w:rsidRDefault="001C0E3C" w:rsidP="001C0E3C">
      <w:pPr>
        <w:jc w:val="both"/>
        <w:rPr>
          <w:sz w:val="20"/>
          <w:szCs w:val="20"/>
        </w:rPr>
      </w:pPr>
      <w:r w:rsidRPr="00E43890">
        <w:rPr>
          <w:sz w:val="20"/>
          <w:szCs w:val="20"/>
        </w:rPr>
        <w:t>Van Enge</w:t>
      </w:r>
      <w:r w:rsidR="00241EFB">
        <w:rPr>
          <w:sz w:val="20"/>
          <w:szCs w:val="20"/>
        </w:rPr>
        <w:t>n</w:t>
      </w:r>
      <w:r w:rsidRPr="00E43890">
        <w:rPr>
          <w:sz w:val="20"/>
          <w:szCs w:val="20"/>
        </w:rPr>
        <w:t xml:space="preserve">, John, </w:t>
      </w:r>
      <w:bookmarkStart w:id="15" w:name="_Hlk32673096"/>
      <w:r w:rsidRPr="00E43890">
        <w:rPr>
          <w:sz w:val="20"/>
          <w:szCs w:val="20"/>
        </w:rPr>
        <w:t xml:space="preserve">‘The "Crisis of Cenobitism" Reconsidered: Benedictine Monasticism in the Years 1050-1150’ </w:t>
      </w:r>
      <w:r w:rsidRPr="00E43890">
        <w:rPr>
          <w:i/>
          <w:iCs/>
          <w:sz w:val="20"/>
          <w:szCs w:val="20"/>
        </w:rPr>
        <w:t>Speculum</w:t>
      </w:r>
      <w:r w:rsidRPr="00E43890">
        <w:rPr>
          <w:sz w:val="20"/>
          <w:szCs w:val="20"/>
        </w:rPr>
        <w:t>, Vol. 61, No. 2 (</w:t>
      </w:r>
      <w:proofErr w:type="gramStart"/>
      <w:r w:rsidRPr="00E43890">
        <w:rPr>
          <w:sz w:val="20"/>
          <w:szCs w:val="20"/>
        </w:rPr>
        <w:t>Apr.,</w:t>
      </w:r>
      <w:proofErr w:type="gramEnd"/>
      <w:r w:rsidRPr="00E43890">
        <w:rPr>
          <w:sz w:val="20"/>
          <w:szCs w:val="20"/>
        </w:rPr>
        <w:t xml:space="preserve"> 1986), pp. 269-304 Accessed: 10-02-2020 13:23 UTC</w:t>
      </w:r>
    </w:p>
    <w:bookmarkEnd w:id="15"/>
    <w:p w14:paraId="21834E11" w14:textId="4556B259" w:rsidR="0038020B" w:rsidRDefault="0038020B" w:rsidP="005F06AA">
      <w:pPr>
        <w:jc w:val="both"/>
        <w:rPr>
          <w:sz w:val="20"/>
          <w:szCs w:val="20"/>
        </w:rPr>
      </w:pPr>
    </w:p>
    <w:p w14:paraId="2A04E7CF" w14:textId="6719AD07" w:rsidR="0038020B" w:rsidRDefault="0038020B" w:rsidP="005F06AA">
      <w:pPr>
        <w:jc w:val="both"/>
        <w:rPr>
          <w:sz w:val="20"/>
          <w:szCs w:val="20"/>
        </w:rPr>
      </w:pPr>
      <w:r>
        <w:rPr>
          <w:sz w:val="20"/>
          <w:szCs w:val="20"/>
        </w:rPr>
        <w:t xml:space="preserve">Ward, Benedicta, ‘The </w:t>
      </w:r>
      <w:r w:rsidR="008A380F">
        <w:rPr>
          <w:sz w:val="20"/>
          <w:szCs w:val="20"/>
        </w:rPr>
        <w:t>Desert</w:t>
      </w:r>
      <w:r>
        <w:rPr>
          <w:sz w:val="20"/>
          <w:szCs w:val="20"/>
        </w:rPr>
        <w:t xml:space="preserve"> Myth: Reflections on the Desert Ideal in Early Christian Monasticism’ in Pennington, M Basil ed. </w:t>
      </w:r>
      <w:r w:rsidRPr="0038020B">
        <w:rPr>
          <w:i/>
          <w:iCs/>
          <w:sz w:val="20"/>
          <w:szCs w:val="20"/>
        </w:rPr>
        <w:t>One Yet Two: Monastic Tradition East and West</w:t>
      </w:r>
      <w:r>
        <w:rPr>
          <w:sz w:val="20"/>
          <w:szCs w:val="20"/>
        </w:rPr>
        <w:t xml:space="preserve"> (Michigan: Cistercian Publications, 1976)</w:t>
      </w:r>
    </w:p>
    <w:p w14:paraId="2A4DB917" w14:textId="02C26C38" w:rsidR="00954D14" w:rsidRDefault="00954D14" w:rsidP="005F06AA">
      <w:pPr>
        <w:jc w:val="both"/>
        <w:rPr>
          <w:sz w:val="20"/>
          <w:szCs w:val="20"/>
        </w:rPr>
      </w:pPr>
    </w:p>
    <w:p w14:paraId="4EBFE198" w14:textId="1D5FB1DC" w:rsidR="001C70C4" w:rsidRPr="001C70C4" w:rsidRDefault="001C70C4" w:rsidP="005F06AA">
      <w:pPr>
        <w:spacing w:line="360" w:lineRule="auto"/>
        <w:jc w:val="both"/>
        <w:rPr>
          <w:rFonts w:eastAsiaTheme="minorHAnsi"/>
          <w:b/>
          <w:bCs/>
          <w:sz w:val="20"/>
          <w:szCs w:val="20"/>
        </w:rPr>
      </w:pPr>
    </w:p>
    <w:p w14:paraId="07BE0DE4" w14:textId="3959B57F" w:rsidR="001C70C4" w:rsidRPr="00955608" w:rsidRDefault="001C70C4" w:rsidP="005F06AA">
      <w:pPr>
        <w:jc w:val="both"/>
        <w:rPr>
          <w:b/>
          <w:bCs/>
          <w:sz w:val="20"/>
          <w:szCs w:val="20"/>
        </w:rPr>
      </w:pPr>
    </w:p>
    <w:p w14:paraId="2EDF6866" w14:textId="77777777" w:rsidR="001C70C4" w:rsidRPr="00955608" w:rsidRDefault="001C70C4" w:rsidP="005F06AA">
      <w:pPr>
        <w:jc w:val="both"/>
        <w:rPr>
          <w:b/>
          <w:bCs/>
          <w:sz w:val="20"/>
          <w:szCs w:val="20"/>
        </w:rPr>
      </w:pPr>
    </w:p>
    <w:sectPr w:rsidR="001C70C4" w:rsidRPr="0095560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834AC" w14:textId="77777777" w:rsidR="007C299E" w:rsidRDefault="007C299E" w:rsidP="004A17DD">
      <w:r>
        <w:separator/>
      </w:r>
    </w:p>
  </w:endnote>
  <w:endnote w:type="continuationSeparator" w:id="0">
    <w:p w14:paraId="5B4A33F6" w14:textId="77777777" w:rsidR="007C299E" w:rsidRDefault="007C299E" w:rsidP="004A1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5525561"/>
      <w:docPartObj>
        <w:docPartGallery w:val="Page Numbers (Bottom of Page)"/>
        <w:docPartUnique/>
      </w:docPartObj>
    </w:sdtPr>
    <w:sdtEndPr>
      <w:rPr>
        <w:noProof/>
      </w:rPr>
    </w:sdtEndPr>
    <w:sdtContent>
      <w:p w14:paraId="50B39180" w14:textId="5649CD04" w:rsidR="003B4E28" w:rsidRDefault="003B4E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7DF9A5" w14:textId="77777777" w:rsidR="003B4E28" w:rsidRDefault="003B4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D336F1" w14:textId="77777777" w:rsidR="007C299E" w:rsidRDefault="007C299E" w:rsidP="004A17DD">
      <w:r>
        <w:separator/>
      </w:r>
    </w:p>
  </w:footnote>
  <w:footnote w:type="continuationSeparator" w:id="0">
    <w:p w14:paraId="007FCED1" w14:textId="77777777" w:rsidR="007C299E" w:rsidRDefault="007C299E" w:rsidP="004A17DD">
      <w:r>
        <w:continuationSeparator/>
      </w:r>
    </w:p>
  </w:footnote>
  <w:footnote w:id="1">
    <w:p w14:paraId="28FA9920" w14:textId="6D603C8D" w:rsidR="000F1A55" w:rsidRDefault="000F1A55">
      <w:pPr>
        <w:pStyle w:val="FootnoteText"/>
      </w:pPr>
      <w:r>
        <w:rPr>
          <w:rStyle w:val="FootnoteReference"/>
        </w:rPr>
        <w:footnoteRef/>
      </w:r>
      <w:r>
        <w:t xml:space="preserve"> </w:t>
      </w:r>
      <w:r w:rsidR="006E0DB0">
        <w:rPr>
          <w:rStyle w:val="xx-large"/>
          <w:color w:val="000000"/>
        </w:rPr>
        <w:t xml:space="preserve">St Benedict, </w:t>
      </w:r>
      <w:r w:rsidR="006E0DB0" w:rsidRPr="00E43890">
        <w:rPr>
          <w:rStyle w:val="xx-large"/>
          <w:i/>
          <w:iCs/>
          <w:color w:val="000000"/>
        </w:rPr>
        <w:t>St. Benedict’s</w:t>
      </w:r>
      <w:r w:rsidR="006E0DB0" w:rsidRPr="00E43890">
        <w:rPr>
          <w:i/>
          <w:iCs/>
          <w:color w:val="000000"/>
        </w:rPr>
        <w:t xml:space="preserve"> </w:t>
      </w:r>
      <w:r w:rsidR="006E0DB0" w:rsidRPr="00E43890">
        <w:rPr>
          <w:rStyle w:val="xx-large"/>
          <w:i/>
          <w:iCs/>
          <w:color w:val="000000"/>
        </w:rPr>
        <w:t>Rule for Monasteries</w:t>
      </w:r>
      <w:r w:rsidR="006E0DB0">
        <w:rPr>
          <w:rStyle w:val="xx-large"/>
          <w:i/>
          <w:iCs/>
          <w:color w:val="000000"/>
        </w:rPr>
        <w:t xml:space="preserve"> </w:t>
      </w:r>
      <w:r w:rsidR="006E0DB0">
        <w:rPr>
          <w:rStyle w:val="xx-large"/>
          <w:color w:val="000000"/>
        </w:rPr>
        <w:t>trans.</w:t>
      </w:r>
      <w:r w:rsidR="006E0DB0" w:rsidRPr="00E43890">
        <w:rPr>
          <w:rStyle w:val="xx-large"/>
          <w:color w:val="000000"/>
        </w:rPr>
        <w:t xml:space="preserve"> </w:t>
      </w:r>
      <w:r w:rsidR="006E0DB0" w:rsidRPr="005A608E">
        <w:rPr>
          <w:rStyle w:val="xx-large"/>
          <w:color w:val="000000"/>
        </w:rPr>
        <w:t>Doyle</w:t>
      </w:r>
      <w:r w:rsidR="006E0DB0">
        <w:rPr>
          <w:rStyle w:val="xx-large"/>
          <w:color w:val="000000"/>
        </w:rPr>
        <w:t xml:space="preserve">, Leonard J. (Minnesota: The Liturgical Press, </w:t>
      </w:r>
      <w:r w:rsidR="006E0DB0" w:rsidRPr="00E43890">
        <w:rPr>
          <w:rStyle w:val="xx-large"/>
          <w:color w:val="000000"/>
        </w:rPr>
        <w:t>1935)</w:t>
      </w:r>
      <w:r w:rsidR="001C0E3C" w:rsidRPr="001C0E3C">
        <w:t xml:space="preserve"> </w:t>
      </w:r>
      <w:hyperlink r:id="rId1" w:history="1">
        <w:r w:rsidR="001C0E3C" w:rsidRPr="00E00389">
          <w:rPr>
            <w:rStyle w:val="Hyperlink"/>
          </w:rPr>
          <w:t>http://www.gutenberg.org/files/50040/50040-h/50040-h.html</w:t>
        </w:r>
      </w:hyperlink>
      <w:r w:rsidR="006E0DB0" w:rsidRPr="00E43890">
        <w:rPr>
          <w:rStyle w:val="xx-large"/>
          <w:i/>
          <w:iCs/>
          <w:color w:val="000000"/>
        </w:rPr>
        <w:t xml:space="preserve"> </w:t>
      </w:r>
      <w:r w:rsidR="006E0DB0" w:rsidRPr="00E00389">
        <w:t>chapter 1</w:t>
      </w:r>
      <w:r w:rsidR="001C0E3C">
        <w:t>.</w:t>
      </w:r>
    </w:p>
  </w:footnote>
  <w:footnote w:id="2">
    <w:p w14:paraId="40FCEE86" w14:textId="1FFFD633" w:rsidR="003B4E28" w:rsidRPr="001C0E3C" w:rsidRDefault="003B4E28" w:rsidP="00F22E61">
      <w:pPr>
        <w:pStyle w:val="FootnoteText"/>
      </w:pPr>
      <w:r w:rsidRPr="001C0E3C">
        <w:rPr>
          <w:rStyle w:val="FootnoteReference"/>
        </w:rPr>
        <w:footnoteRef/>
      </w:r>
      <w:r w:rsidRPr="001C0E3C">
        <w:t xml:space="preserve"> </w:t>
      </w:r>
      <w:bookmarkStart w:id="1" w:name="_Hlk32671913"/>
      <w:bookmarkStart w:id="2" w:name="_Hlk32672157"/>
      <w:r w:rsidRPr="001C0E3C">
        <w:fldChar w:fldCharType="begin"/>
      </w:r>
      <w:r w:rsidRPr="001C0E3C">
        <w:instrText xml:space="preserve"> HYPERLINK "http://www.gutenberg.org/files/50040/50040-h/50040-h.html" </w:instrText>
      </w:r>
      <w:r w:rsidRPr="001C0E3C">
        <w:fldChar w:fldCharType="separate"/>
      </w:r>
      <w:r w:rsidR="001C0E3C" w:rsidRPr="001C0E3C">
        <w:rPr>
          <w:rStyle w:val="Hyperlink"/>
          <w:color w:val="auto"/>
          <w:u w:val="none"/>
        </w:rPr>
        <w:t>St</w:t>
      </w:r>
      <w:r w:rsidRPr="001C0E3C">
        <w:rPr>
          <w:rStyle w:val="Hyperlink"/>
          <w:color w:val="auto"/>
          <w:u w:val="none"/>
        </w:rPr>
        <w:fldChar w:fldCharType="end"/>
      </w:r>
      <w:bookmarkEnd w:id="2"/>
      <w:r w:rsidR="001C0E3C" w:rsidRPr="001C0E3C">
        <w:rPr>
          <w:rStyle w:val="Hyperlink"/>
          <w:color w:val="auto"/>
          <w:u w:val="none"/>
        </w:rPr>
        <w:t xml:space="preserve"> Benedict, </w:t>
      </w:r>
      <w:r w:rsidR="001C0E3C" w:rsidRPr="001C0E3C">
        <w:rPr>
          <w:rStyle w:val="Hyperlink"/>
          <w:i/>
          <w:iCs/>
          <w:color w:val="auto"/>
          <w:u w:val="none"/>
        </w:rPr>
        <w:t>The Rule,</w:t>
      </w:r>
      <w:r w:rsidRPr="001C0E3C">
        <w:t xml:space="preserve"> chapter 1</w:t>
      </w:r>
      <w:bookmarkEnd w:id="1"/>
      <w:r w:rsidR="001C0E3C">
        <w:t>.</w:t>
      </w:r>
    </w:p>
  </w:footnote>
  <w:footnote w:id="3">
    <w:p w14:paraId="668EED3F" w14:textId="34C92870" w:rsidR="00BE7B1E" w:rsidRPr="001C0E3C" w:rsidRDefault="00BE7B1E" w:rsidP="001C0E3C">
      <w:pPr>
        <w:jc w:val="both"/>
        <w:rPr>
          <w:sz w:val="20"/>
          <w:szCs w:val="20"/>
        </w:rPr>
      </w:pPr>
      <w:r w:rsidRPr="001C0E3C">
        <w:rPr>
          <w:rStyle w:val="FootnoteReference"/>
          <w:sz w:val="20"/>
          <w:szCs w:val="20"/>
        </w:rPr>
        <w:footnoteRef/>
      </w:r>
      <w:r w:rsidRPr="001C0E3C">
        <w:rPr>
          <w:sz w:val="20"/>
          <w:szCs w:val="20"/>
        </w:rPr>
        <w:t xml:space="preserve"> </w:t>
      </w:r>
      <w:r w:rsidR="001C0E3C" w:rsidRPr="001C0E3C">
        <w:rPr>
          <w:sz w:val="20"/>
          <w:szCs w:val="20"/>
        </w:rPr>
        <w:t xml:space="preserve">C H </w:t>
      </w:r>
      <w:r w:rsidRPr="001C0E3C">
        <w:rPr>
          <w:sz w:val="20"/>
          <w:szCs w:val="20"/>
        </w:rPr>
        <w:t>Lawrence</w:t>
      </w:r>
      <w:r w:rsidR="001C0E3C" w:rsidRPr="001C0E3C">
        <w:rPr>
          <w:sz w:val="20"/>
          <w:szCs w:val="20"/>
        </w:rPr>
        <w:t xml:space="preserve">, </w:t>
      </w:r>
      <w:r w:rsidR="001C0E3C" w:rsidRPr="001C0E3C">
        <w:rPr>
          <w:i/>
          <w:iCs/>
          <w:sz w:val="20"/>
          <w:szCs w:val="20"/>
        </w:rPr>
        <w:t>Medieval Monasticism: Forms of religious life in Western Europe in the Middle Ages</w:t>
      </w:r>
      <w:r w:rsidR="001C0E3C" w:rsidRPr="001C0E3C">
        <w:rPr>
          <w:sz w:val="20"/>
          <w:szCs w:val="20"/>
        </w:rPr>
        <w:t xml:space="preserve"> (Harlow: Longman, 1984)</w:t>
      </w:r>
      <w:r w:rsidR="001C0E3C" w:rsidRPr="001C0E3C">
        <w:rPr>
          <w:sz w:val="20"/>
          <w:szCs w:val="20"/>
        </w:rPr>
        <w:t xml:space="preserve"> </w:t>
      </w:r>
      <w:r w:rsidRPr="001C0E3C">
        <w:rPr>
          <w:sz w:val="20"/>
          <w:szCs w:val="20"/>
        </w:rPr>
        <w:t>p. 22</w:t>
      </w:r>
      <w:r w:rsidR="001C0E3C">
        <w:rPr>
          <w:sz w:val="20"/>
          <w:szCs w:val="20"/>
        </w:rPr>
        <w:t>.</w:t>
      </w:r>
    </w:p>
  </w:footnote>
  <w:footnote w:id="4">
    <w:p w14:paraId="33C9766B" w14:textId="7266350D" w:rsidR="001C0E3C" w:rsidRDefault="006A40B7" w:rsidP="001C0E3C">
      <w:pPr>
        <w:jc w:val="both"/>
        <w:rPr>
          <w:sz w:val="20"/>
          <w:szCs w:val="20"/>
        </w:rPr>
      </w:pPr>
      <w:r>
        <w:rPr>
          <w:rStyle w:val="FootnoteReference"/>
        </w:rPr>
        <w:footnoteRef/>
      </w:r>
      <w:r>
        <w:t xml:space="preserve"> </w:t>
      </w:r>
      <w:bookmarkStart w:id="3" w:name="_Hlk32672602"/>
      <w:r w:rsidR="001C0E3C">
        <w:rPr>
          <w:sz w:val="20"/>
          <w:szCs w:val="20"/>
        </w:rPr>
        <w:t xml:space="preserve">Gregory the Great, </w:t>
      </w:r>
      <w:r w:rsidR="001C0E3C" w:rsidRPr="001C0E3C">
        <w:rPr>
          <w:i/>
          <w:iCs/>
          <w:sz w:val="20"/>
          <w:szCs w:val="20"/>
        </w:rPr>
        <w:t>Life of Benedict</w:t>
      </w:r>
      <w:r w:rsidR="001C0E3C">
        <w:rPr>
          <w:sz w:val="20"/>
          <w:szCs w:val="20"/>
        </w:rPr>
        <w:t xml:space="preserve">, in </w:t>
      </w:r>
      <w:proofErr w:type="spellStart"/>
      <w:r w:rsidR="001C0E3C">
        <w:rPr>
          <w:sz w:val="20"/>
          <w:szCs w:val="20"/>
        </w:rPr>
        <w:t>Carolinne</w:t>
      </w:r>
      <w:proofErr w:type="spellEnd"/>
      <w:r w:rsidR="001C0E3C">
        <w:rPr>
          <w:sz w:val="20"/>
          <w:szCs w:val="20"/>
        </w:rPr>
        <w:t xml:space="preserve"> White</w:t>
      </w:r>
      <w:r w:rsidR="001C0E3C">
        <w:rPr>
          <w:sz w:val="20"/>
          <w:szCs w:val="20"/>
        </w:rPr>
        <w:t xml:space="preserve">, </w:t>
      </w:r>
      <w:r w:rsidR="001C0E3C" w:rsidRPr="00954D14">
        <w:rPr>
          <w:i/>
          <w:iCs/>
          <w:sz w:val="20"/>
          <w:szCs w:val="20"/>
        </w:rPr>
        <w:t>Early Christian Lives</w:t>
      </w:r>
      <w:r w:rsidR="001C0E3C">
        <w:rPr>
          <w:sz w:val="20"/>
          <w:szCs w:val="20"/>
        </w:rPr>
        <w:t xml:space="preserve"> (London: Penguin, 1994)</w:t>
      </w:r>
      <w:r w:rsidR="008D1D80">
        <w:rPr>
          <w:sz w:val="20"/>
          <w:szCs w:val="20"/>
        </w:rPr>
        <w:t>.</w:t>
      </w:r>
      <w:bookmarkEnd w:id="3"/>
    </w:p>
    <w:p w14:paraId="37228F6C" w14:textId="52D0C44E" w:rsidR="006A40B7" w:rsidRDefault="006A40B7">
      <w:pPr>
        <w:pStyle w:val="FootnoteText"/>
      </w:pPr>
    </w:p>
  </w:footnote>
  <w:footnote w:id="5">
    <w:p w14:paraId="2D42394B" w14:textId="515432C8" w:rsidR="003B4E28" w:rsidRPr="00E00389" w:rsidRDefault="003B4E28" w:rsidP="00E00389">
      <w:pPr>
        <w:rPr>
          <w:sz w:val="20"/>
          <w:szCs w:val="20"/>
        </w:rPr>
      </w:pPr>
      <w:r w:rsidRPr="00E00389">
        <w:rPr>
          <w:rStyle w:val="FootnoteReference"/>
          <w:sz w:val="20"/>
          <w:szCs w:val="20"/>
        </w:rPr>
        <w:footnoteRef/>
      </w:r>
      <w:r w:rsidRPr="00E00389">
        <w:rPr>
          <w:sz w:val="20"/>
          <w:szCs w:val="20"/>
        </w:rPr>
        <w:t xml:space="preserve"> </w:t>
      </w:r>
      <w:r w:rsidR="008D1D80" w:rsidRPr="008D1D80">
        <w:rPr>
          <w:i/>
          <w:iCs/>
          <w:sz w:val="20"/>
          <w:szCs w:val="20"/>
        </w:rPr>
        <w:t>Ibid.,</w:t>
      </w:r>
      <w:r w:rsidRPr="00E00389">
        <w:rPr>
          <w:sz w:val="20"/>
          <w:szCs w:val="20"/>
        </w:rPr>
        <w:t xml:space="preserve"> p. 161</w:t>
      </w:r>
      <w:r w:rsidR="008D1D80">
        <w:rPr>
          <w:sz w:val="20"/>
          <w:szCs w:val="20"/>
        </w:rPr>
        <w:t>.</w:t>
      </w:r>
    </w:p>
  </w:footnote>
  <w:footnote w:id="6">
    <w:p w14:paraId="486A814D" w14:textId="785A412E" w:rsidR="004A1B7E" w:rsidRPr="00F251F0" w:rsidRDefault="004A1B7E" w:rsidP="00F251F0">
      <w:pPr>
        <w:jc w:val="both"/>
        <w:rPr>
          <w:sz w:val="20"/>
          <w:szCs w:val="20"/>
        </w:rPr>
      </w:pPr>
      <w:bookmarkStart w:id="4" w:name="_Hlk32506347"/>
      <w:r w:rsidRPr="00F251F0">
        <w:rPr>
          <w:rStyle w:val="FootnoteReference"/>
          <w:sz w:val="20"/>
          <w:szCs w:val="20"/>
        </w:rPr>
        <w:footnoteRef/>
      </w:r>
      <w:r w:rsidRPr="00F251F0">
        <w:rPr>
          <w:sz w:val="20"/>
          <w:szCs w:val="20"/>
        </w:rPr>
        <w:t xml:space="preserve"> </w:t>
      </w:r>
      <w:r w:rsidR="00F251F0">
        <w:rPr>
          <w:sz w:val="20"/>
          <w:szCs w:val="20"/>
        </w:rPr>
        <w:t xml:space="preserve">St Basil, </w:t>
      </w:r>
      <w:r w:rsidRPr="00F251F0">
        <w:rPr>
          <w:i/>
          <w:iCs/>
          <w:sz w:val="20"/>
          <w:szCs w:val="20"/>
        </w:rPr>
        <w:t>Little A</w:t>
      </w:r>
      <w:proofErr w:type="spellStart"/>
      <w:r w:rsidRPr="00F251F0">
        <w:rPr>
          <w:i/>
          <w:iCs/>
          <w:sz w:val="20"/>
          <w:szCs w:val="20"/>
        </w:rPr>
        <w:t>scceticon</w:t>
      </w:r>
      <w:proofErr w:type="spellEnd"/>
      <w:r w:rsidRPr="00F251F0">
        <w:rPr>
          <w:sz w:val="20"/>
          <w:szCs w:val="20"/>
        </w:rPr>
        <w:t xml:space="preserve"> 3:9 </w:t>
      </w:r>
      <w:r w:rsidR="00F17410" w:rsidRPr="00F251F0">
        <w:rPr>
          <w:sz w:val="20"/>
          <w:szCs w:val="20"/>
        </w:rPr>
        <w:t>quoted</w:t>
      </w:r>
      <w:r w:rsidRPr="00F251F0">
        <w:rPr>
          <w:sz w:val="20"/>
          <w:szCs w:val="20"/>
        </w:rPr>
        <w:t xml:space="preserve"> i</w:t>
      </w:r>
      <w:r w:rsidR="00F251F0" w:rsidRPr="00F251F0">
        <w:rPr>
          <w:sz w:val="20"/>
          <w:szCs w:val="20"/>
        </w:rPr>
        <w:t xml:space="preserve">n C H Lawrence, </w:t>
      </w:r>
      <w:r w:rsidR="00F251F0" w:rsidRPr="00F251F0">
        <w:rPr>
          <w:i/>
          <w:iCs/>
          <w:sz w:val="20"/>
          <w:szCs w:val="20"/>
        </w:rPr>
        <w:t>Medieval Monasticism: Forms of religious life in Western Europe in the Middle Ages</w:t>
      </w:r>
      <w:r w:rsidR="00F251F0" w:rsidRPr="00F251F0">
        <w:rPr>
          <w:sz w:val="20"/>
          <w:szCs w:val="20"/>
        </w:rPr>
        <w:t xml:space="preserve"> (Harlow: Longman, 1984)</w:t>
      </w:r>
      <w:r w:rsidR="00F251F0" w:rsidRPr="00F251F0">
        <w:rPr>
          <w:sz w:val="20"/>
          <w:szCs w:val="20"/>
        </w:rPr>
        <w:t xml:space="preserve"> p 9.</w:t>
      </w:r>
    </w:p>
  </w:footnote>
  <w:footnote w:id="7">
    <w:p w14:paraId="22D6DB2D" w14:textId="7B26FD69" w:rsidR="005F06AA" w:rsidRPr="00F251F0" w:rsidRDefault="005F06AA" w:rsidP="005F06AA">
      <w:pPr>
        <w:rPr>
          <w:sz w:val="20"/>
          <w:szCs w:val="20"/>
        </w:rPr>
      </w:pPr>
      <w:r w:rsidRPr="00F251F0">
        <w:rPr>
          <w:rStyle w:val="FootnoteReference"/>
          <w:sz w:val="20"/>
          <w:szCs w:val="20"/>
        </w:rPr>
        <w:footnoteRef/>
      </w:r>
      <w:r w:rsidRPr="00F251F0">
        <w:rPr>
          <w:sz w:val="20"/>
          <w:szCs w:val="20"/>
        </w:rPr>
        <w:t xml:space="preserve"> </w:t>
      </w:r>
      <w:r w:rsidR="00F17410" w:rsidRPr="00F251F0">
        <w:rPr>
          <w:sz w:val="20"/>
          <w:szCs w:val="20"/>
        </w:rPr>
        <w:t xml:space="preserve">Gregory the Great, </w:t>
      </w:r>
      <w:r w:rsidR="00F17410" w:rsidRPr="00F251F0">
        <w:rPr>
          <w:i/>
          <w:iCs/>
          <w:sz w:val="20"/>
          <w:szCs w:val="20"/>
        </w:rPr>
        <w:t>Life of Benedict</w:t>
      </w:r>
      <w:r w:rsidR="00F17410" w:rsidRPr="00F251F0">
        <w:rPr>
          <w:sz w:val="20"/>
          <w:szCs w:val="20"/>
        </w:rPr>
        <w:t xml:space="preserve">, </w:t>
      </w:r>
      <w:r w:rsidRPr="00F251F0">
        <w:rPr>
          <w:sz w:val="20"/>
          <w:szCs w:val="20"/>
        </w:rPr>
        <w:t>p. 169</w:t>
      </w:r>
      <w:r w:rsidR="00F17410" w:rsidRPr="00F251F0">
        <w:rPr>
          <w:sz w:val="20"/>
          <w:szCs w:val="20"/>
        </w:rPr>
        <w:t>.</w:t>
      </w:r>
    </w:p>
  </w:footnote>
  <w:footnote w:id="8">
    <w:p w14:paraId="104EF93E" w14:textId="21FD3AF3" w:rsidR="001D5D3F" w:rsidRDefault="001D5D3F">
      <w:pPr>
        <w:pStyle w:val="FootnoteText"/>
      </w:pPr>
      <w:r w:rsidRPr="00F251F0">
        <w:rPr>
          <w:rStyle w:val="FootnoteReference"/>
        </w:rPr>
        <w:footnoteRef/>
      </w:r>
      <w:r w:rsidRPr="00F251F0">
        <w:t xml:space="preserve"> </w:t>
      </w:r>
      <w:r w:rsidR="00FA688E" w:rsidRPr="00F251F0">
        <w:t xml:space="preserve">St </w:t>
      </w:r>
      <w:r w:rsidR="007216F7">
        <w:t>B</w:t>
      </w:r>
      <w:r w:rsidR="00FA688E" w:rsidRPr="00F251F0">
        <w:t xml:space="preserve">enedict, </w:t>
      </w:r>
      <w:r w:rsidR="00FA688E" w:rsidRPr="00F251F0">
        <w:rPr>
          <w:i/>
          <w:iCs/>
        </w:rPr>
        <w:t>The Rule</w:t>
      </w:r>
      <w:r w:rsidR="00FA688E" w:rsidRPr="00F251F0">
        <w:t>, chapter 1.</w:t>
      </w:r>
    </w:p>
  </w:footnote>
  <w:footnote w:id="9">
    <w:p w14:paraId="3F3D53FF" w14:textId="1A89864D" w:rsidR="000A1274" w:rsidRDefault="000A1274">
      <w:pPr>
        <w:pStyle w:val="FootnoteText"/>
      </w:pPr>
      <w:r>
        <w:rPr>
          <w:rStyle w:val="FootnoteReference"/>
        </w:rPr>
        <w:footnoteRef/>
      </w:r>
      <w:r>
        <w:t xml:space="preserve"> </w:t>
      </w:r>
      <w:r w:rsidR="000707AE" w:rsidRPr="000707AE">
        <w:rPr>
          <w:i/>
          <w:iCs/>
        </w:rPr>
        <w:t xml:space="preserve">Exordium </w:t>
      </w:r>
      <w:proofErr w:type="spellStart"/>
      <w:r w:rsidR="000707AE" w:rsidRPr="000707AE">
        <w:rPr>
          <w:i/>
          <w:iCs/>
        </w:rPr>
        <w:t>Cistercii</w:t>
      </w:r>
      <w:proofErr w:type="spellEnd"/>
      <w:r w:rsidR="000707AE" w:rsidRPr="000707AE">
        <w:rPr>
          <w:i/>
          <w:iCs/>
        </w:rPr>
        <w:t>:</w:t>
      </w:r>
      <w:r w:rsidR="000707AE">
        <w:t xml:space="preserve"> see course notes.</w:t>
      </w:r>
    </w:p>
  </w:footnote>
  <w:footnote w:id="10">
    <w:p w14:paraId="210FC502" w14:textId="69194C99" w:rsidR="00047D35" w:rsidRPr="003A39D0" w:rsidRDefault="00047D35" w:rsidP="003A39D0">
      <w:pPr>
        <w:jc w:val="both"/>
        <w:rPr>
          <w:sz w:val="20"/>
          <w:szCs w:val="20"/>
        </w:rPr>
      </w:pPr>
      <w:r w:rsidRPr="003A39D0">
        <w:rPr>
          <w:rStyle w:val="FootnoteReference"/>
          <w:sz w:val="20"/>
          <w:szCs w:val="20"/>
        </w:rPr>
        <w:footnoteRef/>
      </w:r>
      <w:bookmarkStart w:id="6" w:name="_Hlk32506376"/>
      <w:r w:rsidRPr="003A39D0">
        <w:rPr>
          <w:sz w:val="20"/>
          <w:szCs w:val="20"/>
        </w:rPr>
        <w:t xml:space="preserve"> </w:t>
      </w:r>
      <w:r w:rsidR="00FA688E" w:rsidRPr="003A39D0">
        <w:rPr>
          <w:sz w:val="20"/>
          <w:szCs w:val="20"/>
        </w:rPr>
        <w:t xml:space="preserve">Janet </w:t>
      </w:r>
      <w:bookmarkStart w:id="7" w:name="_GoBack"/>
      <w:bookmarkEnd w:id="7"/>
      <w:r w:rsidRPr="003A39D0">
        <w:rPr>
          <w:sz w:val="20"/>
          <w:szCs w:val="20"/>
        </w:rPr>
        <w:t xml:space="preserve">Burton, </w:t>
      </w:r>
      <w:r w:rsidR="003A39D0" w:rsidRPr="003A39D0">
        <w:rPr>
          <w:i/>
          <w:iCs/>
          <w:sz w:val="20"/>
          <w:szCs w:val="20"/>
        </w:rPr>
        <w:t xml:space="preserve">Monastic and Religious Orders in Britain, 1000-1300 </w:t>
      </w:r>
      <w:r w:rsidR="003A39D0" w:rsidRPr="003A39D0">
        <w:rPr>
          <w:sz w:val="20"/>
          <w:szCs w:val="20"/>
        </w:rPr>
        <w:t>(Cambridge: Cambridge University Press, 1994)</w:t>
      </w:r>
      <w:r w:rsidR="003A39D0">
        <w:rPr>
          <w:sz w:val="20"/>
          <w:szCs w:val="20"/>
        </w:rPr>
        <w:t xml:space="preserve"> </w:t>
      </w:r>
      <w:r w:rsidRPr="003A39D0">
        <w:rPr>
          <w:sz w:val="20"/>
          <w:szCs w:val="20"/>
        </w:rPr>
        <w:t>p. 44</w:t>
      </w:r>
      <w:bookmarkEnd w:id="6"/>
      <w:r w:rsidR="00FA688E" w:rsidRPr="003A39D0">
        <w:rPr>
          <w:sz w:val="20"/>
          <w:szCs w:val="20"/>
        </w:rPr>
        <w:t>.</w:t>
      </w:r>
    </w:p>
  </w:footnote>
  <w:footnote w:id="11">
    <w:p w14:paraId="168D8CEF" w14:textId="799E0B07" w:rsidR="003B4E28" w:rsidRPr="00241EFB" w:rsidRDefault="003B4E28" w:rsidP="00241EFB">
      <w:pPr>
        <w:jc w:val="both"/>
        <w:rPr>
          <w:sz w:val="20"/>
          <w:szCs w:val="20"/>
        </w:rPr>
      </w:pPr>
      <w:r>
        <w:rPr>
          <w:rStyle w:val="FootnoteReference"/>
        </w:rPr>
        <w:footnoteRef/>
      </w:r>
      <w:r w:rsidR="00241EFB" w:rsidRPr="00241EFB">
        <w:rPr>
          <w:sz w:val="20"/>
          <w:szCs w:val="20"/>
        </w:rPr>
        <w:t>John Van Engen,</w:t>
      </w:r>
      <w:r w:rsidRPr="00241EFB">
        <w:rPr>
          <w:sz w:val="20"/>
          <w:szCs w:val="20"/>
        </w:rPr>
        <w:t xml:space="preserve"> </w:t>
      </w:r>
      <w:bookmarkStart w:id="9" w:name="_Hlk32506996"/>
      <w:r w:rsidR="00241EFB" w:rsidRPr="00241EFB">
        <w:rPr>
          <w:sz w:val="20"/>
          <w:szCs w:val="20"/>
        </w:rPr>
        <w:t xml:space="preserve">‘The "Crisis of Cenobitism" Reconsidered: Benedictine Monasticism in the Years 1050-1150’ </w:t>
      </w:r>
      <w:r w:rsidR="00241EFB" w:rsidRPr="00241EFB">
        <w:rPr>
          <w:i/>
          <w:iCs/>
          <w:sz w:val="20"/>
          <w:szCs w:val="20"/>
        </w:rPr>
        <w:t>Speculum</w:t>
      </w:r>
      <w:r w:rsidR="00241EFB" w:rsidRPr="00241EFB">
        <w:rPr>
          <w:sz w:val="20"/>
          <w:szCs w:val="20"/>
        </w:rPr>
        <w:t>, Vol</w:t>
      </w:r>
      <w:r w:rsidR="00241EFB" w:rsidRPr="00E43890">
        <w:rPr>
          <w:sz w:val="20"/>
          <w:szCs w:val="20"/>
        </w:rPr>
        <w:t>. 61, No. 2 (</w:t>
      </w:r>
      <w:proofErr w:type="gramStart"/>
      <w:r w:rsidR="00241EFB" w:rsidRPr="00E43890">
        <w:rPr>
          <w:sz w:val="20"/>
          <w:szCs w:val="20"/>
        </w:rPr>
        <w:t>Apr.,</w:t>
      </w:r>
      <w:proofErr w:type="gramEnd"/>
      <w:r w:rsidR="00241EFB" w:rsidRPr="00E43890">
        <w:rPr>
          <w:sz w:val="20"/>
          <w:szCs w:val="20"/>
        </w:rPr>
        <w:t xml:space="preserve"> </w:t>
      </w:r>
      <w:r w:rsidR="00241EFB" w:rsidRPr="00241EFB">
        <w:rPr>
          <w:sz w:val="20"/>
          <w:szCs w:val="20"/>
        </w:rPr>
        <w:t xml:space="preserve">1986), pp. 269-304 </w:t>
      </w:r>
      <w:r w:rsidRPr="00241EFB">
        <w:rPr>
          <w:sz w:val="20"/>
          <w:szCs w:val="20"/>
        </w:rPr>
        <w:t>p. 271</w:t>
      </w:r>
      <w:bookmarkEnd w:id="9"/>
      <w:r w:rsidR="00241EFB" w:rsidRPr="00241EFB">
        <w:rPr>
          <w:sz w:val="20"/>
          <w:szCs w:val="20"/>
        </w:rPr>
        <w:t>.</w:t>
      </w:r>
    </w:p>
  </w:footnote>
  <w:footnote w:id="12">
    <w:p w14:paraId="7D2D1A2B" w14:textId="1263D9C3" w:rsidR="006E0DB0" w:rsidRDefault="006E0DB0" w:rsidP="006E0DB0">
      <w:pPr>
        <w:pStyle w:val="FootnoteText"/>
      </w:pPr>
      <w:r>
        <w:rPr>
          <w:rStyle w:val="FootnoteReference"/>
        </w:rPr>
        <w:footnoteRef/>
      </w:r>
      <w:r>
        <w:t xml:space="preserve"> </w:t>
      </w:r>
      <w:r w:rsidRPr="008D3248">
        <w:t xml:space="preserve">Burton, </w:t>
      </w:r>
      <w:r w:rsidRPr="008D3248">
        <w:rPr>
          <w:i/>
          <w:iCs/>
        </w:rPr>
        <w:t>Monastic and Religious Orders</w:t>
      </w:r>
      <w:r w:rsidR="003A39D0">
        <w:t xml:space="preserve"> </w:t>
      </w:r>
      <w:r w:rsidRPr="008D3248">
        <w:t xml:space="preserve">p. </w:t>
      </w:r>
      <w:r>
        <w:t>63</w:t>
      </w:r>
      <w:r w:rsidR="003A39D0">
        <w:t>.</w:t>
      </w:r>
    </w:p>
  </w:footnote>
  <w:footnote w:id="13">
    <w:p w14:paraId="0E67F166" w14:textId="03565D17" w:rsidR="006814BF" w:rsidRPr="008D3248" w:rsidRDefault="006814BF" w:rsidP="006814BF">
      <w:pPr>
        <w:rPr>
          <w:sz w:val="20"/>
          <w:szCs w:val="20"/>
        </w:rPr>
      </w:pPr>
      <w:r w:rsidRPr="006814BF">
        <w:rPr>
          <w:rStyle w:val="FootnoteReference"/>
          <w:sz w:val="20"/>
          <w:szCs w:val="20"/>
        </w:rPr>
        <w:footnoteRef/>
      </w:r>
      <w:r w:rsidRPr="006814BF">
        <w:rPr>
          <w:sz w:val="20"/>
          <w:szCs w:val="20"/>
        </w:rPr>
        <w:t xml:space="preserve"> </w:t>
      </w:r>
      <w:r w:rsidRPr="006814BF">
        <w:rPr>
          <w:sz w:val="20"/>
          <w:szCs w:val="20"/>
        </w:rPr>
        <w:t>Acts</w:t>
      </w:r>
      <w:r w:rsidR="003A39D0">
        <w:rPr>
          <w:sz w:val="20"/>
          <w:szCs w:val="20"/>
        </w:rPr>
        <w:t xml:space="preserve"> of the Apostles</w:t>
      </w:r>
      <w:r w:rsidRPr="006814BF">
        <w:rPr>
          <w:sz w:val="20"/>
          <w:szCs w:val="20"/>
        </w:rPr>
        <w:t xml:space="preserve"> 2:44 in</w:t>
      </w:r>
      <w:r w:rsidRPr="008D3248">
        <w:rPr>
          <w:sz w:val="20"/>
          <w:szCs w:val="20"/>
        </w:rPr>
        <w:t xml:space="preserve"> Burton, </w:t>
      </w:r>
      <w:r w:rsidRPr="008D3248">
        <w:rPr>
          <w:i/>
          <w:iCs/>
          <w:sz w:val="20"/>
          <w:szCs w:val="20"/>
        </w:rPr>
        <w:t xml:space="preserve">Monastic and Religious Orders </w:t>
      </w:r>
      <w:r w:rsidRPr="008D3248">
        <w:rPr>
          <w:sz w:val="20"/>
          <w:szCs w:val="20"/>
        </w:rPr>
        <w:t>p. 43</w:t>
      </w:r>
      <w:r w:rsidR="00241EFB">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D0E65" w14:textId="42784475" w:rsidR="003B4E28" w:rsidRDefault="003B4E28">
    <w:pPr>
      <w:pStyle w:val="Header"/>
    </w:pPr>
    <w:r>
      <w:t>1402066</w:t>
    </w:r>
    <w:r>
      <w:ptab w:relativeTo="margin" w:alignment="center" w:leader="none"/>
    </w:r>
    <w:r>
      <w:t>Natasha Coombs</w:t>
    </w:r>
    <w:r>
      <w:ptab w:relativeTo="margin" w:alignment="right" w:leader="none"/>
    </w:r>
    <w:r w:rsidRPr="00EE5D00">
      <w:rPr>
        <w:bCs/>
      </w:rPr>
      <w:t xml:space="preserve"> HPHI6010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93838"/>
    <w:multiLevelType w:val="hybridMultilevel"/>
    <w:tmpl w:val="6CCE9164"/>
    <w:lvl w:ilvl="0" w:tplc="155480C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EF0708"/>
    <w:multiLevelType w:val="hybridMultilevel"/>
    <w:tmpl w:val="FD6CC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053140"/>
    <w:multiLevelType w:val="hybridMultilevel"/>
    <w:tmpl w:val="002E60FA"/>
    <w:lvl w:ilvl="0" w:tplc="155480C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AC8"/>
    <w:rsid w:val="0000677C"/>
    <w:rsid w:val="00047D35"/>
    <w:rsid w:val="000707AE"/>
    <w:rsid w:val="000A1274"/>
    <w:rsid w:val="000F1A55"/>
    <w:rsid w:val="00186ED5"/>
    <w:rsid w:val="00191C92"/>
    <w:rsid w:val="001B614F"/>
    <w:rsid w:val="001C0E3C"/>
    <w:rsid w:val="001C70C4"/>
    <w:rsid w:val="001D5D3F"/>
    <w:rsid w:val="00201CB2"/>
    <w:rsid w:val="002401F7"/>
    <w:rsid w:val="00241EFB"/>
    <w:rsid w:val="0024668D"/>
    <w:rsid w:val="00294F3B"/>
    <w:rsid w:val="002D7CD1"/>
    <w:rsid w:val="002E4796"/>
    <w:rsid w:val="002F24DB"/>
    <w:rsid w:val="00356211"/>
    <w:rsid w:val="0038020B"/>
    <w:rsid w:val="003A39D0"/>
    <w:rsid w:val="003A76E0"/>
    <w:rsid w:val="003B4E28"/>
    <w:rsid w:val="003F1D50"/>
    <w:rsid w:val="003F61AA"/>
    <w:rsid w:val="0047102C"/>
    <w:rsid w:val="0047345A"/>
    <w:rsid w:val="004A17DD"/>
    <w:rsid w:val="004A1B7E"/>
    <w:rsid w:val="004E6AC8"/>
    <w:rsid w:val="004E7649"/>
    <w:rsid w:val="005243AC"/>
    <w:rsid w:val="00537842"/>
    <w:rsid w:val="0057393B"/>
    <w:rsid w:val="005A608E"/>
    <w:rsid w:val="005F06AA"/>
    <w:rsid w:val="00627604"/>
    <w:rsid w:val="006327CF"/>
    <w:rsid w:val="00665F41"/>
    <w:rsid w:val="006814BF"/>
    <w:rsid w:val="006A40B7"/>
    <w:rsid w:val="006B1A0B"/>
    <w:rsid w:val="006E0DB0"/>
    <w:rsid w:val="007216F7"/>
    <w:rsid w:val="007419F7"/>
    <w:rsid w:val="007830FB"/>
    <w:rsid w:val="007C299E"/>
    <w:rsid w:val="007D6A7F"/>
    <w:rsid w:val="00801684"/>
    <w:rsid w:val="00812061"/>
    <w:rsid w:val="00840C98"/>
    <w:rsid w:val="008608AB"/>
    <w:rsid w:val="00864399"/>
    <w:rsid w:val="008A380F"/>
    <w:rsid w:val="008B44F1"/>
    <w:rsid w:val="008D0104"/>
    <w:rsid w:val="008D1D80"/>
    <w:rsid w:val="008D3248"/>
    <w:rsid w:val="008D4B34"/>
    <w:rsid w:val="008E3D70"/>
    <w:rsid w:val="0094205E"/>
    <w:rsid w:val="00954D14"/>
    <w:rsid w:val="00955608"/>
    <w:rsid w:val="009763AB"/>
    <w:rsid w:val="00994B67"/>
    <w:rsid w:val="00A055EF"/>
    <w:rsid w:val="00A10B45"/>
    <w:rsid w:val="00A270E3"/>
    <w:rsid w:val="00A63B71"/>
    <w:rsid w:val="00A63E1D"/>
    <w:rsid w:val="00A66248"/>
    <w:rsid w:val="00A8357B"/>
    <w:rsid w:val="00A93DE7"/>
    <w:rsid w:val="00AA37D9"/>
    <w:rsid w:val="00AF072E"/>
    <w:rsid w:val="00B31365"/>
    <w:rsid w:val="00B513CF"/>
    <w:rsid w:val="00B94027"/>
    <w:rsid w:val="00BE36E3"/>
    <w:rsid w:val="00BE7B1E"/>
    <w:rsid w:val="00BF047C"/>
    <w:rsid w:val="00BF0732"/>
    <w:rsid w:val="00C0268E"/>
    <w:rsid w:val="00C04AB3"/>
    <w:rsid w:val="00C173BF"/>
    <w:rsid w:val="00C309FF"/>
    <w:rsid w:val="00CC0C55"/>
    <w:rsid w:val="00CE750B"/>
    <w:rsid w:val="00D158BA"/>
    <w:rsid w:val="00D46565"/>
    <w:rsid w:val="00D4745E"/>
    <w:rsid w:val="00D63FA3"/>
    <w:rsid w:val="00D63FEE"/>
    <w:rsid w:val="00D668BB"/>
    <w:rsid w:val="00E00389"/>
    <w:rsid w:val="00E31988"/>
    <w:rsid w:val="00E33A3A"/>
    <w:rsid w:val="00E43890"/>
    <w:rsid w:val="00E96881"/>
    <w:rsid w:val="00E97D12"/>
    <w:rsid w:val="00EB329A"/>
    <w:rsid w:val="00EE5D00"/>
    <w:rsid w:val="00F17410"/>
    <w:rsid w:val="00F22E61"/>
    <w:rsid w:val="00F251F0"/>
    <w:rsid w:val="00F534A3"/>
    <w:rsid w:val="00F56CD2"/>
    <w:rsid w:val="00F64018"/>
    <w:rsid w:val="00F84E8B"/>
    <w:rsid w:val="00FA688E"/>
    <w:rsid w:val="00FB5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C66B63"/>
  <w15:chartTrackingRefBased/>
  <w15:docId w15:val="{681CE251-7E65-4E57-A80D-C8D703F33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AC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AC8"/>
    <w:pPr>
      <w:ind w:left="720"/>
    </w:pPr>
  </w:style>
  <w:style w:type="paragraph" w:customStyle="1" w:styleId="pnext">
    <w:name w:val="pnext"/>
    <w:basedOn w:val="Normal"/>
    <w:rsid w:val="004A17DD"/>
    <w:pPr>
      <w:spacing w:before="100" w:beforeAutospacing="1" w:after="100" w:afterAutospacing="1"/>
    </w:pPr>
    <w:rPr>
      <w:lang w:eastAsia="en-GB"/>
    </w:rPr>
  </w:style>
  <w:style w:type="paragraph" w:styleId="FootnoteText">
    <w:name w:val="footnote text"/>
    <w:basedOn w:val="Normal"/>
    <w:link w:val="FootnoteTextChar"/>
    <w:uiPriority w:val="99"/>
    <w:semiHidden/>
    <w:unhideWhenUsed/>
    <w:rsid w:val="004A17DD"/>
    <w:rPr>
      <w:sz w:val="20"/>
      <w:szCs w:val="20"/>
    </w:rPr>
  </w:style>
  <w:style w:type="character" w:customStyle="1" w:styleId="FootnoteTextChar">
    <w:name w:val="Footnote Text Char"/>
    <w:basedOn w:val="DefaultParagraphFont"/>
    <w:link w:val="FootnoteText"/>
    <w:uiPriority w:val="99"/>
    <w:semiHidden/>
    <w:rsid w:val="004A17D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4A17DD"/>
    <w:rPr>
      <w:vertAlign w:val="superscript"/>
    </w:rPr>
  </w:style>
  <w:style w:type="character" w:styleId="Hyperlink">
    <w:name w:val="Hyperlink"/>
    <w:basedOn w:val="DefaultParagraphFont"/>
    <w:uiPriority w:val="99"/>
    <w:unhideWhenUsed/>
    <w:rsid w:val="004A17DD"/>
    <w:rPr>
      <w:color w:val="0000FF"/>
      <w:u w:val="single"/>
    </w:rPr>
  </w:style>
  <w:style w:type="paragraph" w:customStyle="1" w:styleId="center">
    <w:name w:val="center"/>
    <w:basedOn w:val="Normal"/>
    <w:rsid w:val="004A17DD"/>
    <w:pPr>
      <w:spacing w:before="100" w:beforeAutospacing="1" w:after="100" w:afterAutospacing="1"/>
    </w:pPr>
    <w:rPr>
      <w:lang w:eastAsia="en-GB"/>
    </w:rPr>
  </w:style>
  <w:style w:type="character" w:customStyle="1" w:styleId="xx-large">
    <w:name w:val="xx-large"/>
    <w:basedOn w:val="DefaultParagraphFont"/>
    <w:rsid w:val="004A17DD"/>
  </w:style>
  <w:style w:type="character" w:customStyle="1" w:styleId="x-large">
    <w:name w:val="x-large"/>
    <w:basedOn w:val="DefaultParagraphFont"/>
    <w:rsid w:val="004A17DD"/>
  </w:style>
  <w:style w:type="character" w:styleId="Emphasis">
    <w:name w:val="Emphasis"/>
    <w:basedOn w:val="DefaultParagraphFont"/>
    <w:uiPriority w:val="20"/>
    <w:qFormat/>
    <w:rsid w:val="007830FB"/>
    <w:rPr>
      <w:i/>
      <w:iCs/>
    </w:rPr>
  </w:style>
  <w:style w:type="character" w:styleId="UnresolvedMention">
    <w:name w:val="Unresolved Mention"/>
    <w:basedOn w:val="DefaultParagraphFont"/>
    <w:uiPriority w:val="99"/>
    <w:semiHidden/>
    <w:unhideWhenUsed/>
    <w:rsid w:val="00191C92"/>
    <w:rPr>
      <w:color w:val="605E5C"/>
      <w:shd w:val="clear" w:color="auto" w:fill="E1DFDD"/>
    </w:rPr>
  </w:style>
  <w:style w:type="paragraph" w:styleId="Header">
    <w:name w:val="header"/>
    <w:basedOn w:val="Normal"/>
    <w:link w:val="HeaderChar"/>
    <w:uiPriority w:val="99"/>
    <w:unhideWhenUsed/>
    <w:rsid w:val="00EE5D00"/>
    <w:pPr>
      <w:tabs>
        <w:tab w:val="center" w:pos="4513"/>
        <w:tab w:val="right" w:pos="9026"/>
      </w:tabs>
    </w:pPr>
  </w:style>
  <w:style w:type="character" w:customStyle="1" w:styleId="HeaderChar">
    <w:name w:val="Header Char"/>
    <w:basedOn w:val="DefaultParagraphFont"/>
    <w:link w:val="Header"/>
    <w:uiPriority w:val="99"/>
    <w:rsid w:val="00EE5D0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E5D00"/>
    <w:pPr>
      <w:tabs>
        <w:tab w:val="center" w:pos="4513"/>
        <w:tab w:val="right" w:pos="9026"/>
      </w:tabs>
    </w:pPr>
  </w:style>
  <w:style w:type="character" w:customStyle="1" w:styleId="FooterChar">
    <w:name w:val="Footer Char"/>
    <w:basedOn w:val="DefaultParagraphFont"/>
    <w:link w:val="Footer"/>
    <w:uiPriority w:val="99"/>
    <w:rsid w:val="00EE5D0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853019">
      <w:bodyDiv w:val="1"/>
      <w:marLeft w:val="0"/>
      <w:marRight w:val="0"/>
      <w:marTop w:val="0"/>
      <w:marBottom w:val="0"/>
      <w:divBdr>
        <w:top w:val="none" w:sz="0" w:space="0" w:color="auto"/>
        <w:left w:val="none" w:sz="0" w:space="0" w:color="auto"/>
        <w:bottom w:val="none" w:sz="0" w:space="0" w:color="auto"/>
        <w:right w:val="none" w:sz="0" w:space="0" w:color="auto"/>
      </w:divBdr>
    </w:div>
    <w:div w:id="1642925062">
      <w:bodyDiv w:val="1"/>
      <w:marLeft w:val="0"/>
      <w:marRight w:val="0"/>
      <w:marTop w:val="0"/>
      <w:marBottom w:val="0"/>
      <w:divBdr>
        <w:top w:val="none" w:sz="0" w:space="0" w:color="auto"/>
        <w:left w:val="none" w:sz="0" w:space="0" w:color="auto"/>
        <w:bottom w:val="none" w:sz="0" w:space="0" w:color="auto"/>
        <w:right w:val="none" w:sz="0" w:space="0" w:color="auto"/>
      </w:divBdr>
    </w:div>
    <w:div w:id="1717194708">
      <w:bodyDiv w:val="1"/>
      <w:marLeft w:val="0"/>
      <w:marRight w:val="0"/>
      <w:marTop w:val="0"/>
      <w:marBottom w:val="0"/>
      <w:divBdr>
        <w:top w:val="none" w:sz="0" w:space="0" w:color="auto"/>
        <w:left w:val="none" w:sz="0" w:space="0" w:color="auto"/>
        <w:bottom w:val="none" w:sz="0" w:space="0" w:color="auto"/>
        <w:right w:val="none" w:sz="0" w:space="0" w:color="auto"/>
      </w:divBdr>
    </w:div>
    <w:div w:id="191662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gutenberg.org/files/50040/50040-h/50040-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0E3D1E20-778C-42FA-BFFF-96D31F1BD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5512</TotalTime>
  <Pages>4</Pages>
  <Words>1251</Words>
  <Characters>6632</Characters>
  <Application>Microsoft Office Word</Application>
  <DocSecurity>0</DocSecurity>
  <Lines>150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Coombs (1402066)</dc:creator>
  <cp:keywords/>
  <dc:description/>
  <cp:lastModifiedBy>Natasha Coombs (1402066)</cp:lastModifiedBy>
  <cp:revision>49</cp:revision>
  <dcterms:created xsi:type="dcterms:W3CDTF">2020-02-10T12:27:00Z</dcterms:created>
  <dcterms:modified xsi:type="dcterms:W3CDTF">2020-02-15T15:38:00Z</dcterms:modified>
</cp:coreProperties>
</file>