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56D0D" w14:textId="77777777" w:rsidR="008E5DD4" w:rsidRDefault="008E5DD4" w:rsidP="008E5DD4">
      <w:pPr>
        <w:jc w:val="center"/>
        <w:rPr>
          <w:lang w:val="en-US"/>
        </w:rPr>
      </w:pPr>
    </w:p>
    <w:p w14:paraId="7AA57358" w14:textId="77777777" w:rsidR="008E5DD4" w:rsidRDefault="008E5DD4" w:rsidP="008E5DD4">
      <w:pPr>
        <w:jc w:val="center"/>
        <w:rPr>
          <w:lang w:val="en-US"/>
        </w:rPr>
      </w:pPr>
    </w:p>
    <w:p w14:paraId="3846FF44" w14:textId="77777777" w:rsidR="008E5DD4" w:rsidRDefault="008E5DD4" w:rsidP="008E5DD4">
      <w:pPr>
        <w:jc w:val="center"/>
        <w:rPr>
          <w:lang w:val="en-US"/>
        </w:rPr>
      </w:pPr>
    </w:p>
    <w:p w14:paraId="16BB96C4" w14:textId="77777777" w:rsidR="008E5DD4" w:rsidRDefault="008E5DD4" w:rsidP="008E5DD4">
      <w:pPr>
        <w:jc w:val="center"/>
        <w:rPr>
          <w:lang w:val="en-US"/>
        </w:rPr>
      </w:pPr>
    </w:p>
    <w:p w14:paraId="3593A67C" w14:textId="77777777" w:rsidR="003E2330" w:rsidRPr="008E5DD4" w:rsidRDefault="00000000" w:rsidP="008E5DD4">
      <w:pPr>
        <w:jc w:val="center"/>
        <w:rPr>
          <w:b/>
          <w:bCs/>
          <w:sz w:val="32"/>
          <w:szCs w:val="32"/>
          <w:lang w:val="en-US"/>
        </w:rPr>
      </w:pPr>
      <w:r w:rsidRPr="008E5DD4">
        <w:rPr>
          <w:b/>
          <w:bCs/>
          <w:sz w:val="32"/>
          <w:szCs w:val="32"/>
          <w:lang w:val="en-US"/>
        </w:rPr>
        <w:t>Module Title: Criminal law</w:t>
      </w:r>
    </w:p>
    <w:p w14:paraId="7C66AF3F" w14:textId="77777777" w:rsidR="008E5DD4" w:rsidRPr="008E5DD4" w:rsidRDefault="00000000" w:rsidP="008E5DD4">
      <w:pPr>
        <w:jc w:val="center"/>
        <w:rPr>
          <w:b/>
          <w:bCs/>
          <w:sz w:val="28"/>
          <w:szCs w:val="28"/>
          <w:lang w:val="en-US"/>
        </w:rPr>
      </w:pPr>
      <w:r w:rsidRPr="008E5DD4">
        <w:rPr>
          <w:b/>
          <w:bCs/>
          <w:sz w:val="28"/>
          <w:szCs w:val="28"/>
          <w:lang w:val="en-US"/>
        </w:rPr>
        <w:t>Assignment Title: Reform of Homicide (Essay)</w:t>
      </w:r>
    </w:p>
    <w:p w14:paraId="0A5DF9AD" w14:textId="64FF3249" w:rsidR="008E5DD4" w:rsidRDefault="00000000" w:rsidP="008E5DD4">
      <w:pPr>
        <w:jc w:val="center"/>
        <w:rPr>
          <w:lang w:val="en-US"/>
        </w:rPr>
      </w:pPr>
      <w:r>
        <w:rPr>
          <w:lang w:val="en-US"/>
        </w:rPr>
        <w:t>Student Name:</w:t>
      </w:r>
      <w:r w:rsidR="00CD1E1C">
        <w:rPr>
          <w:lang w:val="en-US"/>
        </w:rPr>
        <w:t xml:space="preserve"> Sabrina Ioana Acsinte</w:t>
      </w:r>
    </w:p>
    <w:p w14:paraId="52402A01" w14:textId="2695E0A3" w:rsidR="008E5DD4" w:rsidRDefault="00000000" w:rsidP="008E5DD4">
      <w:pPr>
        <w:jc w:val="center"/>
        <w:rPr>
          <w:lang w:val="en-US"/>
        </w:rPr>
      </w:pPr>
      <w:r>
        <w:rPr>
          <w:lang w:val="en-US"/>
        </w:rPr>
        <w:t>Student ID:</w:t>
      </w:r>
      <w:r w:rsidR="00CD1E1C">
        <w:rPr>
          <w:lang w:val="en-US"/>
        </w:rPr>
        <w:t xml:space="preserve"> 2233446</w:t>
      </w:r>
    </w:p>
    <w:p w14:paraId="02983F22" w14:textId="77777777" w:rsidR="008E5DD4" w:rsidRDefault="00000000">
      <w:pPr>
        <w:spacing w:after="160" w:line="259" w:lineRule="auto"/>
        <w:jc w:val="left"/>
        <w:rPr>
          <w:lang w:val="en-US"/>
        </w:rPr>
      </w:pPr>
      <w:r>
        <w:rPr>
          <w:lang w:val="en-US"/>
        </w:rPr>
        <w:br w:type="page"/>
      </w:r>
    </w:p>
    <w:p w14:paraId="25BABBDE" w14:textId="59B0E180" w:rsidR="00057FAB" w:rsidRDefault="00000000" w:rsidP="008E5DD4">
      <w:pPr>
        <w:rPr>
          <w:b/>
          <w:bCs/>
          <w:lang w:val="en-US"/>
        </w:rPr>
      </w:pPr>
      <w:r>
        <w:rPr>
          <w:b/>
          <w:bCs/>
          <w:lang w:val="en-US"/>
        </w:rPr>
        <w:lastRenderedPageBreak/>
        <w:t>Introduction</w:t>
      </w:r>
    </w:p>
    <w:p w14:paraId="71C7D61F" w14:textId="27BBE622" w:rsidR="00057FAB" w:rsidRDefault="00000000" w:rsidP="00C33E9B">
      <w:pPr>
        <w:rPr>
          <w:b/>
          <w:bCs/>
          <w:lang w:val="en-US"/>
        </w:rPr>
      </w:pPr>
      <w:r>
        <w:rPr>
          <w:lang w:val="en-US"/>
        </w:rPr>
        <w:t xml:space="preserve">The following essay will highlight the </w:t>
      </w:r>
      <w:r w:rsidR="001C7FE6">
        <w:rPr>
          <w:lang w:val="en-US"/>
        </w:rPr>
        <w:t>need for</w:t>
      </w:r>
      <w:r w:rsidR="00C33E9B">
        <w:rPr>
          <w:lang w:val="en-US"/>
        </w:rPr>
        <w:t xml:space="preserve"> the reformation of homicide laws in England and Wales. </w:t>
      </w:r>
      <w:r w:rsidR="00802E88">
        <w:rPr>
          <w:lang w:val="en-US"/>
        </w:rPr>
        <w:t>In that context, the present law that governs the prevalence of homicide in Wales</w:t>
      </w:r>
      <w:r w:rsidR="008A6328">
        <w:rPr>
          <w:lang w:val="en-US"/>
        </w:rPr>
        <w:t>, as well as England,</w:t>
      </w:r>
      <w:r w:rsidR="00802E88">
        <w:rPr>
          <w:lang w:val="en-US"/>
        </w:rPr>
        <w:t xml:space="preserve"> will be discussed in the essay. </w:t>
      </w:r>
      <w:r w:rsidR="008A6328">
        <w:rPr>
          <w:lang w:val="en-US"/>
        </w:rPr>
        <w:t xml:space="preserve">Some of the relevant issues of the current homicide law </w:t>
      </w:r>
      <w:r w:rsidR="00440101">
        <w:rPr>
          <w:lang w:val="en-US"/>
        </w:rPr>
        <w:t xml:space="preserve">like conflicts in discussions regarding the intent for murder and fractional defence to murder will be described elaborately. </w:t>
      </w:r>
      <w:r w:rsidR="002D6D3B">
        <w:rPr>
          <w:lang w:val="en-US"/>
        </w:rPr>
        <w:t xml:space="preserve">Along with that, the intensity of manslaughter in England and Wales will be discussed in the essay. </w:t>
      </w:r>
      <w:r w:rsidR="00E337AC">
        <w:rPr>
          <w:lang w:val="en-US"/>
        </w:rPr>
        <w:t>The acceptance of certain proposals</w:t>
      </w:r>
      <w:r w:rsidR="00C24DF8">
        <w:rPr>
          <w:lang w:val="en-US"/>
        </w:rPr>
        <w:t xml:space="preserve"> for reform of homicide laws</w:t>
      </w:r>
      <w:r w:rsidR="00E337AC">
        <w:rPr>
          <w:lang w:val="en-US"/>
        </w:rPr>
        <w:t xml:space="preserve"> by the UK government that have been put forward by </w:t>
      </w:r>
      <w:r w:rsidR="00C24DF8">
        <w:rPr>
          <w:lang w:val="en-US"/>
        </w:rPr>
        <w:t xml:space="preserve">the Law Commission and other agencies will also be </w:t>
      </w:r>
      <w:r w:rsidR="00D03964">
        <w:rPr>
          <w:lang w:val="en-US"/>
        </w:rPr>
        <w:t xml:space="preserve">highlighted. </w:t>
      </w:r>
      <w:r w:rsidR="00C23DF5">
        <w:rPr>
          <w:lang w:val="en-US"/>
        </w:rPr>
        <w:t>Further, the essay will also present various arguments related to the reformation required for homicide laws</w:t>
      </w:r>
      <w:r w:rsidR="00636F2B">
        <w:rPr>
          <w:lang w:val="en-US"/>
        </w:rPr>
        <w:t xml:space="preserve">. </w:t>
      </w:r>
      <w:r w:rsidR="00C24DF8">
        <w:rPr>
          <w:lang w:val="en-US"/>
        </w:rPr>
        <w:t xml:space="preserve"> </w:t>
      </w:r>
      <w:r>
        <w:rPr>
          <w:b/>
          <w:bCs/>
          <w:lang w:val="en-US"/>
        </w:rPr>
        <w:br w:type="page"/>
      </w:r>
    </w:p>
    <w:p w14:paraId="51AFA099" w14:textId="216CFBBF" w:rsidR="008E5DD4" w:rsidRDefault="00000000" w:rsidP="008E5DD4">
      <w:pPr>
        <w:rPr>
          <w:b/>
          <w:bCs/>
          <w:lang w:val="en-US"/>
        </w:rPr>
      </w:pPr>
      <w:r w:rsidRPr="00057FAB">
        <w:rPr>
          <w:b/>
          <w:bCs/>
          <w:lang w:val="en-US"/>
        </w:rPr>
        <w:lastRenderedPageBreak/>
        <w:t>Discussion</w:t>
      </w:r>
    </w:p>
    <w:p w14:paraId="1980F04E" w14:textId="287B4EDE" w:rsidR="00057FAB" w:rsidRDefault="00000000" w:rsidP="008E5DD4">
      <w:pPr>
        <w:rPr>
          <w:lang w:val="en-US"/>
        </w:rPr>
      </w:pPr>
      <w:r w:rsidRPr="00E40566">
        <w:rPr>
          <w:lang w:val="en-US"/>
        </w:rPr>
        <w:t>The Offences Against the Person Act 186</w:t>
      </w:r>
      <w:r w:rsidR="00656AEC">
        <w:rPr>
          <w:lang w:val="en-US"/>
        </w:rPr>
        <w:t>1</w:t>
      </w:r>
      <w:r w:rsidRPr="00E40566">
        <w:rPr>
          <w:lang w:val="en-US"/>
        </w:rPr>
        <w:t xml:space="preserve"> serves as the foundation for the present homicide laws in England and Wales</w:t>
      </w:r>
      <w:r w:rsidR="00DB1FEC" w:rsidRPr="00DB1FEC">
        <w:rPr>
          <w:lang w:val="en-US"/>
        </w:rPr>
        <w:t xml:space="preserve"> </w:t>
      </w:r>
      <w:r w:rsidR="00DB1FEC" w:rsidRPr="00E40566">
        <w:rPr>
          <w:lang w:val="en-US"/>
        </w:rPr>
        <w:t>though it has been amended and expanded by subsequent legislation and judicial rulings</w:t>
      </w:r>
      <w:r w:rsidRPr="00E40566">
        <w:rPr>
          <w:lang w:val="en-US"/>
        </w:rPr>
        <w:t xml:space="preserve">. </w:t>
      </w:r>
      <w:r w:rsidR="00D156CE" w:rsidRPr="00D156CE">
        <w:rPr>
          <w:lang w:val="en-US"/>
        </w:rPr>
        <w:t>The Offences Against the Person Act of 1861 is an English statute that specifies a number of offences against people, such as assault, severe bodily harm, and illegal killing</w:t>
      </w:r>
      <w:sdt>
        <w:sdtPr>
          <w:rPr>
            <w:lang w:val="en-US"/>
          </w:rPr>
          <w:id w:val="1560362683"/>
          <w:citation/>
        </w:sdtPr>
        <w:sdtContent>
          <w:r w:rsidR="0054229C">
            <w:rPr>
              <w:lang w:val="en-US"/>
            </w:rPr>
            <w:fldChar w:fldCharType="begin"/>
          </w:r>
          <w:r w:rsidR="00AD1B08">
            <w:rPr>
              <w:lang w:val="en-US"/>
            </w:rPr>
            <w:instrText xml:space="preserve">CITATION Leg231 \l 1033 </w:instrText>
          </w:r>
          <w:r w:rsidR="0054229C">
            <w:rPr>
              <w:lang w:val="en-US"/>
            </w:rPr>
            <w:fldChar w:fldCharType="separate"/>
          </w:r>
          <w:r w:rsidR="00AD1B08">
            <w:rPr>
              <w:noProof/>
              <w:lang w:val="en-US"/>
            </w:rPr>
            <w:t xml:space="preserve"> </w:t>
          </w:r>
          <w:r w:rsidR="00AD1B08" w:rsidRPr="00AD1B08">
            <w:rPr>
              <w:noProof/>
              <w:lang w:val="en-US"/>
            </w:rPr>
            <w:t>(Legislation.gov.uk, 2023)</w:t>
          </w:r>
          <w:r w:rsidR="0054229C">
            <w:rPr>
              <w:lang w:val="en-US"/>
            </w:rPr>
            <w:fldChar w:fldCharType="end"/>
          </w:r>
        </w:sdtContent>
      </w:sdt>
      <w:r w:rsidR="00D156CE" w:rsidRPr="00D156CE">
        <w:rPr>
          <w:lang w:val="en-US"/>
        </w:rPr>
        <w:t>. An important component of English and Welsh criminal law, it lays out the fines and legal requirements associated with these crimes.</w:t>
      </w:r>
      <w:r w:rsidR="00D156CE">
        <w:rPr>
          <w:lang w:val="en-US"/>
        </w:rPr>
        <w:t xml:space="preserve"> </w:t>
      </w:r>
      <w:r w:rsidRPr="00E40566">
        <w:rPr>
          <w:lang w:val="en-US"/>
        </w:rPr>
        <w:t>Murder and manslaughter are the two basic types of homicide, which are defined as the act of intentionally causing the death of another person. The most serious type of homicide is murder</w:t>
      </w:r>
      <w:r w:rsidR="00DB1FEC">
        <w:rPr>
          <w:lang w:val="en-US"/>
        </w:rPr>
        <w:t xml:space="preserve"> </w:t>
      </w:r>
      <w:r w:rsidR="00F258ED">
        <w:rPr>
          <w:lang w:val="en-US"/>
        </w:rPr>
        <w:t>which</w:t>
      </w:r>
      <w:r w:rsidRPr="00E40566">
        <w:rPr>
          <w:lang w:val="en-US"/>
        </w:rPr>
        <w:t xml:space="preserve"> is defined as the deliberate killing of another person with the essential intent to bring about death or great bodily harm</w:t>
      </w:r>
      <w:sdt>
        <w:sdtPr>
          <w:rPr>
            <w:lang w:val="en-US"/>
          </w:rPr>
          <w:id w:val="67851469"/>
          <w:citation/>
        </w:sdtPr>
        <w:sdtContent>
          <w:r w:rsidR="00A77402">
            <w:rPr>
              <w:lang w:val="en-US"/>
            </w:rPr>
            <w:fldChar w:fldCharType="begin"/>
          </w:r>
          <w:r w:rsidR="00A77402">
            <w:rPr>
              <w:lang w:val="en-US"/>
            </w:rPr>
            <w:instrText xml:space="preserve"> CITATION CPS22 \l 1033 </w:instrText>
          </w:r>
          <w:r w:rsidR="00A77402">
            <w:rPr>
              <w:lang w:val="en-US"/>
            </w:rPr>
            <w:fldChar w:fldCharType="separate"/>
          </w:r>
          <w:r w:rsidR="00A77402">
            <w:rPr>
              <w:noProof/>
              <w:lang w:val="en-US"/>
            </w:rPr>
            <w:t xml:space="preserve"> </w:t>
          </w:r>
          <w:r w:rsidR="00A77402" w:rsidRPr="00A77402">
            <w:rPr>
              <w:noProof/>
              <w:lang w:val="en-US"/>
            </w:rPr>
            <w:t>(CPS, 2022)</w:t>
          </w:r>
          <w:r w:rsidR="00A77402">
            <w:rPr>
              <w:lang w:val="en-US"/>
            </w:rPr>
            <w:fldChar w:fldCharType="end"/>
          </w:r>
        </w:sdtContent>
      </w:sdt>
      <w:r w:rsidRPr="00E40566">
        <w:rPr>
          <w:lang w:val="en-US"/>
        </w:rPr>
        <w:t xml:space="preserve">. Contrarily, manslaughter refers to unlawful killings that do not qualify as murder </w:t>
      </w:r>
      <w:r w:rsidR="00DB1FEC">
        <w:rPr>
          <w:lang w:val="en-US"/>
        </w:rPr>
        <w:t>due to</w:t>
      </w:r>
      <w:r w:rsidRPr="00E40566">
        <w:rPr>
          <w:lang w:val="en-US"/>
        </w:rPr>
        <w:t xml:space="preserve"> extenuating circumstances or a lack of </w:t>
      </w:r>
      <w:r w:rsidR="00DB1FEC" w:rsidRPr="00E40566">
        <w:rPr>
          <w:lang w:val="en-US"/>
        </w:rPr>
        <w:t>hatred</w:t>
      </w:r>
      <w:r w:rsidRPr="00E40566">
        <w:rPr>
          <w:lang w:val="en-US"/>
        </w:rPr>
        <w:t>.</w:t>
      </w:r>
      <w:r w:rsidR="00DB1FEC">
        <w:rPr>
          <w:lang w:val="en-US"/>
        </w:rPr>
        <w:t xml:space="preserve"> </w:t>
      </w:r>
      <w:r w:rsidR="004410DD" w:rsidRPr="004410DD">
        <w:rPr>
          <w:lang w:val="en-US"/>
        </w:rPr>
        <w:t>Manslaughter can be further broken down into two types</w:t>
      </w:r>
      <w:r w:rsidR="00765280">
        <w:rPr>
          <w:lang w:val="en-US"/>
        </w:rPr>
        <w:t>-</w:t>
      </w:r>
      <w:r w:rsidR="004410DD" w:rsidRPr="004410DD">
        <w:rPr>
          <w:lang w:val="en-US"/>
        </w:rPr>
        <w:t xml:space="preserve">voluntary </w:t>
      </w:r>
      <w:r w:rsidR="00F258ED">
        <w:rPr>
          <w:lang w:val="en-US"/>
        </w:rPr>
        <w:t>manslaughters</w:t>
      </w:r>
      <w:r w:rsidR="004410DD" w:rsidRPr="004410DD">
        <w:rPr>
          <w:lang w:val="en-US"/>
        </w:rPr>
        <w:t xml:space="preserve">, which happens when the offender intends to kill or cause serious harm </w:t>
      </w:r>
      <w:r w:rsidR="00765280">
        <w:rPr>
          <w:lang w:val="en-US"/>
        </w:rPr>
        <w:t>yet</w:t>
      </w:r>
      <w:r w:rsidR="004410DD" w:rsidRPr="004410DD">
        <w:rPr>
          <w:lang w:val="en-US"/>
        </w:rPr>
        <w:t xml:space="preserve"> acts in a careless or impulsive manner</w:t>
      </w:r>
      <w:r w:rsidR="00765280">
        <w:rPr>
          <w:lang w:val="en-US"/>
        </w:rPr>
        <w:t xml:space="preserve">. The other type is </w:t>
      </w:r>
      <w:r w:rsidR="004410DD" w:rsidRPr="004410DD">
        <w:rPr>
          <w:lang w:val="en-US"/>
        </w:rPr>
        <w:t>involuntary manslaughter</w:t>
      </w:r>
      <w:r w:rsidR="00781577">
        <w:rPr>
          <w:lang w:val="en-US"/>
        </w:rPr>
        <w:t xml:space="preserve"> </w:t>
      </w:r>
      <w:r w:rsidR="00F258ED">
        <w:rPr>
          <w:lang w:val="en-US"/>
        </w:rPr>
        <w:t>which</w:t>
      </w:r>
      <w:r w:rsidR="004410DD" w:rsidRPr="004410DD">
        <w:rPr>
          <w:lang w:val="en-US"/>
        </w:rPr>
        <w:t xml:space="preserve"> describes situations in which the offender lacks the necessary intent </w:t>
      </w:r>
      <w:r w:rsidR="00781577">
        <w:rPr>
          <w:lang w:val="en-US"/>
        </w:rPr>
        <w:t>however</w:t>
      </w:r>
      <w:r w:rsidR="004410DD" w:rsidRPr="004410DD">
        <w:rPr>
          <w:lang w:val="en-US"/>
        </w:rPr>
        <w:t xml:space="preserve"> is still accountable for the death due to </w:t>
      </w:r>
      <w:r w:rsidR="00DA792C">
        <w:rPr>
          <w:lang w:val="en-US"/>
        </w:rPr>
        <w:t>dreadful</w:t>
      </w:r>
      <w:r w:rsidR="004410DD" w:rsidRPr="004410DD">
        <w:rPr>
          <w:lang w:val="en-US"/>
        </w:rPr>
        <w:t xml:space="preserve"> negligence or an illegal act</w:t>
      </w:r>
      <w:r w:rsidR="001E201F">
        <w:rPr>
          <w:lang w:val="en-US"/>
        </w:rPr>
        <w:t xml:space="preserve"> (</w:t>
      </w:r>
      <w:r w:rsidR="001E201F">
        <w:rPr>
          <w:shd w:val="clear" w:color="auto" w:fill="FFFFFF"/>
        </w:rPr>
        <w:t xml:space="preserve">Todd, </w:t>
      </w:r>
      <w:r w:rsidR="001E201F">
        <w:rPr>
          <w:i/>
          <w:iCs/>
          <w:shd w:val="clear" w:color="auto" w:fill="FFFFFF"/>
        </w:rPr>
        <w:t>et al.,</w:t>
      </w:r>
      <w:r w:rsidR="001E201F">
        <w:rPr>
          <w:shd w:val="clear" w:color="auto" w:fill="FFFFFF"/>
        </w:rPr>
        <w:t xml:space="preserve"> 2019)</w:t>
      </w:r>
      <w:r w:rsidR="004410DD" w:rsidRPr="004410DD">
        <w:rPr>
          <w:lang w:val="en-US"/>
        </w:rPr>
        <w:t>. The laws governing homicide in England and Wales are intricate and continually changing, with judicial rulings and new discoveries in legal theory influencing how the laws are interpreted and applied.</w:t>
      </w:r>
      <w:r w:rsidR="00DF21D0">
        <w:rPr>
          <w:lang w:val="en-US"/>
        </w:rPr>
        <w:t xml:space="preserve"> </w:t>
      </w:r>
    </w:p>
    <w:p w14:paraId="52280373" w14:textId="1279AC20" w:rsidR="000062AE" w:rsidRDefault="00000000" w:rsidP="00C30753">
      <w:pPr>
        <w:rPr>
          <w:lang w:val="en-US"/>
        </w:rPr>
      </w:pPr>
      <w:r>
        <w:rPr>
          <w:lang w:val="en-US"/>
        </w:rPr>
        <w:t xml:space="preserve">There </w:t>
      </w:r>
      <w:r w:rsidR="0059709C">
        <w:rPr>
          <w:lang w:val="en-US"/>
        </w:rPr>
        <w:t>lie</w:t>
      </w:r>
      <w:r>
        <w:rPr>
          <w:lang w:val="en-US"/>
        </w:rPr>
        <w:t xml:space="preserve"> certain underlying issues of the homicide laws that are currently present in Wales and </w:t>
      </w:r>
      <w:r w:rsidR="00E63D58">
        <w:rPr>
          <w:lang w:val="en-US"/>
        </w:rPr>
        <w:t xml:space="preserve">England. </w:t>
      </w:r>
      <w:r w:rsidR="0059709C" w:rsidRPr="0059709C">
        <w:rPr>
          <w:lang w:val="en-US"/>
        </w:rPr>
        <w:t>There are partial defences to murder in the framework of homicide law in England and Wales that might downgrade a charge of murder to a lesser offence. These defences admit that although the defendant was the one who actually killed the victim, there may have been mitigating factors that reduced their guilt</w:t>
      </w:r>
      <w:r w:rsidR="00D84B30">
        <w:rPr>
          <w:lang w:val="en-US"/>
        </w:rPr>
        <w:t xml:space="preserve"> (</w:t>
      </w:r>
      <w:r w:rsidR="00D84B30">
        <w:rPr>
          <w:shd w:val="clear" w:color="auto" w:fill="FFFFFF"/>
        </w:rPr>
        <w:t>Negligence, 2021)</w:t>
      </w:r>
      <w:r w:rsidR="0059709C" w:rsidRPr="0059709C">
        <w:rPr>
          <w:lang w:val="en-US"/>
        </w:rPr>
        <w:t xml:space="preserve">. Diminished responsibility, provocative </w:t>
      </w:r>
      <w:r w:rsidR="0059709C" w:rsidRPr="0059709C">
        <w:rPr>
          <w:lang w:val="en-US"/>
        </w:rPr>
        <w:lastRenderedPageBreak/>
        <w:t>behaviour, and suicide pact are three prominent partial defences.</w:t>
      </w:r>
      <w:r w:rsidR="0059709C">
        <w:rPr>
          <w:lang w:val="en-US"/>
        </w:rPr>
        <w:t xml:space="preserve"> </w:t>
      </w:r>
      <w:r w:rsidR="0059709C" w:rsidRPr="0059709C">
        <w:rPr>
          <w:lang w:val="en-US"/>
        </w:rPr>
        <w:t>If the defendant</w:t>
      </w:r>
      <w:r w:rsidR="00DA00C0">
        <w:rPr>
          <w:lang w:val="en-US"/>
        </w:rPr>
        <w:t>’</w:t>
      </w:r>
      <w:r w:rsidR="0059709C" w:rsidRPr="0059709C">
        <w:rPr>
          <w:lang w:val="en-US"/>
        </w:rPr>
        <w:t>s mental state seriously compromised their capacity to comprehend the nature of their actions or exercise restraint, then diminished liability is applicable</w:t>
      </w:r>
      <w:r w:rsidR="00E762BD">
        <w:rPr>
          <w:lang w:val="en-US"/>
        </w:rPr>
        <w:t xml:space="preserve"> (</w:t>
      </w:r>
      <w:r w:rsidR="00E762BD">
        <w:rPr>
          <w:shd w:val="clear" w:color="auto" w:fill="FFFFFF"/>
        </w:rPr>
        <w:t>Crofts and Wake, 2021)</w:t>
      </w:r>
      <w:r w:rsidR="0059709C" w:rsidRPr="0059709C">
        <w:rPr>
          <w:lang w:val="en-US"/>
        </w:rPr>
        <w:t>. The charge of murder could be dropped in exchange for a plea deal and reduced to voluntary manslaughter.</w:t>
      </w:r>
      <w:r w:rsidR="00DA00C0">
        <w:rPr>
          <w:lang w:val="en-US"/>
        </w:rPr>
        <w:t xml:space="preserve"> </w:t>
      </w:r>
      <w:r w:rsidR="00A128DB" w:rsidRPr="00A128DB">
        <w:rPr>
          <w:lang w:val="en-US"/>
        </w:rPr>
        <w:t>Provocation happens when the defendant responds in a way that would make a reasonable person lose control, such as when the provocation is rapid and extreme. The charge of murder may be changed to voluntary manslaughter if there is evidence of provocation.</w:t>
      </w:r>
      <w:r w:rsidR="002277C3">
        <w:rPr>
          <w:lang w:val="en-US"/>
        </w:rPr>
        <w:t xml:space="preserve"> </w:t>
      </w:r>
      <w:r w:rsidR="00A128DB" w:rsidRPr="00A128DB">
        <w:rPr>
          <w:lang w:val="en-US"/>
        </w:rPr>
        <w:t>When two or more people decide to take their own life together, a suicide pact defence may be used</w:t>
      </w:r>
      <w:r w:rsidR="00170725">
        <w:rPr>
          <w:lang w:val="en-US"/>
        </w:rPr>
        <w:t xml:space="preserve"> (</w:t>
      </w:r>
      <w:r w:rsidR="00170725">
        <w:rPr>
          <w:shd w:val="clear" w:color="auto" w:fill="FFFFFF"/>
        </w:rPr>
        <w:t>Clough, 2023)</w:t>
      </w:r>
      <w:r w:rsidR="00A128DB" w:rsidRPr="00A128DB">
        <w:rPr>
          <w:lang w:val="en-US"/>
        </w:rPr>
        <w:t>. The allegation of murder may be changed to manslaughter if the defendant can show that they were a true participant in a suicide pact and truly intended to die.</w:t>
      </w:r>
      <w:r w:rsidR="002277C3">
        <w:rPr>
          <w:lang w:val="en-US"/>
        </w:rPr>
        <w:t xml:space="preserve"> </w:t>
      </w:r>
      <w:r w:rsidR="00A128DB" w:rsidRPr="00A128DB">
        <w:rPr>
          <w:lang w:val="en-US"/>
        </w:rPr>
        <w:t>With the help of these limited defences, homicide laws can be applied more fairly while taking into account unique situations.</w:t>
      </w:r>
      <w:r w:rsidR="00AC09D5" w:rsidRPr="00AC09D5">
        <w:t xml:space="preserve"> </w:t>
      </w:r>
      <w:r w:rsidR="00AC09D5" w:rsidRPr="00AC09D5">
        <w:rPr>
          <w:lang w:val="en-US"/>
        </w:rPr>
        <w:t xml:space="preserve">The </w:t>
      </w:r>
      <w:r w:rsidR="007D64D3">
        <w:rPr>
          <w:lang w:val="en-US"/>
        </w:rPr>
        <w:t xml:space="preserve">controversy </w:t>
      </w:r>
      <w:r w:rsidR="00AC09D5" w:rsidRPr="00AC09D5">
        <w:rPr>
          <w:lang w:val="en-US"/>
        </w:rPr>
        <w:t xml:space="preserve">over what constitutes murderous intent in English and Welsh homicide law centres on the idea of </w:t>
      </w:r>
      <w:r w:rsidR="009F6E7E">
        <w:rPr>
          <w:lang w:val="en-US"/>
        </w:rPr>
        <w:t>men’s</w:t>
      </w:r>
      <w:r w:rsidR="00AC09D5" w:rsidRPr="00AC09D5">
        <w:rPr>
          <w:lang w:val="en-US"/>
        </w:rPr>
        <w:t xml:space="preserve"> rea, or the guilty mind. Traditionally, intent has been divided into two categories</w:t>
      </w:r>
      <w:r w:rsidR="009816E1">
        <w:rPr>
          <w:lang w:val="en-US"/>
        </w:rPr>
        <w:t>-</w:t>
      </w:r>
      <w:r w:rsidR="00AC09D5" w:rsidRPr="00AC09D5">
        <w:rPr>
          <w:lang w:val="en-US"/>
        </w:rPr>
        <w:t xml:space="preserve"> direct intent and indirect intent. Oblique intent is when the defendant knows there is a strong chance of inflicting serious harm or death </w:t>
      </w:r>
      <w:r w:rsidR="007A7D48">
        <w:rPr>
          <w:lang w:val="en-US"/>
        </w:rPr>
        <w:t>yet</w:t>
      </w:r>
      <w:r w:rsidR="00AC09D5" w:rsidRPr="00AC09D5">
        <w:rPr>
          <w:lang w:val="en-US"/>
        </w:rPr>
        <w:t xml:space="preserve"> nonetheless commits the conduct despite knowing it</w:t>
      </w:r>
      <w:r w:rsidR="00D63038">
        <w:rPr>
          <w:lang w:val="en-US"/>
        </w:rPr>
        <w:t xml:space="preserve"> (</w:t>
      </w:r>
      <w:r w:rsidR="00D63038">
        <w:rPr>
          <w:shd w:val="clear" w:color="auto" w:fill="FFFFFF"/>
        </w:rPr>
        <w:t>Edwards and Douglas, 2021).</w:t>
      </w:r>
      <w:r w:rsidR="00AC09D5" w:rsidRPr="00AC09D5">
        <w:rPr>
          <w:lang w:val="en-US"/>
        </w:rPr>
        <w:t xml:space="preserve"> Direct intent is when there is a conscious objective or purpose to cause death.</w:t>
      </w:r>
      <w:r w:rsidR="007A7D48">
        <w:rPr>
          <w:lang w:val="en-US"/>
        </w:rPr>
        <w:t xml:space="preserve"> </w:t>
      </w:r>
      <w:r w:rsidR="00AC09D5" w:rsidRPr="00AC09D5">
        <w:rPr>
          <w:lang w:val="en-US"/>
        </w:rPr>
        <w:t>This distinction has drawn criticism for being difficult to understand and vague</w:t>
      </w:r>
      <w:r w:rsidR="007F4ED2">
        <w:rPr>
          <w:lang w:val="en-US"/>
        </w:rPr>
        <w:t xml:space="preserve"> </w:t>
      </w:r>
      <w:r w:rsidR="009F6E7E">
        <w:rPr>
          <w:lang w:val="en-US"/>
        </w:rPr>
        <w:t>which</w:t>
      </w:r>
      <w:r w:rsidR="00AC09D5" w:rsidRPr="00AC09D5">
        <w:rPr>
          <w:lang w:val="en-US"/>
        </w:rPr>
        <w:t xml:space="preserve"> results in inconsistent assessments of purpose.</w:t>
      </w:r>
      <w:r w:rsidR="00022006">
        <w:rPr>
          <w:lang w:val="en-US"/>
        </w:rPr>
        <w:t xml:space="preserve"> </w:t>
      </w:r>
      <w:r w:rsidR="00C30753" w:rsidRPr="00C30753">
        <w:rPr>
          <w:lang w:val="en-US"/>
        </w:rPr>
        <w:t>Some contend that the law ought to take a simpler, more direct approach, concentrating on the defendant</w:t>
      </w:r>
      <w:r w:rsidR="00C30753">
        <w:rPr>
          <w:lang w:val="en-US"/>
        </w:rPr>
        <w:t>’</w:t>
      </w:r>
      <w:r w:rsidR="00C30753" w:rsidRPr="00C30753">
        <w:rPr>
          <w:lang w:val="en-US"/>
        </w:rPr>
        <w:t>s subjective state of mind and whether they intended to damage or kill, regardless of any foresight.</w:t>
      </w:r>
      <w:r w:rsidR="00C30753">
        <w:rPr>
          <w:lang w:val="en-US"/>
        </w:rPr>
        <w:t xml:space="preserve"> </w:t>
      </w:r>
      <w:r w:rsidR="00C30753" w:rsidRPr="00C30753">
        <w:rPr>
          <w:lang w:val="en-US"/>
        </w:rPr>
        <w:t>In murder cases, striking a balance between the demands of justice and proportionality and the requirement for uniformity and clarity in the law is what has led to the dispute</w:t>
      </w:r>
      <w:r w:rsidR="002715F4">
        <w:rPr>
          <w:lang w:val="en-US"/>
        </w:rPr>
        <w:t xml:space="preserve"> (</w:t>
      </w:r>
      <w:r w:rsidR="002715F4">
        <w:rPr>
          <w:shd w:val="clear" w:color="auto" w:fill="FFFFFF"/>
        </w:rPr>
        <w:t>Eastman</w:t>
      </w:r>
      <w:r w:rsidR="00F172EF">
        <w:rPr>
          <w:shd w:val="clear" w:color="auto" w:fill="FFFFFF"/>
        </w:rPr>
        <w:t xml:space="preserve"> an</w:t>
      </w:r>
      <w:r w:rsidR="002715F4">
        <w:rPr>
          <w:shd w:val="clear" w:color="auto" w:fill="FFFFFF"/>
        </w:rPr>
        <w:t>d Grubin, 2020)</w:t>
      </w:r>
      <w:r w:rsidR="00C30753" w:rsidRPr="00C30753">
        <w:rPr>
          <w:lang w:val="en-US"/>
        </w:rPr>
        <w:t xml:space="preserve">. Although this problem has been addressed by a number of legal changes and judicial rulings, the argument over the level of intent </w:t>
      </w:r>
      <w:r w:rsidR="00C30753" w:rsidRPr="00C30753">
        <w:rPr>
          <w:lang w:val="en-US"/>
        </w:rPr>
        <w:lastRenderedPageBreak/>
        <w:t xml:space="preserve">necessary for murder is still a </w:t>
      </w:r>
      <w:r w:rsidR="00A850F0">
        <w:rPr>
          <w:lang w:val="en-US"/>
        </w:rPr>
        <w:t>growing controversial</w:t>
      </w:r>
      <w:r w:rsidR="00C30753" w:rsidRPr="00C30753">
        <w:rPr>
          <w:lang w:val="en-US"/>
        </w:rPr>
        <w:t xml:space="preserve"> issue in England and Wales.</w:t>
      </w:r>
      <w:r w:rsidR="00BA5A07">
        <w:rPr>
          <w:lang w:val="en-US"/>
        </w:rPr>
        <w:t xml:space="preserve"> </w:t>
      </w:r>
      <w:r w:rsidR="00F5676D" w:rsidRPr="00F5676D">
        <w:rPr>
          <w:lang w:val="en-US"/>
        </w:rPr>
        <w:t>Manslaughter is a broad term that refers to a variety of criminal killings under English and Welsh homicide law. It covers both involuntary manslaughter and voluntary manslaughter, which happens when someone unlawfully causes death without intending to do so</w:t>
      </w:r>
      <w:r w:rsidR="00081952">
        <w:rPr>
          <w:lang w:val="en-US"/>
        </w:rPr>
        <w:t xml:space="preserve"> (</w:t>
      </w:r>
      <w:r w:rsidR="00081952">
        <w:rPr>
          <w:shd w:val="clear" w:color="auto" w:fill="FFFFFF"/>
        </w:rPr>
        <w:t>Wake, 2019)</w:t>
      </w:r>
      <w:r w:rsidR="00F5676D" w:rsidRPr="00F5676D">
        <w:rPr>
          <w:lang w:val="en-US"/>
        </w:rPr>
        <w:t>. Voluntary manslaughter implies an intention to do serious injury but not necessarily to kill. Additional distinctions within these categories include gross negligence manslaughter and constructive manslaughter. Some contend that the broad definition of manslaughter in this legal framework makes it difficult to decide what counts and what sentences to impose, as well as potentially causing inconsistent ways to apply the law</w:t>
      </w:r>
      <w:r w:rsidR="00236324">
        <w:rPr>
          <w:lang w:val="en-US"/>
        </w:rPr>
        <w:t xml:space="preserve"> (</w:t>
      </w:r>
      <w:r w:rsidR="00236324">
        <w:rPr>
          <w:shd w:val="clear" w:color="auto" w:fill="FFFFFF"/>
        </w:rPr>
        <w:t>Crofts and Wake, 2021)</w:t>
      </w:r>
      <w:r w:rsidR="00F5676D" w:rsidRPr="00F5676D">
        <w:rPr>
          <w:lang w:val="en-US"/>
        </w:rPr>
        <w:t>. Critics assert that a more accurate classification system may improve the justice and clarity of homicide proceedings.</w:t>
      </w:r>
    </w:p>
    <w:p w14:paraId="46BF3FE7" w14:textId="5CF6237C" w:rsidR="002C6A91" w:rsidRDefault="00000000" w:rsidP="00C30753">
      <w:pPr>
        <w:rPr>
          <w:lang w:val="en-US"/>
        </w:rPr>
      </w:pPr>
      <w:r w:rsidRPr="00A9633A">
        <w:rPr>
          <w:lang w:val="en-US"/>
        </w:rPr>
        <w:t>A consultation paper on changing England and Wales</w:t>
      </w:r>
      <w:r w:rsidR="00460219">
        <w:rPr>
          <w:lang w:val="en-US"/>
        </w:rPr>
        <w:t>’</w:t>
      </w:r>
      <w:r w:rsidRPr="00A9633A">
        <w:rPr>
          <w:lang w:val="en-US"/>
        </w:rPr>
        <w:t xml:space="preserve"> homicide laws was produced by the Law Commission in 2006. One of the main ideas was to create a new crime called </w:t>
      </w:r>
      <w:r w:rsidR="00460219">
        <w:rPr>
          <w:lang w:val="en-US"/>
        </w:rPr>
        <w:t>‘</w:t>
      </w:r>
      <w:r w:rsidRPr="00A9633A">
        <w:rPr>
          <w:lang w:val="en-US"/>
        </w:rPr>
        <w:t>first-degree murder</w:t>
      </w:r>
      <w:r w:rsidR="00460219">
        <w:rPr>
          <w:lang w:val="en-US"/>
        </w:rPr>
        <w:t>’</w:t>
      </w:r>
      <w:r w:rsidRPr="00A9633A">
        <w:rPr>
          <w:lang w:val="en-US"/>
        </w:rPr>
        <w:t xml:space="preserve"> in place of the existing crime of </w:t>
      </w:r>
      <w:r w:rsidR="00460219">
        <w:rPr>
          <w:lang w:val="en-US"/>
        </w:rPr>
        <w:t>‘</w:t>
      </w:r>
      <w:r w:rsidRPr="00A9633A">
        <w:rPr>
          <w:lang w:val="en-US"/>
        </w:rPr>
        <w:t>murder</w:t>
      </w:r>
      <w:r w:rsidR="00460219">
        <w:rPr>
          <w:lang w:val="en-US"/>
        </w:rPr>
        <w:t>’ that</w:t>
      </w:r>
      <w:r w:rsidRPr="00A9633A">
        <w:rPr>
          <w:lang w:val="en-US"/>
        </w:rPr>
        <w:t xml:space="preserve"> would call for evidence of an intent to kill or do serious injury</w:t>
      </w:r>
      <w:r w:rsidR="00B2578C">
        <w:rPr>
          <w:lang w:val="en-US"/>
        </w:rPr>
        <w:t xml:space="preserve"> (</w:t>
      </w:r>
      <w:r w:rsidR="00B2578C">
        <w:rPr>
          <w:shd w:val="clear" w:color="auto" w:fill="FFFFFF"/>
        </w:rPr>
        <w:t>Roper, 2022)</w:t>
      </w:r>
      <w:r w:rsidRPr="00A9633A">
        <w:rPr>
          <w:lang w:val="en-US"/>
        </w:rPr>
        <w:t xml:space="preserve">. </w:t>
      </w:r>
      <w:r w:rsidR="00BE1C09">
        <w:rPr>
          <w:lang w:val="en-US"/>
        </w:rPr>
        <w:t>It was proposed that t</w:t>
      </w:r>
      <w:r w:rsidRPr="00A9633A">
        <w:rPr>
          <w:lang w:val="en-US"/>
        </w:rPr>
        <w:t xml:space="preserve">here would be a mandatory life sentence for this new crime. </w:t>
      </w:r>
      <w:r w:rsidR="001277BF">
        <w:rPr>
          <w:lang w:val="en-US"/>
        </w:rPr>
        <w:t>Along with that,</w:t>
      </w:r>
      <w:r w:rsidRPr="00A9633A">
        <w:rPr>
          <w:lang w:val="en-US"/>
        </w:rPr>
        <w:t xml:space="preserve"> the Commission </w:t>
      </w:r>
      <w:r w:rsidR="00FC0488">
        <w:rPr>
          <w:lang w:val="en-US"/>
        </w:rPr>
        <w:t xml:space="preserve">also </w:t>
      </w:r>
      <w:r w:rsidRPr="00A9633A">
        <w:rPr>
          <w:lang w:val="en-US"/>
        </w:rPr>
        <w:t xml:space="preserve">proposed creating a new crime known as </w:t>
      </w:r>
      <w:r w:rsidR="00FC0488">
        <w:rPr>
          <w:lang w:val="en-US"/>
        </w:rPr>
        <w:t>‘</w:t>
      </w:r>
      <w:r w:rsidRPr="00A9633A">
        <w:rPr>
          <w:lang w:val="en-US"/>
        </w:rPr>
        <w:t>second-degree murder</w:t>
      </w:r>
      <w:r w:rsidR="00FC0488">
        <w:rPr>
          <w:lang w:val="en-US"/>
        </w:rPr>
        <w:t>’</w:t>
      </w:r>
      <w:r w:rsidRPr="00A9633A">
        <w:rPr>
          <w:lang w:val="en-US"/>
        </w:rPr>
        <w:t xml:space="preserve"> which would apply to situations in which there was an intention to hurt </w:t>
      </w:r>
      <w:r w:rsidR="00FC0488">
        <w:rPr>
          <w:lang w:val="en-US"/>
        </w:rPr>
        <w:t>yet</w:t>
      </w:r>
      <w:r w:rsidRPr="00A9633A">
        <w:rPr>
          <w:lang w:val="en-US"/>
        </w:rPr>
        <w:t xml:space="preserve"> not necessarily to kill. Depending on the circumstances, courts could impose a life sentence for this crime.</w:t>
      </w:r>
      <w:r>
        <w:rPr>
          <w:lang w:val="en-US"/>
        </w:rPr>
        <w:t xml:space="preserve"> </w:t>
      </w:r>
      <w:r w:rsidR="00460219" w:rsidRPr="00460219">
        <w:rPr>
          <w:lang w:val="en-US"/>
        </w:rPr>
        <w:t xml:space="preserve">By identifying several degrees of responsibility, the suggestions sought to increase clarity and flexibility in punishment. The Commission also advocated doing away with the narrow defence of </w:t>
      </w:r>
      <w:r w:rsidR="00400101">
        <w:rPr>
          <w:lang w:val="en-US"/>
        </w:rPr>
        <w:t>‘</w:t>
      </w:r>
      <w:r w:rsidR="00460219" w:rsidRPr="00460219">
        <w:rPr>
          <w:lang w:val="en-US"/>
        </w:rPr>
        <w:t>provocation</w:t>
      </w:r>
      <w:r w:rsidR="00400101">
        <w:rPr>
          <w:lang w:val="en-US"/>
        </w:rPr>
        <w:t>’</w:t>
      </w:r>
      <w:r w:rsidR="00460219" w:rsidRPr="00460219">
        <w:rPr>
          <w:lang w:val="en-US"/>
        </w:rPr>
        <w:t xml:space="preserve"> in favour of a more expansive defence of </w:t>
      </w:r>
      <w:r w:rsidR="00400101">
        <w:rPr>
          <w:lang w:val="en-US"/>
        </w:rPr>
        <w:t>‘</w:t>
      </w:r>
      <w:r w:rsidR="00460219" w:rsidRPr="00460219">
        <w:rPr>
          <w:lang w:val="en-US"/>
        </w:rPr>
        <w:t>loss of control</w:t>
      </w:r>
      <w:r w:rsidR="00400101">
        <w:rPr>
          <w:lang w:val="en-US"/>
        </w:rPr>
        <w:t>’</w:t>
      </w:r>
      <w:r w:rsidR="000E0A3A">
        <w:rPr>
          <w:lang w:val="en-US"/>
        </w:rPr>
        <w:t xml:space="preserve"> (</w:t>
      </w:r>
      <w:r w:rsidR="000E0A3A">
        <w:rPr>
          <w:shd w:val="clear" w:color="auto" w:fill="FFFFFF"/>
        </w:rPr>
        <w:t>Tiarks and Oswald, 2021)</w:t>
      </w:r>
      <w:r w:rsidR="00400101">
        <w:rPr>
          <w:lang w:val="en-US"/>
        </w:rPr>
        <w:t>.</w:t>
      </w:r>
      <w:r w:rsidR="00460219" w:rsidRPr="00460219">
        <w:rPr>
          <w:lang w:val="en-US"/>
        </w:rPr>
        <w:t xml:space="preserve"> This defence would address concerns about the current gender bias in the law by requiring that a reasonable person would have acted in the same manner given the facts. The goal of these proposals was to update and enhance the homicide laws in England and Wales. They also </w:t>
      </w:r>
      <w:r w:rsidR="00460219" w:rsidRPr="00460219">
        <w:rPr>
          <w:lang w:val="en-US"/>
        </w:rPr>
        <w:lastRenderedPageBreak/>
        <w:t>included recommendations to change the law on corporate manslaughter and help people who suffer as a result of infanticide.</w:t>
      </w:r>
    </w:p>
    <w:p w14:paraId="1F386752" w14:textId="372E5690" w:rsidR="00AF1E71" w:rsidRDefault="00C63826" w:rsidP="00C63826">
      <w:pPr>
        <w:rPr>
          <w:lang w:val="en-US"/>
        </w:rPr>
      </w:pPr>
      <w:r w:rsidRPr="00C63826">
        <w:rPr>
          <w:lang w:val="en-US"/>
        </w:rPr>
        <w:t xml:space="preserve">Any </w:t>
      </w:r>
      <w:r w:rsidR="00FC1861" w:rsidRPr="00C63826">
        <w:rPr>
          <w:lang w:val="en-US"/>
        </w:rPr>
        <w:t>alteration</w:t>
      </w:r>
      <w:r w:rsidRPr="00C63826">
        <w:rPr>
          <w:lang w:val="en-US"/>
        </w:rPr>
        <w:t xml:space="preserve"> to the legislation </w:t>
      </w:r>
      <w:r w:rsidR="00FC1861" w:rsidRPr="00C63826">
        <w:rPr>
          <w:lang w:val="en-US"/>
        </w:rPr>
        <w:t>affecting</w:t>
      </w:r>
      <w:r w:rsidRPr="00C63826">
        <w:rPr>
          <w:lang w:val="en-US"/>
        </w:rPr>
        <w:t xml:space="preserve"> homicide must be </w:t>
      </w:r>
      <w:r w:rsidR="00FC1861" w:rsidRPr="00C63826">
        <w:rPr>
          <w:lang w:val="en-US"/>
        </w:rPr>
        <w:t>measured</w:t>
      </w:r>
      <w:r w:rsidRPr="00C63826">
        <w:rPr>
          <w:lang w:val="en-US"/>
        </w:rPr>
        <w:t xml:space="preserve"> </w:t>
      </w:r>
      <w:r w:rsidR="00FC1861">
        <w:rPr>
          <w:lang w:val="en-US"/>
        </w:rPr>
        <w:t xml:space="preserve">as </w:t>
      </w:r>
      <w:r w:rsidRPr="00C63826">
        <w:rPr>
          <w:lang w:val="en-US"/>
        </w:rPr>
        <w:t xml:space="preserve">important since it </w:t>
      </w:r>
      <w:r w:rsidR="00FC1861">
        <w:rPr>
          <w:lang w:val="en-US"/>
        </w:rPr>
        <w:t>contains</w:t>
      </w:r>
      <w:r w:rsidRPr="00C63826">
        <w:rPr>
          <w:lang w:val="en-US"/>
        </w:rPr>
        <w:t xml:space="preserve"> the state's </w:t>
      </w:r>
      <w:r w:rsidR="00FC1861" w:rsidRPr="00C63826">
        <w:rPr>
          <w:lang w:val="en-US"/>
        </w:rPr>
        <w:t>responsibility</w:t>
      </w:r>
      <w:r w:rsidRPr="00C63826">
        <w:rPr>
          <w:lang w:val="en-US"/>
        </w:rPr>
        <w:t xml:space="preserve"> to </w:t>
      </w:r>
      <w:r w:rsidR="00FC1861">
        <w:rPr>
          <w:lang w:val="en-US"/>
        </w:rPr>
        <w:t>preserve</w:t>
      </w:r>
      <w:r w:rsidRPr="00C63826">
        <w:rPr>
          <w:lang w:val="en-US"/>
        </w:rPr>
        <w:t xml:space="preserve"> human life, which goes without saying.  Homicide </w:t>
      </w:r>
      <w:r w:rsidR="00FC1861" w:rsidRPr="00C63826">
        <w:rPr>
          <w:lang w:val="en-US"/>
        </w:rPr>
        <w:t>corruptions</w:t>
      </w:r>
      <w:r w:rsidRPr="00C63826">
        <w:rPr>
          <w:lang w:val="en-US"/>
        </w:rPr>
        <w:t xml:space="preserve"> are among the most </w:t>
      </w:r>
      <w:r w:rsidR="00FC1861" w:rsidRPr="00C63826">
        <w:rPr>
          <w:lang w:val="en-US"/>
        </w:rPr>
        <w:t>thoughtful</w:t>
      </w:r>
      <w:r w:rsidRPr="00C63826">
        <w:rPr>
          <w:lang w:val="en-US"/>
        </w:rPr>
        <w:t xml:space="preserve"> criminal </w:t>
      </w:r>
      <w:r w:rsidR="00FC1861" w:rsidRPr="00C63826">
        <w:rPr>
          <w:lang w:val="en-US"/>
        </w:rPr>
        <w:t>faults</w:t>
      </w:r>
      <w:r w:rsidRPr="00C63826">
        <w:rPr>
          <w:lang w:val="en-US"/>
        </w:rPr>
        <w:t xml:space="preserve"> under Article 2 of the European Convention on Human Rights (ECHR), </w:t>
      </w:r>
      <w:r w:rsidR="00FC1861" w:rsidRPr="00C63826">
        <w:rPr>
          <w:lang w:val="en-US"/>
        </w:rPr>
        <w:t>magnificent</w:t>
      </w:r>
      <w:r w:rsidRPr="00C63826">
        <w:rPr>
          <w:lang w:val="en-US"/>
        </w:rPr>
        <w:t xml:space="preserve"> severe </w:t>
      </w:r>
      <w:r w:rsidR="00FC1861" w:rsidRPr="00C63826">
        <w:rPr>
          <w:lang w:val="en-US"/>
        </w:rPr>
        <w:t>penalties</w:t>
      </w:r>
      <w:r w:rsidRPr="00C63826">
        <w:rPr>
          <w:lang w:val="en-US"/>
        </w:rPr>
        <w:t xml:space="preserve"> upon </w:t>
      </w:r>
      <w:r w:rsidR="00FC1861" w:rsidRPr="00C63826">
        <w:rPr>
          <w:lang w:val="en-US"/>
        </w:rPr>
        <w:t>persuasion</w:t>
      </w:r>
      <w:r w:rsidRPr="00C63826">
        <w:rPr>
          <w:lang w:val="en-US"/>
        </w:rPr>
        <w:t xml:space="preserve"> that </w:t>
      </w:r>
      <w:r w:rsidR="00FC1861" w:rsidRPr="00C63826">
        <w:rPr>
          <w:lang w:val="en-US"/>
        </w:rPr>
        <w:t>harshly</w:t>
      </w:r>
      <w:r w:rsidRPr="00C63826">
        <w:rPr>
          <w:lang w:val="en-US"/>
        </w:rPr>
        <w:t xml:space="preserve"> restrict an offender's freedom</w:t>
      </w:r>
      <w:r w:rsidR="00F24B7F">
        <w:rPr>
          <w:lang w:val="en-US"/>
        </w:rPr>
        <w:t xml:space="preserve"> which led the government</w:t>
      </w:r>
      <w:r w:rsidR="00FC1861">
        <w:rPr>
          <w:lang w:val="en-US"/>
        </w:rPr>
        <w:t xml:space="preserve"> towards the reformation of the law</w:t>
      </w:r>
      <w:r w:rsidR="00031989">
        <w:rPr>
          <w:lang w:val="en-US"/>
        </w:rPr>
        <w:t xml:space="preserve"> (</w:t>
      </w:r>
      <w:r w:rsidR="00031989" w:rsidRPr="00031989">
        <w:t>Smith, 2021</w:t>
      </w:r>
      <w:r w:rsidR="00031989">
        <w:rPr>
          <w:lang w:val="en-US"/>
        </w:rPr>
        <w:t>)</w:t>
      </w:r>
      <w:r w:rsidRPr="00C63826">
        <w:rPr>
          <w:lang w:val="en-US"/>
        </w:rPr>
        <w:t xml:space="preserve">. The Law Commission's </w:t>
      </w:r>
      <w:r w:rsidR="00FC1861" w:rsidRPr="00C63826">
        <w:rPr>
          <w:lang w:val="en-US"/>
        </w:rPr>
        <w:t>determined</w:t>
      </w:r>
      <w:r w:rsidRPr="00C63826">
        <w:rPr>
          <w:lang w:val="en-US"/>
        </w:rPr>
        <w:t xml:space="preserve"> </w:t>
      </w:r>
      <w:r w:rsidR="00FC1861" w:rsidRPr="00C63826">
        <w:rPr>
          <w:lang w:val="en-US"/>
        </w:rPr>
        <w:t>effort</w:t>
      </w:r>
      <w:r w:rsidRPr="00C63826">
        <w:rPr>
          <w:lang w:val="en-US"/>
        </w:rPr>
        <w:t xml:space="preserve"> to develop a new </w:t>
      </w:r>
      <w:r w:rsidR="00FC1861" w:rsidRPr="00C63826">
        <w:rPr>
          <w:lang w:val="en-US"/>
        </w:rPr>
        <w:t>outline</w:t>
      </w:r>
      <w:r w:rsidRPr="00C63826">
        <w:rPr>
          <w:lang w:val="en-US"/>
        </w:rPr>
        <w:t xml:space="preserve"> for homicide offences led to </w:t>
      </w:r>
      <w:r w:rsidR="00FC1861" w:rsidRPr="00C63826">
        <w:rPr>
          <w:lang w:val="en-US"/>
        </w:rPr>
        <w:t>important</w:t>
      </w:r>
      <w:r w:rsidRPr="00C63826">
        <w:rPr>
          <w:lang w:val="en-US"/>
        </w:rPr>
        <w:t xml:space="preserve"> changes in domestic law. In addition, </w:t>
      </w:r>
      <w:r w:rsidR="00FC1861" w:rsidRPr="00C63826">
        <w:rPr>
          <w:lang w:val="en-US"/>
        </w:rPr>
        <w:t>altering</w:t>
      </w:r>
      <w:r w:rsidRPr="00C63826">
        <w:rPr>
          <w:lang w:val="en-US"/>
        </w:rPr>
        <w:t xml:space="preserve"> the </w:t>
      </w:r>
      <w:r w:rsidR="00FC1861" w:rsidRPr="00C63826">
        <w:rPr>
          <w:lang w:val="en-US"/>
        </w:rPr>
        <w:t>fractional</w:t>
      </w:r>
      <w:r w:rsidRPr="00C63826">
        <w:rPr>
          <w:lang w:val="en-US"/>
        </w:rPr>
        <w:t xml:space="preserve"> defences and </w:t>
      </w:r>
      <w:r w:rsidR="00FC1861" w:rsidRPr="00C63826">
        <w:rPr>
          <w:lang w:val="en-US"/>
        </w:rPr>
        <w:t>involvement</w:t>
      </w:r>
      <w:r w:rsidRPr="00C63826">
        <w:rPr>
          <w:lang w:val="en-US"/>
        </w:rPr>
        <w:t xml:space="preserve"> laws, as well as </w:t>
      </w:r>
      <w:r w:rsidR="00FC1861">
        <w:rPr>
          <w:lang w:val="en-US"/>
        </w:rPr>
        <w:t>replacing</w:t>
      </w:r>
      <w:r w:rsidRPr="00C63826">
        <w:rPr>
          <w:lang w:val="en-US"/>
        </w:rPr>
        <w:t xml:space="preserve"> the usual murder or manslaughter </w:t>
      </w:r>
      <w:r w:rsidR="00FC1861" w:rsidRPr="00C63826">
        <w:rPr>
          <w:lang w:val="en-US"/>
        </w:rPr>
        <w:t>partition</w:t>
      </w:r>
      <w:r w:rsidRPr="00C63826">
        <w:rPr>
          <w:lang w:val="en-US"/>
        </w:rPr>
        <w:t xml:space="preserve"> for general homicide </w:t>
      </w:r>
      <w:r w:rsidR="00FC1861" w:rsidRPr="00C63826">
        <w:rPr>
          <w:lang w:val="en-US"/>
        </w:rPr>
        <w:t>custodies</w:t>
      </w:r>
      <w:r w:rsidRPr="00C63826">
        <w:rPr>
          <w:lang w:val="en-US"/>
        </w:rPr>
        <w:t xml:space="preserve"> with a three-tier </w:t>
      </w:r>
      <w:r w:rsidR="00FC1861" w:rsidRPr="00C63826">
        <w:rPr>
          <w:lang w:val="en-US"/>
        </w:rPr>
        <w:t>construction</w:t>
      </w:r>
      <w:r w:rsidRPr="00C63826">
        <w:rPr>
          <w:lang w:val="en-US"/>
        </w:rPr>
        <w:t xml:space="preserve">, are all </w:t>
      </w:r>
      <w:r w:rsidR="00FC1861" w:rsidRPr="00C63826">
        <w:rPr>
          <w:lang w:val="en-US"/>
        </w:rPr>
        <w:t>beneficial</w:t>
      </w:r>
      <w:r w:rsidRPr="00C63826">
        <w:rPr>
          <w:lang w:val="en-US"/>
        </w:rPr>
        <w:t xml:space="preserve"> in this </w:t>
      </w:r>
      <w:r w:rsidR="00FC1861" w:rsidRPr="00C63826">
        <w:rPr>
          <w:lang w:val="en-US"/>
        </w:rPr>
        <w:t>condition</w:t>
      </w:r>
      <w:r w:rsidRPr="00C63826">
        <w:rPr>
          <w:lang w:val="en-US"/>
        </w:rPr>
        <w:t>.</w:t>
      </w:r>
      <w:r w:rsidR="00FC1861">
        <w:rPr>
          <w:lang w:val="en-US"/>
        </w:rPr>
        <w:t xml:space="preserve"> </w:t>
      </w:r>
      <w:r w:rsidRPr="00C63826">
        <w:rPr>
          <w:lang w:val="en-US"/>
        </w:rPr>
        <w:t xml:space="preserve">The Law Commission also </w:t>
      </w:r>
      <w:r w:rsidR="00FC1861" w:rsidRPr="00C63826">
        <w:rPr>
          <w:lang w:val="en-US"/>
        </w:rPr>
        <w:t>suggested</w:t>
      </w:r>
      <w:r w:rsidRPr="00C63826">
        <w:rPr>
          <w:lang w:val="en-US"/>
        </w:rPr>
        <w:t xml:space="preserve"> </w:t>
      </w:r>
      <w:r w:rsidR="00FC1861" w:rsidRPr="00C63826">
        <w:rPr>
          <w:lang w:val="en-US"/>
        </w:rPr>
        <w:t>changing</w:t>
      </w:r>
      <w:r w:rsidRPr="00C63826">
        <w:rPr>
          <w:lang w:val="en-US"/>
        </w:rPr>
        <w:t xml:space="preserve"> three other </w:t>
      </w:r>
      <w:r w:rsidR="00FC1861" w:rsidRPr="00C63826">
        <w:rPr>
          <w:lang w:val="en-US"/>
        </w:rPr>
        <w:t>features</w:t>
      </w:r>
      <w:r w:rsidRPr="00C63826">
        <w:rPr>
          <w:lang w:val="en-US"/>
        </w:rPr>
        <w:t xml:space="preserve"> of the homicide law: provocation </w:t>
      </w:r>
      <w:r w:rsidR="00FC1861" w:rsidRPr="00C63826">
        <w:rPr>
          <w:lang w:val="en-US"/>
        </w:rPr>
        <w:t>lessened</w:t>
      </w:r>
      <w:r w:rsidRPr="00C63826">
        <w:rPr>
          <w:lang w:val="en-US"/>
        </w:rPr>
        <w:t xml:space="preserve"> </w:t>
      </w:r>
      <w:r w:rsidR="00FC1861" w:rsidRPr="00C63826">
        <w:rPr>
          <w:lang w:val="en-US"/>
        </w:rPr>
        <w:t>responsibility</w:t>
      </w:r>
      <w:r w:rsidRPr="00C63826">
        <w:rPr>
          <w:lang w:val="en-US"/>
        </w:rPr>
        <w:t xml:space="preserve">, and </w:t>
      </w:r>
      <w:r w:rsidR="00FC1861" w:rsidRPr="00C63826">
        <w:rPr>
          <w:lang w:val="en-US"/>
        </w:rPr>
        <w:t>involvement</w:t>
      </w:r>
      <w:r w:rsidRPr="00C63826">
        <w:rPr>
          <w:lang w:val="en-US"/>
        </w:rPr>
        <w:t xml:space="preserve">. Lack of self-control would no longer be </w:t>
      </w:r>
      <w:r w:rsidR="00FC1861" w:rsidRPr="00C63826">
        <w:rPr>
          <w:lang w:val="en-US"/>
        </w:rPr>
        <w:t>essential</w:t>
      </w:r>
      <w:r w:rsidR="00FC1861">
        <w:rPr>
          <w:lang w:val="en-US"/>
        </w:rPr>
        <w:t xml:space="preserve"> due to which the improvement of the homicide laws of the nation is required. </w:t>
      </w:r>
      <w:r w:rsidRPr="00C63826">
        <w:rPr>
          <w:lang w:val="en-US"/>
        </w:rPr>
        <w:t xml:space="preserve">The </w:t>
      </w:r>
      <w:r w:rsidR="00FC1861" w:rsidRPr="00C63826">
        <w:rPr>
          <w:lang w:val="en-US"/>
        </w:rPr>
        <w:t>enhanced</w:t>
      </w:r>
      <w:r w:rsidRPr="00C63826">
        <w:rPr>
          <w:lang w:val="en-US"/>
        </w:rPr>
        <w:t xml:space="preserve"> partial defence of diminished </w:t>
      </w:r>
      <w:r w:rsidR="00FC1861" w:rsidRPr="00C63826">
        <w:rPr>
          <w:lang w:val="en-US"/>
        </w:rPr>
        <w:t>accountability</w:t>
      </w:r>
      <w:r w:rsidRPr="00C63826">
        <w:rPr>
          <w:lang w:val="en-US"/>
        </w:rPr>
        <w:t xml:space="preserve"> would </w:t>
      </w:r>
      <w:r w:rsidR="00FC1861">
        <w:rPr>
          <w:lang w:val="en-US"/>
        </w:rPr>
        <w:t xml:space="preserve">be </w:t>
      </w:r>
      <w:r w:rsidR="00FC1861" w:rsidRPr="00C63826">
        <w:rPr>
          <w:lang w:val="en-US"/>
        </w:rPr>
        <w:t>essential</w:t>
      </w:r>
      <w:r w:rsidRPr="00C63826">
        <w:rPr>
          <w:lang w:val="en-US"/>
        </w:rPr>
        <w:t xml:space="preserve"> </w:t>
      </w:r>
      <w:r w:rsidR="00715B5E">
        <w:rPr>
          <w:lang w:val="en-US"/>
        </w:rPr>
        <w:t xml:space="preserve">for </w:t>
      </w:r>
      <w:r w:rsidRPr="00C63826">
        <w:rPr>
          <w:lang w:val="en-US"/>
        </w:rPr>
        <w:t xml:space="preserve">a proven </w:t>
      </w:r>
      <w:r w:rsidR="00FC1861" w:rsidRPr="00C63826">
        <w:rPr>
          <w:lang w:val="en-US"/>
        </w:rPr>
        <w:t>remedial</w:t>
      </w:r>
      <w:r w:rsidRPr="00C63826">
        <w:rPr>
          <w:lang w:val="en-US"/>
        </w:rPr>
        <w:t xml:space="preserve"> condition-related </w:t>
      </w:r>
      <w:r w:rsidR="00FC1861" w:rsidRPr="00C63826">
        <w:rPr>
          <w:lang w:val="en-US"/>
        </w:rPr>
        <w:t>weakening</w:t>
      </w:r>
      <w:r w:rsidRPr="00C63826">
        <w:rPr>
          <w:lang w:val="en-US"/>
        </w:rPr>
        <w:t xml:space="preserve"> in mental </w:t>
      </w:r>
      <w:r w:rsidR="00FC1861">
        <w:rPr>
          <w:lang w:val="en-US"/>
        </w:rPr>
        <w:t>effectiveness</w:t>
      </w:r>
      <w:r w:rsidRPr="00C63826">
        <w:rPr>
          <w:lang w:val="en-US"/>
        </w:rPr>
        <w:t xml:space="preserve"> or, in the case of </w:t>
      </w:r>
      <w:r w:rsidR="00FC1861">
        <w:rPr>
          <w:lang w:val="en-US"/>
        </w:rPr>
        <w:t>an</w:t>
      </w:r>
      <w:r w:rsidRPr="00C63826">
        <w:rPr>
          <w:lang w:val="en-US"/>
        </w:rPr>
        <w:t xml:space="preserve"> </w:t>
      </w:r>
      <w:r w:rsidR="00FC1861" w:rsidRPr="00C63826">
        <w:rPr>
          <w:lang w:val="en-US"/>
        </w:rPr>
        <w:t>offender</w:t>
      </w:r>
      <w:r w:rsidRPr="00C63826">
        <w:rPr>
          <w:lang w:val="en-US"/>
        </w:rPr>
        <w:t xml:space="preserve"> under the age of 18, developmental </w:t>
      </w:r>
      <w:r w:rsidR="00FC1861" w:rsidRPr="00C63826">
        <w:rPr>
          <w:lang w:val="en-US"/>
        </w:rPr>
        <w:t>irresponsibility</w:t>
      </w:r>
      <w:r w:rsidR="00274607">
        <w:rPr>
          <w:lang w:val="en-US"/>
        </w:rPr>
        <w:t xml:space="preserve"> (</w:t>
      </w:r>
      <w:r w:rsidR="00274607">
        <w:rPr>
          <w:shd w:val="clear" w:color="auto" w:fill="FFFFFF"/>
        </w:rPr>
        <w:t>Dweba, 2022</w:t>
      </w:r>
      <w:r w:rsidR="00274607">
        <w:rPr>
          <w:lang w:val="en-US"/>
        </w:rPr>
        <w:t>)</w:t>
      </w:r>
      <w:r w:rsidRPr="00C63826">
        <w:rPr>
          <w:lang w:val="en-US"/>
        </w:rPr>
        <w:t>.</w:t>
      </w:r>
      <w:r w:rsidR="00FC1861">
        <w:rPr>
          <w:lang w:val="en-US"/>
        </w:rPr>
        <w:t xml:space="preserve"> </w:t>
      </w:r>
      <w:r w:rsidR="00FC1861" w:rsidRPr="00FC1861">
        <w:rPr>
          <w:lang w:val="en-US"/>
        </w:rPr>
        <w:t xml:space="preserve">Prominently, under the Law Commission's agenda, both partial ramparts would decrease first-degree homicide to second-degree killing as opposed to the current </w:t>
      </w:r>
      <w:r w:rsidR="007310D6">
        <w:rPr>
          <w:lang w:val="en-US"/>
        </w:rPr>
        <w:t>crop</w:t>
      </w:r>
      <w:r w:rsidR="00FC1861" w:rsidRPr="00FC1861">
        <w:rPr>
          <w:lang w:val="en-US"/>
        </w:rPr>
        <w:t xml:space="preserve"> of murder to manslaughter. As a consequence, they would primarily be more partial than the incomplete defences that are </w:t>
      </w:r>
      <w:r w:rsidR="007310D6" w:rsidRPr="00FC1861">
        <w:rPr>
          <w:lang w:val="en-US"/>
        </w:rPr>
        <w:t>previously</w:t>
      </w:r>
      <w:r w:rsidR="00FC1861" w:rsidRPr="00FC1861">
        <w:rPr>
          <w:lang w:val="en-US"/>
        </w:rPr>
        <w:t xml:space="preserve"> </w:t>
      </w:r>
      <w:r w:rsidR="007310D6" w:rsidRPr="00FC1861">
        <w:rPr>
          <w:lang w:val="en-US"/>
        </w:rPr>
        <w:t>accessible</w:t>
      </w:r>
      <w:r w:rsidR="00FC1861" w:rsidRPr="00FC1861">
        <w:rPr>
          <w:lang w:val="en-US"/>
        </w:rPr>
        <w:t>.</w:t>
      </w:r>
      <w:r w:rsidR="00FC1861">
        <w:rPr>
          <w:lang w:val="en-US"/>
        </w:rPr>
        <w:t xml:space="preserve"> </w:t>
      </w:r>
      <w:r w:rsidR="00FC1861" w:rsidRPr="00FC1861">
        <w:rPr>
          <w:lang w:val="en-US"/>
        </w:rPr>
        <w:t xml:space="preserve">The </w:t>
      </w:r>
      <w:r w:rsidR="007310D6" w:rsidRPr="00FC1861">
        <w:rPr>
          <w:lang w:val="en-US"/>
        </w:rPr>
        <w:t>administration</w:t>
      </w:r>
      <w:r w:rsidR="00FC1861" w:rsidRPr="00FC1861">
        <w:rPr>
          <w:lang w:val="en-US"/>
        </w:rPr>
        <w:t xml:space="preserve"> has </w:t>
      </w:r>
      <w:r w:rsidR="007310D6">
        <w:rPr>
          <w:lang w:val="en-US"/>
        </w:rPr>
        <w:t>definitely</w:t>
      </w:r>
      <w:r w:rsidR="00FC1861" w:rsidRPr="00FC1861">
        <w:rPr>
          <w:lang w:val="en-US"/>
        </w:rPr>
        <w:t xml:space="preserve"> not </w:t>
      </w:r>
      <w:r w:rsidR="007310D6">
        <w:rPr>
          <w:lang w:val="en-US"/>
        </w:rPr>
        <w:t>moved</w:t>
      </w:r>
      <w:r w:rsidR="00FC1861" w:rsidRPr="00FC1861">
        <w:rPr>
          <w:lang w:val="en-US"/>
        </w:rPr>
        <w:t xml:space="preserve"> through with </w:t>
      </w:r>
      <w:r w:rsidR="007310D6" w:rsidRPr="00FC1861">
        <w:rPr>
          <w:lang w:val="en-US"/>
        </w:rPr>
        <w:t>deviations</w:t>
      </w:r>
      <w:r w:rsidR="00FC1861" w:rsidRPr="00FC1861">
        <w:rPr>
          <w:lang w:val="en-US"/>
        </w:rPr>
        <w:t xml:space="preserve"> to the murder </w:t>
      </w:r>
      <w:r w:rsidR="007310D6" w:rsidRPr="00FC1861">
        <w:rPr>
          <w:lang w:val="en-US"/>
        </w:rPr>
        <w:t>outline</w:t>
      </w:r>
      <w:r w:rsidR="00FC1861" w:rsidRPr="00FC1861">
        <w:rPr>
          <w:lang w:val="en-US"/>
        </w:rPr>
        <w:t xml:space="preserve">, at least for the time being. The Law Commission's </w:t>
      </w:r>
      <w:r w:rsidR="007310D6" w:rsidRPr="00FC1861">
        <w:rPr>
          <w:lang w:val="en-US"/>
        </w:rPr>
        <w:t>endorsements</w:t>
      </w:r>
      <w:r w:rsidR="00FC1861" w:rsidRPr="00FC1861">
        <w:rPr>
          <w:lang w:val="en-US"/>
        </w:rPr>
        <w:t xml:space="preserve"> on provocation and </w:t>
      </w:r>
      <w:r w:rsidR="007310D6" w:rsidRPr="00FC1861">
        <w:rPr>
          <w:lang w:val="en-US"/>
        </w:rPr>
        <w:t>diminished</w:t>
      </w:r>
      <w:r w:rsidR="00FC1861" w:rsidRPr="00FC1861">
        <w:rPr>
          <w:lang w:val="en-US"/>
        </w:rPr>
        <w:t xml:space="preserve"> </w:t>
      </w:r>
      <w:r w:rsidR="007310D6" w:rsidRPr="00FC1861">
        <w:rPr>
          <w:lang w:val="en-US"/>
        </w:rPr>
        <w:t>guilt</w:t>
      </w:r>
      <w:r w:rsidR="00FC1861" w:rsidRPr="00FC1861">
        <w:rPr>
          <w:lang w:val="en-US"/>
        </w:rPr>
        <w:t xml:space="preserve">, which in its </w:t>
      </w:r>
      <w:r w:rsidR="007310D6" w:rsidRPr="00FC1861">
        <w:rPr>
          <w:lang w:val="en-US"/>
        </w:rPr>
        <w:t>innovative</w:t>
      </w:r>
      <w:r w:rsidR="00FC1861" w:rsidRPr="00FC1861">
        <w:rPr>
          <w:lang w:val="en-US"/>
        </w:rPr>
        <w:t xml:space="preserve"> form would have </w:t>
      </w:r>
      <w:r w:rsidR="007310D6" w:rsidRPr="00FC1861">
        <w:rPr>
          <w:lang w:val="en-US"/>
        </w:rPr>
        <w:t>condensed</w:t>
      </w:r>
      <w:r w:rsidR="00FC1861" w:rsidRPr="00FC1861">
        <w:rPr>
          <w:lang w:val="en-US"/>
        </w:rPr>
        <w:t xml:space="preserve"> murder to </w:t>
      </w:r>
      <w:r w:rsidR="007310D6" w:rsidRPr="00FC1861">
        <w:rPr>
          <w:lang w:val="en-US"/>
        </w:rPr>
        <w:t>homicide</w:t>
      </w:r>
      <w:r w:rsidR="00FC1861" w:rsidRPr="00FC1861">
        <w:rPr>
          <w:lang w:val="en-US"/>
        </w:rPr>
        <w:t xml:space="preserve">, have been </w:t>
      </w:r>
      <w:r w:rsidR="007310D6" w:rsidRPr="00FC1861">
        <w:rPr>
          <w:lang w:val="en-US"/>
        </w:rPr>
        <w:t>accepted</w:t>
      </w:r>
      <w:r w:rsidR="00FC1861" w:rsidRPr="00FC1861">
        <w:rPr>
          <w:lang w:val="en-US"/>
        </w:rPr>
        <w:t xml:space="preserve"> in an amended form. The </w:t>
      </w:r>
      <w:r w:rsidR="007310D6" w:rsidRPr="00FC1861">
        <w:rPr>
          <w:lang w:val="en-US"/>
        </w:rPr>
        <w:t>government</w:t>
      </w:r>
      <w:r w:rsidR="00FC1861" w:rsidRPr="00FC1861">
        <w:rPr>
          <w:lang w:val="en-US"/>
        </w:rPr>
        <w:t xml:space="preserve"> also </w:t>
      </w:r>
      <w:r w:rsidR="00FC1861" w:rsidRPr="00FC1861">
        <w:rPr>
          <w:lang w:val="en-US"/>
        </w:rPr>
        <w:lastRenderedPageBreak/>
        <w:t xml:space="preserve">wants to </w:t>
      </w:r>
      <w:r w:rsidR="007310D6" w:rsidRPr="00FC1861">
        <w:rPr>
          <w:lang w:val="en-US"/>
        </w:rPr>
        <w:t>alter</w:t>
      </w:r>
      <w:r w:rsidR="00FC1861" w:rsidRPr="00FC1861">
        <w:rPr>
          <w:lang w:val="en-US"/>
        </w:rPr>
        <w:t xml:space="preserve"> the homicide law of </w:t>
      </w:r>
      <w:r w:rsidR="007310D6" w:rsidRPr="00FC1861">
        <w:rPr>
          <w:lang w:val="en-US"/>
        </w:rPr>
        <w:t>involvement</w:t>
      </w:r>
      <w:r w:rsidR="00FC1861" w:rsidRPr="00FC1861">
        <w:rPr>
          <w:lang w:val="en-US"/>
        </w:rPr>
        <w:t xml:space="preserve">, although it does not </w:t>
      </w:r>
      <w:r w:rsidR="007310D6" w:rsidRPr="00FC1861">
        <w:rPr>
          <w:lang w:val="en-US"/>
        </w:rPr>
        <w:t>need</w:t>
      </w:r>
      <w:r w:rsidR="00FC1861" w:rsidRPr="00FC1861">
        <w:rPr>
          <w:lang w:val="en-US"/>
        </w:rPr>
        <w:t xml:space="preserve"> to </w:t>
      </w:r>
      <w:r w:rsidR="007310D6" w:rsidRPr="00FC1861">
        <w:rPr>
          <w:lang w:val="en-US"/>
        </w:rPr>
        <w:t>receive</w:t>
      </w:r>
      <w:r w:rsidR="00FC1861" w:rsidRPr="00FC1861">
        <w:rPr>
          <w:lang w:val="en-US"/>
        </w:rPr>
        <w:t xml:space="preserve"> the more </w:t>
      </w:r>
      <w:r w:rsidR="007310D6" w:rsidRPr="00FC1861">
        <w:rPr>
          <w:lang w:val="en-US"/>
        </w:rPr>
        <w:t>widespread</w:t>
      </w:r>
      <w:r w:rsidR="00FC1861" w:rsidRPr="00FC1861">
        <w:rPr>
          <w:lang w:val="en-US"/>
        </w:rPr>
        <w:t xml:space="preserve"> revisions to the law of </w:t>
      </w:r>
      <w:r w:rsidR="007310D6" w:rsidRPr="00FC1861">
        <w:rPr>
          <w:lang w:val="en-US"/>
        </w:rPr>
        <w:t>involvement</w:t>
      </w:r>
      <w:r w:rsidR="00FC1861" w:rsidRPr="00FC1861">
        <w:rPr>
          <w:lang w:val="en-US"/>
        </w:rPr>
        <w:t xml:space="preserve"> that were </w:t>
      </w:r>
      <w:r w:rsidR="007310D6" w:rsidRPr="00FC1861">
        <w:rPr>
          <w:lang w:val="en-US"/>
        </w:rPr>
        <w:t>recommended</w:t>
      </w:r>
      <w:r w:rsidR="00FC1861" w:rsidRPr="00FC1861">
        <w:rPr>
          <w:lang w:val="en-US"/>
        </w:rPr>
        <w:t xml:space="preserve"> in the Law Commission's Participating in Crime report from 2007</w:t>
      </w:r>
      <w:r w:rsidR="00AC128A">
        <w:rPr>
          <w:lang w:val="en-US"/>
        </w:rPr>
        <w:t xml:space="preserve"> (</w:t>
      </w:r>
      <w:r w:rsidR="00AC128A">
        <w:rPr>
          <w:shd w:val="clear" w:color="auto" w:fill="FFFFFF"/>
        </w:rPr>
        <w:t>Tyson, 2019</w:t>
      </w:r>
      <w:r w:rsidR="00AC128A">
        <w:rPr>
          <w:lang w:val="en-US"/>
        </w:rPr>
        <w:t>)</w:t>
      </w:r>
      <w:r w:rsidR="00FC1861">
        <w:rPr>
          <w:lang w:val="en-US"/>
        </w:rPr>
        <w:t xml:space="preserve">. </w:t>
      </w:r>
      <w:r w:rsidR="00FC1861" w:rsidRPr="00FC1861">
        <w:rPr>
          <w:lang w:val="en-US"/>
        </w:rPr>
        <w:t xml:space="preserve">A public </w:t>
      </w:r>
      <w:r w:rsidR="007310D6" w:rsidRPr="00FC1861">
        <w:rPr>
          <w:lang w:val="en-US"/>
        </w:rPr>
        <w:t>review</w:t>
      </w:r>
      <w:r w:rsidR="00FC1861" w:rsidRPr="00FC1861">
        <w:rPr>
          <w:lang w:val="en-US"/>
        </w:rPr>
        <w:t xml:space="preserve"> on the topic of </w:t>
      </w:r>
      <w:r w:rsidR="007310D6" w:rsidRPr="00FC1861">
        <w:rPr>
          <w:lang w:val="en-US"/>
        </w:rPr>
        <w:t>compassion</w:t>
      </w:r>
      <w:r w:rsidR="00FC1861" w:rsidRPr="00FC1861">
        <w:rPr>
          <w:lang w:val="en-US"/>
        </w:rPr>
        <w:t xml:space="preserve"> killing and other Law Commission </w:t>
      </w:r>
      <w:r w:rsidR="007310D6" w:rsidRPr="00FC1861">
        <w:rPr>
          <w:lang w:val="en-US"/>
        </w:rPr>
        <w:t>endorsements</w:t>
      </w:r>
      <w:r w:rsidR="00FC1861" w:rsidRPr="00FC1861">
        <w:rPr>
          <w:lang w:val="en-US"/>
        </w:rPr>
        <w:t xml:space="preserve"> from the 2006 homicide </w:t>
      </w:r>
      <w:r w:rsidR="007310D6" w:rsidRPr="00FC1861">
        <w:rPr>
          <w:lang w:val="en-US"/>
        </w:rPr>
        <w:t>statement</w:t>
      </w:r>
      <w:r w:rsidR="00FC1861" w:rsidRPr="00FC1861">
        <w:rPr>
          <w:lang w:val="en-US"/>
        </w:rPr>
        <w:t xml:space="preserve">, such as the </w:t>
      </w:r>
      <w:r w:rsidR="007310D6" w:rsidRPr="00FC1861">
        <w:rPr>
          <w:lang w:val="en-US"/>
        </w:rPr>
        <w:t>impression</w:t>
      </w:r>
      <w:r w:rsidR="00FC1861" w:rsidRPr="00FC1861">
        <w:rPr>
          <w:lang w:val="en-US"/>
        </w:rPr>
        <w:t xml:space="preserve"> that </w:t>
      </w:r>
      <w:r w:rsidR="007310D6" w:rsidRPr="00FC1861">
        <w:rPr>
          <w:lang w:val="en-US"/>
        </w:rPr>
        <w:t>pressure</w:t>
      </w:r>
      <w:r w:rsidR="00FC1861" w:rsidRPr="00FC1861">
        <w:rPr>
          <w:lang w:val="en-US"/>
        </w:rPr>
        <w:t xml:space="preserve"> should be made a defence to murder, </w:t>
      </w:r>
      <w:r w:rsidR="00AF1E71">
        <w:rPr>
          <w:lang w:val="en-US"/>
        </w:rPr>
        <w:t>has</w:t>
      </w:r>
      <w:r w:rsidR="00FC1861" w:rsidRPr="00FC1861">
        <w:rPr>
          <w:lang w:val="en-US"/>
        </w:rPr>
        <w:t xml:space="preserve"> </w:t>
      </w:r>
      <w:r w:rsidR="007310D6" w:rsidRPr="00FC1861">
        <w:rPr>
          <w:lang w:val="en-US"/>
        </w:rPr>
        <w:t>disastrously</w:t>
      </w:r>
      <w:r w:rsidR="00FC1861" w:rsidRPr="00FC1861">
        <w:rPr>
          <w:lang w:val="en-US"/>
        </w:rPr>
        <w:t xml:space="preserve"> not yet been </w:t>
      </w:r>
      <w:r w:rsidR="007310D6" w:rsidRPr="00FC1861">
        <w:rPr>
          <w:lang w:val="en-US"/>
        </w:rPr>
        <w:t>applied</w:t>
      </w:r>
      <w:r w:rsidR="00FC1861" w:rsidRPr="00FC1861">
        <w:rPr>
          <w:lang w:val="en-US"/>
        </w:rPr>
        <w:t>.</w:t>
      </w:r>
      <w:r w:rsidR="00414A3C">
        <w:rPr>
          <w:lang w:val="en-US"/>
        </w:rPr>
        <w:t xml:space="preserve"> </w:t>
      </w:r>
    </w:p>
    <w:p w14:paraId="2965E65E" w14:textId="77777777" w:rsidR="00AF1E71" w:rsidRDefault="00AF1E71">
      <w:pPr>
        <w:spacing w:after="160" w:line="259" w:lineRule="auto"/>
        <w:jc w:val="left"/>
        <w:rPr>
          <w:lang w:val="en-US"/>
        </w:rPr>
      </w:pPr>
      <w:r>
        <w:rPr>
          <w:lang w:val="en-US"/>
        </w:rPr>
        <w:br w:type="page"/>
      </w:r>
    </w:p>
    <w:p w14:paraId="1F20ED1D" w14:textId="77777777" w:rsidR="00AF1E71" w:rsidRPr="00AF1E71" w:rsidRDefault="00AF1E71" w:rsidP="00C63826">
      <w:pPr>
        <w:rPr>
          <w:b/>
          <w:bCs/>
          <w:lang w:val="en-US"/>
        </w:rPr>
      </w:pPr>
      <w:r w:rsidRPr="00AF1E71">
        <w:rPr>
          <w:b/>
          <w:bCs/>
          <w:lang w:val="en-US"/>
        </w:rPr>
        <w:lastRenderedPageBreak/>
        <w:t xml:space="preserve">Conclusion </w:t>
      </w:r>
    </w:p>
    <w:p w14:paraId="7548FCCC" w14:textId="0998EF84" w:rsidR="002C6A91" w:rsidRDefault="00734D6E" w:rsidP="00C63826">
      <w:pPr>
        <w:rPr>
          <w:lang w:val="en-US"/>
        </w:rPr>
      </w:pPr>
      <w:r>
        <w:rPr>
          <w:lang w:val="en-US"/>
        </w:rPr>
        <w:t xml:space="preserve">Undertaking a reformation of present criminal law is very much essential to enhance the legal structure of the nation. In this context, this essay has described the details of the homicide law that has been implemented by the government to reduce the percentage of murder and manslaughter. </w:t>
      </w:r>
      <w:r w:rsidR="00FB6C01">
        <w:rPr>
          <w:lang w:val="en-US"/>
        </w:rPr>
        <w:t xml:space="preserve">With respect to that some of the key issues of the law </w:t>
      </w:r>
      <w:r w:rsidR="00FB6C01">
        <w:t>have</w:t>
      </w:r>
      <w:r w:rsidR="00FB6C01" w:rsidRPr="00FB6C01">
        <w:t xml:space="preserve"> also been devised in this report including partial defences to murder and </w:t>
      </w:r>
      <w:r w:rsidR="00FB6C01">
        <w:t>its</w:t>
      </w:r>
      <w:r w:rsidR="00FB6C01" w:rsidRPr="00FB6C01">
        <w:t xml:space="preserve"> controversies.</w:t>
      </w:r>
      <w:r w:rsidR="00FB6C01">
        <w:t xml:space="preserve"> </w:t>
      </w:r>
      <w:r w:rsidR="00DC7F11">
        <w:t>Perhaps the proposal regarding the reformation of the homicide law of the nation in the context of enhancing the credibility of the legal structure is another core aspect of this. Moreover, the details of the acceptance of the aspects of the reformation proposal have also been discussed in this essay in detail as well.</w:t>
      </w:r>
      <w:r w:rsidRPr="00FB6C01">
        <w:br w:type="page"/>
      </w:r>
    </w:p>
    <w:p w14:paraId="37101074" w14:textId="187FA40B" w:rsidR="00CE449F" w:rsidRDefault="00000000" w:rsidP="002C6A91">
      <w:pPr>
        <w:pStyle w:val="Heading10"/>
        <w:rPr>
          <w:lang w:val="en-US"/>
        </w:rPr>
      </w:pPr>
      <w:r>
        <w:rPr>
          <w:lang w:val="en-US"/>
        </w:rPr>
        <w:lastRenderedPageBreak/>
        <w:t>References</w:t>
      </w:r>
    </w:p>
    <w:p w14:paraId="2D33D42D" w14:textId="77777777" w:rsidR="007E3676" w:rsidRPr="00B03002" w:rsidRDefault="007E3676" w:rsidP="004A5AD9">
      <w:pPr>
        <w:rPr>
          <w:shd w:val="clear" w:color="auto" w:fill="FFFFFF"/>
        </w:rPr>
      </w:pPr>
      <w:r w:rsidRPr="00B03002">
        <w:rPr>
          <w:shd w:val="clear" w:color="auto" w:fill="FFFFFF"/>
        </w:rPr>
        <w:t>Clough, A., (2023). Coercive Control: Transforming Partial Defences to Murder in England and Wales. </w:t>
      </w:r>
      <w:r w:rsidRPr="00B03002">
        <w:rPr>
          <w:i/>
          <w:iCs/>
          <w:shd w:val="clear" w:color="auto" w:fill="FFFFFF"/>
        </w:rPr>
        <w:t>The Journal of Criminal Law</w:t>
      </w:r>
      <w:r w:rsidRPr="00B03002">
        <w:rPr>
          <w:shd w:val="clear" w:color="auto" w:fill="FFFFFF"/>
        </w:rPr>
        <w:t>, </w:t>
      </w:r>
      <w:r w:rsidRPr="00B03002">
        <w:rPr>
          <w:i/>
          <w:iCs/>
          <w:shd w:val="clear" w:color="auto" w:fill="FFFFFF"/>
        </w:rPr>
        <w:t>87</w:t>
      </w:r>
      <w:r w:rsidRPr="00B03002">
        <w:rPr>
          <w:shd w:val="clear" w:color="auto" w:fill="FFFFFF"/>
        </w:rPr>
        <w:t>(2).</w:t>
      </w:r>
    </w:p>
    <w:p w14:paraId="385F7BAB" w14:textId="77777777" w:rsidR="007E3676" w:rsidRPr="00B03002" w:rsidRDefault="007E3676" w:rsidP="00B03002">
      <w:pPr>
        <w:pStyle w:val="Bibliography"/>
        <w:rPr>
          <w:noProof/>
          <w:szCs w:val="24"/>
        </w:rPr>
      </w:pPr>
      <w:r w:rsidRPr="00B03002">
        <w:rPr>
          <w:noProof/>
        </w:rPr>
        <w:t xml:space="preserve">CPS, (2022). </w:t>
      </w:r>
      <w:r w:rsidRPr="00B03002">
        <w:rPr>
          <w:i/>
          <w:iCs/>
          <w:noProof/>
        </w:rPr>
        <w:t xml:space="preserve">Offences against the Person, incorporating the Charging Standard. </w:t>
      </w:r>
      <w:r w:rsidRPr="00B03002">
        <w:rPr>
          <w:noProof/>
        </w:rPr>
        <w:t xml:space="preserve">[Online]Available at: </w:t>
      </w:r>
      <w:hyperlink r:id="rId7" w:history="1">
        <w:r w:rsidRPr="00B03002">
          <w:rPr>
            <w:rStyle w:val="Hyperlink"/>
            <w:noProof/>
            <w:color w:val="auto"/>
          </w:rPr>
          <w:t>https://www.cps.gov.uk/legal-guidance/offences-against-person-incorporating-charging-standard</w:t>
        </w:r>
      </w:hyperlink>
      <w:r w:rsidRPr="00B03002">
        <w:rPr>
          <w:noProof/>
        </w:rPr>
        <w:t xml:space="preserve"> [Accessed 16 6 2023].</w:t>
      </w:r>
    </w:p>
    <w:p w14:paraId="4218273D" w14:textId="77777777" w:rsidR="007E3676" w:rsidRPr="00B03002" w:rsidRDefault="007E3676" w:rsidP="00D71501">
      <w:pPr>
        <w:rPr>
          <w:shd w:val="clear" w:color="auto" w:fill="FFFFFF"/>
        </w:rPr>
      </w:pPr>
      <w:r w:rsidRPr="00B03002">
        <w:rPr>
          <w:shd w:val="clear" w:color="auto" w:fill="FFFFFF"/>
        </w:rPr>
        <w:t>Crofts, T. and Wake, N., (2021). Diminished responsibility determinations in England and Wales and New South Wales: whose role is it anyway?. </w:t>
      </w:r>
      <w:r w:rsidRPr="00B03002">
        <w:rPr>
          <w:i/>
          <w:iCs/>
          <w:shd w:val="clear" w:color="auto" w:fill="FFFFFF"/>
        </w:rPr>
        <w:t>Northern Ireland Legal Quarterly</w:t>
      </w:r>
      <w:r w:rsidRPr="00B03002">
        <w:rPr>
          <w:shd w:val="clear" w:color="auto" w:fill="FFFFFF"/>
        </w:rPr>
        <w:t>, </w:t>
      </w:r>
      <w:r w:rsidRPr="00B03002">
        <w:rPr>
          <w:i/>
          <w:iCs/>
          <w:shd w:val="clear" w:color="auto" w:fill="FFFFFF"/>
        </w:rPr>
        <w:t>72</w:t>
      </w:r>
      <w:r w:rsidRPr="00B03002">
        <w:rPr>
          <w:shd w:val="clear" w:color="auto" w:fill="FFFFFF"/>
        </w:rPr>
        <w:t>(2).</w:t>
      </w:r>
    </w:p>
    <w:p w14:paraId="33A61A04" w14:textId="77777777" w:rsidR="007E3676" w:rsidRDefault="007E3676" w:rsidP="00274607">
      <w:pPr>
        <w:rPr>
          <w:lang w:val="en-US"/>
        </w:rPr>
      </w:pPr>
      <w:r>
        <w:rPr>
          <w:shd w:val="clear" w:color="auto" w:fill="FFFFFF"/>
        </w:rPr>
        <w:t>Dweba, A., (2022). The criminal liability of health care practitioners for culpable homicide.</w:t>
      </w:r>
    </w:p>
    <w:p w14:paraId="0640D08A" w14:textId="77777777" w:rsidR="007E3676" w:rsidRPr="00B03002" w:rsidRDefault="007E3676" w:rsidP="002715F4">
      <w:pPr>
        <w:rPr>
          <w:shd w:val="clear" w:color="auto" w:fill="FFFFFF"/>
        </w:rPr>
      </w:pPr>
      <w:r w:rsidRPr="00B03002">
        <w:rPr>
          <w:shd w:val="clear" w:color="auto" w:fill="FFFFFF"/>
        </w:rPr>
        <w:t>Eastman, N. and Grubin, D., (2020). Insanity, Diminished Responsibility, and Personality Disorder in England and Wales. </w:t>
      </w:r>
      <w:r w:rsidRPr="00B03002">
        <w:rPr>
          <w:i/>
          <w:iCs/>
          <w:shd w:val="clear" w:color="auto" w:fill="FFFFFF"/>
        </w:rPr>
        <w:t>The Wiley International Handbook on Psychopathic Disorders and the Law</w:t>
      </w:r>
      <w:r w:rsidRPr="00B03002">
        <w:rPr>
          <w:shd w:val="clear" w:color="auto" w:fill="FFFFFF"/>
        </w:rPr>
        <w:t>.</w:t>
      </w:r>
    </w:p>
    <w:p w14:paraId="7F8D03BD" w14:textId="77777777" w:rsidR="007E3676" w:rsidRPr="00B03002" w:rsidRDefault="007E3676" w:rsidP="00D63038">
      <w:pPr>
        <w:rPr>
          <w:shd w:val="clear" w:color="auto" w:fill="FFFFFF"/>
        </w:rPr>
      </w:pPr>
      <w:r w:rsidRPr="00B03002">
        <w:rPr>
          <w:shd w:val="clear" w:color="auto" w:fill="FFFFFF"/>
        </w:rPr>
        <w:t>Edwards, S.S. and Douglas, H., (2021). The criminalisation of a dangerous form of coercive control: Non-fatal strangulation in England and Wales and Australia. </w:t>
      </w:r>
      <w:r w:rsidRPr="00B03002">
        <w:rPr>
          <w:i/>
          <w:iCs/>
          <w:shd w:val="clear" w:color="auto" w:fill="FFFFFF"/>
        </w:rPr>
        <w:t>J. Int'l &amp; Comp. L.</w:t>
      </w:r>
      <w:r w:rsidRPr="00B03002">
        <w:rPr>
          <w:shd w:val="clear" w:color="auto" w:fill="FFFFFF"/>
        </w:rPr>
        <w:t>, </w:t>
      </w:r>
      <w:r w:rsidRPr="00B03002">
        <w:rPr>
          <w:i/>
          <w:iCs/>
          <w:shd w:val="clear" w:color="auto" w:fill="FFFFFF"/>
        </w:rPr>
        <w:t>8</w:t>
      </w:r>
      <w:r w:rsidRPr="00B03002">
        <w:rPr>
          <w:shd w:val="clear" w:color="auto" w:fill="FFFFFF"/>
        </w:rPr>
        <w:t>.</w:t>
      </w:r>
    </w:p>
    <w:p w14:paraId="5FD5600C" w14:textId="77777777" w:rsidR="007E3676" w:rsidRPr="00B03002" w:rsidRDefault="007E3676" w:rsidP="00B03002">
      <w:pPr>
        <w:pStyle w:val="Bibliography"/>
        <w:rPr>
          <w:noProof/>
        </w:rPr>
      </w:pPr>
      <w:r w:rsidRPr="00B03002">
        <w:rPr>
          <w:noProof/>
        </w:rPr>
        <w:t xml:space="preserve">Legislation.gov.uk, (2023). </w:t>
      </w:r>
      <w:r w:rsidRPr="00B03002">
        <w:rPr>
          <w:i/>
          <w:iCs/>
          <w:noProof/>
        </w:rPr>
        <w:t xml:space="preserve">Offences against the Person Act 1861. </w:t>
      </w:r>
      <w:r w:rsidRPr="00B03002">
        <w:rPr>
          <w:noProof/>
        </w:rPr>
        <w:t xml:space="preserve">[Online] Available at: </w:t>
      </w:r>
      <w:hyperlink r:id="rId8" w:anchor=":~:text=Persons%20committing%20any%20common%20assault,may%20be%20imprisoned%20or%20fined" w:history="1">
        <w:r w:rsidRPr="00B03002">
          <w:rPr>
            <w:rStyle w:val="Hyperlink"/>
            <w:noProof/>
            <w:color w:val="auto"/>
          </w:rPr>
          <w:t>https://www.legislation.gov.uk/ukpga/Vict/24-25/100/contents#:~:text=Persons%20committing%20any%20common%20assault,may%20be%20imprisoned%20or%20fined</w:t>
        </w:r>
      </w:hyperlink>
      <w:r w:rsidRPr="00B03002">
        <w:rPr>
          <w:noProof/>
          <w:u w:val="single"/>
        </w:rPr>
        <w:t>.</w:t>
      </w:r>
      <w:r w:rsidRPr="00B03002">
        <w:rPr>
          <w:noProof/>
        </w:rPr>
        <w:t xml:space="preserve"> [Accessed 16 6 2023].</w:t>
      </w:r>
    </w:p>
    <w:p w14:paraId="17D285E7" w14:textId="77777777" w:rsidR="007E3676" w:rsidRPr="00B03002" w:rsidRDefault="007E3676" w:rsidP="00D84B30">
      <w:pPr>
        <w:rPr>
          <w:shd w:val="clear" w:color="auto" w:fill="FFFFFF"/>
        </w:rPr>
      </w:pPr>
      <w:r w:rsidRPr="00B03002">
        <w:rPr>
          <w:shd w:val="clear" w:color="auto" w:fill="FFFFFF"/>
        </w:rPr>
        <w:t>Negligence, G., (2021). Manslaughter Revisited. </w:t>
      </w:r>
      <w:r w:rsidRPr="00B03002">
        <w:rPr>
          <w:i/>
          <w:iCs/>
          <w:shd w:val="clear" w:color="auto" w:fill="FFFFFF"/>
        </w:rPr>
        <w:t>The Journal of Criminal Law</w:t>
      </w:r>
      <w:r w:rsidRPr="00B03002">
        <w:rPr>
          <w:shd w:val="clear" w:color="auto" w:fill="FFFFFF"/>
        </w:rPr>
        <w:t>, </w:t>
      </w:r>
      <w:r w:rsidRPr="00B03002">
        <w:rPr>
          <w:i/>
          <w:iCs/>
          <w:shd w:val="clear" w:color="auto" w:fill="FFFFFF"/>
        </w:rPr>
        <w:t>85</w:t>
      </w:r>
      <w:r w:rsidRPr="00B03002">
        <w:rPr>
          <w:shd w:val="clear" w:color="auto" w:fill="FFFFFF"/>
        </w:rPr>
        <w:t>(5).</w:t>
      </w:r>
    </w:p>
    <w:p w14:paraId="0267A4B8" w14:textId="77777777" w:rsidR="007E3676" w:rsidRPr="00B03002" w:rsidRDefault="007E3676" w:rsidP="00B2578C">
      <w:pPr>
        <w:rPr>
          <w:shd w:val="clear" w:color="auto" w:fill="FFFFFF"/>
        </w:rPr>
      </w:pPr>
      <w:r w:rsidRPr="00B03002">
        <w:rPr>
          <w:shd w:val="clear" w:color="auto" w:fill="FFFFFF"/>
        </w:rPr>
        <w:lastRenderedPageBreak/>
        <w:t>Roper, V., (2022). The Corporate Manslaughter and Corporate Homicide Act 2007: A re-evaluation 10 years on from the first case. </w:t>
      </w:r>
      <w:r w:rsidRPr="00B03002">
        <w:rPr>
          <w:i/>
          <w:iCs/>
          <w:shd w:val="clear" w:color="auto" w:fill="FFFFFF"/>
        </w:rPr>
        <w:t>Criminal Law Review</w:t>
      </w:r>
      <w:r w:rsidRPr="00B03002">
        <w:rPr>
          <w:shd w:val="clear" w:color="auto" w:fill="FFFFFF"/>
        </w:rPr>
        <w:t>, (4).</w:t>
      </w:r>
    </w:p>
    <w:p w14:paraId="5D26EA5A" w14:textId="77777777" w:rsidR="007E3676" w:rsidRPr="00031989" w:rsidRDefault="007E3676" w:rsidP="00031989">
      <w:r w:rsidRPr="00031989">
        <w:t xml:space="preserve">Smith, A., </w:t>
      </w:r>
      <w:r>
        <w:t>(</w:t>
      </w:r>
      <w:r w:rsidRPr="00031989">
        <w:t>2021</w:t>
      </w:r>
      <w:r>
        <w:t>)</w:t>
      </w:r>
      <w:r w:rsidRPr="00031989">
        <w:t>. Should the law on corporate homicide be reformed? (Doctoral dissertation, University of Glasgow).</w:t>
      </w:r>
    </w:p>
    <w:p w14:paraId="38F971CA" w14:textId="77777777" w:rsidR="007E3676" w:rsidRPr="00B03002" w:rsidRDefault="007E3676" w:rsidP="00B03002">
      <w:pPr>
        <w:rPr>
          <w:shd w:val="clear" w:color="auto" w:fill="FFFFFF"/>
        </w:rPr>
      </w:pPr>
      <w:r w:rsidRPr="00B03002">
        <w:rPr>
          <w:shd w:val="clear" w:color="auto" w:fill="FFFFFF"/>
        </w:rPr>
        <w:t>Tiarks, E. and Oswald, M., (2021). Response to the Law Commission Consultation on Reform of the Communications Offences.</w:t>
      </w:r>
    </w:p>
    <w:p w14:paraId="548F1CDC" w14:textId="77777777" w:rsidR="007E3676" w:rsidRPr="00B03002" w:rsidRDefault="007E3676" w:rsidP="001E201F">
      <w:pPr>
        <w:rPr>
          <w:shd w:val="clear" w:color="auto" w:fill="FFFFFF"/>
        </w:rPr>
      </w:pPr>
      <w:r w:rsidRPr="00B03002">
        <w:rPr>
          <w:shd w:val="clear" w:color="auto" w:fill="FFFFFF"/>
        </w:rPr>
        <w:t>Todd, L., Usman, K., Tyler, F., Toffolo, L. and Temple, A., (2019). Should the laws on involuntary manslaughter in England and Wales be reformed?. </w:t>
      </w:r>
      <w:r w:rsidRPr="00B03002">
        <w:rPr>
          <w:i/>
          <w:iCs/>
          <w:shd w:val="clear" w:color="auto" w:fill="FFFFFF"/>
        </w:rPr>
        <w:t>The Student Journal of Professional Practice and Academic Research</w:t>
      </w:r>
      <w:r w:rsidRPr="00B03002">
        <w:rPr>
          <w:shd w:val="clear" w:color="auto" w:fill="FFFFFF"/>
        </w:rPr>
        <w:t>, </w:t>
      </w:r>
      <w:r w:rsidRPr="00B03002">
        <w:rPr>
          <w:i/>
          <w:iCs/>
          <w:shd w:val="clear" w:color="auto" w:fill="FFFFFF"/>
        </w:rPr>
        <w:t>1</w:t>
      </w:r>
      <w:r w:rsidRPr="00B03002">
        <w:rPr>
          <w:shd w:val="clear" w:color="auto" w:fill="FFFFFF"/>
        </w:rPr>
        <w:t>(1).</w:t>
      </w:r>
    </w:p>
    <w:p w14:paraId="115312E5" w14:textId="77777777" w:rsidR="007E3676" w:rsidRDefault="007E3676" w:rsidP="00715B5E">
      <w:pPr>
        <w:rPr>
          <w:lang w:val="en-US"/>
        </w:rPr>
      </w:pPr>
      <w:r>
        <w:rPr>
          <w:shd w:val="clear" w:color="auto" w:fill="FFFFFF"/>
        </w:rPr>
        <w:t>Ulbrick, M., Flynn, A. and Tyson, D., (2019). An argument for diminished culpability manslaughter: Responding to gaps in Victorian homicide law. </w:t>
      </w:r>
      <w:r>
        <w:rPr>
          <w:i/>
          <w:iCs/>
          <w:shd w:val="clear" w:color="auto" w:fill="FFFFFF"/>
        </w:rPr>
        <w:t>Monash University Law Review</w:t>
      </w:r>
      <w:r>
        <w:rPr>
          <w:shd w:val="clear" w:color="auto" w:fill="FFFFFF"/>
        </w:rPr>
        <w:t>, </w:t>
      </w:r>
      <w:r>
        <w:rPr>
          <w:i/>
          <w:iCs/>
          <w:shd w:val="clear" w:color="auto" w:fill="FFFFFF"/>
        </w:rPr>
        <w:t>45</w:t>
      </w:r>
      <w:r>
        <w:rPr>
          <w:shd w:val="clear" w:color="auto" w:fill="FFFFFF"/>
        </w:rPr>
        <w:t>(1).</w:t>
      </w:r>
    </w:p>
    <w:p w14:paraId="3B088F0B" w14:textId="77777777" w:rsidR="007E3676" w:rsidRPr="00B03002" w:rsidRDefault="007E3676" w:rsidP="00081952">
      <w:pPr>
        <w:rPr>
          <w:shd w:val="clear" w:color="auto" w:fill="FFFFFF"/>
        </w:rPr>
      </w:pPr>
      <w:r w:rsidRPr="00B03002">
        <w:rPr>
          <w:shd w:val="clear" w:color="auto" w:fill="FFFFFF"/>
        </w:rPr>
        <w:t>Wake, N., (2019). Manslaughter by loss of control: sentencing primary victims who kill. </w:t>
      </w:r>
      <w:r w:rsidRPr="00B03002">
        <w:rPr>
          <w:i/>
          <w:iCs/>
          <w:shd w:val="clear" w:color="auto" w:fill="FFFFFF"/>
        </w:rPr>
        <w:t>Criminal Law Review</w:t>
      </w:r>
      <w:r w:rsidRPr="00B03002">
        <w:rPr>
          <w:shd w:val="clear" w:color="auto" w:fill="FFFFFF"/>
        </w:rPr>
        <w:t>, (4).</w:t>
      </w:r>
    </w:p>
    <w:p w14:paraId="7B47B1CB" w14:textId="77777777" w:rsidR="00B03002" w:rsidRPr="00B03002" w:rsidRDefault="00B03002" w:rsidP="00B03002">
      <w:pPr>
        <w:rPr>
          <w:shd w:val="clear" w:color="auto" w:fill="FFFFFF"/>
        </w:rPr>
      </w:pPr>
    </w:p>
    <w:p w14:paraId="1AB3D72F" w14:textId="77777777" w:rsidR="00B03002" w:rsidRPr="00057FAB" w:rsidRDefault="00B03002" w:rsidP="000E0A3A">
      <w:pPr>
        <w:rPr>
          <w:lang w:val="en-US"/>
        </w:rPr>
      </w:pPr>
    </w:p>
    <w:sectPr w:rsidR="00B03002" w:rsidRPr="00057FAB" w:rsidSect="008E5DD4">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93B70" w14:textId="77777777" w:rsidR="00B66F16" w:rsidRDefault="00B66F16">
      <w:pPr>
        <w:spacing w:after="0" w:line="240" w:lineRule="auto"/>
      </w:pPr>
      <w:r>
        <w:separator/>
      </w:r>
    </w:p>
  </w:endnote>
  <w:endnote w:type="continuationSeparator" w:id="0">
    <w:p w14:paraId="46BA4D5F" w14:textId="77777777" w:rsidR="00B66F16" w:rsidRDefault="00B66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0524212"/>
      <w:docPartObj>
        <w:docPartGallery w:val="Page Numbers (Bottom of Page)"/>
        <w:docPartUnique/>
      </w:docPartObj>
    </w:sdtPr>
    <w:sdtContent>
      <w:sdt>
        <w:sdtPr>
          <w:id w:val="-1769616900"/>
          <w:docPartObj>
            <w:docPartGallery w:val="Page Numbers (Top of Page)"/>
            <w:docPartUnique/>
          </w:docPartObj>
        </w:sdtPr>
        <w:sdtContent>
          <w:p w14:paraId="1A3A2268" w14:textId="77777777" w:rsidR="008E5DD4"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346A74E" w14:textId="77777777" w:rsidR="008E5DD4" w:rsidRDefault="008E5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A1F8B" w14:textId="77777777" w:rsidR="00B66F16" w:rsidRDefault="00B66F16">
      <w:pPr>
        <w:spacing w:after="0" w:line="240" w:lineRule="auto"/>
      </w:pPr>
      <w:r>
        <w:separator/>
      </w:r>
    </w:p>
  </w:footnote>
  <w:footnote w:type="continuationSeparator" w:id="0">
    <w:p w14:paraId="7A967B1D" w14:textId="77777777" w:rsidR="00B66F16" w:rsidRDefault="00B66F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89E57" w14:textId="77777777" w:rsidR="008E5DD4" w:rsidRPr="008E5DD4" w:rsidRDefault="00000000" w:rsidP="008E5DD4">
    <w:pPr>
      <w:jc w:val="right"/>
      <w:rPr>
        <w:lang w:val="en-US"/>
      </w:rPr>
    </w:pPr>
    <w:r w:rsidRPr="008E5DD4">
      <w:rPr>
        <w:lang w:val="en-US"/>
      </w:rPr>
      <w:t>Criminal la</w:t>
    </w:r>
    <w:r>
      <w:rPr>
        <w:lang w:val="en-US"/>
      </w:rPr>
      <w:t>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DD4"/>
    <w:rsid w:val="000062AE"/>
    <w:rsid w:val="000166E8"/>
    <w:rsid w:val="00022006"/>
    <w:rsid w:val="00031989"/>
    <w:rsid w:val="00057FAB"/>
    <w:rsid w:val="00081952"/>
    <w:rsid w:val="00085E3F"/>
    <w:rsid w:val="000E0A3A"/>
    <w:rsid w:val="001277BF"/>
    <w:rsid w:val="0016522B"/>
    <w:rsid w:val="001704D2"/>
    <w:rsid w:val="00170725"/>
    <w:rsid w:val="001C5796"/>
    <w:rsid w:val="001C7FE6"/>
    <w:rsid w:val="001E201F"/>
    <w:rsid w:val="001F705D"/>
    <w:rsid w:val="002277C3"/>
    <w:rsid w:val="00236324"/>
    <w:rsid w:val="002454C8"/>
    <w:rsid w:val="002715F4"/>
    <w:rsid w:val="00274607"/>
    <w:rsid w:val="00296F3E"/>
    <w:rsid w:val="002A28AD"/>
    <w:rsid w:val="002C6A91"/>
    <w:rsid w:val="002D6D3B"/>
    <w:rsid w:val="00303AD8"/>
    <w:rsid w:val="003060B9"/>
    <w:rsid w:val="00323620"/>
    <w:rsid w:val="00367576"/>
    <w:rsid w:val="003825A9"/>
    <w:rsid w:val="003869F9"/>
    <w:rsid w:val="003A5016"/>
    <w:rsid w:val="003E2330"/>
    <w:rsid w:val="00400101"/>
    <w:rsid w:val="00414A3C"/>
    <w:rsid w:val="00440101"/>
    <w:rsid w:val="004410DD"/>
    <w:rsid w:val="00460219"/>
    <w:rsid w:val="00472E96"/>
    <w:rsid w:val="004752B8"/>
    <w:rsid w:val="0048039D"/>
    <w:rsid w:val="004822DE"/>
    <w:rsid w:val="00487A30"/>
    <w:rsid w:val="00493453"/>
    <w:rsid w:val="004A5AD9"/>
    <w:rsid w:val="0054229C"/>
    <w:rsid w:val="0056616B"/>
    <w:rsid w:val="0059709C"/>
    <w:rsid w:val="005C0EBB"/>
    <w:rsid w:val="00636F2B"/>
    <w:rsid w:val="00656AEC"/>
    <w:rsid w:val="00672B33"/>
    <w:rsid w:val="006D0E5D"/>
    <w:rsid w:val="006E2319"/>
    <w:rsid w:val="00712536"/>
    <w:rsid w:val="00715B5E"/>
    <w:rsid w:val="007310D6"/>
    <w:rsid w:val="007334F6"/>
    <w:rsid w:val="00734D6E"/>
    <w:rsid w:val="00744E62"/>
    <w:rsid w:val="00765280"/>
    <w:rsid w:val="00780440"/>
    <w:rsid w:val="00781577"/>
    <w:rsid w:val="007973AC"/>
    <w:rsid w:val="007A7D48"/>
    <w:rsid w:val="007D64D3"/>
    <w:rsid w:val="007E3676"/>
    <w:rsid w:val="007E7DD4"/>
    <w:rsid w:val="007F4ED2"/>
    <w:rsid w:val="00802E88"/>
    <w:rsid w:val="00884423"/>
    <w:rsid w:val="008A6328"/>
    <w:rsid w:val="008A77B6"/>
    <w:rsid w:val="008B00B6"/>
    <w:rsid w:val="008E5DD4"/>
    <w:rsid w:val="0091533B"/>
    <w:rsid w:val="0097118E"/>
    <w:rsid w:val="009816E1"/>
    <w:rsid w:val="009E6281"/>
    <w:rsid w:val="009E6301"/>
    <w:rsid w:val="009F6E7E"/>
    <w:rsid w:val="00A128DB"/>
    <w:rsid w:val="00A401CF"/>
    <w:rsid w:val="00A55726"/>
    <w:rsid w:val="00A77402"/>
    <w:rsid w:val="00A850F0"/>
    <w:rsid w:val="00A9633A"/>
    <w:rsid w:val="00AC09D5"/>
    <w:rsid w:val="00AC128A"/>
    <w:rsid w:val="00AD1B08"/>
    <w:rsid w:val="00AE6DD1"/>
    <w:rsid w:val="00AF1E71"/>
    <w:rsid w:val="00B03002"/>
    <w:rsid w:val="00B127E7"/>
    <w:rsid w:val="00B2578C"/>
    <w:rsid w:val="00B26BF4"/>
    <w:rsid w:val="00B66F16"/>
    <w:rsid w:val="00B7458B"/>
    <w:rsid w:val="00BA5A07"/>
    <w:rsid w:val="00BE1C09"/>
    <w:rsid w:val="00BF5AEB"/>
    <w:rsid w:val="00C063DE"/>
    <w:rsid w:val="00C23DF5"/>
    <w:rsid w:val="00C24040"/>
    <w:rsid w:val="00C24DF8"/>
    <w:rsid w:val="00C30753"/>
    <w:rsid w:val="00C33E9B"/>
    <w:rsid w:val="00C40562"/>
    <w:rsid w:val="00C535C9"/>
    <w:rsid w:val="00C63826"/>
    <w:rsid w:val="00CD1E1C"/>
    <w:rsid w:val="00CE449F"/>
    <w:rsid w:val="00CF4AC1"/>
    <w:rsid w:val="00D03964"/>
    <w:rsid w:val="00D156CE"/>
    <w:rsid w:val="00D63038"/>
    <w:rsid w:val="00D71501"/>
    <w:rsid w:val="00D84B30"/>
    <w:rsid w:val="00DA00C0"/>
    <w:rsid w:val="00DA792C"/>
    <w:rsid w:val="00DB1FEC"/>
    <w:rsid w:val="00DC7F11"/>
    <w:rsid w:val="00DD3D58"/>
    <w:rsid w:val="00DF21D0"/>
    <w:rsid w:val="00E337AC"/>
    <w:rsid w:val="00E40566"/>
    <w:rsid w:val="00E63D58"/>
    <w:rsid w:val="00E64021"/>
    <w:rsid w:val="00E73BDE"/>
    <w:rsid w:val="00E762BD"/>
    <w:rsid w:val="00F172EF"/>
    <w:rsid w:val="00F24B7F"/>
    <w:rsid w:val="00F258ED"/>
    <w:rsid w:val="00F5533C"/>
    <w:rsid w:val="00F5676D"/>
    <w:rsid w:val="00F60CA9"/>
    <w:rsid w:val="00FB6C01"/>
    <w:rsid w:val="00FC0488"/>
    <w:rsid w:val="00FC18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CBF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620"/>
    <w:pPr>
      <w:spacing w:after="200" w:line="480" w:lineRule="auto"/>
      <w:jc w:val="both"/>
    </w:pPr>
    <w:rPr>
      <w:rFonts w:ascii="Times New Roman" w:hAnsi="Times New Roman" w:cs="Times New Roman"/>
      <w:sz w:val="24"/>
    </w:rPr>
  </w:style>
  <w:style w:type="paragraph" w:styleId="Heading1">
    <w:name w:val="heading 1"/>
    <w:basedOn w:val="Normal"/>
    <w:next w:val="Normal"/>
    <w:link w:val="Heading1Char"/>
    <w:autoRedefine/>
    <w:uiPriority w:val="9"/>
    <w:qFormat/>
    <w:rsid w:val="00085E3F"/>
    <w:pPr>
      <w:keepNext/>
      <w:keepLines/>
      <w:spacing w:before="400" w:after="120"/>
      <w:outlineLvl w:val="0"/>
    </w:pPr>
    <w:rPr>
      <w:rFonts w:eastAsia="Arial" w:cs="Arial"/>
      <w:b/>
      <w:sz w:val="28"/>
      <w:szCs w:val="40"/>
    </w:rPr>
  </w:style>
  <w:style w:type="paragraph" w:styleId="Heading2">
    <w:name w:val="heading 2"/>
    <w:basedOn w:val="Normal"/>
    <w:next w:val="Normal"/>
    <w:link w:val="Heading2Char"/>
    <w:autoRedefine/>
    <w:uiPriority w:val="9"/>
    <w:qFormat/>
    <w:rsid w:val="00C063DE"/>
    <w:pPr>
      <w:keepNext/>
      <w:keepLines/>
      <w:spacing w:before="40" w:after="160"/>
      <w:outlineLvl w:val="1"/>
    </w:pPr>
    <w:rPr>
      <w:rFonts w:eastAsia="Arial" w:cstheme="minorBidi"/>
      <w:b/>
      <w:bCs/>
      <w:sz w:val="26"/>
      <w:szCs w:val="36"/>
    </w:rPr>
  </w:style>
  <w:style w:type="paragraph" w:styleId="Heading3">
    <w:name w:val="heading 3"/>
    <w:basedOn w:val="Normal"/>
    <w:next w:val="Normal"/>
    <w:link w:val="Heading3Char"/>
    <w:autoRedefine/>
    <w:uiPriority w:val="9"/>
    <w:unhideWhenUsed/>
    <w:qFormat/>
    <w:rsid w:val="00085E3F"/>
    <w:pPr>
      <w:keepNext/>
      <w:keepLines/>
      <w:spacing w:before="200"/>
      <w:outlineLvl w:val="2"/>
    </w:pPr>
    <w:rPr>
      <w:rFonts w:eastAsiaTheme="majorEastAsia" w:cstheme="majorBidi"/>
      <w:i/>
      <w:u w:val="single"/>
      <w:lang w:val=""/>
    </w:rPr>
  </w:style>
  <w:style w:type="paragraph" w:styleId="Heading4">
    <w:name w:val="heading 4"/>
    <w:basedOn w:val="Heading1"/>
    <w:next w:val="Heading1"/>
    <w:link w:val="Heading4Char"/>
    <w:autoRedefine/>
    <w:uiPriority w:val="9"/>
    <w:semiHidden/>
    <w:unhideWhenUsed/>
    <w:qFormat/>
    <w:rsid w:val="00B7458B"/>
    <w:pPr>
      <w:spacing w:before="40"/>
      <w:outlineLvl w:val="3"/>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0">
    <w:name w:val="heading2"/>
    <w:basedOn w:val="Normal"/>
    <w:link w:val="heading2Char0"/>
    <w:qFormat/>
    <w:rsid w:val="007973AC"/>
    <w:rPr>
      <w:b/>
      <w:bCs/>
      <w:sz w:val="26"/>
      <w:lang w:eastAsia="zh-CN" w:bidi="th-TH"/>
    </w:rPr>
  </w:style>
  <w:style w:type="character" w:customStyle="1" w:styleId="heading2Char0">
    <w:name w:val="heading2 Char"/>
    <w:basedOn w:val="DefaultParagraphFont"/>
    <w:link w:val="heading20"/>
    <w:rsid w:val="007973AC"/>
    <w:rPr>
      <w:rFonts w:ascii="Times New Roman" w:hAnsi="Times New Roman" w:cs="Arial"/>
      <w:b/>
      <w:bCs/>
      <w:sz w:val="26"/>
      <w:szCs w:val="24"/>
    </w:rPr>
  </w:style>
  <w:style w:type="character" w:customStyle="1" w:styleId="Heading3Char">
    <w:name w:val="Heading 3 Char"/>
    <w:basedOn w:val="DefaultParagraphFont"/>
    <w:link w:val="Heading3"/>
    <w:uiPriority w:val="9"/>
    <w:rsid w:val="00085E3F"/>
    <w:rPr>
      <w:rFonts w:ascii="Times New Roman" w:eastAsiaTheme="majorEastAsia" w:hAnsi="Times New Roman" w:cstheme="majorBidi"/>
      <w:i/>
      <w:sz w:val="24"/>
      <w:u w:val="single"/>
      <w:lang w:val=""/>
    </w:rPr>
  </w:style>
  <w:style w:type="character" w:customStyle="1" w:styleId="Heading2Char">
    <w:name w:val="Heading 2 Char"/>
    <w:basedOn w:val="DefaultParagraphFont"/>
    <w:link w:val="Heading2"/>
    <w:uiPriority w:val="9"/>
    <w:rsid w:val="00C063DE"/>
    <w:rPr>
      <w:rFonts w:ascii="Times New Roman" w:hAnsi="Times New Roman"/>
      <w:b/>
      <w:bCs/>
      <w:sz w:val="26"/>
      <w:szCs w:val="36"/>
    </w:rPr>
  </w:style>
  <w:style w:type="character" w:customStyle="1" w:styleId="Heading1Char">
    <w:name w:val="Heading 1 Char"/>
    <w:basedOn w:val="DefaultParagraphFont"/>
    <w:link w:val="Heading1"/>
    <w:uiPriority w:val="9"/>
    <w:rsid w:val="00085E3F"/>
    <w:rPr>
      <w:rFonts w:ascii="Times New Roman" w:eastAsia="Arial" w:hAnsi="Times New Roman" w:cs="Arial"/>
      <w:b/>
      <w:sz w:val="28"/>
      <w:szCs w:val="40"/>
    </w:rPr>
  </w:style>
  <w:style w:type="character" w:customStyle="1" w:styleId="Heading4Char">
    <w:name w:val="Heading 4 Char"/>
    <w:basedOn w:val="DefaultParagraphFont"/>
    <w:link w:val="Heading4"/>
    <w:uiPriority w:val="9"/>
    <w:semiHidden/>
    <w:rsid w:val="00B7458B"/>
    <w:rPr>
      <w:rFonts w:ascii="Times New Roman" w:eastAsiaTheme="majorEastAsia" w:hAnsi="Times New Roman" w:cstheme="majorBidi"/>
      <w:b/>
      <w:iCs/>
      <w:sz w:val="28"/>
      <w:szCs w:val="32"/>
    </w:rPr>
  </w:style>
  <w:style w:type="paragraph" w:customStyle="1" w:styleId="Heading21">
    <w:name w:val="Heading2"/>
    <w:basedOn w:val="Heading2"/>
    <w:link w:val="Heading2Char1"/>
    <w:autoRedefine/>
    <w:qFormat/>
    <w:rsid w:val="004752B8"/>
    <w:rPr>
      <w:rFonts w:eastAsia="Calibri"/>
      <w:bCs w:val="0"/>
    </w:rPr>
  </w:style>
  <w:style w:type="character" w:customStyle="1" w:styleId="Heading2Char1">
    <w:name w:val="Heading2 Char"/>
    <w:basedOn w:val="DefaultParagraphFont"/>
    <w:link w:val="Heading21"/>
    <w:rsid w:val="004752B8"/>
    <w:rPr>
      <w:rFonts w:ascii="Times New Roman" w:hAnsi="Times New Roman"/>
      <w:b/>
      <w:sz w:val="26"/>
      <w:szCs w:val="36"/>
    </w:rPr>
  </w:style>
  <w:style w:type="paragraph" w:customStyle="1" w:styleId="Heading10">
    <w:name w:val="Heading1"/>
    <w:basedOn w:val="Normal"/>
    <w:link w:val="Heading1Char0"/>
    <w:autoRedefine/>
    <w:qFormat/>
    <w:rsid w:val="004752B8"/>
    <w:pPr>
      <w:spacing w:after="0"/>
    </w:pPr>
    <w:rPr>
      <w:b/>
      <w:sz w:val="28"/>
      <w:lang w:eastAsia="en-GB"/>
    </w:rPr>
  </w:style>
  <w:style w:type="character" w:customStyle="1" w:styleId="Heading1Char0">
    <w:name w:val="Heading1 Char"/>
    <w:basedOn w:val="DefaultParagraphFont"/>
    <w:link w:val="Heading10"/>
    <w:rsid w:val="004752B8"/>
    <w:rPr>
      <w:rFonts w:ascii="Times New Roman" w:hAnsi="Times New Roman" w:cs="Times New Roman"/>
      <w:b/>
      <w:sz w:val="28"/>
      <w:lang w:eastAsia="en-GB"/>
    </w:rPr>
  </w:style>
  <w:style w:type="paragraph" w:styleId="Header">
    <w:name w:val="header"/>
    <w:basedOn w:val="Normal"/>
    <w:link w:val="HeaderChar"/>
    <w:uiPriority w:val="99"/>
    <w:unhideWhenUsed/>
    <w:rsid w:val="008E5D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DD4"/>
    <w:rPr>
      <w:rFonts w:ascii="Times New Roman" w:hAnsi="Times New Roman" w:cs="Times New Roman"/>
      <w:sz w:val="24"/>
    </w:rPr>
  </w:style>
  <w:style w:type="paragraph" w:styleId="Footer">
    <w:name w:val="footer"/>
    <w:basedOn w:val="Normal"/>
    <w:link w:val="FooterChar"/>
    <w:uiPriority w:val="99"/>
    <w:unhideWhenUsed/>
    <w:rsid w:val="008E5D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DD4"/>
    <w:rPr>
      <w:rFonts w:ascii="Times New Roman" w:hAnsi="Times New Roman" w:cs="Times New Roman"/>
      <w:sz w:val="24"/>
    </w:rPr>
  </w:style>
  <w:style w:type="paragraph" w:styleId="Bibliography">
    <w:name w:val="Bibliography"/>
    <w:basedOn w:val="Normal"/>
    <w:next w:val="Normal"/>
    <w:uiPriority w:val="37"/>
    <w:unhideWhenUsed/>
    <w:rsid w:val="00B03002"/>
  </w:style>
  <w:style w:type="character" w:styleId="Hyperlink">
    <w:name w:val="Hyperlink"/>
    <w:basedOn w:val="DefaultParagraphFont"/>
    <w:uiPriority w:val="99"/>
    <w:unhideWhenUsed/>
    <w:rsid w:val="00B03002"/>
    <w:rPr>
      <w:color w:val="0563C1" w:themeColor="hyperlink"/>
      <w:u w:val="single"/>
    </w:rPr>
  </w:style>
  <w:style w:type="character" w:styleId="UnresolvedMention">
    <w:name w:val="Unresolved Mention"/>
    <w:basedOn w:val="DefaultParagraphFont"/>
    <w:uiPriority w:val="99"/>
    <w:semiHidden/>
    <w:unhideWhenUsed/>
    <w:rsid w:val="00B03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Vict/24-25/100/contents" TargetMode="External"/><Relationship Id="rId3" Type="http://schemas.openxmlformats.org/officeDocument/2006/relationships/settings" Target="settings.xml"/><Relationship Id="rId7" Type="http://schemas.openxmlformats.org/officeDocument/2006/relationships/hyperlink" Target="https://www.cps.gov.uk/legal-guidance/offences-against-person-incorporating-charging-standar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CPS22</b:Tag>
    <b:SourceType>InternetSite</b:SourceType>
    <b:Guid>{62AA7E1A-8C99-457C-BC13-666E68FEADC4}</b:Guid>
    <b:Author>
      <b:Author>
        <b:Corporate>CPS</b:Corporate>
      </b:Author>
    </b:Author>
    <b:Title>Offences against the Person, incorporating the Charging Standard</b:Title>
    <b:Year>2022</b:Year>
    <b:YearAccessed>2023</b:YearAccessed>
    <b:MonthAccessed>6</b:MonthAccessed>
    <b:DayAccessed>16</b:DayAccessed>
    <b:URL>https://www.cps.gov.uk/legal-guidance/offences-against-person-incorporating-charging-standard</b:URL>
    <b:RefOrder>2</b:RefOrder>
  </b:Source>
  <b:Source>
    <b:Tag>Leg231</b:Tag>
    <b:SourceType>InternetSite</b:SourceType>
    <b:Guid>{4433C155-2F33-407D-8C12-C74C1BBDF029}</b:Guid>
    <b:Author>
      <b:Author>
        <b:Corporate>Legislation.gov.uk</b:Corporate>
      </b:Author>
    </b:Author>
    <b:Title>Offences against the Person Act 1861</b:Title>
    <b:Year>2023</b:Year>
    <b:YearAccessed>2023</b:YearAccessed>
    <b:MonthAccessed>6</b:MonthAccessed>
    <b:DayAccessed>16</b:DayAccessed>
    <b:URL>https://www.legislation.gov.uk/ukpga/Vict/24-25/100/contents#:~:text=Persons%20committing%20any%20common%20assault,may%20be%20imprisoned%20or%20fined.</b:URL>
    <b:RefOrder>1</b:RefOrder>
  </b:Source>
</b:Sources>
</file>

<file path=customXml/itemProps1.xml><?xml version="1.0" encoding="utf-8"?>
<ds:datastoreItem xmlns:ds="http://schemas.openxmlformats.org/officeDocument/2006/customXml" ds:itemID="{B4A86036-7725-47A0-8881-4C6AEA53C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2004</Words>
  <Characters>11427</Characters>
  <Application>Microsoft Office Word</Application>
  <DocSecurity>0</DocSecurity>
  <Lines>95</Lines>
  <Paragraphs>26</Paragraphs>
  <ScaleCrop>false</ScaleCrop>
  <Company/>
  <LinksUpToDate>false</LinksUpToDate>
  <CharactersWithSpaces>13405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2023-06-30T15:21:00Z</dcterms:created>
  <dcterms:modified xsi:type="dcterms:W3CDTF">2023-07-05T18:38:00Z</dcterms:modified>
</cp:coreProperties>
</file>