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B38155" w14:textId="77777777" w:rsidR="00B74EF4" w:rsidRDefault="00B74EF4" w:rsidP="00B74EF4">
      <w:pPr>
        <w:jc w:val="center"/>
        <w:rPr>
          <w:rFonts w:ascii="Segoe UI" w:hAnsi="Segoe UI" w:cs="Segoe UI"/>
          <w:b/>
          <w:bCs/>
          <w:sz w:val="24"/>
          <w:szCs w:val="24"/>
        </w:rPr>
      </w:pPr>
      <w:r w:rsidRPr="00B74EF4">
        <w:rPr>
          <w:rFonts w:ascii="Segoe UI" w:hAnsi="Segoe UI" w:cs="Segoe UI"/>
          <w:b/>
          <w:bCs/>
          <w:sz w:val="24"/>
          <w:szCs w:val="24"/>
        </w:rPr>
        <w:t>“To what extent has the Civil Contingencies Act [2004] and its accompanying statutory and non-statutory guidance transformed the landscape of emergency preparedness and civil protection in the United Kingdom?”</w:t>
      </w:r>
    </w:p>
    <w:p w14:paraId="09F7BEDE" w14:textId="77777777" w:rsidR="00635A69" w:rsidRPr="00B15F81" w:rsidRDefault="00635A69" w:rsidP="00B15F81">
      <w:pPr>
        <w:pStyle w:val="NormalWeb"/>
        <w:shd w:val="clear" w:color="auto" w:fill="FFFFFF"/>
        <w:spacing w:before="0" w:beforeAutospacing="0" w:after="0" w:afterAutospacing="0"/>
        <w:rPr>
          <w:rFonts w:ascii="Roboto" w:hAnsi="Roboto"/>
          <w:color w:val="283041"/>
          <w:sz w:val="21"/>
          <w:szCs w:val="21"/>
          <w:highlight w:val="yellow"/>
        </w:rPr>
      </w:pPr>
    </w:p>
    <w:p w14:paraId="0F9074D9" w14:textId="61D85517" w:rsidR="00B15F81" w:rsidRPr="003D70EF" w:rsidRDefault="007F0F95" w:rsidP="007F0F95">
      <w:pPr>
        <w:rPr>
          <w:rFonts w:ascii="Segoe UI" w:hAnsi="Segoe UI" w:cs="Segoe UI"/>
          <w:b/>
          <w:bCs/>
          <w:sz w:val="24"/>
          <w:szCs w:val="24"/>
          <w:u w:val="single"/>
        </w:rPr>
      </w:pPr>
      <w:r w:rsidRPr="003D70EF">
        <w:rPr>
          <w:rFonts w:ascii="Segoe UI" w:hAnsi="Segoe UI" w:cs="Segoe UI"/>
          <w:b/>
          <w:bCs/>
          <w:sz w:val="24"/>
          <w:szCs w:val="24"/>
          <w:u w:val="single"/>
        </w:rPr>
        <w:t>Introduction</w:t>
      </w:r>
    </w:p>
    <w:p w14:paraId="13D8A85E" w14:textId="77777777" w:rsidR="00BC3747" w:rsidRPr="00B74EF4" w:rsidRDefault="00BC3747" w:rsidP="00BC3747">
      <w:pPr>
        <w:rPr>
          <w:rFonts w:ascii="Segoe UI" w:hAnsi="Segoe UI" w:cs="Segoe UI"/>
          <w:sz w:val="24"/>
          <w:szCs w:val="24"/>
        </w:rPr>
      </w:pPr>
      <w:r w:rsidRPr="00B74EF4">
        <w:rPr>
          <w:rFonts w:ascii="Segoe UI" w:hAnsi="Segoe UI" w:cs="Segoe UI"/>
          <w:sz w:val="24"/>
          <w:szCs w:val="24"/>
        </w:rPr>
        <w:t xml:space="preserve">“Disasters are as old as mankind” (Barell J, 2006). We know that an emergency or disaster occurring is only a matter of time, no amount of planning or mitigation </w:t>
      </w:r>
      <w:proofErr w:type="gramStart"/>
      <w:r w:rsidRPr="00B74EF4">
        <w:rPr>
          <w:rFonts w:ascii="Segoe UI" w:hAnsi="Segoe UI" w:cs="Segoe UI"/>
          <w:sz w:val="24"/>
          <w:szCs w:val="24"/>
        </w:rPr>
        <w:t>is able to</w:t>
      </w:r>
      <w:proofErr w:type="gramEnd"/>
      <w:r w:rsidRPr="00B74EF4">
        <w:rPr>
          <w:rFonts w:ascii="Segoe UI" w:hAnsi="Segoe UI" w:cs="Segoe UI"/>
          <w:sz w:val="24"/>
          <w:szCs w:val="24"/>
        </w:rPr>
        <w:t xml:space="preserve"> fully remove every risk or threat that presents itself. As such, it is imperative that all organisations that could be involved in the response and recovery to such incidents embed emergency planning, response and recovery into their organisational plans and structures as well as immersing themselves effectively and consistently into multiagency co-ordination. </w:t>
      </w:r>
    </w:p>
    <w:p w14:paraId="44A51E85" w14:textId="1AC4E2EF" w:rsidR="00DD257D" w:rsidRDefault="00B74EF4" w:rsidP="00B74EF4">
      <w:pPr>
        <w:rPr>
          <w:rFonts w:ascii="Segoe UI" w:hAnsi="Segoe UI" w:cs="Segoe UI"/>
          <w:sz w:val="24"/>
          <w:szCs w:val="24"/>
        </w:rPr>
      </w:pPr>
      <w:r w:rsidRPr="00B74EF4">
        <w:rPr>
          <w:rFonts w:ascii="Segoe UI" w:hAnsi="Segoe UI" w:cs="Segoe UI"/>
          <w:sz w:val="24"/>
          <w:szCs w:val="24"/>
        </w:rPr>
        <w:t xml:space="preserve">The Civil Contingencies Act 2004 (Cabinet Office, 2004) and its accompanying statutory and non-statutory guidance has unquestionably changed the landscape of emergency preparedness and civil protection within the United Kingdom, by transforming outdated legislation into guidance and processes which were more suited to the threats the country faced at the time. </w:t>
      </w:r>
      <w:r w:rsidR="00795A26">
        <w:rPr>
          <w:rFonts w:ascii="Segoe UI" w:hAnsi="Segoe UI" w:cs="Segoe UI"/>
          <w:sz w:val="24"/>
          <w:szCs w:val="24"/>
        </w:rPr>
        <w:t>One</w:t>
      </w:r>
      <w:r w:rsidR="00CF66C4">
        <w:rPr>
          <w:rFonts w:ascii="Segoe UI" w:hAnsi="Segoe UI" w:cs="Segoe UI"/>
          <w:sz w:val="24"/>
          <w:szCs w:val="24"/>
        </w:rPr>
        <w:t xml:space="preserve"> example of these changes is that the legislation replaced </w:t>
      </w:r>
      <w:r w:rsidR="00D0105F">
        <w:rPr>
          <w:rFonts w:ascii="Segoe UI" w:hAnsi="Segoe UI" w:cs="Segoe UI"/>
          <w:sz w:val="24"/>
          <w:szCs w:val="24"/>
        </w:rPr>
        <w:t xml:space="preserve">by the CCA 2004 </w:t>
      </w:r>
      <w:r w:rsidR="00CF66C4">
        <w:rPr>
          <w:rFonts w:ascii="Segoe UI" w:hAnsi="Segoe UI" w:cs="Segoe UI"/>
          <w:sz w:val="24"/>
          <w:szCs w:val="24"/>
        </w:rPr>
        <w:t xml:space="preserve">applied to a limited scope of organisations, the CCA 2004 encompasses a much broader range of responding organisations. </w:t>
      </w:r>
    </w:p>
    <w:p w14:paraId="030CE72E" w14:textId="40BD269B" w:rsidR="00B74EF4" w:rsidRPr="00B74EF4" w:rsidRDefault="00B74EF4" w:rsidP="00B74EF4">
      <w:pPr>
        <w:rPr>
          <w:rFonts w:ascii="Segoe UI" w:hAnsi="Segoe UI" w:cs="Segoe UI"/>
          <w:sz w:val="24"/>
          <w:szCs w:val="24"/>
        </w:rPr>
      </w:pPr>
      <w:r w:rsidRPr="00B74EF4">
        <w:rPr>
          <w:rFonts w:ascii="Segoe UI" w:hAnsi="Segoe UI" w:cs="Segoe UI"/>
          <w:sz w:val="24"/>
          <w:szCs w:val="24"/>
        </w:rPr>
        <w:t>“It has been 20 years since the string of major emergencies in 2000/01 triggered the fundamental transformation of the UK’s civil-protection arrangements” (The National Preparedness Commission, 2022) and so the question remains, is the Civil Contingencies Act 2004 and its accompanying guidance still fit for purpose given the evolving threats and risks seen within the Emergency Preparedness and Civil Protection landscape of the United Kingdom over twenty years on from its implementation?</w:t>
      </w:r>
    </w:p>
    <w:p w14:paraId="1D4C472D" w14:textId="0F2618CF" w:rsidR="00B74EF4" w:rsidRPr="00B74EF4" w:rsidRDefault="00B74EF4" w:rsidP="00B74EF4">
      <w:pPr>
        <w:rPr>
          <w:rFonts w:ascii="Segoe UI" w:hAnsi="Segoe UI" w:cs="Segoe UI"/>
          <w:sz w:val="24"/>
          <w:szCs w:val="24"/>
        </w:rPr>
      </w:pPr>
      <w:r w:rsidRPr="00B74EF4">
        <w:rPr>
          <w:rFonts w:ascii="Segoe UI" w:hAnsi="Segoe UI" w:cs="Segoe UI"/>
          <w:sz w:val="24"/>
          <w:szCs w:val="24"/>
        </w:rPr>
        <w:t>Th</w:t>
      </w:r>
      <w:r w:rsidR="00C34EB7">
        <w:rPr>
          <w:rFonts w:ascii="Segoe UI" w:hAnsi="Segoe UI" w:cs="Segoe UI"/>
          <w:sz w:val="24"/>
          <w:szCs w:val="24"/>
        </w:rPr>
        <w:t>is</w:t>
      </w:r>
      <w:r w:rsidR="00CE4A24">
        <w:rPr>
          <w:rFonts w:ascii="Segoe UI" w:hAnsi="Segoe UI" w:cs="Segoe UI"/>
          <w:sz w:val="24"/>
          <w:szCs w:val="24"/>
        </w:rPr>
        <w:t xml:space="preserve"> assignment will review various</w:t>
      </w:r>
      <w:r w:rsidRPr="00B74EF4">
        <w:rPr>
          <w:rFonts w:ascii="Segoe UI" w:hAnsi="Segoe UI" w:cs="Segoe UI"/>
          <w:sz w:val="24"/>
          <w:szCs w:val="24"/>
        </w:rPr>
        <w:t xml:space="preserve"> </w:t>
      </w:r>
      <w:r w:rsidR="00C34EB7" w:rsidRPr="00B74EF4">
        <w:rPr>
          <w:rFonts w:ascii="Segoe UI" w:hAnsi="Segoe UI" w:cs="Segoe UI"/>
          <w:sz w:val="24"/>
          <w:szCs w:val="24"/>
        </w:rPr>
        <w:t xml:space="preserve">evidence </w:t>
      </w:r>
      <w:proofErr w:type="gramStart"/>
      <w:r w:rsidR="00C34EB7">
        <w:rPr>
          <w:rFonts w:ascii="Segoe UI" w:hAnsi="Segoe UI" w:cs="Segoe UI"/>
          <w:sz w:val="24"/>
          <w:szCs w:val="24"/>
        </w:rPr>
        <w:t>in order to</w:t>
      </w:r>
      <w:proofErr w:type="gramEnd"/>
      <w:r w:rsidR="00C34EB7">
        <w:rPr>
          <w:rFonts w:ascii="Segoe UI" w:hAnsi="Segoe UI" w:cs="Segoe UI"/>
          <w:sz w:val="24"/>
          <w:szCs w:val="24"/>
        </w:rPr>
        <w:t xml:space="preserve"> </w:t>
      </w:r>
      <w:r w:rsidRPr="00B74EF4">
        <w:rPr>
          <w:rFonts w:ascii="Segoe UI" w:hAnsi="Segoe UI" w:cs="Segoe UI"/>
          <w:sz w:val="24"/>
          <w:szCs w:val="24"/>
        </w:rPr>
        <w:t xml:space="preserve">determine how effective the Civil Contingencies Act 2004 </w:t>
      </w:r>
      <w:r w:rsidR="00756D77">
        <w:rPr>
          <w:rFonts w:ascii="Segoe UI" w:hAnsi="Segoe UI" w:cs="Segoe UI"/>
          <w:sz w:val="24"/>
          <w:szCs w:val="24"/>
        </w:rPr>
        <w:t xml:space="preserve">(CCA 2004) </w:t>
      </w:r>
      <w:r w:rsidRPr="00B74EF4">
        <w:rPr>
          <w:rFonts w:ascii="Segoe UI" w:hAnsi="Segoe UI" w:cs="Segoe UI"/>
          <w:sz w:val="24"/>
          <w:szCs w:val="24"/>
        </w:rPr>
        <w:t>is, in enabling interagency co-ordination and co-operation between all relevant organisations.</w:t>
      </w:r>
      <w:r w:rsidR="00775409">
        <w:rPr>
          <w:rFonts w:ascii="Segoe UI" w:hAnsi="Segoe UI" w:cs="Segoe UI"/>
          <w:sz w:val="24"/>
          <w:szCs w:val="24"/>
        </w:rPr>
        <w:t xml:space="preserve"> </w:t>
      </w:r>
    </w:p>
    <w:p w14:paraId="663574C8" w14:textId="77777777" w:rsidR="0050310D" w:rsidRDefault="00EB266F" w:rsidP="00B74EF4">
      <w:pPr>
        <w:rPr>
          <w:rFonts w:ascii="Segoe UI" w:hAnsi="Segoe UI" w:cs="Segoe UI"/>
          <w:sz w:val="24"/>
          <w:szCs w:val="24"/>
        </w:rPr>
      </w:pPr>
      <w:r>
        <w:rPr>
          <w:rFonts w:ascii="Segoe UI" w:hAnsi="Segoe UI" w:cs="Segoe UI"/>
          <w:sz w:val="24"/>
          <w:szCs w:val="24"/>
        </w:rPr>
        <w:t xml:space="preserve">This will be done by </w:t>
      </w:r>
      <w:r w:rsidR="00B74EF4" w:rsidRPr="00B74EF4">
        <w:rPr>
          <w:rFonts w:ascii="Segoe UI" w:hAnsi="Segoe UI" w:cs="Segoe UI"/>
          <w:sz w:val="24"/>
          <w:szCs w:val="24"/>
        </w:rPr>
        <w:t>explor</w:t>
      </w:r>
      <w:r>
        <w:rPr>
          <w:rFonts w:ascii="Segoe UI" w:hAnsi="Segoe UI" w:cs="Segoe UI"/>
          <w:sz w:val="24"/>
          <w:szCs w:val="24"/>
        </w:rPr>
        <w:t>ing</w:t>
      </w:r>
      <w:r w:rsidR="00B74EF4" w:rsidRPr="00B74EF4">
        <w:rPr>
          <w:rFonts w:ascii="Segoe UI" w:hAnsi="Segoe UI" w:cs="Segoe UI"/>
          <w:sz w:val="24"/>
          <w:szCs w:val="24"/>
        </w:rPr>
        <w:t xml:space="preserve"> the historic legislation replaced by the Civil Contingencies Act 2004 and the key drivers leading to the requirement for the Act to be introduced. </w:t>
      </w:r>
    </w:p>
    <w:p w14:paraId="4119EAAB" w14:textId="1F7F4196" w:rsidR="00FB2D4E" w:rsidRDefault="00A9352A" w:rsidP="00B74EF4">
      <w:pPr>
        <w:rPr>
          <w:rFonts w:ascii="Segoe UI" w:hAnsi="Segoe UI" w:cs="Segoe UI"/>
          <w:sz w:val="24"/>
          <w:szCs w:val="24"/>
        </w:rPr>
      </w:pPr>
      <w:r>
        <w:rPr>
          <w:rFonts w:ascii="Segoe UI" w:hAnsi="Segoe UI" w:cs="Segoe UI"/>
          <w:sz w:val="24"/>
          <w:szCs w:val="24"/>
        </w:rPr>
        <w:t>The assignment will</w:t>
      </w:r>
      <w:r w:rsidR="00B74EF4" w:rsidRPr="00B74EF4">
        <w:rPr>
          <w:rFonts w:ascii="Segoe UI" w:hAnsi="Segoe UI" w:cs="Segoe UI"/>
          <w:sz w:val="24"/>
          <w:szCs w:val="24"/>
        </w:rPr>
        <w:t xml:space="preserve"> discuss various changes brought in by the </w:t>
      </w:r>
      <w:r w:rsidR="00780C8A">
        <w:rPr>
          <w:rFonts w:ascii="Segoe UI" w:hAnsi="Segoe UI" w:cs="Segoe UI"/>
          <w:sz w:val="24"/>
          <w:szCs w:val="24"/>
        </w:rPr>
        <w:t>Civil Contingencies Act 2004</w:t>
      </w:r>
      <w:r w:rsidR="00B74EF4" w:rsidRPr="00B74EF4">
        <w:rPr>
          <w:rFonts w:ascii="Segoe UI" w:hAnsi="Segoe UI" w:cs="Segoe UI"/>
          <w:sz w:val="24"/>
          <w:szCs w:val="24"/>
        </w:rPr>
        <w:t xml:space="preserve">, review the challenges and limitations that organisations and statutory bodies involved in emergency preparedness and civil protection are facing in 2025 and evidence the extent to which the </w:t>
      </w:r>
      <w:r w:rsidR="004515B3">
        <w:rPr>
          <w:rFonts w:ascii="Segoe UI" w:hAnsi="Segoe UI" w:cs="Segoe UI"/>
          <w:sz w:val="24"/>
          <w:szCs w:val="24"/>
        </w:rPr>
        <w:t>Civil Contingencies Act 2004</w:t>
      </w:r>
      <w:r w:rsidR="00B74EF4" w:rsidRPr="00B74EF4">
        <w:rPr>
          <w:rFonts w:ascii="Segoe UI" w:hAnsi="Segoe UI" w:cs="Segoe UI"/>
          <w:sz w:val="24"/>
          <w:szCs w:val="24"/>
        </w:rPr>
        <w:t xml:space="preserve"> and its </w:t>
      </w:r>
      <w:r w:rsidR="00B74EF4" w:rsidRPr="00B74EF4">
        <w:rPr>
          <w:rFonts w:ascii="Segoe UI" w:hAnsi="Segoe UI" w:cs="Segoe UI"/>
          <w:sz w:val="24"/>
          <w:szCs w:val="24"/>
        </w:rPr>
        <w:lastRenderedPageBreak/>
        <w:t>accompanying guidance has transformed the landscape of emergency preparedness and civil protection in the United Kingdom</w:t>
      </w:r>
      <w:r w:rsidR="0050310D">
        <w:rPr>
          <w:rFonts w:ascii="Segoe UI" w:hAnsi="Segoe UI" w:cs="Segoe UI"/>
          <w:sz w:val="24"/>
          <w:szCs w:val="24"/>
        </w:rPr>
        <w:t xml:space="preserve"> in order to support the assertion that it has indeed transformed the landscape.</w:t>
      </w:r>
    </w:p>
    <w:p w14:paraId="12FE8381" w14:textId="77777777" w:rsidR="003E4EAE" w:rsidRDefault="003E4EAE" w:rsidP="00B74EF4">
      <w:pPr>
        <w:rPr>
          <w:rFonts w:ascii="Segoe UI" w:hAnsi="Segoe UI" w:cs="Segoe UI"/>
          <w:sz w:val="24"/>
          <w:szCs w:val="24"/>
        </w:rPr>
      </w:pPr>
    </w:p>
    <w:p w14:paraId="054A6660" w14:textId="397144DC" w:rsidR="00FB2D4E" w:rsidRPr="00044076" w:rsidRDefault="00FB2D4E" w:rsidP="00B74EF4">
      <w:pPr>
        <w:rPr>
          <w:rFonts w:ascii="Segoe UI" w:hAnsi="Segoe UI" w:cs="Segoe UI"/>
          <w:sz w:val="24"/>
          <w:szCs w:val="24"/>
          <w:u w:val="single"/>
        </w:rPr>
      </w:pPr>
      <w:r w:rsidRPr="00044076">
        <w:rPr>
          <w:rFonts w:ascii="Segoe UI" w:hAnsi="Segoe UI" w:cs="Segoe UI"/>
          <w:sz w:val="24"/>
          <w:szCs w:val="24"/>
          <w:u w:val="single"/>
        </w:rPr>
        <w:t>Main Body</w:t>
      </w:r>
    </w:p>
    <w:p w14:paraId="67D919EE" w14:textId="77777777" w:rsidR="003E4EAE" w:rsidRPr="00044076" w:rsidRDefault="00B14AFA" w:rsidP="00856D89">
      <w:pPr>
        <w:spacing w:before="100" w:beforeAutospacing="1" w:after="100" w:afterAutospacing="1" w:line="240" w:lineRule="auto"/>
        <w:rPr>
          <w:rFonts w:ascii="Segoe UI" w:eastAsia="Times New Roman" w:hAnsi="Segoe UI" w:cs="Segoe UI"/>
          <w:b/>
          <w:bCs/>
          <w:color w:val="283041"/>
          <w:kern w:val="0"/>
          <w:sz w:val="24"/>
          <w:szCs w:val="24"/>
          <w:u w:val="single"/>
          <w:shd w:val="clear" w:color="auto" w:fill="FFFFFF"/>
          <w:lang w:eastAsia="en-GB"/>
          <w14:ligatures w14:val="none"/>
        </w:rPr>
      </w:pPr>
      <w:r w:rsidRPr="00044076">
        <w:rPr>
          <w:rFonts w:ascii="Segoe UI" w:eastAsia="Times New Roman" w:hAnsi="Segoe UI" w:cs="Segoe UI"/>
          <w:b/>
          <w:bCs/>
          <w:color w:val="283041"/>
          <w:kern w:val="0"/>
          <w:sz w:val="24"/>
          <w:szCs w:val="24"/>
          <w:u w:val="single"/>
          <w:shd w:val="clear" w:color="auto" w:fill="FFFFFF"/>
          <w:lang w:eastAsia="en-GB"/>
          <w14:ligatures w14:val="none"/>
        </w:rPr>
        <w:t>Why was the Civil Contingencies Act 2004 introduced?</w:t>
      </w:r>
    </w:p>
    <w:p w14:paraId="20D51F5B" w14:textId="13866F29" w:rsidR="00B74EF4" w:rsidRPr="00856D89" w:rsidRDefault="00B74EF4" w:rsidP="00856D89">
      <w:pPr>
        <w:spacing w:before="100" w:beforeAutospacing="1" w:after="100" w:afterAutospacing="1" w:line="240" w:lineRule="auto"/>
        <w:rPr>
          <w:rFonts w:ascii="Arial" w:eastAsia="Times New Roman" w:hAnsi="Arial" w:cs="Arial"/>
          <w:b/>
          <w:bCs/>
          <w:kern w:val="0"/>
          <w:sz w:val="28"/>
          <w:szCs w:val="28"/>
          <w:u w:val="single"/>
          <w:lang w:eastAsia="en-GB"/>
          <w14:ligatures w14:val="none"/>
        </w:rPr>
      </w:pPr>
      <w:r w:rsidRPr="00B74EF4">
        <w:rPr>
          <w:rFonts w:ascii="Segoe UI" w:hAnsi="Segoe UI" w:cs="Segoe UI"/>
          <w:sz w:val="24"/>
          <w:szCs w:val="24"/>
        </w:rPr>
        <w:t>The Civil Contingencies Act 2004, Cabinet Office (2004) was introduced following a review of emergency planning arrangements in the UK by the then Labour Government.  It received Royal Ascent on 18</w:t>
      </w:r>
      <w:r w:rsidR="003E4EAE" w:rsidRPr="003E4EAE">
        <w:rPr>
          <w:rFonts w:ascii="Segoe UI" w:hAnsi="Segoe UI" w:cs="Segoe UI"/>
          <w:sz w:val="24"/>
          <w:szCs w:val="24"/>
          <w:vertAlign w:val="superscript"/>
        </w:rPr>
        <w:t>th</w:t>
      </w:r>
      <w:r w:rsidR="003E4EAE">
        <w:rPr>
          <w:rFonts w:ascii="Segoe UI" w:hAnsi="Segoe UI" w:cs="Segoe UI"/>
          <w:sz w:val="24"/>
          <w:szCs w:val="24"/>
        </w:rPr>
        <w:t xml:space="preserve"> </w:t>
      </w:r>
      <w:r w:rsidRPr="00B74EF4">
        <w:rPr>
          <w:rFonts w:ascii="Segoe UI" w:hAnsi="Segoe UI" w:cs="Segoe UI"/>
          <w:sz w:val="24"/>
          <w:szCs w:val="24"/>
        </w:rPr>
        <w:t>November 2004 and provided a new fit for purpose civil protection framework for the United Kingdom, capable of dealing with the threats and risks that were present at the beginning of the 21</w:t>
      </w:r>
      <w:r w:rsidRPr="00B74EF4">
        <w:rPr>
          <w:rFonts w:ascii="Segoe UI" w:hAnsi="Segoe UI" w:cs="Segoe UI"/>
          <w:sz w:val="24"/>
          <w:szCs w:val="24"/>
          <w:vertAlign w:val="superscript"/>
        </w:rPr>
        <w:t>st</w:t>
      </w:r>
      <w:r w:rsidRPr="00B74EF4">
        <w:rPr>
          <w:rFonts w:ascii="Segoe UI" w:hAnsi="Segoe UI" w:cs="Segoe UI"/>
          <w:sz w:val="24"/>
          <w:szCs w:val="24"/>
        </w:rPr>
        <w:t xml:space="preserve"> century.</w:t>
      </w:r>
    </w:p>
    <w:p w14:paraId="2B20BD0D" w14:textId="77777777" w:rsidR="00B74EF4" w:rsidRPr="00B74EF4" w:rsidRDefault="00B74EF4" w:rsidP="00B74EF4">
      <w:pPr>
        <w:rPr>
          <w:rFonts w:ascii="Segoe UI" w:hAnsi="Segoe UI" w:cs="Segoe UI"/>
          <w:sz w:val="24"/>
          <w:szCs w:val="24"/>
        </w:rPr>
      </w:pPr>
      <w:r w:rsidRPr="00B74EF4">
        <w:rPr>
          <w:rFonts w:ascii="Segoe UI" w:hAnsi="Segoe UI" w:cs="Segoe UI"/>
          <w:sz w:val="24"/>
          <w:szCs w:val="24"/>
        </w:rPr>
        <w:t xml:space="preserve">It could be argued that the historical presentation of major incidents that impacted the UK in the 1980’s and 1990’s </w:t>
      </w:r>
      <w:proofErr w:type="gramStart"/>
      <w:r w:rsidRPr="00B74EF4">
        <w:rPr>
          <w:rFonts w:ascii="Segoe UI" w:hAnsi="Segoe UI" w:cs="Segoe UI"/>
          <w:sz w:val="24"/>
          <w:szCs w:val="24"/>
        </w:rPr>
        <w:t>were</w:t>
      </w:r>
      <w:proofErr w:type="gramEnd"/>
      <w:r w:rsidRPr="00B74EF4">
        <w:rPr>
          <w:rFonts w:ascii="Segoe UI" w:hAnsi="Segoe UI" w:cs="Segoe UI"/>
          <w:sz w:val="24"/>
          <w:szCs w:val="24"/>
        </w:rPr>
        <w:t xml:space="preserve"> changing at the turn of the century, with new threats and risks materialising.</w:t>
      </w:r>
    </w:p>
    <w:p w14:paraId="22017125" w14:textId="77777777" w:rsidR="00B74EF4" w:rsidRPr="00B74EF4" w:rsidRDefault="00B74EF4" w:rsidP="00B74EF4">
      <w:pPr>
        <w:rPr>
          <w:rFonts w:ascii="Segoe UI" w:hAnsi="Segoe UI" w:cs="Segoe UI"/>
          <w:sz w:val="24"/>
          <w:szCs w:val="24"/>
        </w:rPr>
      </w:pPr>
      <w:r w:rsidRPr="00B74EF4">
        <w:rPr>
          <w:rFonts w:ascii="Segoe UI" w:hAnsi="Segoe UI" w:cs="Segoe UI"/>
          <w:sz w:val="24"/>
          <w:szCs w:val="24"/>
        </w:rPr>
        <w:t>Pollock (2013) highlighted the different presentations of major incidents, which included the Bradford Football Stadium Fire in 1985, Hillsborough Crowd Crush in 1989, Lockerbie Bombing in 1988 and the Clapham Rail incident in 1988.  In the 1990’s, the UK experienced the Dunblane shootings in 1996, Southall rail crash in 1997 and the Ladbroke Grove rail crash in 1999.</w:t>
      </w:r>
    </w:p>
    <w:p w14:paraId="2C5E4E9E" w14:textId="50197778" w:rsidR="00B74EF4" w:rsidRPr="00B74EF4" w:rsidRDefault="00B74EF4" w:rsidP="00B74EF4">
      <w:pPr>
        <w:rPr>
          <w:rFonts w:ascii="Segoe UI" w:hAnsi="Segoe UI" w:cs="Segoe UI"/>
          <w:sz w:val="24"/>
          <w:szCs w:val="24"/>
        </w:rPr>
      </w:pPr>
      <w:r w:rsidRPr="00B74EF4">
        <w:rPr>
          <w:rFonts w:ascii="Segoe UI" w:hAnsi="Segoe UI" w:cs="Segoe UI"/>
          <w:sz w:val="24"/>
          <w:szCs w:val="24"/>
        </w:rPr>
        <w:t>At the turn of the century, the UK faced a turbulent time, with the country having faced a fuel dispute (and shortages), severe flooding in 2000, the outbreak of Foot and Mouth Disease in 2001 and the Firefighter strikes of 2002 and 2003. In addition to this, the world was still reeling from events such as the series of co-ordinated Terrorist Attacks in the United States on 11</w:t>
      </w:r>
      <w:r w:rsidRPr="00B74EF4">
        <w:rPr>
          <w:rFonts w:ascii="Segoe UI" w:hAnsi="Segoe UI" w:cs="Segoe UI"/>
          <w:sz w:val="24"/>
          <w:szCs w:val="24"/>
          <w:vertAlign w:val="superscript"/>
        </w:rPr>
        <w:t>th</w:t>
      </w:r>
      <w:r w:rsidRPr="00B74EF4">
        <w:rPr>
          <w:rFonts w:ascii="Segoe UI" w:hAnsi="Segoe UI" w:cs="Segoe UI"/>
          <w:sz w:val="24"/>
          <w:szCs w:val="24"/>
        </w:rPr>
        <w:t xml:space="preserve"> September 2001, the likes of which highlighted the changes in the type of emergencies being faced worldwide, these could be viewed as new threats and risks facing the UK, which were manifestly different to those seen in the previous two decades.</w:t>
      </w:r>
    </w:p>
    <w:p w14:paraId="38FAC363" w14:textId="39D5E1FF" w:rsidR="00B74EF4" w:rsidRPr="00B74EF4" w:rsidRDefault="00B74EF4" w:rsidP="00B74EF4">
      <w:pPr>
        <w:rPr>
          <w:rFonts w:ascii="Segoe UI" w:hAnsi="Segoe UI" w:cs="Segoe UI"/>
          <w:sz w:val="24"/>
          <w:szCs w:val="24"/>
        </w:rPr>
      </w:pPr>
      <w:r w:rsidRPr="00B74EF4">
        <w:rPr>
          <w:rFonts w:ascii="Segoe UI" w:hAnsi="Segoe UI" w:cs="Segoe UI"/>
          <w:sz w:val="24"/>
          <w:szCs w:val="24"/>
        </w:rPr>
        <w:t xml:space="preserve">The </w:t>
      </w:r>
      <w:r w:rsidR="000B4CE1">
        <w:rPr>
          <w:rFonts w:ascii="Segoe UI" w:hAnsi="Segoe UI" w:cs="Segoe UI"/>
          <w:sz w:val="24"/>
          <w:szCs w:val="24"/>
        </w:rPr>
        <w:t xml:space="preserve">Civil Contingencies </w:t>
      </w:r>
      <w:r w:rsidRPr="00B74EF4">
        <w:rPr>
          <w:rFonts w:ascii="Segoe UI" w:hAnsi="Segoe UI" w:cs="Segoe UI"/>
          <w:sz w:val="24"/>
          <w:szCs w:val="24"/>
        </w:rPr>
        <w:t xml:space="preserve">Act </w:t>
      </w:r>
      <w:r w:rsidR="000B4CE1">
        <w:rPr>
          <w:rFonts w:ascii="Segoe UI" w:hAnsi="Segoe UI" w:cs="Segoe UI"/>
          <w:sz w:val="24"/>
          <w:szCs w:val="24"/>
        </w:rPr>
        <w:t xml:space="preserve">2004 </w:t>
      </w:r>
      <w:r w:rsidRPr="00B74EF4">
        <w:rPr>
          <w:rFonts w:ascii="Segoe UI" w:hAnsi="Segoe UI" w:cs="Segoe UI"/>
          <w:sz w:val="24"/>
          <w:szCs w:val="24"/>
        </w:rPr>
        <w:t>replaced two key pieces of outdated legislation within the UK.  The Emergency Powers Act 1920, UK Government (1920) and the Civil Defence Act 1948, UK Government (1948). Upon repeal of the old legislation and the introduction of the CCA 2004, Government responsibility for emergency planning passed to the Cabinet Office from the Home Office.</w:t>
      </w:r>
    </w:p>
    <w:p w14:paraId="07268B74" w14:textId="77777777" w:rsidR="00B74EF4" w:rsidRPr="00B74EF4" w:rsidRDefault="00B74EF4" w:rsidP="00B74EF4">
      <w:pPr>
        <w:rPr>
          <w:rFonts w:ascii="Segoe UI" w:hAnsi="Segoe UI" w:cs="Segoe UI"/>
          <w:sz w:val="24"/>
          <w:szCs w:val="24"/>
        </w:rPr>
      </w:pPr>
      <w:r w:rsidRPr="00B74EF4">
        <w:rPr>
          <w:rFonts w:ascii="Segoe UI" w:hAnsi="Segoe UI" w:cs="Segoe UI"/>
          <w:sz w:val="24"/>
          <w:szCs w:val="24"/>
        </w:rPr>
        <w:t xml:space="preserve">The National Audit Office (2025) states “Cabinet Office performs various strategic and coordinating functions – in particular, overseeing how departments implement Cabinet decisions and the Prime Minister’s priorities”.  It could be argued that this </w:t>
      </w:r>
      <w:r w:rsidRPr="00B74EF4">
        <w:rPr>
          <w:rFonts w:ascii="Segoe UI" w:hAnsi="Segoe UI" w:cs="Segoe UI"/>
          <w:sz w:val="24"/>
          <w:szCs w:val="24"/>
        </w:rPr>
        <w:lastRenderedPageBreak/>
        <w:t>transfer of responsibilities for emergency planning legislation enables the provision of greater visibility and oversight from the Government.</w:t>
      </w:r>
    </w:p>
    <w:p w14:paraId="6CC0967D" w14:textId="4E618E3D" w:rsidR="00B74EF4" w:rsidRPr="00B74EF4" w:rsidRDefault="00B74EF4" w:rsidP="00B74EF4">
      <w:pPr>
        <w:rPr>
          <w:rFonts w:ascii="Segoe UI" w:hAnsi="Segoe UI" w:cs="Segoe UI"/>
          <w:sz w:val="24"/>
          <w:szCs w:val="24"/>
        </w:rPr>
      </w:pPr>
      <w:r w:rsidRPr="00B74EF4">
        <w:rPr>
          <w:rFonts w:ascii="Segoe UI" w:hAnsi="Segoe UI" w:cs="Segoe UI"/>
          <w:sz w:val="24"/>
          <w:szCs w:val="24"/>
        </w:rPr>
        <w:t xml:space="preserve">The Emergency Powers Act 1920 was invoked “12 times in </w:t>
      </w:r>
      <w:r w:rsidR="00F03F44" w:rsidRPr="00B74EF4">
        <w:rPr>
          <w:rFonts w:ascii="Segoe UI" w:hAnsi="Segoe UI" w:cs="Segoe UI"/>
          <w:sz w:val="24"/>
          <w:szCs w:val="24"/>
        </w:rPr>
        <w:t>its</w:t>
      </w:r>
      <w:r w:rsidRPr="00B74EF4">
        <w:rPr>
          <w:rFonts w:ascii="Segoe UI" w:hAnsi="Segoe UI" w:cs="Segoe UI"/>
          <w:sz w:val="24"/>
          <w:szCs w:val="24"/>
        </w:rPr>
        <w:t xml:space="preserve"> 84-year history, the last time being in 1973”, Hansard (1979).  Examples of when it was used includ</w:t>
      </w:r>
      <w:r w:rsidR="00001E17">
        <w:rPr>
          <w:rFonts w:ascii="Segoe UI" w:hAnsi="Segoe UI" w:cs="Segoe UI"/>
          <w:sz w:val="24"/>
          <w:szCs w:val="24"/>
        </w:rPr>
        <w:t>e</w:t>
      </w:r>
      <w:r w:rsidRPr="00B74EF4">
        <w:rPr>
          <w:rFonts w:ascii="Segoe UI" w:hAnsi="Segoe UI" w:cs="Segoe UI"/>
          <w:sz w:val="24"/>
          <w:szCs w:val="24"/>
        </w:rPr>
        <w:t xml:space="preserve"> a range of strikes by miners, dockers, electricity workers and rail workers. Despite its relatively limited use, this Act was vital in allowing the Monarch to implement regulations to protect the community in times of an emergency (Uk Government, 1920).</w:t>
      </w:r>
    </w:p>
    <w:p w14:paraId="335A1FD7" w14:textId="5D973824" w:rsidR="00B74EF4" w:rsidRPr="00B74EF4" w:rsidRDefault="00B74EF4" w:rsidP="00B74EF4">
      <w:pPr>
        <w:rPr>
          <w:rFonts w:ascii="Segoe UI" w:hAnsi="Segoe UI" w:cs="Segoe UI"/>
          <w:sz w:val="24"/>
          <w:szCs w:val="24"/>
          <w:highlight w:val="yellow"/>
        </w:rPr>
      </w:pPr>
      <w:r w:rsidRPr="00B74EF4">
        <w:rPr>
          <w:rFonts w:ascii="Segoe UI" w:hAnsi="Segoe UI" w:cs="Segoe UI"/>
          <w:sz w:val="24"/>
          <w:szCs w:val="24"/>
        </w:rPr>
        <w:t xml:space="preserve">The UK Government states (1948) that The Civil Defence Act 1948 related to “civil protection at the local level". The Civil Defence Act 1948 and its Northern Ireland counterpart, the Civil Defence Act (Northern Ireland) 1950 related </w:t>
      </w:r>
      <w:r w:rsidR="00973494">
        <w:rPr>
          <w:rFonts w:ascii="Segoe UI" w:hAnsi="Segoe UI" w:cs="Segoe UI"/>
          <w:sz w:val="24"/>
          <w:szCs w:val="24"/>
        </w:rPr>
        <w:t>primarily</w:t>
      </w:r>
      <w:r w:rsidR="00F03F44">
        <w:rPr>
          <w:rFonts w:ascii="Segoe UI" w:hAnsi="Segoe UI" w:cs="Segoe UI"/>
          <w:sz w:val="24"/>
          <w:szCs w:val="24"/>
        </w:rPr>
        <w:t xml:space="preserve"> to </w:t>
      </w:r>
      <w:r w:rsidRPr="00B74EF4">
        <w:rPr>
          <w:rFonts w:ascii="Segoe UI" w:hAnsi="Segoe UI" w:cs="Segoe UI"/>
          <w:sz w:val="24"/>
          <w:szCs w:val="24"/>
        </w:rPr>
        <w:t>“civil defence”, which was described by UK Government as “measures, other than actual combat, for affording defence against a hostile attack by a foreign power” (Civil Contingencies Act 2004, Explanatory Notes, Chapter 36, 2004)</w:t>
      </w:r>
      <w:r w:rsidR="00F67E63">
        <w:rPr>
          <w:rFonts w:ascii="Segoe UI" w:hAnsi="Segoe UI" w:cs="Segoe UI"/>
          <w:sz w:val="24"/>
          <w:szCs w:val="24"/>
        </w:rPr>
        <w:t>.</w:t>
      </w:r>
    </w:p>
    <w:p w14:paraId="23843A46" w14:textId="190DE49C" w:rsidR="00B74EF4" w:rsidRPr="00B74EF4" w:rsidRDefault="00B74EF4" w:rsidP="00B74EF4">
      <w:pPr>
        <w:rPr>
          <w:rFonts w:ascii="Segoe UI" w:hAnsi="Segoe UI" w:cs="Segoe UI"/>
          <w:sz w:val="24"/>
          <w:szCs w:val="24"/>
        </w:rPr>
      </w:pPr>
      <w:r w:rsidRPr="00B74EF4">
        <w:rPr>
          <w:rFonts w:ascii="Segoe UI" w:hAnsi="Segoe UI" w:cs="Segoe UI"/>
          <w:sz w:val="24"/>
          <w:szCs w:val="24"/>
        </w:rPr>
        <w:t xml:space="preserve">This means that any duties prescribed within the legislation were focussed </w:t>
      </w:r>
      <w:r w:rsidR="006B6F76">
        <w:rPr>
          <w:rFonts w:ascii="Segoe UI" w:hAnsi="Segoe UI" w:cs="Segoe UI"/>
          <w:sz w:val="24"/>
          <w:szCs w:val="24"/>
        </w:rPr>
        <w:t>primarily</w:t>
      </w:r>
      <w:r w:rsidRPr="00B74EF4">
        <w:rPr>
          <w:rFonts w:ascii="Segoe UI" w:hAnsi="Segoe UI" w:cs="Segoe UI"/>
          <w:sz w:val="24"/>
          <w:szCs w:val="24"/>
        </w:rPr>
        <w:t xml:space="preserve"> on civil defence, it could be argued that they were very narrow in scope and would not be able to address the wider scope and presentation of major incidents in the 21</w:t>
      </w:r>
      <w:r w:rsidRPr="00B74EF4">
        <w:rPr>
          <w:rFonts w:ascii="Segoe UI" w:hAnsi="Segoe UI" w:cs="Segoe UI"/>
          <w:sz w:val="24"/>
          <w:szCs w:val="24"/>
          <w:vertAlign w:val="superscript"/>
        </w:rPr>
        <w:t>st</w:t>
      </w:r>
      <w:r w:rsidRPr="00B74EF4">
        <w:rPr>
          <w:rFonts w:ascii="Segoe UI" w:hAnsi="Segoe UI" w:cs="Segoe UI"/>
          <w:sz w:val="24"/>
          <w:szCs w:val="24"/>
        </w:rPr>
        <w:t xml:space="preserve"> century.  Furthermore, they applied to Local Authorities, the Police and some Fire Services, so they were only applicable to a small number of what could be described in 2025 as responder agencies.</w:t>
      </w:r>
    </w:p>
    <w:p w14:paraId="22BC47A1" w14:textId="77777777" w:rsidR="00B74EF4" w:rsidRPr="00B74EF4" w:rsidRDefault="00B74EF4" w:rsidP="00B74EF4">
      <w:pPr>
        <w:rPr>
          <w:rFonts w:ascii="Segoe UI" w:hAnsi="Segoe UI" w:cs="Segoe UI"/>
          <w:sz w:val="24"/>
          <w:szCs w:val="24"/>
        </w:rPr>
      </w:pPr>
      <w:r w:rsidRPr="00B74EF4">
        <w:rPr>
          <w:rFonts w:ascii="Segoe UI" w:hAnsi="Segoe UI" w:cs="Segoe UI"/>
          <w:sz w:val="24"/>
          <w:szCs w:val="24"/>
        </w:rPr>
        <w:t>JESIP (2024) states that “The Joint Doctrine provides responders, across all levels, at the scene or elsewhere, with generic guidance and principles on the actions to take when responding to multi-agency incidents of any scale”.  This evidences that the scope of responders in the 21</w:t>
      </w:r>
      <w:r w:rsidRPr="00B74EF4">
        <w:rPr>
          <w:rFonts w:ascii="Segoe UI" w:hAnsi="Segoe UI" w:cs="Segoe UI"/>
          <w:sz w:val="24"/>
          <w:szCs w:val="24"/>
          <w:vertAlign w:val="superscript"/>
        </w:rPr>
        <w:t>st</w:t>
      </w:r>
      <w:r w:rsidRPr="00B74EF4">
        <w:rPr>
          <w:rFonts w:ascii="Segoe UI" w:hAnsi="Segoe UI" w:cs="Segoe UI"/>
          <w:sz w:val="24"/>
          <w:szCs w:val="24"/>
        </w:rPr>
        <w:t xml:space="preserve"> century is far more inclusive than those described under the Civil Defence Act 1948. </w:t>
      </w:r>
    </w:p>
    <w:p w14:paraId="2C14A7CF" w14:textId="1332510E" w:rsidR="00B74EF4" w:rsidRPr="00B74EF4" w:rsidRDefault="00B74EF4" w:rsidP="00B74EF4">
      <w:pPr>
        <w:rPr>
          <w:rFonts w:ascii="Segoe UI" w:hAnsi="Segoe UI" w:cs="Segoe UI"/>
          <w:sz w:val="24"/>
          <w:szCs w:val="24"/>
        </w:rPr>
      </w:pPr>
      <w:r w:rsidRPr="00B74EF4">
        <w:rPr>
          <w:rFonts w:ascii="Segoe UI" w:hAnsi="Segoe UI" w:cs="Segoe UI"/>
          <w:sz w:val="24"/>
          <w:szCs w:val="24"/>
        </w:rPr>
        <w:t xml:space="preserve">Barrell (2006) states “Matters such as emergency planning, business continuity, crisis management, disaster recovery and medical response need to be considered not only by the emergency services but also within organisations vulnerable to disaster”. This further </w:t>
      </w:r>
      <w:proofErr w:type="gramStart"/>
      <w:r w:rsidRPr="00B74EF4">
        <w:rPr>
          <w:rFonts w:ascii="Segoe UI" w:hAnsi="Segoe UI" w:cs="Segoe UI"/>
          <w:sz w:val="24"/>
          <w:szCs w:val="24"/>
        </w:rPr>
        <w:t>evidences</w:t>
      </w:r>
      <w:proofErr w:type="gramEnd"/>
      <w:r w:rsidRPr="00B74EF4">
        <w:rPr>
          <w:rFonts w:ascii="Segoe UI" w:hAnsi="Segoe UI" w:cs="Segoe UI"/>
          <w:sz w:val="24"/>
          <w:szCs w:val="24"/>
        </w:rPr>
        <w:t xml:space="preserve"> the need for a wider, more holistic approach to emergency preparedness and civil protection in the UK. </w:t>
      </w:r>
    </w:p>
    <w:p w14:paraId="5D3F3B15" w14:textId="5A012D34" w:rsidR="00856D89" w:rsidRPr="00930C53" w:rsidRDefault="009468B8" w:rsidP="00856D89">
      <w:pPr>
        <w:spacing w:before="100" w:beforeAutospacing="1" w:after="100" w:afterAutospacing="1" w:line="240" w:lineRule="auto"/>
        <w:rPr>
          <w:rFonts w:ascii="Arial" w:eastAsia="Times New Roman" w:hAnsi="Arial" w:cs="Arial"/>
          <w:b/>
          <w:bCs/>
          <w:kern w:val="0"/>
          <w:sz w:val="28"/>
          <w:szCs w:val="28"/>
          <w:u w:val="single"/>
          <w:lang w:eastAsia="en-GB"/>
          <w14:ligatures w14:val="none"/>
        </w:rPr>
      </w:pPr>
      <w:r w:rsidRPr="00930C53">
        <w:rPr>
          <w:rFonts w:ascii="Segoe UI" w:eastAsia="Times New Roman" w:hAnsi="Segoe UI" w:cs="Segoe UI"/>
          <w:b/>
          <w:bCs/>
          <w:color w:val="283041"/>
          <w:kern w:val="0"/>
          <w:sz w:val="24"/>
          <w:szCs w:val="24"/>
          <w:u w:val="single"/>
          <w:shd w:val="clear" w:color="auto" w:fill="FFFFFF"/>
          <w:lang w:eastAsia="en-GB"/>
          <w14:ligatures w14:val="none"/>
        </w:rPr>
        <w:t>How does the Civil Contingencies Act 2004 define the roles and responsibilities of responders</w:t>
      </w:r>
      <w:r w:rsidR="00A32CF1" w:rsidRPr="00930C53">
        <w:rPr>
          <w:rFonts w:ascii="Segoe UI" w:eastAsia="Times New Roman" w:hAnsi="Segoe UI" w:cs="Segoe UI"/>
          <w:b/>
          <w:bCs/>
          <w:color w:val="283041"/>
          <w:kern w:val="0"/>
          <w:sz w:val="24"/>
          <w:szCs w:val="24"/>
          <w:u w:val="single"/>
          <w:shd w:val="clear" w:color="auto" w:fill="FFFFFF"/>
          <w:lang w:eastAsia="en-GB"/>
          <w14:ligatures w14:val="none"/>
        </w:rPr>
        <w:t>?</w:t>
      </w:r>
    </w:p>
    <w:p w14:paraId="2F766C25" w14:textId="0402AF3C" w:rsidR="00B74EF4" w:rsidRPr="00B74EF4" w:rsidRDefault="00B74EF4" w:rsidP="00B74EF4">
      <w:pPr>
        <w:rPr>
          <w:rFonts w:ascii="Segoe UI" w:hAnsi="Segoe UI" w:cs="Segoe UI"/>
          <w:sz w:val="24"/>
          <w:szCs w:val="24"/>
        </w:rPr>
      </w:pPr>
      <w:r w:rsidRPr="00B74EF4">
        <w:rPr>
          <w:rFonts w:ascii="Segoe UI" w:hAnsi="Segoe UI" w:cs="Segoe UI"/>
          <w:sz w:val="24"/>
          <w:szCs w:val="24"/>
        </w:rPr>
        <w:t>At the time of the introduction of the Civil Contingencies Act</w:t>
      </w:r>
      <w:r w:rsidR="00E702D3">
        <w:rPr>
          <w:rFonts w:ascii="Segoe UI" w:hAnsi="Segoe UI" w:cs="Segoe UI"/>
          <w:sz w:val="24"/>
          <w:szCs w:val="24"/>
        </w:rPr>
        <w:t xml:space="preserve"> 2004</w:t>
      </w:r>
      <w:r w:rsidRPr="00B74EF4">
        <w:rPr>
          <w:rFonts w:ascii="Segoe UI" w:hAnsi="Segoe UI" w:cs="Segoe UI"/>
          <w:sz w:val="24"/>
          <w:szCs w:val="24"/>
        </w:rPr>
        <w:t xml:space="preserve">, the historical definition within the Civil Defence Act was no longer overly relevant to the threats and concerns that were becoming more prevalent, nor did this piece of legislation address them. </w:t>
      </w:r>
    </w:p>
    <w:p w14:paraId="6D1F86E7" w14:textId="0A60C74C" w:rsidR="00B74EF4" w:rsidRPr="00B74EF4" w:rsidRDefault="00B74EF4" w:rsidP="00B74EF4">
      <w:pPr>
        <w:rPr>
          <w:rFonts w:ascii="Segoe UI" w:hAnsi="Segoe UI" w:cs="Segoe UI"/>
          <w:sz w:val="24"/>
          <w:szCs w:val="24"/>
        </w:rPr>
      </w:pPr>
      <w:r w:rsidRPr="00B74EF4">
        <w:rPr>
          <w:rFonts w:ascii="Segoe UI" w:hAnsi="Segoe UI" w:cs="Segoe UI"/>
          <w:sz w:val="24"/>
          <w:szCs w:val="24"/>
        </w:rPr>
        <w:lastRenderedPageBreak/>
        <w:t>The Civil Contingencies Act</w:t>
      </w:r>
      <w:r w:rsidR="008511BA">
        <w:rPr>
          <w:rFonts w:ascii="Segoe UI" w:hAnsi="Segoe UI" w:cs="Segoe UI"/>
          <w:sz w:val="24"/>
          <w:szCs w:val="24"/>
        </w:rPr>
        <w:t xml:space="preserve"> 2004</w:t>
      </w:r>
      <w:r w:rsidRPr="00B74EF4">
        <w:rPr>
          <w:rFonts w:ascii="Segoe UI" w:hAnsi="Segoe UI" w:cs="Segoe UI"/>
          <w:sz w:val="24"/>
          <w:szCs w:val="24"/>
        </w:rPr>
        <w:t xml:space="preserve"> now provides a clear, modern definition of an emergency, which provides a common understanding for all agencies involved in the planning, response and recovery stages of emergencies within the United Kingdom.  This definition not only includes ‘traditional’ events such as war but also more ‘modern’ threats such as terrorism and severe weather. It splits the definition into three main parts; “an event or situation which threatens serious damage to human welfare in a place in the United Kingdom, an event or situation which threatens serious damage to the environment of a place in the United Kingdom and war or terrorism which threatens serious damage to the security of the United Kingdom” (Civil Contingencies Act 2004, (1)(a)(b)(c)).</w:t>
      </w:r>
    </w:p>
    <w:p w14:paraId="6D874659" w14:textId="5D4E5F5A" w:rsidR="00B74EF4" w:rsidRPr="00B74EF4" w:rsidRDefault="00B74EF4" w:rsidP="00B74EF4">
      <w:pPr>
        <w:rPr>
          <w:rFonts w:ascii="Segoe UI" w:hAnsi="Segoe UI" w:cs="Segoe UI"/>
          <w:sz w:val="24"/>
          <w:szCs w:val="24"/>
        </w:rPr>
      </w:pPr>
      <w:r w:rsidRPr="00B74EF4">
        <w:rPr>
          <w:rFonts w:ascii="Segoe UI" w:hAnsi="Segoe UI" w:cs="Segoe UI"/>
          <w:sz w:val="24"/>
          <w:szCs w:val="24"/>
        </w:rPr>
        <w:t xml:space="preserve">Additionally, the </w:t>
      </w:r>
      <w:r w:rsidR="00A979B1">
        <w:rPr>
          <w:rFonts w:ascii="Segoe UI" w:hAnsi="Segoe UI" w:cs="Segoe UI"/>
          <w:sz w:val="24"/>
          <w:szCs w:val="24"/>
        </w:rPr>
        <w:t xml:space="preserve">Civil Contingencies </w:t>
      </w:r>
      <w:r w:rsidRPr="00B74EF4">
        <w:rPr>
          <w:rFonts w:ascii="Segoe UI" w:hAnsi="Segoe UI" w:cs="Segoe UI"/>
          <w:sz w:val="24"/>
          <w:szCs w:val="24"/>
        </w:rPr>
        <w:t xml:space="preserve">Act </w:t>
      </w:r>
      <w:r w:rsidR="00A979B1">
        <w:rPr>
          <w:rFonts w:ascii="Segoe UI" w:hAnsi="Segoe UI" w:cs="Segoe UI"/>
          <w:sz w:val="24"/>
          <w:szCs w:val="24"/>
        </w:rPr>
        <w:t xml:space="preserve">2004 </w:t>
      </w:r>
      <w:r w:rsidRPr="00B74EF4">
        <w:rPr>
          <w:rFonts w:ascii="Segoe UI" w:hAnsi="Segoe UI" w:cs="Segoe UI"/>
          <w:sz w:val="24"/>
          <w:szCs w:val="24"/>
        </w:rPr>
        <w:t>also provides clear duties and expectations to a broader range of responding organisations, this allows for a wider, more comprehensive and holistic approach to planning for, responding to</w:t>
      </w:r>
      <w:r w:rsidR="00D36540">
        <w:rPr>
          <w:rFonts w:ascii="Segoe UI" w:hAnsi="Segoe UI" w:cs="Segoe UI"/>
          <w:sz w:val="24"/>
          <w:szCs w:val="24"/>
        </w:rPr>
        <w:t xml:space="preserve"> and recovering from</w:t>
      </w:r>
      <w:r w:rsidRPr="00B74EF4">
        <w:rPr>
          <w:rFonts w:ascii="Segoe UI" w:hAnsi="Segoe UI" w:cs="Segoe UI"/>
          <w:sz w:val="24"/>
          <w:szCs w:val="24"/>
        </w:rPr>
        <w:t xml:space="preserve"> emergencies, these duties coupled with the clear definition of an emergency aids in multi-agency and inter-agency working, thus transforming and improving the overall response to, and outcome of emergencies.</w:t>
      </w:r>
    </w:p>
    <w:p w14:paraId="79A2BD0A" w14:textId="77777777" w:rsidR="00B74EF4" w:rsidRPr="00B74EF4" w:rsidRDefault="00B74EF4" w:rsidP="00B74EF4">
      <w:pPr>
        <w:rPr>
          <w:rFonts w:ascii="Segoe UI" w:hAnsi="Segoe UI" w:cs="Segoe UI"/>
          <w:sz w:val="24"/>
          <w:szCs w:val="24"/>
        </w:rPr>
      </w:pPr>
      <w:r w:rsidRPr="00B74EF4">
        <w:rPr>
          <w:rFonts w:ascii="Segoe UI" w:hAnsi="Segoe UI" w:cs="Segoe UI"/>
          <w:sz w:val="24"/>
          <w:szCs w:val="24"/>
        </w:rPr>
        <w:t xml:space="preserve">The Civil Contingencies Act 2004 focusses on emergency preparedness and is separated into two main parts. Part one of the act focusses on Local Arrangements for Civil Protection and replaced the previous Civil Defence Act 1948 and the Civil Defence Act (Northern Ireland) 1950, which failed to address the more modern threats facing the country. </w:t>
      </w:r>
    </w:p>
    <w:p w14:paraId="733B1A72" w14:textId="57FC04A2" w:rsidR="00B74EF4" w:rsidRPr="00B74EF4" w:rsidRDefault="00B74EF4" w:rsidP="00B74EF4">
      <w:pPr>
        <w:rPr>
          <w:rFonts w:ascii="Segoe UI" w:hAnsi="Segoe UI" w:cs="Segoe UI"/>
          <w:sz w:val="24"/>
          <w:szCs w:val="24"/>
          <w:shd w:val="clear" w:color="auto" w:fill="FFFFFF"/>
        </w:rPr>
      </w:pPr>
      <w:r w:rsidRPr="00B74EF4">
        <w:rPr>
          <w:rFonts w:ascii="Segoe UI" w:hAnsi="Segoe UI" w:cs="Segoe UI"/>
          <w:sz w:val="24"/>
          <w:szCs w:val="24"/>
        </w:rPr>
        <w:t>Part one of the Act defines responders under two main categories – Category one Responders which consist of “</w:t>
      </w:r>
      <w:r w:rsidRPr="00B74EF4">
        <w:rPr>
          <w:rFonts w:ascii="Segoe UI" w:hAnsi="Segoe UI" w:cs="Segoe UI"/>
          <w:sz w:val="24"/>
          <w:szCs w:val="24"/>
          <w:shd w:val="clear" w:color="auto" w:fill="FFFFFF"/>
        </w:rPr>
        <w:t>organisations at the core of the response to most emergencies” (Cabinet Office, 2013) such as the Emergency Services, Local Authorities</w:t>
      </w:r>
      <w:r w:rsidR="00E702D3">
        <w:rPr>
          <w:rFonts w:ascii="Segoe UI" w:hAnsi="Segoe UI" w:cs="Segoe UI"/>
          <w:sz w:val="24"/>
          <w:szCs w:val="24"/>
          <w:shd w:val="clear" w:color="auto" w:fill="FFFFFF"/>
        </w:rPr>
        <w:t>, Natural Resources Wales</w:t>
      </w:r>
      <w:r w:rsidRPr="00B74EF4">
        <w:rPr>
          <w:rFonts w:ascii="Segoe UI" w:hAnsi="Segoe UI" w:cs="Segoe UI"/>
          <w:sz w:val="24"/>
          <w:szCs w:val="24"/>
          <w:shd w:val="clear" w:color="auto" w:fill="FFFFFF"/>
        </w:rPr>
        <w:t xml:space="preserve"> and other NHS bodies. </w:t>
      </w:r>
    </w:p>
    <w:p w14:paraId="3D728452" w14:textId="57879926" w:rsidR="00B74EF4" w:rsidRPr="00B74EF4" w:rsidRDefault="00B74EF4" w:rsidP="00B74EF4">
      <w:pPr>
        <w:rPr>
          <w:rFonts w:ascii="Segoe UI" w:hAnsi="Segoe UI" w:cs="Segoe UI"/>
          <w:sz w:val="24"/>
          <w:szCs w:val="24"/>
          <w:shd w:val="clear" w:color="auto" w:fill="FFFFFF"/>
        </w:rPr>
      </w:pPr>
      <w:r w:rsidRPr="00B74EF4">
        <w:rPr>
          <w:rFonts w:ascii="Segoe UI" w:hAnsi="Segoe UI" w:cs="Segoe UI"/>
          <w:sz w:val="24"/>
          <w:szCs w:val="24"/>
          <w:shd w:val="clear" w:color="auto" w:fill="FFFFFF"/>
        </w:rPr>
        <w:t xml:space="preserve">The Cabinet Office (2013) also defines Category </w:t>
      </w:r>
      <w:r w:rsidR="001961FB">
        <w:rPr>
          <w:rFonts w:ascii="Segoe UI" w:hAnsi="Segoe UI" w:cs="Segoe UI"/>
          <w:sz w:val="24"/>
          <w:szCs w:val="24"/>
          <w:shd w:val="clear" w:color="auto" w:fill="FFFFFF"/>
        </w:rPr>
        <w:t>two</w:t>
      </w:r>
      <w:r w:rsidRPr="00B74EF4">
        <w:rPr>
          <w:rFonts w:ascii="Segoe UI" w:hAnsi="Segoe UI" w:cs="Segoe UI"/>
          <w:sz w:val="24"/>
          <w:szCs w:val="24"/>
          <w:shd w:val="clear" w:color="auto" w:fill="FFFFFF"/>
        </w:rPr>
        <w:t xml:space="preserve"> responders as “co-operating bodies”</w:t>
      </w:r>
      <w:r w:rsidRPr="00B74EF4">
        <w:rPr>
          <w:rFonts w:ascii="Segoe UI" w:hAnsi="Segoe UI" w:cs="Segoe UI"/>
          <w:sz w:val="24"/>
          <w:szCs w:val="24"/>
        </w:rPr>
        <w:t>, whilst these organisations</w:t>
      </w:r>
      <w:r w:rsidRPr="00B74EF4">
        <w:rPr>
          <w:rFonts w:ascii="Segoe UI" w:hAnsi="Segoe UI" w:cs="Segoe UI"/>
          <w:sz w:val="24"/>
          <w:szCs w:val="24"/>
          <w:shd w:val="clear" w:color="auto" w:fill="FFFFFF"/>
        </w:rPr>
        <w:t xml:space="preserve"> are not responsible for the same duties as Category one responders, the expectation is that they will still be directly involved in responding to incidents that affect their own sector. These responders include Utility companies</w:t>
      </w:r>
      <w:r w:rsidR="00896921">
        <w:rPr>
          <w:rFonts w:ascii="Segoe UI" w:hAnsi="Segoe UI" w:cs="Segoe UI"/>
          <w:sz w:val="24"/>
          <w:szCs w:val="24"/>
          <w:shd w:val="clear" w:color="auto" w:fill="FFFFFF"/>
        </w:rPr>
        <w:t>, Coal Authority, the Met Office</w:t>
      </w:r>
      <w:r w:rsidRPr="00B74EF4">
        <w:rPr>
          <w:rFonts w:ascii="Segoe UI" w:hAnsi="Segoe UI" w:cs="Segoe UI"/>
          <w:sz w:val="24"/>
          <w:szCs w:val="24"/>
          <w:shd w:val="clear" w:color="auto" w:fill="FFFFFF"/>
        </w:rPr>
        <w:t xml:space="preserve"> and Tra</w:t>
      </w:r>
      <w:r w:rsidR="00896921">
        <w:rPr>
          <w:rFonts w:ascii="Segoe UI" w:hAnsi="Segoe UI" w:cs="Segoe UI"/>
          <w:sz w:val="24"/>
          <w:szCs w:val="24"/>
          <w:shd w:val="clear" w:color="auto" w:fill="FFFFFF"/>
        </w:rPr>
        <w:t>n</w:t>
      </w:r>
      <w:r w:rsidRPr="00B74EF4">
        <w:rPr>
          <w:rFonts w:ascii="Segoe UI" w:hAnsi="Segoe UI" w:cs="Segoe UI"/>
          <w:sz w:val="24"/>
          <w:szCs w:val="24"/>
          <w:shd w:val="clear" w:color="auto" w:fill="FFFFFF"/>
        </w:rPr>
        <w:t xml:space="preserve">sport companies. </w:t>
      </w:r>
    </w:p>
    <w:p w14:paraId="6D4B0FD5" w14:textId="648659D6" w:rsidR="00B74EF4" w:rsidRPr="00B74EF4" w:rsidRDefault="00B74EF4" w:rsidP="00B74EF4">
      <w:pPr>
        <w:rPr>
          <w:rFonts w:ascii="Segoe UI" w:hAnsi="Segoe UI" w:cs="Segoe UI"/>
          <w:sz w:val="24"/>
          <w:szCs w:val="24"/>
          <w:shd w:val="clear" w:color="auto" w:fill="FFFFFF"/>
        </w:rPr>
      </w:pPr>
      <w:r w:rsidRPr="00B74EF4">
        <w:rPr>
          <w:rFonts w:ascii="Segoe UI" w:hAnsi="Segoe UI" w:cs="Segoe UI"/>
          <w:sz w:val="24"/>
          <w:szCs w:val="24"/>
          <w:shd w:val="clear" w:color="auto" w:fill="FFFFFF"/>
        </w:rPr>
        <w:t xml:space="preserve">There are other organisations that </w:t>
      </w:r>
      <w:r w:rsidR="001424AB">
        <w:rPr>
          <w:rFonts w:ascii="Segoe UI" w:hAnsi="Segoe UI" w:cs="Segoe UI"/>
          <w:sz w:val="24"/>
          <w:szCs w:val="24"/>
          <w:shd w:val="clear" w:color="auto" w:fill="FFFFFF"/>
        </w:rPr>
        <w:t>may contribute to the response and recovery of an emergency</w:t>
      </w:r>
      <w:r w:rsidR="007A40C2">
        <w:rPr>
          <w:rFonts w:ascii="Segoe UI" w:hAnsi="Segoe UI" w:cs="Segoe UI"/>
          <w:sz w:val="24"/>
          <w:szCs w:val="24"/>
          <w:shd w:val="clear" w:color="auto" w:fill="FFFFFF"/>
        </w:rPr>
        <w:t xml:space="preserve">, these organisations are not </w:t>
      </w:r>
      <w:r w:rsidR="00510453">
        <w:rPr>
          <w:rFonts w:ascii="Segoe UI" w:hAnsi="Segoe UI" w:cs="Segoe UI"/>
          <w:sz w:val="24"/>
          <w:szCs w:val="24"/>
          <w:shd w:val="clear" w:color="auto" w:fill="FFFFFF"/>
        </w:rPr>
        <w:t xml:space="preserve">incorporated </w:t>
      </w:r>
      <w:r w:rsidR="007A40C2">
        <w:rPr>
          <w:rFonts w:ascii="Segoe UI" w:hAnsi="Segoe UI" w:cs="Segoe UI"/>
          <w:sz w:val="24"/>
          <w:szCs w:val="24"/>
          <w:shd w:val="clear" w:color="auto" w:fill="FFFFFF"/>
        </w:rPr>
        <w:t>within the Civil Contingencies Act 2004</w:t>
      </w:r>
      <w:r w:rsidRPr="00B74EF4">
        <w:rPr>
          <w:rFonts w:ascii="Segoe UI" w:hAnsi="Segoe UI" w:cs="Segoe UI"/>
          <w:sz w:val="24"/>
          <w:szCs w:val="24"/>
          <w:shd w:val="clear" w:color="auto" w:fill="FFFFFF"/>
        </w:rPr>
        <w:t xml:space="preserve">, these include the Military, Media and Voluntary and Community Sector organisations. The Civil Contingencies Act 2004 states that Category one responders “must have regard to these responders when carrying out their duties”, </w:t>
      </w:r>
      <w:r w:rsidRPr="00B74EF4">
        <w:rPr>
          <w:rFonts w:ascii="Segoe UI" w:hAnsi="Segoe UI" w:cs="Segoe UI"/>
          <w:sz w:val="24"/>
          <w:szCs w:val="24"/>
        </w:rPr>
        <w:t>as although they do not have the same responsibilities under the Act, they can still play a vital role in supporting the response to and recovery from an emergency</w:t>
      </w:r>
      <w:r w:rsidRPr="00B74EF4">
        <w:rPr>
          <w:rFonts w:ascii="Segoe UI" w:hAnsi="Segoe UI" w:cs="Segoe UI"/>
          <w:sz w:val="24"/>
          <w:szCs w:val="24"/>
          <w:shd w:val="clear" w:color="auto" w:fill="FFFFFF"/>
        </w:rPr>
        <w:t xml:space="preserve">. </w:t>
      </w:r>
    </w:p>
    <w:p w14:paraId="73AB5A9B" w14:textId="1352456D" w:rsidR="00B74EF4" w:rsidRPr="002E0DD6" w:rsidRDefault="00B74EF4" w:rsidP="00B74EF4">
      <w:pPr>
        <w:rPr>
          <w:rFonts w:ascii="Segoe UI" w:hAnsi="Segoe UI" w:cs="Segoe UI"/>
          <w:sz w:val="24"/>
          <w:szCs w:val="24"/>
          <w:u w:val="single"/>
          <w:shd w:val="clear" w:color="auto" w:fill="FFFFFF"/>
        </w:rPr>
      </w:pPr>
      <w:r w:rsidRPr="00B74EF4">
        <w:rPr>
          <w:rFonts w:ascii="Segoe UI" w:hAnsi="Segoe UI" w:cs="Segoe UI"/>
          <w:sz w:val="24"/>
          <w:szCs w:val="24"/>
          <w:shd w:val="clear" w:color="auto" w:fill="FFFFFF"/>
        </w:rPr>
        <w:lastRenderedPageBreak/>
        <w:t xml:space="preserve">Separating organisations into responder categories, allows the act to provide clearly defined duties for each organisation, based on the type of organisation and their potential role in </w:t>
      </w:r>
      <w:r w:rsidR="00896921">
        <w:rPr>
          <w:rFonts w:ascii="Segoe UI" w:hAnsi="Segoe UI" w:cs="Segoe UI"/>
          <w:sz w:val="24"/>
          <w:szCs w:val="24"/>
          <w:shd w:val="clear" w:color="auto" w:fill="FFFFFF"/>
        </w:rPr>
        <w:t xml:space="preserve">planning for, </w:t>
      </w:r>
      <w:r w:rsidRPr="00B74EF4">
        <w:rPr>
          <w:rFonts w:ascii="Segoe UI" w:hAnsi="Segoe UI" w:cs="Segoe UI"/>
          <w:sz w:val="24"/>
          <w:szCs w:val="24"/>
          <w:shd w:val="clear" w:color="auto" w:fill="FFFFFF"/>
        </w:rPr>
        <w:t>responding to</w:t>
      </w:r>
      <w:r w:rsidR="00896921">
        <w:rPr>
          <w:rFonts w:ascii="Segoe UI" w:hAnsi="Segoe UI" w:cs="Segoe UI"/>
          <w:sz w:val="24"/>
          <w:szCs w:val="24"/>
          <w:shd w:val="clear" w:color="auto" w:fill="FFFFFF"/>
        </w:rPr>
        <w:t xml:space="preserve"> and recovering from</w:t>
      </w:r>
      <w:r w:rsidRPr="00B74EF4">
        <w:rPr>
          <w:rFonts w:ascii="Segoe UI" w:hAnsi="Segoe UI" w:cs="Segoe UI"/>
          <w:sz w:val="24"/>
          <w:szCs w:val="24"/>
          <w:shd w:val="clear" w:color="auto" w:fill="FFFFFF"/>
        </w:rPr>
        <w:t xml:space="preserve"> </w:t>
      </w:r>
      <w:proofErr w:type="gramStart"/>
      <w:r w:rsidRPr="00B74EF4">
        <w:rPr>
          <w:rFonts w:ascii="Segoe UI" w:hAnsi="Segoe UI" w:cs="Segoe UI"/>
          <w:sz w:val="24"/>
          <w:szCs w:val="24"/>
          <w:shd w:val="clear" w:color="auto" w:fill="FFFFFF"/>
        </w:rPr>
        <w:t>an emergency situation</w:t>
      </w:r>
      <w:proofErr w:type="gramEnd"/>
      <w:r w:rsidRPr="00B74EF4">
        <w:rPr>
          <w:rFonts w:ascii="Segoe UI" w:hAnsi="Segoe UI" w:cs="Segoe UI"/>
          <w:sz w:val="24"/>
          <w:szCs w:val="24"/>
          <w:shd w:val="clear" w:color="auto" w:fill="FFFFFF"/>
        </w:rPr>
        <w:t xml:space="preserve">. </w:t>
      </w:r>
    </w:p>
    <w:p w14:paraId="123E24E5" w14:textId="471763F1" w:rsidR="002E0DD6" w:rsidRPr="00783B9E" w:rsidRDefault="002E0DD6" w:rsidP="00B74EF4">
      <w:pPr>
        <w:rPr>
          <w:rFonts w:ascii="Segoe UI" w:hAnsi="Segoe UI" w:cs="Segoe UI"/>
          <w:b/>
          <w:bCs/>
          <w:sz w:val="24"/>
          <w:szCs w:val="24"/>
          <w:u w:val="single"/>
          <w:shd w:val="clear" w:color="auto" w:fill="FFFFFF"/>
        </w:rPr>
      </w:pPr>
      <w:r w:rsidRPr="00783B9E">
        <w:rPr>
          <w:rFonts w:ascii="Segoe UI" w:hAnsi="Segoe UI" w:cs="Segoe UI"/>
          <w:b/>
          <w:bCs/>
          <w:sz w:val="24"/>
          <w:szCs w:val="24"/>
          <w:u w:val="single"/>
          <w:shd w:val="clear" w:color="auto" w:fill="FFFFFF"/>
        </w:rPr>
        <w:t>Regulations and duties under the act</w:t>
      </w:r>
    </w:p>
    <w:p w14:paraId="0FBFF2CF" w14:textId="77777777" w:rsidR="00B74EF4" w:rsidRPr="00B74EF4" w:rsidRDefault="00B74EF4" w:rsidP="00B74EF4">
      <w:pPr>
        <w:rPr>
          <w:rFonts w:ascii="Segoe UI" w:hAnsi="Segoe UI" w:cs="Segoe UI"/>
          <w:sz w:val="24"/>
          <w:szCs w:val="24"/>
          <w:shd w:val="clear" w:color="auto" w:fill="FFFFFF"/>
        </w:rPr>
      </w:pPr>
      <w:r w:rsidRPr="00B74EF4">
        <w:rPr>
          <w:rFonts w:ascii="Segoe UI" w:hAnsi="Segoe UI" w:cs="Segoe UI"/>
          <w:sz w:val="24"/>
          <w:szCs w:val="24"/>
          <w:shd w:val="clear" w:color="auto" w:fill="FFFFFF"/>
        </w:rPr>
        <w:t xml:space="preserve">Category one responders are liable for the full set of civil protection duties under the act, these are to undertake risk assessments and use these to inform, develop and put in place emergency plans, to undertake business continuity management, to ensure there are arrangements in place for warning, informing and advising the public both prior to and during the occurrence of an emergency and to enable the sharing of information and cooperation with other responders (Civil Contingencies Act, 2004). Local Authorities have one further duty and that is to provide business continuity management advice to local businesses. </w:t>
      </w:r>
    </w:p>
    <w:p w14:paraId="51D2A479" w14:textId="14727F70" w:rsidR="00B74EF4" w:rsidRPr="00B74EF4" w:rsidRDefault="00B74EF4" w:rsidP="00B74EF4">
      <w:pPr>
        <w:rPr>
          <w:rFonts w:ascii="Segoe UI" w:hAnsi="Segoe UI" w:cs="Segoe UI"/>
          <w:sz w:val="24"/>
          <w:szCs w:val="24"/>
          <w:shd w:val="clear" w:color="auto" w:fill="FFFFFF"/>
        </w:rPr>
      </w:pPr>
      <w:r w:rsidRPr="00B74EF4">
        <w:rPr>
          <w:rFonts w:ascii="Segoe UI" w:hAnsi="Segoe UI" w:cs="Segoe UI"/>
          <w:sz w:val="24"/>
          <w:szCs w:val="24"/>
          <w:shd w:val="clear" w:color="auto" w:fill="FFFFFF"/>
        </w:rPr>
        <w:t xml:space="preserve">The first four duties within the </w:t>
      </w:r>
      <w:r w:rsidR="00B062C2">
        <w:rPr>
          <w:rFonts w:ascii="Segoe UI" w:hAnsi="Segoe UI" w:cs="Segoe UI"/>
          <w:sz w:val="24"/>
          <w:szCs w:val="24"/>
          <w:shd w:val="clear" w:color="auto" w:fill="FFFFFF"/>
        </w:rPr>
        <w:t>Civil Contingencies Act 2004</w:t>
      </w:r>
      <w:r w:rsidRPr="00B74EF4">
        <w:rPr>
          <w:rFonts w:ascii="Segoe UI" w:hAnsi="Segoe UI" w:cs="Segoe UI"/>
          <w:sz w:val="24"/>
          <w:szCs w:val="24"/>
          <w:shd w:val="clear" w:color="auto" w:fill="FFFFFF"/>
        </w:rPr>
        <w:t xml:space="preserve"> align with the first four elements of the Integrated Emergency Management (IEM) cycle</w:t>
      </w:r>
      <w:r w:rsidR="00F1012E">
        <w:rPr>
          <w:rFonts w:ascii="Segoe UI" w:hAnsi="Segoe UI" w:cs="Segoe UI"/>
          <w:sz w:val="24"/>
          <w:szCs w:val="24"/>
          <w:shd w:val="clear" w:color="auto" w:fill="FFFFFF"/>
        </w:rPr>
        <w:t>. T</w:t>
      </w:r>
      <w:r w:rsidRPr="00B74EF4">
        <w:rPr>
          <w:rFonts w:ascii="Segoe UI" w:hAnsi="Segoe UI" w:cs="Segoe UI"/>
          <w:sz w:val="24"/>
          <w:szCs w:val="24"/>
          <w:shd w:val="clear" w:color="auto" w:fill="FFFFFF"/>
        </w:rPr>
        <w:t>he Cabinet Office (2013) defines this process as “the concept on which civil protection in the UK is based”. These steps are further supported by the Civil Contingencies Act</w:t>
      </w:r>
      <w:r w:rsidR="00D8512C">
        <w:rPr>
          <w:rFonts w:ascii="Segoe UI" w:hAnsi="Segoe UI" w:cs="Segoe UI"/>
          <w:sz w:val="24"/>
          <w:szCs w:val="24"/>
          <w:shd w:val="clear" w:color="auto" w:fill="FFFFFF"/>
        </w:rPr>
        <w:t xml:space="preserve"> 2004’s </w:t>
      </w:r>
      <w:r w:rsidR="00D8512C" w:rsidRPr="00B74EF4">
        <w:rPr>
          <w:rFonts w:ascii="Segoe UI" w:hAnsi="Segoe UI" w:cs="Segoe UI"/>
          <w:sz w:val="24"/>
          <w:szCs w:val="24"/>
          <w:shd w:val="clear" w:color="auto" w:fill="FFFFFF"/>
        </w:rPr>
        <w:t>accompanying</w:t>
      </w:r>
      <w:r w:rsidRPr="00B74EF4">
        <w:rPr>
          <w:rFonts w:ascii="Segoe UI" w:hAnsi="Segoe UI" w:cs="Segoe UI"/>
          <w:sz w:val="24"/>
          <w:szCs w:val="24"/>
          <w:shd w:val="clear" w:color="auto" w:fill="FFFFFF"/>
        </w:rPr>
        <w:t xml:space="preserve"> statutory guidance, Emergency Preparedness (2012). </w:t>
      </w:r>
    </w:p>
    <w:p w14:paraId="18FC956B" w14:textId="34FC7468" w:rsidR="00B74EF4" w:rsidRPr="00B74EF4" w:rsidRDefault="00B74EF4" w:rsidP="00B74EF4">
      <w:pPr>
        <w:rPr>
          <w:rFonts w:ascii="Segoe UI" w:hAnsi="Segoe UI" w:cs="Segoe UI"/>
          <w:sz w:val="24"/>
          <w:szCs w:val="24"/>
          <w:shd w:val="clear" w:color="auto" w:fill="FFFFFF"/>
        </w:rPr>
      </w:pPr>
      <w:r w:rsidRPr="00B74EF4">
        <w:rPr>
          <w:rFonts w:ascii="Segoe UI" w:hAnsi="Segoe UI" w:cs="Segoe UI"/>
          <w:sz w:val="24"/>
          <w:szCs w:val="24"/>
          <w:shd w:val="clear" w:color="auto" w:fill="FFFFFF"/>
        </w:rPr>
        <w:t>The duties imposed upon category one responders goes far wider than simply responding to an emergency once it has occurred. These duties further evidence the extent to which the Civil Contingencies Act 2004 has changed the landscape of emergency planning. These duties ensure that responders prepare and plan for emergencies, based on risk assessments, data and intelligence insights. Documentation such as the National Risk register 2025 which is produced by</w:t>
      </w:r>
      <w:r w:rsidRPr="00B74EF4">
        <w:rPr>
          <w:rFonts w:ascii="Segoe UI" w:hAnsi="Segoe UI" w:cs="Segoe UI"/>
          <w:sz w:val="24"/>
          <w:szCs w:val="24"/>
        </w:rPr>
        <w:t xml:space="preserve"> The UK Government</w:t>
      </w:r>
      <w:r w:rsidRPr="00B74EF4">
        <w:rPr>
          <w:rFonts w:ascii="Segoe UI" w:hAnsi="Segoe UI" w:cs="Segoe UI"/>
          <w:sz w:val="24"/>
          <w:szCs w:val="24"/>
          <w:shd w:val="clear" w:color="auto" w:fill="FFFFFF"/>
        </w:rPr>
        <w:t xml:space="preserve">, The Wales Risk Register </w:t>
      </w:r>
      <w:r w:rsidR="00896921">
        <w:rPr>
          <w:rFonts w:ascii="Segoe UI" w:hAnsi="Segoe UI" w:cs="Segoe UI"/>
          <w:sz w:val="24"/>
          <w:szCs w:val="24"/>
          <w:shd w:val="clear" w:color="auto" w:fill="FFFFFF"/>
        </w:rPr>
        <w:t>and</w:t>
      </w:r>
      <w:r w:rsidRPr="00B74EF4">
        <w:rPr>
          <w:rFonts w:ascii="Segoe UI" w:hAnsi="Segoe UI" w:cs="Segoe UI"/>
          <w:sz w:val="24"/>
          <w:szCs w:val="24"/>
          <w:shd w:val="clear" w:color="auto" w:fill="FFFFFF"/>
        </w:rPr>
        <w:t xml:space="preserve"> Community Risk Registers can aid with this, along with internal organisational risk registers and horizon scanning, all of which provide guidance on the approach to planning for and dealing with a wide range of risk scenarios and contribute to the anticipation and assessment stages of the IEM cycle. </w:t>
      </w:r>
    </w:p>
    <w:p w14:paraId="2CFCED15" w14:textId="19E1D3B4" w:rsidR="00B74EF4" w:rsidRPr="00B74EF4" w:rsidRDefault="00B74EF4" w:rsidP="00B74EF4">
      <w:pPr>
        <w:rPr>
          <w:rFonts w:ascii="Segoe UI" w:hAnsi="Segoe UI" w:cs="Segoe UI"/>
          <w:sz w:val="24"/>
          <w:szCs w:val="24"/>
          <w:shd w:val="clear" w:color="auto" w:fill="FFFFFF"/>
        </w:rPr>
      </w:pPr>
      <w:r w:rsidRPr="00B74EF4">
        <w:rPr>
          <w:rFonts w:ascii="Segoe UI" w:hAnsi="Segoe UI" w:cs="Segoe UI"/>
          <w:sz w:val="24"/>
          <w:szCs w:val="24"/>
          <w:shd w:val="clear" w:color="auto" w:fill="FFFFFF"/>
        </w:rPr>
        <w:t xml:space="preserve">Similarly, business continuity management is a requirement of the </w:t>
      </w:r>
      <w:r w:rsidR="00D242D6">
        <w:rPr>
          <w:rFonts w:ascii="Segoe UI" w:hAnsi="Segoe UI" w:cs="Segoe UI"/>
          <w:sz w:val="24"/>
          <w:szCs w:val="24"/>
          <w:shd w:val="clear" w:color="auto" w:fill="FFFFFF"/>
        </w:rPr>
        <w:t>Civil Contingencies Act 2004</w:t>
      </w:r>
      <w:r w:rsidRPr="00B74EF4">
        <w:rPr>
          <w:rFonts w:ascii="Segoe UI" w:hAnsi="Segoe UI" w:cs="Segoe UI"/>
          <w:sz w:val="24"/>
          <w:szCs w:val="24"/>
          <w:shd w:val="clear" w:color="auto" w:fill="FFFFFF"/>
        </w:rPr>
        <w:t>, by ensuring that organisations have better business continuity management structures and plans in place, the wider imp</w:t>
      </w:r>
      <w:r w:rsidRPr="00840D30">
        <w:rPr>
          <w:rFonts w:ascii="Segoe UI" w:hAnsi="Segoe UI" w:cs="Segoe UI"/>
          <w:sz w:val="24"/>
          <w:szCs w:val="24"/>
          <w:shd w:val="clear" w:color="auto" w:fill="FFFFFF"/>
        </w:rPr>
        <w:t>acts of incidents on local and national communities across the country are reduced. The Business Continuity Institute’s ‘Good Practice Guidelines’ (2023) states that the “purpose of the business continuity management system is to prepare for, provide and maintain controls and capabilities for managing an organisation’s overall ability to continue to operate during disruptions”. Strong business continuity management across various sectors is a vital building block to ensure</w:t>
      </w:r>
      <w:r w:rsidRPr="00B74EF4">
        <w:rPr>
          <w:rFonts w:ascii="Segoe UI" w:hAnsi="Segoe UI" w:cs="Segoe UI"/>
          <w:sz w:val="24"/>
          <w:szCs w:val="24"/>
          <w:shd w:val="clear" w:color="auto" w:fill="FFFFFF"/>
        </w:rPr>
        <w:t xml:space="preserve"> that the facilities and services underpinning </w:t>
      </w:r>
      <w:r w:rsidRPr="00B74EF4">
        <w:rPr>
          <w:rFonts w:ascii="Segoe UI" w:hAnsi="Segoe UI" w:cs="Segoe UI"/>
          <w:sz w:val="24"/>
          <w:szCs w:val="24"/>
          <w:shd w:val="clear" w:color="auto" w:fill="FFFFFF"/>
        </w:rPr>
        <w:lastRenderedPageBreak/>
        <w:t xml:space="preserve">safety, production and daily life are minimally disrupted in times of either an emergency or business continuity incident occurring. </w:t>
      </w:r>
    </w:p>
    <w:p w14:paraId="7E2015D8" w14:textId="01391F5C" w:rsidR="00B74EF4" w:rsidRPr="00B74EF4" w:rsidRDefault="00B74EF4" w:rsidP="00B74EF4">
      <w:pPr>
        <w:rPr>
          <w:rFonts w:ascii="Segoe UI" w:hAnsi="Segoe UI" w:cs="Segoe UI"/>
          <w:sz w:val="24"/>
          <w:szCs w:val="24"/>
          <w:shd w:val="clear" w:color="auto" w:fill="FFFFFF"/>
        </w:rPr>
      </w:pPr>
      <w:r w:rsidRPr="00B74EF4">
        <w:rPr>
          <w:rFonts w:ascii="Segoe UI" w:hAnsi="Segoe UI" w:cs="Segoe UI"/>
          <w:sz w:val="24"/>
          <w:szCs w:val="24"/>
          <w:shd w:val="clear" w:color="auto" w:fill="FFFFFF"/>
        </w:rPr>
        <w:t xml:space="preserve">Another </w:t>
      </w:r>
      <w:r w:rsidR="00896921">
        <w:rPr>
          <w:rFonts w:ascii="Segoe UI" w:hAnsi="Segoe UI" w:cs="Segoe UI"/>
          <w:sz w:val="24"/>
          <w:szCs w:val="24"/>
          <w:shd w:val="clear" w:color="auto" w:fill="FFFFFF"/>
        </w:rPr>
        <w:t>k</w:t>
      </w:r>
      <w:r w:rsidRPr="00B74EF4">
        <w:rPr>
          <w:rFonts w:ascii="Segoe UI" w:hAnsi="Segoe UI" w:cs="Segoe UI"/>
          <w:sz w:val="24"/>
          <w:szCs w:val="24"/>
          <w:shd w:val="clear" w:color="auto" w:fill="FFFFFF"/>
        </w:rPr>
        <w:t xml:space="preserve">ey responsibility under the </w:t>
      </w:r>
      <w:r w:rsidR="00783B9E">
        <w:rPr>
          <w:rFonts w:ascii="Segoe UI" w:hAnsi="Segoe UI" w:cs="Segoe UI"/>
          <w:sz w:val="24"/>
          <w:szCs w:val="24"/>
          <w:shd w:val="clear" w:color="auto" w:fill="FFFFFF"/>
        </w:rPr>
        <w:t>CCA 2004</w:t>
      </w:r>
      <w:r w:rsidRPr="00B74EF4">
        <w:rPr>
          <w:rFonts w:ascii="Segoe UI" w:hAnsi="Segoe UI" w:cs="Segoe UI"/>
          <w:sz w:val="24"/>
          <w:szCs w:val="24"/>
          <w:shd w:val="clear" w:color="auto" w:fill="FFFFFF"/>
        </w:rPr>
        <w:t xml:space="preserve"> is the duty to warn, inform and advise the public. The Cabinet Office (2018) states “A well informed public is better able to respond to an emergency, and this will minimise the impact of an emergency on the community” (Preparation and planning for emergencies, 2018). The </w:t>
      </w:r>
      <w:proofErr w:type="gramStart"/>
      <w:r w:rsidRPr="00B74EF4">
        <w:rPr>
          <w:rFonts w:ascii="Segoe UI" w:hAnsi="Segoe UI" w:cs="Segoe UI"/>
          <w:sz w:val="24"/>
          <w:szCs w:val="24"/>
          <w:shd w:val="clear" w:color="auto" w:fill="FFFFFF"/>
        </w:rPr>
        <w:t>general public</w:t>
      </w:r>
      <w:proofErr w:type="gramEnd"/>
      <w:r w:rsidRPr="00B74EF4">
        <w:rPr>
          <w:rFonts w:ascii="Segoe UI" w:hAnsi="Segoe UI" w:cs="Segoe UI"/>
          <w:sz w:val="24"/>
          <w:szCs w:val="24"/>
          <w:shd w:val="clear" w:color="auto" w:fill="FFFFFF"/>
        </w:rPr>
        <w:t xml:space="preserve"> ha</w:t>
      </w:r>
      <w:r w:rsidR="00F25386">
        <w:rPr>
          <w:rFonts w:ascii="Segoe UI" w:hAnsi="Segoe UI" w:cs="Segoe UI"/>
          <w:sz w:val="24"/>
          <w:szCs w:val="24"/>
          <w:shd w:val="clear" w:color="auto" w:fill="FFFFFF"/>
        </w:rPr>
        <w:t>ve</w:t>
      </w:r>
      <w:r w:rsidRPr="00B74EF4">
        <w:rPr>
          <w:rFonts w:ascii="Segoe UI" w:hAnsi="Segoe UI" w:cs="Segoe UI"/>
          <w:sz w:val="24"/>
          <w:szCs w:val="24"/>
          <w:shd w:val="clear" w:color="auto" w:fill="FFFFFF"/>
        </w:rPr>
        <w:t xml:space="preserve"> the power to help or hinder </w:t>
      </w:r>
      <w:r w:rsidR="00896921">
        <w:rPr>
          <w:rFonts w:ascii="Segoe UI" w:hAnsi="Segoe UI" w:cs="Segoe UI"/>
          <w:sz w:val="24"/>
          <w:szCs w:val="24"/>
          <w:shd w:val="clear" w:color="auto" w:fill="FFFFFF"/>
        </w:rPr>
        <w:t>the</w:t>
      </w:r>
      <w:r w:rsidRPr="00B74EF4">
        <w:rPr>
          <w:rFonts w:ascii="Segoe UI" w:hAnsi="Segoe UI" w:cs="Segoe UI"/>
          <w:sz w:val="24"/>
          <w:szCs w:val="24"/>
          <w:shd w:val="clear" w:color="auto" w:fill="FFFFFF"/>
        </w:rPr>
        <w:t xml:space="preserve"> response to emergencies, and how </w:t>
      </w:r>
      <w:r w:rsidR="00A95A58">
        <w:rPr>
          <w:rFonts w:ascii="Segoe UI" w:hAnsi="Segoe UI" w:cs="Segoe UI"/>
          <w:sz w:val="24"/>
          <w:szCs w:val="24"/>
          <w:shd w:val="clear" w:color="auto" w:fill="FFFFFF"/>
        </w:rPr>
        <w:t>organisations</w:t>
      </w:r>
      <w:r w:rsidRPr="00B74EF4">
        <w:rPr>
          <w:rFonts w:ascii="Segoe UI" w:hAnsi="Segoe UI" w:cs="Segoe UI"/>
          <w:sz w:val="24"/>
          <w:szCs w:val="24"/>
          <w:shd w:val="clear" w:color="auto" w:fill="FFFFFF"/>
        </w:rPr>
        <w:t xml:space="preserve"> communicate with them largely determines this. </w:t>
      </w:r>
    </w:p>
    <w:p w14:paraId="2FF2E9CB" w14:textId="70E16170" w:rsidR="00B74EF4" w:rsidRPr="00B74EF4" w:rsidRDefault="00B74EF4" w:rsidP="00B74EF4">
      <w:pPr>
        <w:rPr>
          <w:rFonts w:ascii="Segoe UI" w:hAnsi="Segoe UI" w:cs="Segoe UI"/>
          <w:sz w:val="24"/>
          <w:szCs w:val="24"/>
          <w:shd w:val="clear" w:color="auto" w:fill="FFFFFF"/>
        </w:rPr>
      </w:pPr>
      <w:r w:rsidRPr="00B74EF4">
        <w:rPr>
          <w:rFonts w:ascii="Segoe UI" w:hAnsi="Segoe UI" w:cs="Segoe UI"/>
          <w:sz w:val="24"/>
          <w:szCs w:val="24"/>
          <w:shd w:val="clear" w:color="auto" w:fill="FFFFFF"/>
        </w:rPr>
        <w:t>Accurate and timely warning and informing not only gives the public information relating to actual or potential threats to life, property and communities which boosts community resilience, but it also allows organisations to provide them with instructions and information relating to any actions that they need to carry out. This in turn has the potential to reduce the impact of an emergency, particularly in times of severe weather, as an example. The use of social media is more prevalent than ever, and so false narratives and inaccurate information is often readily available within hours or minutes of an emergency occurring</w:t>
      </w:r>
      <w:r w:rsidR="00666202">
        <w:rPr>
          <w:rFonts w:ascii="Segoe UI" w:hAnsi="Segoe UI" w:cs="Segoe UI"/>
          <w:sz w:val="24"/>
          <w:szCs w:val="24"/>
          <w:shd w:val="clear" w:color="auto" w:fill="FFFFFF"/>
        </w:rPr>
        <w:t>.</w:t>
      </w:r>
      <w:r w:rsidRPr="00B74EF4">
        <w:rPr>
          <w:rFonts w:ascii="Segoe UI" w:hAnsi="Segoe UI" w:cs="Segoe UI"/>
          <w:sz w:val="24"/>
          <w:szCs w:val="24"/>
          <w:shd w:val="clear" w:color="auto" w:fill="FFFFFF"/>
        </w:rPr>
        <w:t xml:space="preserve"> </w:t>
      </w:r>
      <w:r w:rsidR="00666202">
        <w:rPr>
          <w:rFonts w:ascii="Segoe UI" w:hAnsi="Segoe UI" w:cs="Segoe UI"/>
          <w:sz w:val="24"/>
          <w:szCs w:val="24"/>
          <w:shd w:val="clear" w:color="auto" w:fill="FFFFFF"/>
        </w:rPr>
        <w:t>I</w:t>
      </w:r>
      <w:r w:rsidRPr="00B74EF4">
        <w:rPr>
          <w:rFonts w:ascii="Segoe UI" w:hAnsi="Segoe UI" w:cs="Segoe UI"/>
          <w:sz w:val="24"/>
          <w:szCs w:val="24"/>
          <w:shd w:val="clear" w:color="auto" w:fill="FFFFFF"/>
        </w:rPr>
        <w:t xml:space="preserve">t is now more important than ever that responding organisations are quick to agree a communications strategy and fill any potential information gap to reduce the spread of false information that has the power to escalate </w:t>
      </w:r>
      <w:proofErr w:type="gramStart"/>
      <w:r w:rsidRPr="00B74EF4">
        <w:rPr>
          <w:rFonts w:ascii="Segoe UI" w:hAnsi="Segoe UI" w:cs="Segoe UI"/>
          <w:sz w:val="24"/>
          <w:szCs w:val="24"/>
          <w:shd w:val="clear" w:color="auto" w:fill="FFFFFF"/>
        </w:rPr>
        <w:t>an emergency situation</w:t>
      </w:r>
      <w:proofErr w:type="gramEnd"/>
      <w:r w:rsidRPr="00B74EF4">
        <w:rPr>
          <w:rFonts w:ascii="Segoe UI" w:hAnsi="Segoe UI" w:cs="Segoe UI"/>
          <w:sz w:val="24"/>
          <w:szCs w:val="24"/>
          <w:shd w:val="clear" w:color="auto" w:fill="FFFFFF"/>
        </w:rPr>
        <w:t xml:space="preserve"> and cause reputational damage to the organisations who are dealing with it.</w:t>
      </w:r>
    </w:p>
    <w:p w14:paraId="2D63DDEE" w14:textId="5E21AB52" w:rsidR="00A5687B" w:rsidRDefault="00B74EF4" w:rsidP="00B74EF4">
      <w:pPr>
        <w:rPr>
          <w:rFonts w:ascii="Segoe UI" w:hAnsi="Segoe UI" w:cs="Segoe UI"/>
          <w:sz w:val="24"/>
          <w:szCs w:val="24"/>
        </w:rPr>
      </w:pPr>
      <w:r w:rsidRPr="00B74EF4">
        <w:rPr>
          <w:rFonts w:ascii="Segoe UI" w:hAnsi="Segoe UI" w:cs="Segoe UI"/>
          <w:sz w:val="24"/>
          <w:szCs w:val="24"/>
        </w:rPr>
        <w:t xml:space="preserve">Part </w:t>
      </w:r>
      <w:r w:rsidR="005743C2">
        <w:rPr>
          <w:rFonts w:ascii="Segoe UI" w:hAnsi="Segoe UI" w:cs="Segoe UI"/>
          <w:sz w:val="24"/>
          <w:szCs w:val="24"/>
        </w:rPr>
        <w:t>two</w:t>
      </w:r>
      <w:r w:rsidRPr="00B74EF4">
        <w:rPr>
          <w:rFonts w:ascii="Segoe UI" w:hAnsi="Segoe UI" w:cs="Segoe UI"/>
          <w:sz w:val="24"/>
          <w:szCs w:val="24"/>
        </w:rPr>
        <w:t xml:space="preserve"> of the </w:t>
      </w:r>
      <w:r w:rsidR="00783B9E">
        <w:rPr>
          <w:rFonts w:ascii="Segoe UI" w:hAnsi="Segoe UI" w:cs="Segoe UI"/>
          <w:sz w:val="24"/>
          <w:szCs w:val="24"/>
        </w:rPr>
        <w:t>Civil Contingencies Act 2004</w:t>
      </w:r>
      <w:r w:rsidRPr="00B74EF4">
        <w:rPr>
          <w:rFonts w:ascii="Segoe UI" w:hAnsi="Segoe UI" w:cs="Segoe UI"/>
          <w:sz w:val="24"/>
          <w:szCs w:val="24"/>
        </w:rPr>
        <w:t xml:space="preserve"> focuses on the use of Emergency Powers and replaces the Emergency Powers Act 1920 and the Emergency Powers Act (Northern Ireland) 1926. Similarly to part </w:t>
      </w:r>
      <w:r w:rsidR="005743C2">
        <w:rPr>
          <w:rFonts w:ascii="Segoe UI" w:hAnsi="Segoe UI" w:cs="Segoe UI"/>
          <w:sz w:val="24"/>
          <w:szCs w:val="24"/>
        </w:rPr>
        <w:t>one</w:t>
      </w:r>
      <w:r w:rsidRPr="00B74EF4">
        <w:rPr>
          <w:rFonts w:ascii="Segoe UI" w:hAnsi="Segoe UI" w:cs="Segoe UI"/>
          <w:sz w:val="24"/>
          <w:szCs w:val="24"/>
        </w:rPr>
        <w:t xml:space="preserve"> of the </w:t>
      </w:r>
      <w:r w:rsidR="00783B9E">
        <w:rPr>
          <w:rFonts w:ascii="Segoe UI" w:hAnsi="Segoe UI" w:cs="Segoe UI"/>
          <w:sz w:val="24"/>
          <w:szCs w:val="24"/>
        </w:rPr>
        <w:t>CCA 2004</w:t>
      </w:r>
      <w:r w:rsidRPr="00B74EF4">
        <w:rPr>
          <w:rFonts w:ascii="Segoe UI" w:hAnsi="Segoe UI" w:cs="Segoe UI"/>
          <w:sz w:val="24"/>
          <w:szCs w:val="24"/>
        </w:rPr>
        <w:t xml:space="preserve">, incorporating all four countries within the United Kingdom within one key piece of legislation allows for a more seamless cross border and whole country approach to emergency preparedness and civil protection. However, the </w:t>
      </w:r>
      <w:r w:rsidR="00824272">
        <w:rPr>
          <w:rFonts w:ascii="Segoe UI" w:hAnsi="Segoe UI" w:cs="Segoe UI"/>
          <w:sz w:val="24"/>
          <w:szCs w:val="24"/>
        </w:rPr>
        <w:t xml:space="preserve">Civil Contingencies </w:t>
      </w:r>
      <w:r w:rsidRPr="00B74EF4">
        <w:rPr>
          <w:rFonts w:ascii="Segoe UI" w:hAnsi="Segoe UI" w:cs="Segoe UI"/>
          <w:sz w:val="24"/>
          <w:szCs w:val="24"/>
        </w:rPr>
        <w:t xml:space="preserve">Act </w:t>
      </w:r>
      <w:r w:rsidR="00824272">
        <w:rPr>
          <w:rFonts w:ascii="Segoe UI" w:hAnsi="Segoe UI" w:cs="Segoe UI"/>
          <w:sz w:val="24"/>
          <w:szCs w:val="24"/>
        </w:rPr>
        <w:t xml:space="preserve">2004 </w:t>
      </w:r>
      <w:r w:rsidRPr="00B74EF4">
        <w:rPr>
          <w:rFonts w:ascii="Segoe UI" w:hAnsi="Segoe UI" w:cs="Segoe UI"/>
          <w:sz w:val="24"/>
          <w:szCs w:val="24"/>
        </w:rPr>
        <w:t xml:space="preserve">does allow for emergency powers to affect a specific region of the United Kingdom only. The previous legislation did not </w:t>
      </w:r>
      <w:proofErr w:type="gramStart"/>
      <w:r w:rsidRPr="00B74EF4">
        <w:rPr>
          <w:rFonts w:ascii="Segoe UI" w:hAnsi="Segoe UI" w:cs="Segoe UI"/>
          <w:sz w:val="24"/>
          <w:szCs w:val="24"/>
        </w:rPr>
        <w:t>take into account</w:t>
      </w:r>
      <w:proofErr w:type="gramEnd"/>
      <w:r w:rsidRPr="00B74EF4">
        <w:rPr>
          <w:rFonts w:ascii="Segoe UI" w:hAnsi="Segoe UI" w:cs="Segoe UI"/>
          <w:sz w:val="24"/>
          <w:szCs w:val="24"/>
        </w:rPr>
        <w:t xml:space="preserve"> the devolution of various parts of the United Kingdom, which the Civil Contingencies Act 2004 now does – this ensures that emergency powers are considered and implemented in consultation with the devolved administrations for the region of the United Kingdom that they will </w:t>
      </w:r>
      <w:r w:rsidR="000B42A5" w:rsidRPr="00B74EF4">
        <w:rPr>
          <w:rFonts w:ascii="Segoe UI" w:hAnsi="Segoe UI" w:cs="Segoe UI"/>
          <w:sz w:val="24"/>
          <w:szCs w:val="24"/>
        </w:rPr>
        <w:t>affect</w:t>
      </w:r>
      <w:r w:rsidRPr="00B74EF4">
        <w:rPr>
          <w:rFonts w:ascii="Segoe UI" w:hAnsi="Segoe UI" w:cs="Segoe UI"/>
          <w:sz w:val="24"/>
          <w:szCs w:val="24"/>
        </w:rPr>
        <w:t xml:space="preserve">. </w:t>
      </w:r>
      <w:r w:rsidR="000A77B6">
        <w:rPr>
          <w:rFonts w:ascii="Segoe UI" w:hAnsi="Segoe UI" w:cs="Segoe UI"/>
          <w:sz w:val="24"/>
          <w:szCs w:val="24"/>
        </w:rPr>
        <w:t xml:space="preserve">This is set out within </w:t>
      </w:r>
      <w:r w:rsidR="00346B78" w:rsidRPr="00C610FB">
        <w:rPr>
          <w:rFonts w:ascii="Segoe UI" w:hAnsi="Segoe UI" w:cs="Segoe UI"/>
          <w:sz w:val="24"/>
          <w:szCs w:val="24"/>
        </w:rPr>
        <w:t>The Concordat</w:t>
      </w:r>
      <w:r w:rsidR="000A77B6" w:rsidRPr="00C610FB">
        <w:rPr>
          <w:rFonts w:ascii="Segoe UI" w:hAnsi="Segoe UI" w:cs="Segoe UI"/>
          <w:sz w:val="24"/>
          <w:szCs w:val="24"/>
        </w:rPr>
        <w:t xml:space="preserve"> </w:t>
      </w:r>
      <w:r w:rsidR="000C161F">
        <w:rPr>
          <w:rFonts w:ascii="Segoe UI" w:hAnsi="Segoe UI" w:cs="Segoe UI"/>
          <w:sz w:val="24"/>
          <w:szCs w:val="24"/>
        </w:rPr>
        <w:t xml:space="preserve">(Cabinet Office, 2011) </w:t>
      </w:r>
      <w:r w:rsidR="000A77B6" w:rsidRPr="00C610FB">
        <w:rPr>
          <w:rFonts w:ascii="Segoe UI" w:hAnsi="Segoe UI" w:cs="Segoe UI"/>
          <w:sz w:val="24"/>
          <w:szCs w:val="24"/>
        </w:rPr>
        <w:t>which</w:t>
      </w:r>
      <w:r w:rsidR="00346B78" w:rsidRPr="00C610FB">
        <w:rPr>
          <w:rFonts w:ascii="Segoe UI" w:hAnsi="Segoe UI" w:cs="Segoe UI"/>
          <w:sz w:val="24"/>
          <w:szCs w:val="24"/>
        </w:rPr>
        <w:t xml:space="preserve"> </w:t>
      </w:r>
      <w:r w:rsidR="008D479F" w:rsidRPr="00C610FB">
        <w:rPr>
          <w:rFonts w:ascii="Segoe UI" w:hAnsi="Segoe UI" w:cs="Segoe UI"/>
          <w:sz w:val="24"/>
          <w:szCs w:val="24"/>
        </w:rPr>
        <w:t xml:space="preserve">“establishes </w:t>
      </w:r>
      <w:r w:rsidR="00AB39BB" w:rsidRPr="00C610FB">
        <w:rPr>
          <w:rFonts w:ascii="Segoe UI" w:hAnsi="Segoe UI" w:cs="Segoe UI"/>
          <w:sz w:val="24"/>
          <w:szCs w:val="24"/>
        </w:rPr>
        <w:t xml:space="preserve">an agreed framework for co-operation between </w:t>
      </w:r>
      <w:r w:rsidR="0013048C" w:rsidRPr="00C610FB">
        <w:rPr>
          <w:rFonts w:ascii="Segoe UI" w:hAnsi="Segoe UI" w:cs="Segoe UI"/>
          <w:sz w:val="24"/>
          <w:szCs w:val="24"/>
        </w:rPr>
        <w:t>the UK Government and the Welsh Assembly Government” in relation to Part two of the CCA 2004</w:t>
      </w:r>
      <w:r w:rsidR="000A77B6" w:rsidRPr="00C610FB">
        <w:rPr>
          <w:rFonts w:ascii="Segoe UI" w:hAnsi="Segoe UI" w:cs="Segoe UI"/>
          <w:sz w:val="24"/>
          <w:szCs w:val="24"/>
        </w:rPr>
        <w:t xml:space="preserve">. </w:t>
      </w:r>
      <w:r w:rsidR="00706D0B" w:rsidRPr="00C610FB">
        <w:rPr>
          <w:rFonts w:ascii="Segoe UI" w:hAnsi="Segoe UI" w:cs="Segoe UI"/>
          <w:sz w:val="24"/>
          <w:szCs w:val="24"/>
        </w:rPr>
        <w:t xml:space="preserve">Whilst the Concordat is not legally binding, </w:t>
      </w:r>
      <w:r w:rsidR="00A82058">
        <w:rPr>
          <w:rFonts w:ascii="Segoe UI" w:hAnsi="Segoe UI" w:cs="Segoe UI"/>
          <w:sz w:val="24"/>
          <w:szCs w:val="24"/>
        </w:rPr>
        <w:t>“there is an expectation that both parties will abide by it wherever practicable.</w:t>
      </w:r>
      <w:r w:rsidR="00BE2D9C" w:rsidRPr="00C610FB">
        <w:rPr>
          <w:rFonts w:ascii="Segoe UI" w:hAnsi="Segoe UI" w:cs="Segoe UI"/>
          <w:sz w:val="24"/>
          <w:szCs w:val="24"/>
        </w:rPr>
        <w:t xml:space="preserve"> </w:t>
      </w:r>
      <w:r w:rsidR="003E6D39" w:rsidRPr="00C610FB">
        <w:rPr>
          <w:rFonts w:ascii="Segoe UI" w:hAnsi="Segoe UI" w:cs="Segoe UI"/>
          <w:sz w:val="24"/>
          <w:szCs w:val="24"/>
        </w:rPr>
        <w:t xml:space="preserve">It sets out that the UK Government should </w:t>
      </w:r>
      <w:r w:rsidR="002C6ACD" w:rsidRPr="00C610FB">
        <w:rPr>
          <w:rFonts w:ascii="Segoe UI" w:hAnsi="Segoe UI" w:cs="Segoe UI"/>
          <w:sz w:val="24"/>
          <w:szCs w:val="24"/>
        </w:rPr>
        <w:t xml:space="preserve">consult the Welsh Assembly Government </w:t>
      </w:r>
      <w:r w:rsidR="00DB6C61" w:rsidRPr="00C610FB">
        <w:rPr>
          <w:rFonts w:ascii="Segoe UI" w:hAnsi="Segoe UI" w:cs="Segoe UI"/>
          <w:sz w:val="24"/>
          <w:szCs w:val="24"/>
        </w:rPr>
        <w:t xml:space="preserve">prior to creating emergency regulations that relate to Wales. In addition to this, </w:t>
      </w:r>
      <w:r w:rsidR="002D4966" w:rsidRPr="00C610FB">
        <w:rPr>
          <w:rFonts w:ascii="Segoe UI" w:hAnsi="Segoe UI" w:cs="Segoe UI"/>
          <w:sz w:val="24"/>
          <w:szCs w:val="24"/>
        </w:rPr>
        <w:t xml:space="preserve">the Welsh Assembly Government </w:t>
      </w:r>
      <w:proofErr w:type="gramStart"/>
      <w:r w:rsidR="002D4966" w:rsidRPr="00C610FB">
        <w:rPr>
          <w:rFonts w:ascii="Segoe UI" w:hAnsi="Segoe UI" w:cs="Segoe UI"/>
          <w:sz w:val="24"/>
          <w:szCs w:val="24"/>
        </w:rPr>
        <w:t>are able to</w:t>
      </w:r>
      <w:proofErr w:type="gramEnd"/>
      <w:r w:rsidR="002D4966" w:rsidRPr="00C610FB">
        <w:rPr>
          <w:rFonts w:ascii="Segoe UI" w:hAnsi="Segoe UI" w:cs="Segoe UI"/>
          <w:sz w:val="24"/>
          <w:szCs w:val="24"/>
        </w:rPr>
        <w:t xml:space="preserve"> request that the UK </w:t>
      </w:r>
      <w:r w:rsidR="002D4966" w:rsidRPr="00C610FB">
        <w:rPr>
          <w:rFonts w:ascii="Segoe UI" w:hAnsi="Segoe UI" w:cs="Segoe UI"/>
          <w:sz w:val="24"/>
          <w:szCs w:val="24"/>
        </w:rPr>
        <w:lastRenderedPageBreak/>
        <w:t xml:space="preserve">Government </w:t>
      </w:r>
      <w:r w:rsidR="00C610FB" w:rsidRPr="00C610FB">
        <w:rPr>
          <w:rFonts w:ascii="Segoe UI" w:hAnsi="Segoe UI" w:cs="Segoe UI"/>
          <w:sz w:val="24"/>
          <w:szCs w:val="24"/>
        </w:rPr>
        <w:t xml:space="preserve">develop emergency regulations for Wales if appropriate under the CCA 2004. </w:t>
      </w:r>
    </w:p>
    <w:p w14:paraId="36466408" w14:textId="77777777" w:rsidR="00B86503" w:rsidRPr="000B42A5" w:rsidRDefault="00B86503" w:rsidP="00B86503">
      <w:pPr>
        <w:spacing w:before="100" w:beforeAutospacing="1" w:after="100" w:afterAutospacing="1" w:line="240" w:lineRule="auto"/>
        <w:rPr>
          <w:rFonts w:ascii="Arial" w:eastAsia="Times New Roman" w:hAnsi="Arial" w:cs="Arial"/>
          <w:b/>
          <w:bCs/>
          <w:kern w:val="0"/>
          <w:sz w:val="28"/>
          <w:szCs w:val="28"/>
          <w:u w:val="single"/>
          <w:lang w:eastAsia="en-GB"/>
          <w14:ligatures w14:val="none"/>
        </w:rPr>
      </w:pPr>
      <w:r w:rsidRPr="000B42A5">
        <w:rPr>
          <w:rFonts w:ascii="Segoe UI" w:eastAsia="Times New Roman" w:hAnsi="Segoe UI" w:cs="Segoe UI"/>
          <w:b/>
          <w:bCs/>
          <w:color w:val="283041"/>
          <w:kern w:val="0"/>
          <w:sz w:val="24"/>
          <w:szCs w:val="24"/>
          <w:u w:val="single"/>
          <w:shd w:val="clear" w:color="auto" w:fill="FFFFFF"/>
          <w:lang w:eastAsia="en-GB"/>
          <w14:ligatures w14:val="none"/>
        </w:rPr>
        <w:t>Statutory &amp; non-statutory guidance</w:t>
      </w:r>
    </w:p>
    <w:p w14:paraId="37675EB8" w14:textId="5C92B8B3" w:rsidR="00B74EF4" w:rsidRPr="00B86503" w:rsidRDefault="00B74EF4" w:rsidP="00B86503">
      <w:pPr>
        <w:spacing w:before="100" w:beforeAutospacing="1" w:after="100" w:afterAutospacing="1" w:line="240" w:lineRule="auto"/>
        <w:rPr>
          <w:rFonts w:ascii="Arial" w:eastAsia="Times New Roman" w:hAnsi="Arial" w:cs="Arial"/>
          <w:b/>
          <w:bCs/>
          <w:kern w:val="0"/>
          <w:sz w:val="28"/>
          <w:szCs w:val="28"/>
          <w:u w:val="single"/>
          <w:lang w:eastAsia="en-GB"/>
          <w14:ligatures w14:val="none"/>
        </w:rPr>
      </w:pPr>
      <w:r w:rsidRPr="00B74EF4">
        <w:rPr>
          <w:rFonts w:ascii="Segoe UI" w:hAnsi="Segoe UI" w:cs="Segoe UI"/>
          <w:sz w:val="24"/>
          <w:szCs w:val="24"/>
        </w:rPr>
        <w:t xml:space="preserve">There are various pieces of statutory and non-statutory guidance which supports both the Civil Contingencies Act </w:t>
      </w:r>
      <w:r w:rsidR="000B42A5">
        <w:rPr>
          <w:rFonts w:ascii="Segoe UI" w:hAnsi="Segoe UI" w:cs="Segoe UI"/>
          <w:sz w:val="24"/>
          <w:szCs w:val="24"/>
        </w:rPr>
        <w:t xml:space="preserve">2004 </w:t>
      </w:r>
      <w:r w:rsidRPr="00B74EF4">
        <w:rPr>
          <w:rFonts w:ascii="Segoe UI" w:hAnsi="Segoe UI" w:cs="Segoe UI"/>
          <w:sz w:val="24"/>
          <w:szCs w:val="24"/>
        </w:rPr>
        <w:t xml:space="preserve">and the preparedness, response and recovery of several agencies to deal with a multitude of emergency scenarios. </w:t>
      </w:r>
    </w:p>
    <w:p w14:paraId="13A988A5" w14:textId="35394760" w:rsidR="00B74EF4" w:rsidRPr="00B74EF4" w:rsidRDefault="00B74EF4" w:rsidP="00B74EF4">
      <w:pPr>
        <w:rPr>
          <w:rFonts w:ascii="Segoe UI" w:hAnsi="Segoe UI" w:cs="Segoe UI"/>
          <w:sz w:val="24"/>
          <w:szCs w:val="24"/>
        </w:rPr>
      </w:pPr>
      <w:r w:rsidRPr="00B74EF4">
        <w:rPr>
          <w:rFonts w:ascii="Segoe UI" w:hAnsi="Segoe UI" w:cs="Segoe UI"/>
          <w:sz w:val="24"/>
          <w:szCs w:val="24"/>
        </w:rPr>
        <w:t xml:space="preserve">Whilst the </w:t>
      </w:r>
      <w:r w:rsidR="000B42A5">
        <w:rPr>
          <w:rFonts w:ascii="Segoe UI" w:hAnsi="Segoe UI" w:cs="Segoe UI"/>
          <w:sz w:val="24"/>
          <w:szCs w:val="24"/>
        </w:rPr>
        <w:t>CCA 2004</w:t>
      </w:r>
      <w:r w:rsidRPr="00B74EF4">
        <w:rPr>
          <w:rFonts w:ascii="Segoe UI" w:hAnsi="Segoe UI" w:cs="Segoe UI"/>
          <w:sz w:val="24"/>
          <w:szCs w:val="24"/>
        </w:rPr>
        <w:t xml:space="preserve"> sets out the legal duties for responding agencies, there is supporting statutory guidance, Emergency Preparedness, Cabinet Office (2012) and non-statutory guidance, Emergency Response and Recovery, Cabinet Office (2013). </w:t>
      </w:r>
    </w:p>
    <w:p w14:paraId="69EBE693" w14:textId="444D97F1" w:rsidR="00B74EF4" w:rsidRPr="00B74EF4" w:rsidRDefault="00B74EF4" w:rsidP="00B74EF4">
      <w:pPr>
        <w:rPr>
          <w:rFonts w:ascii="Segoe UI" w:hAnsi="Segoe UI" w:cs="Segoe UI"/>
          <w:sz w:val="24"/>
          <w:szCs w:val="24"/>
        </w:rPr>
      </w:pPr>
      <w:r w:rsidRPr="00B74EF4">
        <w:rPr>
          <w:rFonts w:ascii="Segoe UI" w:hAnsi="Segoe UI" w:cs="Segoe UI"/>
          <w:sz w:val="24"/>
          <w:szCs w:val="24"/>
        </w:rPr>
        <w:t>Emergency Preparedness, 2012 provides “guidance on part 1 of the Civil Contingencies Act and its associated regulations and non-statutory arrangements” (Cabinet Office, 2012). It is statutory in nature as it focuses on the preparedness stage of the IEM and therefore addresses the legislative duties under the Civil Contingencies Act</w:t>
      </w:r>
      <w:r w:rsidR="004946C3">
        <w:rPr>
          <w:rFonts w:ascii="Segoe UI" w:hAnsi="Segoe UI" w:cs="Segoe UI"/>
          <w:sz w:val="24"/>
          <w:szCs w:val="24"/>
        </w:rPr>
        <w:t xml:space="preserve"> 2004</w:t>
      </w:r>
      <w:r w:rsidRPr="00B74EF4">
        <w:rPr>
          <w:rFonts w:ascii="Segoe UI" w:hAnsi="Segoe UI" w:cs="Segoe UI"/>
          <w:sz w:val="24"/>
          <w:szCs w:val="24"/>
        </w:rPr>
        <w:t xml:space="preserve">, which specifically looks at preparing for emergencies, rather than responding and recovering to them. </w:t>
      </w:r>
    </w:p>
    <w:p w14:paraId="19F97DEE" w14:textId="1A8A183F" w:rsidR="00B74EF4" w:rsidRPr="00B74EF4" w:rsidRDefault="00B74EF4" w:rsidP="00B74EF4">
      <w:pPr>
        <w:rPr>
          <w:rFonts w:ascii="Segoe UI" w:hAnsi="Segoe UI" w:cs="Segoe UI"/>
          <w:sz w:val="24"/>
          <w:szCs w:val="24"/>
        </w:rPr>
      </w:pPr>
      <w:r w:rsidRPr="00B74EF4">
        <w:rPr>
          <w:rFonts w:ascii="Segoe UI" w:hAnsi="Segoe UI" w:cs="Segoe UI"/>
          <w:sz w:val="24"/>
          <w:szCs w:val="24"/>
        </w:rPr>
        <w:t>The Cabinet Office (2013) states that the Emergency Response and Recovery guidance “describes the multi-agency framework for responding to and recovering from civil emergencies in the UK”. This guidance provides non-statutory “</w:t>
      </w:r>
      <w:r w:rsidRPr="00B74EF4">
        <w:rPr>
          <w:rFonts w:ascii="Segoe UI" w:hAnsi="Segoe UI" w:cs="Segoe UI"/>
          <w:sz w:val="24"/>
          <w:szCs w:val="24"/>
          <w:shd w:val="clear" w:color="auto" w:fill="FFFFFF"/>
        </w:rPr>
        <w:t>Guidance for staff of responder agencies, particularly senior officers or managers involved in emergency response and recovery preparations” (</w:t>
      </w:r>
      <w:r w:rsidRPr="00B74EF4">
        <w:rPr>
          <w:rFonts w:ascii="Segoe UI" w:hAnsi="Segoe UI" w:cs="Segoe UI"/>
          <w:sz w:val="24"/>
          <w:szCs w:val="24"/>
        </w:rPr>
        <w:t>The Cabinet Office, 2013). This document focuses on the multi-agency response and recovery to emergencies in the UK, in contrast to the statutory guidance, which is focussed on preparedness</w:t>
      </w:r>
      <w:r w:rsidR="008A2F12">
        <w:rPr>
          <w:rFonts w:ascii="Segoe UI" w:hAnsi="Segoe UI" w:cs="Segoe UI"/>
          <w:sz w:val="24"/>
          <w:szCs w:val="24"/>
        </w:rPr>
        <w:t>. T</w:t>
      </w:r>
      <w:r w:rsidRPr="00B74EF4">
        <w:rPr>
          <w:rFonts w:ascii="Segoe UI" w:hAnsi="Segoe UI" w:cs="Segoe UI"/>
          <w:sz w:val="24"/>
          <w:szCs w:val="24"/>
        </w:rPr>
        <w:t xml:space="preserve">his guidance is not enforceable legally but instead focusses on recommendations from identified best practices.  </w:t>
      </w:r>
    </w:p>
    <w:p w14:paraId="7C1FE80A" w14:textId="06706113" w:rsidR="004A4FAC" w:rsidRDefault="004A4FAC" w:rsidP="00B74EF4">
      <w:pPr>
        <w:rPr>
          <w:rFonts w:ascii="Segoe UI" w:hAnsi="Segoe UI" w:cs="Segoe UI"/>
          <w:sz w:val="24"/>
          <w:szCs w:val="24"/>
        </w:rPr>
      </w:pPr>
      <w:r w:rsidRPr="00B74EF4">
        <w:rPr>
          <w:rFonts w:ascii="Segoe UI" w:hAnsi="Segoe UI" w:cs="Segoe UI"/>
          <w:sz w:val="24"/>
          <w:szCs w:val="24"/>
        </w:rPr>
        <w:t>One of the pivotal structures that aid</w:t>
      </w:r>
      <w:r w:rsidR="00DA1447">
        <w:rPr>
          <w:rFonts w:ascii="Segoe UI" w:hAnsi="Segoe UI" w:cs="Segoe UI"/>
          <w:sz w:val="24"/>
          <w:szCs w:val="24"/>
        </w:rPr>
        <w:t>s</w:t>
      </w:r>
      <w:r w:rsidRPr="00B74EF4">
        <w:rPr>
          <w:rFonts w:ascii="Segoe UI" w:hAnsi="Segoe UI" w:cs="Segoe UI"/>
          <w:sz w:val="24"/>
          <w:szCs w:val="24"/>
        </w:rPr>
        <w:t xml:space="preserve"> in the effectiveness of the </w:t>
      </w:r>
      <w:r>
        <w:rPr>
          <w:rFonts w:ascii="Segoe UI" w:hAnsi="Segoe UI" w:cs="Segoe UI"/>
          <w:sz w:val="24"/>
          <w:szCs w:val="24"/>
        </w:rPr>
        <w:t xml:space="preserve">Civil Contingencies </w:t>
      </w:r>
      <w:r w:rsidRPr="00B74EF4">
        <w:rPr>
          <w:rFonts w:ascii="Segoe UI" w:hAnsi="Segoe UI" w:cs="Segoe UI"/>
          <w:sz w:val="24"/>
          <w:szCs w:val="24"/>
        </w:rPr>
        <w:t xml:space="preserve">Act </w:t>
      </w:r>
      <w:r>
        <w:rPr>
          <w:rFonts w:ascii="Segoe UI" w:hAnsi="Segoe UI" w:cs="Segoe UI"/>
          <w:sz w:val="24"/>
          <w:szCs w:val="24"/>
        </w:rPr>
        <w:t xml:space="preserve">2004 </w:t>
      </w:r>
      <w:r w:rsidRPr="00B74EF4">
        <w:rPr>
          <w:rFonts w:ascii="Segoe UI" w:hAnsi="Segoe UI" w:cs="Segoe UI"/>
          <w:sz w:val="24"/>
          <w:szCs w:val="24"/>
        </w:rPr>
        <w:t>are the Local Resilience Forums</w:t>
      </w:r>
      <w:r w:rsidR="000B42A5">
        <w:rPr>
          <w:rFonts w:ascii="Segoe UI" w:hAnsi="Segoe UI" w:cs="Segoe UI"/>
          <w:sz w:val="24"/>
          <w:szCs w:val="24"/>
        </w:rPr>
        <w:t xml:space="preserve"> (LRFs</w:t>
      </w:r>
      <w:r w:rsidR="00D55CF9">
        <w:rPr>
          <w:rFonts w:ascii="Segoe UI" w:hAnsi="Segoe UI" w:cs="Segoe UI"/>
          <w:sz w:val="24"/>
          <w:szCs w:val="24"/>
        </w:rPr>
        <w:t>)</w:t>
      </w:r>
      <w:r w:rsidRPr="00B74EF4">
        <w:rPr>
          <w:rFonts w:ascii="Segoe UI" w:hAnsi="Segoe UI" w:cs="Segoe UI"/>
          <w:sz w:val="24"/>
          <w:szCs w:val="24"/>
        </w:rPr>
        <w:t xml:space="preserve">, these are essential structures to facilitate Category One Responders to meet their duties under </w:t>
      </w:r>
      <w:r>
        <w:rPr>
          <w:rFonts w:ascii="Segoe UI" w:hAnsi="Segoe UI" w:cs="Segoe UI"/>
          <w:sz w:val="24"/>
          <w:szCs w:val="24"/>
        </w:rPr>
        <w:t>the CCA 2004</w:t>
      </w:r>
      <w:r w:rsidRPr="00B74EF4">
        <w:rPr>
          <w:rFonts w:ascii="Segoe UI" w:hAnsi="Segoe UI" w:cs="Segoe UI"/>
          <w:sz w:val="24"/>
          <w:szCs w:val="24"/>
        </w:rPr>
        <w:t xml:space="preserve">. ‘The role of Local Resilience Forums: A reference document’, Cabinet Office (2013) </w:t>
      </w:r>
      <w:r w:rsidR="00866069">
        <w:rPr>
          <w:rFonts w:ascii="Segoe UI" w:hAnsi="Segoe UI" w:cs="Segoe UI"/>
          <w:sz w:val="24"/>
          <w:szCs w:val="24"/>
        </w:rPr>
        <w:t xml:space="preserve">provides </w:t>
      </w:r>
      <w:r w:rsidRPr="00B74EF4">
        <w:rPr>
          <w:rFonts w:ascii="Segoe UI" w:hAnsi="Segoe UI" w:cs="Segoe UI"/>
          <w:sz w:val="24"/>
          <w:szCs w:val="24"/>
        </w:rPr>
        <w:t xml:space="preserve">further guidance which aims to provide clarification on the roles of the LRFs in relation to the duties within the Civil Contingencies Act 2004 and the Emergency Response &amp; Recovery (2013) guidance. </w:t>
      </w:r>
    </w:p>
    <w:p w14:paraId="04F8BD21" w14:textId="190E65FA" w:rsidR="00B74EF4" w:rsidRPr="00B74EF4" w:rsidRDefault="00B74EF4" w:rsidP="00B74EF4">
      <w:pPr>
        <w:rPr>
          <w:rFonts w:ascii="Segoe UI" w:hAnsi="Segoe UI" w:cs="Segoe UI"/>
          <w:sz w:val="24"/>
          <w:szCs w:val="24"/>
        </w:rPr>
      </w:pPr>
      <w:r w:rsidRPr="00B74EF4">
        <w:rPr>
          <w:rFonts w:ascii="Segoe UI" w:hAnsi="Segoe UI" w:cs="Segoe UI"/>
          <w:sz w:val="24"/>
          <w:szCs w:val="24"/>
        </w:rPr>
        <w:t xml:space="preserve">The Cabinet Office (2012) states “the LRF is the principal form of multi-agency co-operation in a local resilience area. Even so, the statutory duties fall on the individual local responders. The LRF is not a legal entity”. </w:t>
      </w:r>
      <w:r w:rsidR="000B42A5">
        <w:rPr>
          <w:rFonts w:ascii="Segoe UI" w:hAnsi="Segoe UI" w:cs="Segoe UI"/>
          <w:sz w:val="24"/>
          <w:szCs w:val="24"/>
        </w:rPr>
        <w:t>T</w:t>
      </w:r>
      <w:r w:rsidRPr="00B74EF4">
        <w:rPr>
          <w:rFonts w:ascii="Segoe UI" w:hAnsi="Segoe UI" w:cs="Segoe UI"/>
          <w:sz w:val="24"/>
          <w:szCs w:val="24"/>
        </w:rPr>
        <w:t xml:space="preserve">he LRF is a partnership, consisting of representatives from category one responders and category two responders, several subgroups within the LRF may also include representatives from local voluntary or </w:t>
      </w:r>
      <w:r w:rsidRPr="00B74EF4">
        <w:rPr>
          <w:rFonts w:ascii="Segoe UI" w:hAnsi="Segoe UI" w:cs="Segoe UI"/>
          <w:sz w:val="24"/>
          <w:szCs w:val="24"/>
        </w:rPr>
        <w:lastRenderedPageBreak/>
        <w:t xml:space="preserve">military organisations or relevant local businesses, such as Control of Major Accident Hazards (COMAH) site representatives attending risk management or major accident hazards subgroups in order to provide subject matter expertise to responding agencies and ensure that response plans are fit for purpose. </w:t>
      </w:r>
      <w:r w:rsidR="009810EE" w:rsidRPr="00B74EF4">
        <w:rPr>
          <w:rFonts w:ascii="Segoe UI" w:hAnsi="Segoe UI" w:cs="Segoe UI"/>
          <w:sz w:val="24"/>
          <w:szCs w:val="24"/>
        </w:rPr>
        <w:t>The Cabinet Office Emergency Preparedness (2012) Statutory guidance sets out a more detailed level of guidance regarding Local Resilience Forums and their role in supporting Category one and two responders to co-operate and co-ordinate.</w:t>
      </w:r>
    </w:p>
    <w:p w14:paraId="557C3F8D" w14:textId="77777777" w:rsidR="00B74EF4" w:rsidRDefault="00B74EF4" w:rsidP="00B74EF4">
      <w:pPr>
        <w:rPr>
          <w:rFonts w:ascii="Segoe UI" w:hAnsi="Segoe UI" w:cs="Segoe UI"/>
          <w:sz w:val="24"/>
          <w:szCs w:val="24"/>
        </w:rPr>
      </w:pPr>
      <w:r w:rsidRPr="00B74EF4">
        <w:rPr>
          <w:rFonts w:ascii="Segoe UI" w:hAnsi="Segoe UI" w:cs="Segoe UI"/>
          <w:sz w:val="24"/>
          <w:szCs w:val="24"/>
        </w:rPr>
        <w:t xml:space="preserve">As well as enabling multi-agency collaboration in developing plans, the LRF also acts as the principal mechanism for multi-agency training and exercising at the local level. This allows for continual identification of organisational and multi-agency learning to ensure plans are robust and fit for purpose.  </w:t>
      </w:r>
    </w:p>
    <w:p w14:paraId="6E8DD818" w14:textId="77777777" w:rsidR="00472F14" w:rsidRDefault="0044660D" w:rsidP="00472F14">
      <w:pPr>
        <w:rPr>
          <w:rFonts w:ascii="Segoe UI" w:hAnsi="Segoe UI" w:cs="Segoe UI"/>
          <w:sz w:val="24"/>
          <w:szCs w:val="24"/>
        </w:rPr>
      </w:pPr>
      <w:r w:rsidRPr="00B74EF4">
        <w:rPr>
          <w:rFonts w:ascii="Segoe UI" w:hAnsi="Segoe UI" w:cs="Segoe UI"/>
          <w:sz w:val="24"/>
          <w:szCs w:val="24"/>
        </w:rPr>
        <w:t xml:space="preserve">The LRFs allow for joint, interoperable working from the very early stages of planning and preparing, right through to response and recovery of emergencies at the local level and feed into the wider potential Government level preparedness and response.  Each LRF is aligned to the relevant police force area and within each one sits a variety of workstreams and subgroups, each aiming to bring together a collection of responders from all categories, to co-operate and co-ordinate in order to ensure robust multi-agency plans are developed which allow for interoperable working and minimise any potential barriers to responding to and recovering from an emergency or incident. </w:t>
      </w:r>
    </w:p>
    <w:p w14:paraId="277D360B" w14:textId="794FC20A" w:rsidR="0054425C" w:rsidRPr="00E50C06" w:rsidRDefault="00513508" w:rsidP="00472F14">
      <w:pPr>
        <w:rPr>
          <w:rFonts w:ascii="Segoe UI" w:hAnsi="Segoe UI" w:cs="Segoe UI"/>
          <w:b/>
          <w:bCs/>
          <w:sz w:val="24"/>
          <w:szCs w:val="24"/>
          <w:u w:val="single"/>
        </w:rPr>
      </w:pPr>
      <w:r w:rsidRPr="00E50C06">
        <w:rPr>
          <w:rFonts w:ascii="Segoe UI" w:hAnsi="Segoe UI" w:cs="Segoe UI"/>
          <w:b/>
          <w:bCs/>
          <w:sz w:val="24"/>
          <w:szCs w:val="24"/>
          <w:u w:val="single"/>
        </w:rPr>
        <w:t>Additional s</w:t>
      </w:r>
      <w:r w:rsidR="00472F14" w:rsidRPr="00E50C06">
        <w:rPr>
          <w:rFonts w:ascii="Segoe UI" w:eastAsia="Times New Roman" w:hAnsi="Segoe UI" w:cs="Segoe UI"/>
          <w:b/>
          <w:bCs/>
          <w:color w:val="283041"/>
          <w:kern w:val="0"/>
          <w:sz w:val="24"/>
          <w:szCs w:val="24"/>
          <w:u w:val="single"/>
          <w:shd w:val="clear" w:color="auto" w:fill="FFFFFF"/>
          <w:lang w:eastAsia="en-GB"/>
          <w14:ligatures w14:val="none"/>
        </w:rPr>
        <w:t>upporting guidance</w:t>
      </w:r>
    </w:p>
    <w:p w14:paraId="1A9EF6A4" w14:textId="24568D73" w:rsidR="00B74EF4" w:rsidRPr="00B74EF4" w:rsidRDefault="00B74EF4" w:rsidP="00B74EF4">
      <w:pPr>
        <w:rPr>
          <w:rFonts w:ascii="Segoe UI" w:hAnsi="Segoe UI" w:cs="Segoe UI"/>
          <w:sz w:val="24"/>
          <w:szCs w:val="24"/>
        </w:rPr>
      </w:pPr>
      <w:r w:rsidRPr="00B74EF4">
        <w:rPr>
          <w:rFonts w:ascii="Segoe UI" w:hAnsi="Segoe UI" w:cs="Segoe UI"/>
          <w:sz w:val="24"/>
          <w:szCs w:val="24"/>
        </w:rPr>
        <w:t xml:space="preserve">JESIP (2024) states “the Act should be viewed in the wider context of the almost universally adopted concept of Integrated Emergency Management (IEM)”. IEM provides a structured approach to mitigating, preparing for and responding to emergencies. It consists of six stages: anticipation, assessment, prevention, preparation, response &amp; recovery. It is this process that both the Emergency Preparedness and Emergency Response &amp; Recovery guidance addresses, Emergency Preparedness covers the first four steps of the IEM whilst Emergency Response &amp; Recovery addresses the remaining two stages. Under the IEM focus is more specifically on the common consequences of an emergency occurring, as opposed to the cause of them. This allows for adaptable, more generic plans and arrangements to be developed, rather than attempting to plan for every eventuality, this approach is supported by Emergency Response and Recovery, Cabinet Office (2013) which states that there is not “one single set of organisational arrangements that will be appropriate to each and every type of emergency”. </w:t>
      </w:r>
    </w:p>
    <w:p w14:paraId="5F68B310" w14:textId="7A82AA2F" w:rsidR="00B74EF4" w:rsidRPr="00B74EF4" w:rsidRDefault="00B74EF4" w:rsidP="00B74EF4">
      <w:pPr>
        <w:rPr>
          <w:rFonts w:ascii="Segoe UI" w:hAnsi="Segoe UI" w:cs="Segoe UI"/>
          <w:sz w:val="24"/>
          <w:szCs w:val="24"/>
        </w:rPr>
      </w:pPr>
      <w:r w:rsidRPr="00B74EF4">
        <w:rPr>
          <w:rFonts w:ascii="Segoe UI" w:hAnsi="Segoe UI" w:cs="Segoe UI"/>
          <w:sz w:val="24"/>
          <w:szCs w:val="24"/>
        </w:rPr>
        <w:t xml:space="preserve">The Amber Book: Managing Crisis in Central Government, UK Government (2025) has replaced the Government Concept of Operations which was originally approved in 2005. This sets out the framework that underpins UK Central Government’s response </w:t>
      </w:r>
      <w:r w:rsidRPr="00B74EF4">
        <w:rPr>
          <w:rFonts w:ascii="Segoe UI" w:hAnsi="Segoe UI" w:cs="Segoe UI"/>
          <w:sz w:val="24"/>
          <w:szCs w:val="24"/>
        </w:rPr>
        <w:lastRenderedPageBreak/>
        <w:t xml:space="preserve">to a crisis that requires co-ordinated Government action. This document primarily focusses on the response phase of the IEM cycle and details the Management System required to deal with emergencies of various scales, including references to the response structures of </w:t>
      </w:r>
      <w:r w:rsidR="00F153D2">
        <w:rPr>
          <w:rFonts w:ascii="Segoe UI" w:hAnsi="Segoe UI" w:cs="Segoe UI"/>
          <w:sz w:val="24"/>
          <w:szCs w:val="24"/>
        </w:rPr>
        <w:t>L</w:t>
      </w:r>
      <w:r w:rsidRPr="00B74EF4">
        <w:rPr>
          <w:rFonts w:ascii="Segoe UI" w:hAnsi="Segoe UI" w:cs="Segoe UI"/>
          <w:sz w:val="24"/>
          <w:szCs w:val="24"/>
        </w:rPr>
        <w:t xml:space="preserve">ead </w:t>
      </w:r>
      <w:r w:rsidR="00F153D2">
        <w:rPr>
          <w:rFonts w:ascii="Segoe UI" w:hAnsi="Segoe UI" w:cs="Segoe UI"/>
          <w:sz w:val="24"/>
          <w:szCs w:val="24"/>
        </w:rPr>
        <w:t>G</w:t>
      </w:r>
      <w:r w:rsidRPr="00B74EF4">
        <w:rPr>
          <w:rFonts w:ascii="Segoe UI" w:hAnsi="Segoe UI" w:cs="Segoe UI"/>
          <w:sz w:val="24"/>
          <w:szCs w:val="24"/>
        </w:rPr>
        <w:t xml:space="preserve">overnment </w:t>
      </w:r>
      <w:r w:rsidR="00F153D2">
        <w:rPr>
          <w:rFonts w:ascii="Segoe UI" w:hAnsi="Segoe UI" w:cs="Segoe UI"/>
          <w:sz w:val="24"/>
          <w:szCs w:val="24"/>
        </w:rPr>
        <w:t>D</w:t>
      </w:r>
      <w:r w:rsidRPr="00B74EF4">
        <w:rPr>
          <w:rFonts w:ascii="Segoe UI" w:hAnsi="Segoe UI" w:cs="Segoe UI"/>
          <w:sz w:val="24"/>
          <w:szCs w:val="24"/>
        </w:rPr>
        <w:t xml:space="preserve">epartments (LGD’s), the activation of the Cabinet Office Briefing Rooms (COBR) and the thresholds to be met </w:t>
      </w:r>
      <w:proofErr w:type="gramStart"/>
      <w:r w:rsidRPr="00B74EF4">
        <w:rPr>
          <w:rFonts w:ascii="Segoe UI" w:hAnsi="Segoe UI" w:cs="Segoe UI"/>
          <w:sz w:val="24"/>
          <w:szCs w:val="24"/>
        </w:rPr>
        <w:t>in order to</w:t>
      </w:r>
      <w:proofErr w:type="gramEnd"/>
      <w:r w:rsidRPr="00B74EF4">
        <w:rPr>
          <w:rFonts w:ascii="Segoe UI" w:hAnsi="Segoe UI" w:cs="Segoe UI"/>
          <w:sz w:val="24"/>
          <w:szCs w:val="24"/>
        </w:rPr>
        <w:t xml:space="preserve"> implement these structures. This document has assisted with the transformation of the landscape of emergency preparedness and civil protection in the United Kingdom by providing further clarity and information pertaining to larger scale emergencies and the subsequent responses. </w:t>
      </w:r>
      <w:proofErr w:type="gramStart"/>
      <w:r w:rsidRPr="00B74EF4">
        <w:rPr>
          <w:rFonts w:ascii="Segoe UI" w:hAnsi="Segoe UI" w:cs="Segoe UI"/>
          <w:sz w:val="24"/>
          <w:szCs w:val="24"/>
        </w:rPr>
        <w:t>Having an understanding of</w:t>
      </w:r>
      <w:proofErr w:type="gramEnd"/>
      <w:r w:rsidRPr="00B74EF4">
        <w:rPr>
          <w:rFonts w:ascii="Segoe UI" w:hAnsi="Segoe UI" w:cs="Segoe UI"/>
          <w:sz w:val="24"/>
          <w:szCs w:val="24"/>
        </w:rPr>
        <w:t xml:space="preserve"> the various structures that can be enacted and how these interlink with local response structures enables better planning and preparedness at the local level. </w:t>
      </w:r>
    </w:p>
    <w:p w14:paraId="4EAA6393" w14:textId="556F17A5" w:rsidR="00B74EF4" w:rsidRPr="003356F2" w:rsidRDefault="00B74EF4" w:rsidP="00B74EF4">
      <w:pPr>
        <w:rPr>
          <w:rFonts w:ascii="Segoe UI" w:hAnsi="Segoe UI" w:cs="Segoe UI"/>
          <w:sz w:val="24"/>
          <w:szCs w:val="24"/>
        </w:rPr>
      </w:pPr>
      <w:proofErr w:type="gramStart"/>
      <w:r w:rsidRPr="00B74EF4">
        <w:rPr>
          <w:rFonts w:ascii="Segoe UI" w:hAnsi="Segoe UI" w:cs="Segoe UI"/>
          <w:sz w:val="24"/>
          <w:szCs w:val="24"/>
        </w:rPr>
        <w:t>Specifically</w:t>
      </w:r>
      <w:proofErr w:type="gramEnd"/>
      <w:r w:rsidRPr="00B74EF4">
        <w:rPr>
          <w:rFonts w:ascii="Segoe UI" w:hAnsi="Segoe UI" w:cs="Segoe UI"/>
          <w:sz w:val="24"/>
          <w:szCs w:val="24"/>
        </w:rPr>
        <w:t xml:space="preserve"> </w:t>
      </w:r>
      <w:r w:rsidR="00A95A58">
        <w:rPr>
          <w:rFonts w:ascii="Segoe UI" w:hAnsi="Segoe UI" w:cs="Segoe UI"/>
          <w:sz w:val="24"/>
          <w:szCs w:val="24"/>
        </w:rPr>
        <w:t>to</w:t>
      </w:r>
      <w:r w:rsidRPr="00B74EF4">
        <w:rPr>
          <w:rFonts w:ascii="Segoe UI" w:hAnsi="Segoe UI" w:cs="Segoe UI"/>
          <w:sz w:val="24"/>
          <w:szCs w:val="24"/>
        </w:rPr>
        <w:t xml:space="preserve"> Wales </w:t>
      </w:r>
      <w:r w:rsidR="00A95A58">
        <w:rPr>
          <w:rFonts w:ascii="Segoe UI" w:hAnsi="Segoe UI" w:cs="Segoe UI"/>
          <w:sz w:val="24"/>
          <w:szCs w:val="24"/>
        </w:rPr>
        <w:t xml:space="preserve">there is </w:t>
      </w:r>
      <w:r w:rsidRPr="00B74EF4">
        <w:rPr>
          <w:rFonts w:ascii="Segoe UI" w:hAnsi="Segoe UI" w:cs="Segoe UI"/>
          <w:sz w:val="24"/>
          <w:szCs w:val="24"/>
        </w:rPr>
        <w:t xml:space="preserve">the ‘Pan Wales Response Plan’ which details Welsh </w:t>
      </w:r>
      <w:r w:rsidR="00A95A58">
        <w:rPr>
          <w:rFonts w:ascii="Segoe UI" w:hAnsi="Segoe UI" w:cs="Segoe UI"/>
          <w:sz w:val="24"/>
          <w:szCs w:val="24"/>
        </w:rPr>
        <w:t>G</w:t>
      </w:r>
      <w:r w:rsidRPr="00B74EF4">
        <w:rPr>
          <w:rFonts w:ascii="Segoe UI" w:hAnsi="Segoe UI" w:cs="Segoe UI"/>
          <w:sz w:val="24"/>
          <w:szCs w:val="24"/>
        </w:rPr>
        <w:t xml:space="preserve">overnment response structures and frameworks aligned with the devolved administration in Wales and how this interlinks with the National Government response. This document is currently under </w:t>
      </w:r>
      <w:proofErr w:type="gramStart"/>
      <w:r w:rsidR="003356F2" w:rsidRPr="00B74EF4">
        <w:rPr>
          <w:rFonts w:ascii="Segoe UI" w:hAnsi="Segoe UI" w:cs="Segoe UI"/>
          <w:sz w:val="24"/>
          <w:szCs w:val="24"/>
        </w:rPr>
        <w:t>review</w:t>
      </w:r>
      <w:r w:rsidR="003356F2">
        <w:rPr>
          <w:rFonts w:ascii="Segoe UI" w:hAnsi="Segoe UI" w:cs="Segoe UI"/>
          <w:sz w:val="24"/>
          <w:szCs w:val="24"/>
        </w:rPr>
        <w:t>,</w:t>
      </w:r>
      <w:proofErr w:type="gramEnd"/>
      <w:r w:rsidRPr="00B74EF4">
        <w:rPr>
          <w:rFonts w:ascii="Segoe UI" w:hAnsi="Segoe UI" w:cs="Segoe UI"/>
          <w:sz w:val="24"/>
          <w:szCs w:val="24"/>
        </w:rPr>
        <w:t xml:space="preserve"> however it is particularly relevant and useful for those who work in emergency preparedness and civil protection within Wales due to the nuances and intricacies of a devolved administration. </w:t>
      </w:r>
    </w:p>
    <w:p w14:paraId="0919F231" w14:textId="77777777" w:rsidR="003667FB" w:rsidRDefault="003667FB" w:rsidP="00B74EF4">
      <w:pPr>
        <w:rPr>
          <w:rFonts w:ascii="Segoe UI" w:hAnsi="Segoe UI" w:cs="Segoe UI"/>
          <w:sz w:val="24"/>
          <w:szCs w:val="24"/>
        </w:rPr>
      </w:pPr>
    </w:p>
    <w:p w14:paraId="46DC4D06" w14:textId="5C75F7C3" w:rsidR="003667FB" w:rsidRPr="009B326C" w:rsidRDefault="003667FB" w:rsidP="00B74EF4">
      <w:pPr>
        <w:rPr>
          <w:rFonts w:ascii="Segoe UI" w:hAnsi="Segoe UI" w:cs="Segoe UI"/>
          <w:b/>
          <w:bCs/>
          <w:sz w:val="24"/>
          <w:szCs w:val="24"/>
          <w:u w:val="single"/>
        </w:rPr>
      </w:pPr>
      <w:r w:rsidRPr="009B326C">
        <w:rPr>
          <w:rFonts w:ascii="Segoe UI" w:hAnsi="Segoe UI" w:cs="Segoe UI"/>
          <w:b/>
          <w:bCs/>
          <w:sz w:val="24"/>
          <w:szCs w:val="24"/>
          <w:u w:val="single"/>
        </w:rPr>
        <w:t xml:space="preserve">How effective is the Civil Contingencies Act 2004 </w:t>
      </w:r>
      <w:r w:rsidR="00D328F3" w:rsidRPr="009B326C">
        <w:rPr>
          <w:rFonts w:ascii="Segoe UI" w:hAnsi="Segoe UI" w:cs="Segoe UI"/>
          <w:b/>
          <w:bCs/>
          <w:sz w:val="24"/>
          <w:szCs w:val="24"/>
          <w:u w:val="single"/>
        </w:rPr>
        <w:t>in improving preparedness across the United Kingdom?</w:t>
      </w:r>
    </w:p>
    <w:p w14:paraId="79BAD46B" w14:textId="436CFABF" w:rsidR="00B74EF4" w:rsidRPr="00B74EF4" w:rsidRDefault="00B74EF4" w:rsidP="00B74EF4">
      <w:pPr>
        <w:rPr>
          <w:rFonts w:ascii="Segoe UI" w:hAnsi="Segoe UI" w:cs="Segoe UI"/>
          <w:sz w:val="24"/>
          <w:szCs w:val="24"/>
        </w:rPr>
      </w:pPr>
      <w:r w:rsidRPr="00B74EF4">
        <w:rPr>
          <w:rFonts w:ascii="Segoe UI" w:hAnsi="Segoe UI" w:cs="Segoe UI"/>
          <w:sz w:val="24"/>
          <w:szCs w:val="24"/>
        </w:rPr>
        <w:t xml:space="preserve">There is only so far that a single piece of legislation can go in terms of leading to improved preparedness across the United Kingdom, as evidenced by the multitude of supporting guidance, both statutory and non-statutory, developed to be used by emergency planning practitioners and organisations alongside the Civil Contingencies Act 2004. </w:t>
      </w:r>
      <w:proofErr w:type="gramStart"/>
      <w:r w:rsidRPr="00B74EF4">
        <w:rPr>
          <w:rFonts w:ascii="Segoe UI" w:hAnsi="Segoe UI" w:cs="Segoe UI"/>
          <w:sz w:val="24"/>
          <w:szCs w:val="24"/>
        </w:rPr>
        <w:t>That being said, there</w:t>
      </w:r>
      <w:proofErr w:type="gramEnd"/>
      <w:r w:rsidRPr="00B74EF4">
        <w:rPr>
          <w:rFonts w:ascii="Segoe UI" w:hAnsi="Segoe UI" w:cs="Segoe UI"/>
          <w:sz w:val="24"/>
          <w:szCs w:val="24"/>
        </w:rPr>
        <w:t xml:space="preserve"> are several structures, working practices and processes that have been implemented as a direct result of the </w:t>
      </w:r>
      <w:r w:rsidR="001E3E70">
        <w:rPr>
          <w:rFonts w:ascii="Segoe UI" w:hAnsi="Segoe UI" w:cs="Segoe UI"/>
          <w:sz w:val="24"/>
          <w:szCs w:val="24"/>
        </w:rPr>
        <w:t>CCA 2004</w:t>
      </w:r>
      <w:r w:rsidRPr="00B74EF4">
        <w:rPr>
          <w:rFonts w:ascii="Segoe UI" w:hAnsi="Segoe UI" w:cs="Segoe UI"/>
          <w:sz w:val="24"/>
          <w:szCs w:val="24"/>
        </w:rPr>
        <w:t xml:space="preserve"> which have led to improved preparedness and are now embedded as recognised best practice across organisations within the United Kingdom. There could be an argument that the majority of these are as a direct result of the need for category one responders to address and meet the duties set out within the </w:t>
      </w:r>
      <w:r w:rsidR="00E01778">
        <w:rPr>
          <w:rFonts w:ascii="Segoe UI" w:hAnsi="Segoe UI" w:cs="Segoe UI"/>
          <w:sz w:val="24"/>
          <w:szCs w:val="24"/>
        </w:rPr>
        <w:t xml:space="preserve">Civil Contingencies </w:t>
      </w:r>
      <w:r w:rsidRPr="00B74EF4">
        <w:rPr>
          <w:rFonts w:ascii="Segoe UI" w:hAnsi="Segoe UI" w:cs="Segoe UI"/>
          <w:sz w:val="24"/>
          <w:szCs w:val="24"/>
        </w:rPr>
        <w:t>Act</w:t>
      </w:r>
      <w:r w:rsidR="00E01778">
        <w:rPr>
          <w:rFonts w:ascii="Segoe UI" w:hAnsi="Segoe UI" w:cs="Segoe UI"/>
          <w:sz w:val="24"/>
          <w:szCs w:val="24"/>
        </w:rPr>
        <w:t xml:space="preserve"> 2004</w:t>
      </w:r>
      <w:r w:rsidRPr="00B74EF4">
        <w:rPr>
          <w:rFonts w:ascii="Segoe UI" w:hAnsi="Segoe UI" w:cs="Segoe UI"/>
          <w:sz w:val="24"/>
          <w:szCs w:val="24"/>
        </w:rPr>
        <w:t xml:space="preserve">. </w:t>
      </w:r>
    </w:p>
    <w:p w14:paraId="0F73FACB" w14:textId="60F9310D" w:rsidR="00B74EF4" w:rsidRPr="00B74EF4" w:rsidRDefault="000D1BCC" w:rsidP="00B74EF4">
      <w:pPr>
        <w:rPr>
          <w:rFonts w:ascii="Segoe UI" w:hAnsi="Segoe UI" w:cs="Segoe UI"/>
          <w:sz w:val="24"/>
          <w:szCs w:val="24"/>
        </w:rPr>
      </w:pPr>
      <w:r>
        <w:rPr>
          <w:rFonts w:ascii="Segoe UI" w:hAnsi="Segoe UI" w:cs="Segoe UI"/>
          <w:sz w:val="24"/>
          <w:szCs w:val="24"/>
        </w:rPr>
        <w:t xml:space="preserve">The National Preparedness Commission is an independent and non-political body, which is not formally recognised by the UK Government. </w:t>
      </w:r>
      <w:r w:rsidR="004B0473">
        <w:rPr>
          <w:rFonts w:ascii="Segoe UI" w:hAnsi="Segoe UI" w:cs="Segoe UI"/>
          <w:sz w:val="24"/>
          <w:szCs w:val="24"/>
        </w:rPr>
        <w:t>I</w:t>
      </w:r>
      <w:r w:rsidR="00E7756B">
        <w:rPr>
          <w:rFonts w:ascii="Segoe UI" w:hAnsi="Segoe UI" w:cs="Segoe UI"/>
          <w:sz w:val="24"/>
          <w:szCs w:val="24"/>
        </w:rPr>
        <w:t xml:space="preserve">n its independent review of the Civil Contingencies Act 2004, which </w:t>
      </w:r>
      <w:r w:rsidR="001615CF">
        <w:rPr>
          <w:rFonts w:ascii="Segoe UI" w:hAnsi="Segoe UI" w:cs="Segoe UI"/>
          <w:sz w:val="24"/>
          <w:szCs w:val="24"/>
        </w:rPr>
        <w:t xml:space="preserve">was published in </w:t>
      </w:r>
      <w:r w:rsidR="00E7756B">
        <w:rPr>
          <w:rFonts w:ascii="Segoe UI" w:hAnsi="Segoe UI" w:cs="Segoe UI"/>
          <w:sz w:val="24"/>
          <w:szCs w:val="24"/>
        </w:rPr>
        <w:t>2022, it stated</w:t>
      </w:r>
      <w:r w:rsidR="00B74EF4" w:rsidRPr="00B74EF4">
        <w:rPr>
          <w:rFonts w:ascii="Segoe UI" w:hAnsi="Segoe UI" w:cs="Segoe UI"/>
          <w:sz w:val="24"/>
          <w:szCs w:val="24"/>
        </w:rPr>
        <w:t xml:space="preserve"> “The Act and the transformed resilience arrangements it introduced were a vital step down the road to building a Resilient Nation”.</w:t>
      </w:r>
      <w:r w:rsidR="00303D08">
        <w:rPr>
          <w:rFonts w:ascii="Segoe UI" w:hAnsi="Segoe UI" w:cs="Segoe UI"/>
          <w:sz w:val="24"/>
          <w:szCs w:val="24"/>
        </w:rPr>
        <w:t xml:space="preserve"> </w:t>
      </w:r>
      <w:r w:rsidR="0085751C">
        <w:rPr>
          <w:rFonts w:ascii="Segoe UI" w:hAnsi="Segoe UI" w:cs="Segoe UI"/>
          <w:sz w:val="24"/>
          <w:szCs w:val="24"/>
        </w:rPr>
        <w:t xml:space="preserve">This </w:t>
      </w:r>
      <w:r w:rsidR="00B74EF4" w:rsidRPr="00B74EF4">
        <w:rPr>
          <w:rFonts w:ascii="Segoe UI" w:hAnsi="Segoe UI" w:cs="Segoe UI"/>
          <w:sz w:val="24"/>
          <w:szCs w:val="24"/>
        </w:rPr>
        <w:t>supports the view that</w:t>
      </w:r>
      <w:r w:rsidR="00B74EF4" w:rsidRPr="00B74EF4">
        <w:rPr>
          <w:sz w:val="24"/>
          <w:szCs w:val="24"/>
        </w:rPr>
        <w:t xml:space="preserve"> </w:t>
      </w:r>
      <w:r w:rsidR="00B74EF4" w:rsidRPr="00B74EF4">
        <w:t>t</w:t>
      </w:r>
      <w:r w:rsidR="00B74EF4" w:rsidRPr="00B74EF4">
        <w:rPr>
          <w:rFonts w:ascii="Segoe UI" w:hAnsi="Segoe UI" w:cs="Segoe UI"/>
          <w:sz w:val="24"/>
          <w:szCs w:val="24"/>
        </w:rPr>
        <w:t xml:space="preserve">here are many processes and best practices that have been implemented </w:t>
      </w:r>
      <w:proofErr w:type="gramStart"/>
      <w:r w:rsidR="00B74EF4" w:rsidRPr="00B74EF4">
        <w:rPr>
          <w:rFonts w:ascii="Segoe UI" w:hAnsi="Segoe UI" w:cs="Segoe UI"/>
          <w:sz w:val="24"/>
          <w:szCs w:val="24"/>
        </w:rPr>
        <w:t>as a result of</w:t>
      </w:r>
      <w:proofErr w:type="gramEnd"/>
      <w:r w:rsidR="00B74EF4" w:rsidRPr="00B74EF4">
        <w:rPr>
          <w:rFonts w:ascii="Segoe UI" w:hAnsi="Segoe UI" w:cs="Segoe UI"/>
          <w:sz w:val="24"/>
          <w:szCs w:val="24"/>
        </w:rPr>
        <w:t xml:space="preserve"> the need to meet the duties under the Civil Contingencies Act 2004, these practices support the </w:t>
      </w:r>
      <w:r w:rsidR="00B74EF4" w:rsidRPr="00B74EF4">
        <w:rPr>
          <w:rFonts w:ascii="Segoe UI" w:hAnsi="Segoe UI" w:cs="Segoe UI"/>
          <w:sz w:val="24"/>
          <w:szCs w:val="24"/>
        </w:rPr>
        <w:lastRenderedPageBreak/>
        <w:t xml:space="preserve">effectiveness of the </w:t>
      </w:r>
      <w:r w:rsidR="00E01778">
        <w:rPr>
          <w:rFonts w:ascii="Segoe UI" w:hAnsi="Segoe UI" w:cs="Segoe UI"/>
          <w:sz w:val="24"/>
          <w:szCs w:val="24"/>
        </w:rPr>
        <w:t>CCA 2004</w:t>
      </w:r>
      <w:r w:rsidR="00B74EF4" w:rsidRPr="00B74EF4">
        <w:rPr>
          <w:rFonts w:ascii="Segoe UI" w:hAnsi="Segoe UI" w:cs="Segoe UI"/>
          <w:sz w:val="24"/>
          <w:szCs w:val="24"/>
        </w:rPr>
        <w:t xml:space="preserve"> when it comes to improving preparedness across the United Kingdom. </w:t>
      </w:r>
    </w:p>
    <w:p w14:paraId="41DB4D89" w14:textId="72530475" w:rsidR="00B74EF4" w:rsidRPr="00B74EF4" w:rsidRDefault="00B74EF4" w:rsidP="00B74EF4">
      <w:pPr>
        <w:rPr>
          <w:rFonts w:ascii="Segoe UI" w:hAnsi="Segoe UI" w:cs="Segoe UI"/>
          <w:sz w:val="24"/>
          <w:szCs w:val="24"/>
        </w:rPr>
      </w:pPr>
      <w:r w:rsidRPr="00B74EF4">
        <w:rPr>
          <w:rFonts w:ascii="Segoe UI" w:hAnsi="Segoe UI" w:cs="Segoe UI"/>
          <w:sz w:val="24"/>
          <w:szCs w:val="24"/>
        </w:rPr>
        <w:t xml:space="preserve">One of these key work streams which addresses the Civil Contingencies Act </w:t>
      </w:r>
      <w:r w:rsidR="00893C53">
        <w:rPr>
          <w:rFonts w:ascii="Segoe UI" w:hAnsi="Segoe UI" w:cs="Segoe UI"/>
          <w:sz w:val="24"/>
          <w:szCs w:val="24"/>
        </w:rPr>
        <w:t xml:space="preserve">2004 </w:t>
      </w:r>
      <w:r w:rsidRPr="00B74EF4">
        <w:rPr>
          <w:rFonts w:ascii="Segoe UI" w:hAnsi="Segoe UI" w:cs="Segoe UI"/>
          <w:sz w:val="24"/>
          <w:szCs w:val="24"/>
        </w:rPr>
        <w:t xml:space="preserve">duty of undertaking risk assessments and feeds into individual organisations planning and preparedness is risk management. The United Kingdom has a National Risk Register, </w:t>
      </w:r>
      <w:r w:rsidR="00B968FA">
        <w:rPr>
          <w:rFonts w:ascii="Segoe UI" w:hAnsi="Segoe UI" w:cs="Segoe UI"/>
          <w:sz w:val="24"/>
          <w:szCs w:val="24"/>
        </w:rPr>
        <w:t xml:space="preserve">which is </w:t>
      </w:r>
      <w:r w:rsidR="00B968FA" w:rsidRPr="00AA6C63">
        <w:rPr>
          <w:rFonts w:ascii="Segoe UI" w:hAnsi="Segoe UI" w:cs="Segoe UI"/>
          <w:sz w:val="28"/>
          <w:szCs w:val="28"/>
        </w:rPr>
        <w:t>“</w:t>
      </w:r>
      <w:r w:rsidR="00B968FA" w:rsidRPr="00AA6C63">
        <w:rPr>
          <w:rFonts w:ascii="Segoe UI" w:hAnsi="Segoe UI" w:cs="Segoe UI"/>
          <w:sz w:val="24"/>
          <w:szCs w:val="24"/>
        </w:rPr>
        <w:t>based directly on the internal, classified National Security Risk Assessment, which has now shifted to a dynamic assessment process” (</w:t>
      </w:r>
      <w:r w:rsidR="00AA6C63" w:rsidRPr="00AA6C63">
        <w:rPr>
          <w:rFonts w:ascii="Segoe UI" w:hAnsi="Segoe UI" w:cs="Segoe UI"/>
          <w:sz w:val="24"/>
          <w:szCs w:val="24"/>
        </w:rPr>
        <w:t>McFadden P. National Risk Register, 2025, p.4)</w:t>
      </w:r>
      <w:r w:rsidR="008A7CC8">
        <w:rPr>
          <w:rFonts w:ascii="Segoe UI" w:hAnsi="Segoe UI" w:cs="Segoe UI"/>
          <w:sz w:val="24"/>
          <w:szCs w:val="24"/>
        </w:rPr>
        <w:t xml:space="preserve">. </w:t>
      </w:r>
      <w:r w:rsidR="005F369B">
        <w:rPr>
          <w:rFonts w:ascii="Segoe UI" w:hAnsi="Segoe UI" w:cs="Segoe UI"/>
          <w:sz w:val="24"/>
          <w:szCs w:val="24"/>
        </w:rPr>
        <w:t>S</w:t>
      </w:r>
      <w:r w:rsidR="005F369B" w:rsidRPr="00B74EF4">
        <w:rPr>
          <w:rFonts w:ascii="Segoe UI" w:hAnsi="Segoe UI" w:cs="Segoe UI"/>
          <w:sz w:val="24"/>
          <w:szCs w:val="24"/>
        </w:rPr>
        <w:t>pecifically,</w:t>
      </w:r>
      <w:r w:rsidRPr="00B74EF4">
        <w:rPr>
          <w:rFonts w:ascii="Segoe UI" w:hAnsi="Segoe UI" w:cs="Segoe UI"/>
          <w:sz w:val="24"/>
          <w:szCs w:val="24"/>
        </w:rPr>
        <w:t xml:space="preserve"> </w:t>
      </w:r>
      <w:r w:rsidR="008A7CC8">
        <w:rPr>
          <w:rFonts w:ascii="Segoe UI" w:hAnsi="Segoe UI" w:cs="Segoe UI"/>
          <w:sz w:val="24"/>
          <w:szCs w:val="24"/>
        </w:rPr>
        <w:t xml:space="preserve">to </w:t>
      </w:r>
      <w:r w:rsidRPr="00B74EF4">
        <w:rPr>
          <w:rFonts w:ascii="Segoe UI" w:hAnsi="Segoe UI" w:cs="Segoe UI"/>
          <w:sz w:val="24"/>
          <w:szCs w:val="24"/>
        </w:rPr>
        <w:t xml:space="preserve">Wales there is </w:t>
      </w:r>
      <w:r w:rsidR="00D03776">
        <w:rPr>
          <w:rFonts w:ascii="Segoe UI" w:hAnsi="Segoe UI" w:cs="Segoe UI"/>
          <w:sz w:val="24"/>
          <w:szCs w:val="24"/>
        </w:rPr>
        <w:t>t</w:t>
      </w:r>
      <w:r w:rsidRPr="00B74EF4">
        <w:rPr>
          <w:rFonts w:ascii="Segoe UI" w:hAnsi="Segoe UI" w:cs="Segoe UI"/>
          <w:sz w:val="24"/>
          <w:szCs w:val="24"/>
        </w:rPr>
        <w:t>he Wales Risk Register, which is derived from the national one, with a focus on specific risks found in Wales, whether that is due to the environment (coal spoil tips) or infrastructure (A55 tunnels in North Wales). Th</w:t>
      </w:r>
      <w:r w:rsidR="008A7CC8">
        <w:rPr>
          <w:rFonts w:ascii="Segoe UI" w:hAnsi="Segoe UI" w:cs="Segoe UI"/>
          <w:sz w:val="24"/>
          <w:szCs w:val="24"/>
        </w:rPr>
        <w:t>e</w:t>
      </w:r>
      <w:r w:rsidRPr="00B74EF4">
        <w:rPr>
          <w:rFonts w:ascii="Segoe UI" w:hAnsi="Segoe UI" w:cs="Segoe UI"/>
          <w:sz w:val="24"/>
          <w:szCs w:val="24"/>
        </w:rPr>
        <w:t>s</w:t>
      </w:r>
      <w:r w:rsidR="008A7CC8">
        <w:rPr>
          <w:rFonts w:ascii="Segoe UI" w:hAnsi="Segoe UI" w:cs="Segoe UI"/>
          <w:sz w:val="24"/>
          <w:szCs w:val="24"/>
        </w:rPr>
        <w:t>e</w:t>
      </w:r>
      <w:r w:rsidRPr="00B74EF4">
        <w:rPr>
          <w:rFonts w:ascii="Segoe UI" w:hAnsi="Segoe UI" w:cs="Segoe UI"/>
          <w:sz w:val="24"/>
          <w:szCs w:val="24"/>
        </w:rPr>
        <w:t xml:space="preserve"> document</w:t>
      </w:r>
      <w:r w:rsidR="008A7CC8">
        <w:rPr>
          <w:rFonts w:ascii="Segoe UI" w:hAnsi="Segoe UI" w:cs="Segoe UI"/>
          <w:sz w:val="24"/>
          <w:szCs w:val="24"/>
        </w:rPr>
        <w:t>s</w:t>
      </w:r>
      <w:r w:rsidRPr="00B74EF4">
        <w:rPr>
          <w:rFonts w:ascii="Segoe UI" w:hAnsi="Segoe UI" w:cs="Segoe UI"/>
          <w:sz w:val="24"/>
          <w:szCs w:val="24"/>
        </w:rPr>
        <w:t xml:space="preserve"> provide an </w:t>
      </w:r>
      <w:r w:rsidR="00513508">
        <w:rPr>
          <w:rFonts w:ascii="Segoe UI" w:hAnsi="Segoe UI" w:cs="Segoe UI"/>
          <w:sz w:val="24"/>
          <w:szCs w:val="24"/>
        </w:rPr>
        <w:t>evidence-based</w:t>
      </w:r>
      <w:r w:rsidR="008A7CC8">
        <w:rPr>
          <w:rFonts w:ascii="Segoe UI" w:hAnsi="Segoe UI" w:cs="Segoe UI"/>
          <w:sz w:val="24"/>
          <w:szCs w:val="24"/>
        </w:rPr>
        <w:t xml:space="preserve"> a</w:t>
      </w:r>
      <w:r w:rsidRPr="00B74EF4">
        <w:rPr>
          <w:rFonts w:ascii="Segoe UI" w:hAnsi="Segoe UI" w:cs="Segoe UI"/>
          <w:sz w:val="24"/>
          <w:szCs w:val="24"/>
        </w:rPr>
        <w:t>ssessment of civil protection risks</w:t>
      </w:r>
      <w:r w:rsidR="00961964">
        <w:rPr>
          <w:rFonts w:ascii="Segoe UI" w:hAnsi="Segoe UI" w:cs="Segoe UI"/>
          <w:sz w:val="24"/>
          <w:szCs w:val="24"/>
        </w:rPr>
        <w:t>, allowing</w:t>
      </w:r>
      <w:r w:rsidRPr="00B74EF4">
        <w:rPr>
          <w:rFonts w:ascii="Segoe UI" w:hAnsi="Segoe UI" w:cs="Segoe UI"/>
          <w:sz w:val="24"/>
          <w:szCs w:val="24"/>
        </w:rPr>
        <w:t xml:space="preserve"> organisations and LRF partnerships to anticipate likely emergency scenarios that will affect their area </w:t>
      </w:r>
      <w:proofErr w:type="gramStart"/>
      <w:r w:rsidRPr="00B74EF4">
        <w:rPr>
          <w:rFonts w:ascii="Segoe UI" w:hAnsi="Segoe UI" w:cs="Segoe UI"/>
          <w:sz w:val="24"/>
          <w:szCs w:val="24"/>
        </w:rPr>
        <w:t>in order to</w:t>
      </w:r>
      <w:proofErr w:type="gramEnd"/>
      <w:r w:rsidRPr="00B74EF4">
        <w:rPr>
          <w:rFonts w:ascii="Segoe UI" w:hAnsi="Segoe UI" w:cs="Segoe UI"/>
          <w:sz w:val="24"/>
          <w:szCs w:val="24"/>
        </w:rPr>
        <w:t xml:space="preserve"> prepare and plan for them, both individually and through multi-agency collaboration, thus improving emergency preparedness at all levels across the United Kingdom. </w:t>
      </w:r>
    </w:p>
    <w:p w14:paraId="153A6A1F" w14:textId="6A9E7D46" w:rsidR="00B74EF4" w:rsidRPr="00B74EF4" w:rsidRDefault="00B74EF4" w:rsidP="00B74EF4">
      <w:pPr>
        <w:rPr>
          <w:rFonts w:ascii="Segoe UI" w:hAnsi="Segoe UI" w:cs="Segoe UI"/>
          <w:sz w:val="24"/>
          <w:szCs w:val="24"/>
        </w:rPr>
      </w:pPr>
      <w:r w:rsidRPr="00B74EF4">
        <w:rPr>
          <w:rFonts w:ascii="Segoe UI" w:hAnsi="Segoe UI" w:cs="Segoe UI"/>
          <w:sz w:val="24"/>
          <w:szCs w:val="24"/>
        </w:rPr>
        <w:t xml:space="preserve">Each LRF also undertakes work </w:t>
      </w:r>
      <w:r w:rsidR="007970BA">
        <w:rPr>
          <w:rFonts w:ascii="Segoe UI" w:hAnsi="Segoe UI" w:cs="Segoe UI"/>
          <w:sz w:val="24"/>
          <w:szCs w:val="24"/>
        </w:rPr>
        <w:t>involving</w:t>
      </w:r>
      <w:r w:rsidRPr="00B74EF4">
        <w:rPr>
          <w:rFonts w:ascii="Segoe UI" w:hAnsi="Segoe UI" w:cs="Segoe UI"/>
          <w:sz w:val="24"/>
          <w:szCs w:val="24"/>
        </w:rPr>
        <w:t xml:space="preserve"> representatives from various agencies to develop a community risk register, aligned with the LRF area. Emergency Preparedness (2012 p.30) states that Community Risk Registers “serve as a means for ensuring a common starting point for responders in their approach to integrated emergency management”, this means that by undertaking work to review and assess the risks relevant to the local community, stages one and two of the IEM are addressed and partner organisations can then go on to develop appropriate plans to mitigate, prepare</w:t>
      </w:r>
      <w:r w:rsidR="00870817">
        <w:rPr>
          <w:rFonts w:ascii="Segoe UI" w:hAnsi="Segoe UI" w:cs="Segoe UI"/>
          <w:sz w:val="24"/>
          <w:szCs w:val="24"/>
        </w:rPr>
        <w:t>,</w:t>
      </w:r>
      <w:r w:rsidRPr="00B74EF4">
        <w:rPr>
          <w:rFonts w:ascii="Segoe UI" w:hAnsi="Segoe UI" w:cs="Segoe UI"/>
          <w:sz w:val="24"/>
          <w:szCs w:val="24"/>
        </w:rPr>
        <w:t xml:space="preserve"> respond to</w:t>
      </w:r>
      <w:r w:rsidR="00870817">
        <w:rPr>
          <w:rFonts w:ascii="Segoe UI" w:hAnsi="Segoe UI" w:cs="Segoe UI"/>
          <w:sz w:val="24"/>
          <w:szCs w:val="24"/>
        </w:rPr>
        <w:t xml:space="preserve"> and recover from</w:t>
      </w:r>
      <w:r w:rsidRPr="00B74EF4">
        <w:rPr>
          <w:rFonts w:ascii="Segoe UI" w:hAnsi="Segoe UI" w:cs="Segoe UI"/>
          <w:sz w:val="24"/>
          <w:szCs w:val="24"/>
        </w:rPr>
        <w:t xml:space="preserve"> each potential emergency scenario. To aid in this process and the prioritisation of workstreams and finances, the Risk Registers include a rating, highlighting risks as either high, medium or low. The development and publication of community risk registers also provide an opportunity to enhance community resilience. Local communities and individuals have a pivotal role to play in emergency preparedness and response in their local area, having better prepared communities can ease the pressure faced by the organisations and services which will need to respond to emergencies, allowing them to focus their resources on those who are most vulnerable.   </w:t>
      </w:r>
    </w:p>
    <w:p w14:paraId="7D05E992" w14:textId="77777777" w:rsidR="00B74EF4" w:rsidRPr="00B74EF4" w:rsidRDefault="00B74EF4" w:rsidP="00B74EF4">
      <w:pPr>
        <w:rPr>
          <w:rFonts w:ascii="Segoe UI" w:hAnsi="Segoe UI" w:cs="Segoe UI"/>
          <w:sz w:val="24"/>
          <w:szCs w:val="24"/>
        </w:rPr>
      </w:pPr>
      <w:r w:rsidRPr="00B74EF4">
        <w:rPr>
          <w:rFonts w:ascii="Segoe UI" w:hAnsi="Segoe UI" w:cs="Segoe UI"/>
          <w:sz w:val="24"/>
          <w:szCs w:val="24"/>
        </w:rPr>
        <w:t xml:space="preserve">For many organisations, the IEM’s focus on common consequences of emergencies occurring, allows for overarching capability gaps and subsequent requirements to address these to be identified, developed and implemented. “As far as possible, flexible, generic plans may be developed to deliver the response capabilities for managing these consequences, whatever causes them” (Cabinet Office. Emergency Preparedness, 2012 p.17).  There are many potential causes of emergencies occurring, but for an ambulance service specifically, the common consequence of the emergency, whatever the cause, would be patients, and so overall focus is on the </w:t>
      </w:r>
      <w:r w:rsidRPr="00B74EF4">
        <w:rPr>
          <w:rFonts w:ascii="Segoe UI" w:hAnsi="Segoe UI" w:cs="Segoe UI"/>
          <w:sz w:val="24"/>
          <w:szCs w:val="24"/>
        </w:rPr>
        <w:lastRenderedPageBreak/>
        <w:t xml:space="preserve">capability and capacity to triage, treat and transport these patients to places of definitive care. Of course, there are circumstances where care gaps can be identified and so specialist capabilities also need to be developed to meet these needs, in particular, around hazardous scenarios such as marauding terrorist attacks, confined spaces and hazardous materials. These common consequences often span multiple agencies, for example an incident generating mass casualties or mass fatalities would impact several NHS agencies as well as the police and fire services through the interoperable elements of responding to the emergency </w:t>
      </w:r>
      <w:proofErr w:type="gramStart"/>
      <w:r w:rsidRPr="00B74EF4">
        <w:rPr>
          <w:rFonts w:ascii="Segoe UI" w:hAnsi="Segoe UI" w:cs="Segoe UI"/>
          <w:sz w:val="24"/>
          <w:szCs w:val="24"/>
        </w:rPr>
        <w:t>in order to</w:t>
      </w:r>
      <w:proofErr w:type="gramEnd"/>
      <w:r w:rsidRPr="00B74EF4">
        <w:rPr>
          <w:rFonts w:ascii="Segoe UI" w:hAnsi="Segoe UI" w:cs="Segoe UI"/>
          <w:sz w:val="24"/>
          <w:szCs w:val="24"/>
        </w:rPr>
        <w:t xml:space="preserve"> save life and reduce harm. </w:t>
      </w:r>
    </w:p>
    <w:p w14:paraId="66DE7CB9" w14:textId="1D315388" w:rsidR="00B74EF4" w:rsidRDefault="00B74EF4" w:rsidP="00B74EF4">
      <w:pPr>
        <w:rPr>
          <w:rFonts w:ascii="Segoe UI" w:hAnsi="Segoe UI" w:cs="Segoe UI"/>
          <w:sz w:val="24"/>
          <w:szCs w:val="24"/>
        </w:rPr>
      </w:pPr>
      <w:r w:rsidRPr="00B74EF4">
        <w:rPr>
          <w:rFonts w:ascii="Segoe UI" w:hAnsi="Segoe UI" w:cs="Segoe UI"/>
          <w:sz w:val="24"/>
          <w:szCs w:val="24"/>
        </w:rPr>
        <w:t xml:space="preserve">“Every plan maintained by a general Category </w:t>
      </w:r>
      <w:r w:rsidR="00E67FF0">
        <w:rPr>
          <w:rFonts w:ascii="Segoe UI" w:hAnsi="Segoe UI" w:cs="Segoe UI"/>
          <w:sz w:val="24"/>
          <w:szCs w:val="24"/>
        </w:rPr>
        <w:t>one</w:t>
      </w:r>
      <w:r w:rsidRPr="00B74EF4">
        <w:rPr>
          <w:rFonts w:ascii="Segoe UI" w:hAnsi="Segoe UI" w:cs="Segoe UI"/>
          <w:sz w:val="24"/>
          <w:szCs w:val="24"/>
        </w:rPr>
        <w:t xml:space="preserve"> responder under section 2(1)(c) or (d) must include the provision for the carrying out of exercising for the purpose of ensuring that the plan is effective” (The Civil Contingencies Act 2004 (Contingency Planning) Regulations, 2005). </w:t>
      </w:r>
      <w:proofErr w:type="gramStart"/>
      <w:r w:rsidRPr="00B74EF4">
        <w:rPr>
          <w:rFonts w:ascii="Segoe UI" w:hAnsi="Segoe UI" w:cs="Segoe UI"/>
          <w:sz w:val="24"/>
          <w:szCs w:val="24"/>
        </w:rPr>
        <w:t>In order to</w:t>
      </w:r>
      <w:proofErr w:type="gramEnd"/>
      <w:r w:rsidRPr="00B74EF4">
        <w:rPr>
          <w:rFonts w:ascii="Segoe UI" w:hAnsi="Segoe UI" w:cs="Segoe UI"/>
          <w:sz w:val="24"/>
          <w:szCs w:val="24"/>
        </w:rPr>
        <w:t xml:space="preserve"> identify </w:t>
      </w:r>
      <w:proofErr w:type="gramStart"/>
      <w:r w:rsidRPr="00B74EF4">
        <w:rPr>
          <w:rFonts w:ascii="Segoe UI" w:hAnsi="Segoe UI" w:cs="Segoe UI"/>
          <w:sz w:val="24"/>
          <w:szCs w:val="24"/>
        </w:rPr>
        <w:t>whether or not</w:t>
      </w:r>
      <w:proofErr w:type="gramEnd"/>
      <w:r w:rsidRPr="00B74EF4">
        <w:rPr>
          <w:rFonts w:ascii="Segoe UI" w:hAnsi="Segoe UI" w:cs="Segoe UI"/>
          <w:sz w:val="24"/>
          <w:szCs w:val="24"/>
        </w:rPr>
        <w:t xml:space="preserve"> a plan is effective once it has been used during an exercise or an incident, learning needs to be identified. A process that is commonly used to aid category one and two responders to meet their duties under the </w:t>
      </w:r>
      <w:r w:rsidR="00607572">
        <w:rPr>
          <w:rFonts w:ascii="Segoe UI" w:hAnsi="Segoe UI" w:cs="Segoe UI"/>
          <w:sz w:val="24"/>
          <w:szCs w:val="24"/>
        </w:rPr>
        <w:t>CCA 2004</w:t>
      </w:r>
      <w:r w:rsidRPr="00B74EF4">
        <w:rPr>
          <w:rFonts w:ascii="Segoe UI" w:hAnsi="Segoe UI" w:cs="Segoe UI"/>
          <w:sz w:val="24"/>
          <w:szCs w:val="24"/>
        </w:rPr>
        <w:t xml:space="preserve"> is joint multi-agency debriefing and learning. This allows for the identification of learning and good practice to ensure that organisations are continuously learning, improving and adapting in both the preparedness and response phases. This process is supported by non-statutory and non-mandatory ‘Lessons Management Best Practice Guidance’ issued by the UK Resilience Academy (2024), with the aim of complementing existing legislation. To further support the process of identifying lessons, sharing them and ensuring that they are learnt from, Joint Organisational Learning online (JOL) has been developed following the ‘Review of Persistent Lessons Identified Relating to Interoperability from Emergencies and Major Incidents since 1986’ (2013), which investigated recurring failures at major incidents and emergencies and identified that there was a failure to learn lessons. JOL is accessed via Resilience Direct and provides a platform to share, identify and learn from exercises and incidents that have taken place across a variety of organisations and disciplines. This allows for learning through lessons identified, but also areas of notable and best practice which positively improve</w:t>
      </w:r>
      <w:r w:rsidR="00E325C2">
        <w:rPr>
          <w:rFonts w:ascii="Segoe UI" w:hAnsi="Segoe UI" w:cs="Segoe UI"/>
          <w:sz w:val="24"/>
          <w:szCs w:val="24"/>
        </w:rPr>
        <w:t>s</w:t>
      </w:r>
      <w:r w:rsidRPr="00B74EF4">
        <w:rPr>
          <w:rFonts w:ascii="Segoe UI" w:hAnsi="Segoe UI" w:cs="Segoe UI"/>
          <w:sz w:val="24"/>
          <w:szCs w:val="24"/>
        </w:rPr>
        <w:t xml:space="preserve"> the interoperability of responding agencies. By requiring category one responders to undertake exercising and identify learning through these, the Civil Contingencies Act </w:t>
      </w:r>
      <w:r w:rsidR="00175A35">
        <w:rPr>
          <w:rFonts w:ascii="Segoe UI" w:hAnsi="Segoe UI" w:cs="Segoe UI"/>
          <w:sz w:val="24"/>
          <w:szCs w:val="24"/>
        </w:rPr>
        <w:t xml:space="preserve">2004 </w:t>
      </w:r>
      <w:r w:rsidRPr="00B74EF4">
        <w:rPr>
          <w:rFonts w:ascii="Segoe UI" w:hAnsi="Segoe UI" w:cs="Segoe UI"/>
          <w:sz w:val="24"/>
          <w:szCs w:val="24"/>
        </w:rPr>
        <w:t xml:space="preserve">is further enhancing the effectiveness of emergency preparedness and the subsequent emergency response.  </w:t>
      </w:r>
    </w:p>
    <w:p w14:paraId="102C5C49" w14:textId="7A2ADDE3" w:rsidR="0030396E" w:rsidRPr="00FA6FB5" w:rsidRDefault="00824527" w:rsidP="00B74EF4">
      <w:pPr>
        <w:rPr>
          <w:rFonts w:ascii="Segoe UI" w:hAnsi="Segoe UI" w:cs="Segoe UI"/>
          <w:b/>
          <w:bCs/>
          <w:color w:val="FF0000"/>
          <w:sz w:val="24"/>
          <w:szCs w:val="24"/>
          <w:u w:val="single"/>
        </w:rPr>
      </w:pPr>
      <w:r w:rsidRPr="00FA6FB5">
        <w:rPr>
          <w:rFonts w:ascii="Segoe UI" w:hAnsi="Segoe UI" w:cs="Segoe UI"/>
          <w:b/>
          <w:bCs/>
          <w:sz w:val="24"/>
          <w:szCs w:val="24"/>
          <w:u w:val="single"/>
        </w:rPr>
        <w:t>Challenges, limitations and areas for improvement</w:t>
      </w:r>
    </w:p>
    <w:p w14:paraId="0063BAA0" w14:textId="535331BC" w:rsidR="00B74EF4" w:rsidRPr="00B74EF4" w:rsidRDefault="00B74EF4" w:rsidP="00B74EF4">
      <w:pPr>
        <w:rPr>
          <w:rFonts w:ascii="Segoe UI" w:hAnsi="Segoe UI" w:cs="Segoe UI"/>
          <w:sz w:val="24"/>
          <w:szCs w:val="24"/>
        </w:rPr>
      </w:pPr>
      <w:r w:rsidRPr="00B74EF4">
        <w:rPr>
          <w:rFonts w:ascii="Segoe UI" w:hAnsi="Segoe UI" w:cs="Segoe UI"/>
          <w:sz w:val="24"/>
          <w:szCs w:val="24"/>
        </w:rPr>
        <w:t>The National Preparedness Commission, in their independent review of the Civil Contingencies Act 2004 and its supporting arrangements (2022</w:t>
      </w:r>
      <w:r w:rsidR="00083B1D">
        <w:rPr>
          <w:rFonts w:ascii="Segoe UI" w:hAnsi="Segoe UI" w:cs="Segoe UI"/>
          <w:sz w:val="24"/>
          <w:szCs w:val="24"/>
        </w:rPr>
        <w:t>,</w:t>
      </w:r>
      <w:r w:rsidRPr="00B74EF4">
        <w:rPr>
          <w:rFonts w:ascii="Segoe UI" w:hAnsi="Segoe UI" w:cs="Segoe UI"/>
          <w:sz w:val="24"/>
          <w:szCs w:val="24"/>
        </w:rPr>
        <w:t xml:space="preserve"> p.10) states that the Civil Contingencies Act 2004 and the arrangements which were transformed and introduced </w:t>
      </w:r>
      <w:proofErr w:type="gramStart"/>
      <w:r w:rsidRPr="00B74EF4">
        <w:rPr>
          <w:rFonts w:ascii="Segoe UI" w:hAnsi="Segoe UI" w:cs="Segoe UI"/>
          <w:sz w:val="24"/>
          <w:szCs w:val="24"/>
        </w:rPr>
        <w:t>as a result of</w:t>
      </w:r>
      <w:proofErr w:type="gramEnd"/>
      <w:r w:rsidRPr="00B74EF4">
        <w:rPr>
          <w:rFonts w:ascii="Segoe UI" w:hAnsi="Segoe UI" w:cs="Segoe UI"/>
          <w:sz w:val="24"/>
          <w:szCs w:val="24"/>
        </w:rPr>
        <w:t xml:space="preserve"> it has “served the UK well over the past 18 years. They </w:t>
      </w:r>
      <w:r w:rsidRPr="00B74EF4">
        <w:rPr>
          <w:rFonts w:ascii="Segoe UI" w:hAnsi="Segoe UI" w:cs="Segoe UI"/>
          <w:sz w:val="24"/>
          <w:szCs w:val="24"/>
        </w:rPr>
        <w:lastRenderedPageBreak/>
        <w:t xml:space="preserve">provide a sound basic framework for emergency preparedness, response and recovery”. Through the various arrangements, processes and evidence that </w:t>
      </w:r>
      <w:r w:rsidR="00802F93">
        <w:rPr>
          <w:rFonts w:ascii="Segoe UI" w:hAnsi="Segoe UI" w:cs="Segoe UI"/>
          <w:sz w:val="24"/>
          <w:szCs w:val="24"/>
        </w:rPr>
        <w:t>have been</w:t>
      </w:r>
      <w:r w:rsidRPr="00B74EF4">
        <w:rPr>
          <w:rFonts w:ascii="Segoe UI" w:hAnsi="Segoe UI" w:cs="Segoe UI"/>
          <w:sz w:val="24"/>
          <w:szCs w:val="24"/>
        </w:rPr>
        <w:t xml:space="preserve"> looked at during this assignment, there is an argument that category one and two responders do deliver against the duties set out within the </w:t>
      </w:r>
      <w:r w:rsidR="00FA6FB5">
        <w:rPr>
          <w:rFonts w:ascii="Segoe UI" w:hAnsi="Segoe UI" w:cs="Segoe UI"/>
          <w:sz w:val="24"/>
          <w:szCs w:val="24"/>
        </w:rPr>
        <w:t>CCA 2004</w:t>
      </w:r>
      <w:r w:rsidRPr="00B74EF4">
        <w:rPr>
          <w:rFonts w:ascii="Segoe UI" w:hAnsi="Segoe UI" w:cs="Segoe UI"/>
          <w:sz w:val="24"/>
          <w:szCs w:val="24"/>
        </w:rPr>
        <w:t>, however the way that this is achieved, and therefore the degree to which this is done effectively can vary between category one and two responders</w:t>
      </w:r>
      <w:r w:rsidR="007A7A87">
        <w:rPr>
          <w:rFonts w:ascii="Segoe UI" w:hAnsi="Segoe UI" w:cs="Segoe UI"/>
          <w:sz w:val="24"/>
          <w:szCs w:val="24"/>
        </w:rPr>
        <w:t>. The frequency in which organisations work together varies and i</w:t>
      </w:r>
      <w:r w:rsidRPr="00B74EF4">
        <w:rPr>
          <w:rFonts w:ascii="Segoe UI" w:hAnsi="Segoe UI" w:cs="Segoe UI"/>
          <w:sz w:val="24"/>
          <w:szCs w:val="24"/>
        </w:rPr>
        <w:t xml:space="preserve">n the case of some category two responders, </w:t>
      </w:r>
      <w:r w:rsidR="0047695C">
        <w:rPr>
          <w:rFonts w:ascii="Segoe UI" w:hAnsi="Segoe UI" w:cs="Segoe UI"/>
          <w:sz w:val="24"/>
          <w:szCs w:val="24"/>
        </w:rPr>
        <w:t>inter-agency working</w:t>
      </w:r>
      <w:r w:rsidR="00AE709B">
        <w:rPr>
          <w:rFonts w:ascii="Segoe UI" w:hAnsi="Segoe UI" w:cs="Segoe UI"/>
          <w:sz w:val="24"/>
          <w:szCs w:val="24"/>
        </w:rPr>
        <w:t xml:space="preserve"> </w:t>
      </w:r>
      <w:r w:rsidRPr="00B74EF4">
        <w:rPr>
          <w:rFonts w:ascii="Segoe UI" w:hAnsi="Segoe UI" w:cs="Segoe UI"/>
          <w:sz w:val="24"/>
          <w:szCs w:val="24"/>
        </w:rPr>
        <w:t xml:space="preserve">may be less frequent. </w:t>
      </w:r>
    </w:p>
    <w:p w14:paraId="0CFB3171" w14:textId="5EB24733" w:rsidR="00B74EF4" w:rsidRPr="00B74EF4" w:rsidRDefault="00B74EF4" w:rsidP="00B74EF4">
      <w:pPr>
        <w:rPr>
          <w:rFonts w:ascii="Segoe UI" w:hAnsi="Segoe UI" w:cs="Segoe UI"/>
          <w:sz w:val="24"/>
          <w:szCs w:val="24"/>
        </w:rPr>
      </w:pPr>
      <w:r w:rsidRPr="00B74EF4">
        <w:rPr>
          <w:rFonts w:ascii="Segoe UI" w:hAnsi="Segoe UI" w:cs="Segoe UI"/>
          <w:sz w:val="24"/>
          <w:szCs w:val="24"/>
        </w:rPr>
        <w:t xml:space="preserve">The volume of various supporting guidance documents, as well as evidence and recommendations from multiple inquiries over the years supports the view that the </w:t>
      </w:r>
      <w:r w:rsidR="0047695C">
        <w:rPr>
          <w:rFonts w:ascii="Segoe UI" w:hAnsi="Segoe UI" w:cs="Segoe UI"/>
          <w:sz w:val="24"/>
          <w:szCs w:val="24"/>
        </w:rPr>
        <w:t xml:space="preserve">Civil Contingencies </w:t>
      </w:r>
      <w:r w:rsidRPr="00B74EF4">
        <w:rPr>
          <w:rFonts w:ascii="Segoe UI" w:hAnsi="Segoe UI" w:cs="Segoe UI"/>
          <w:sz w:val="24"/>
          <w:szCs w:val="24"/>
        </w:rPr>
        <w:t xml:space="preserve">Act </w:t>
      </w:r>
      <w:r w:rsidR="0047695C">
        <w:rPr>
          <w:rFonts w:ascii="Segoe UI" w:hAnsi="Segoe UI" w:cs="Segoe UI"/>
          <w:sz w:val="24"/>
          <w:szCs w:val="24"/>
        </w:rPr>
        <w:t xml:space="preserve">2004 </w:t>
      </w:r>
      <w:r w:rsidRPr="00B74EF4">
        <w:rPr>
          <w:rFonts w:ascii="Segoe UI" w:hAnsi="Segoe UI" w:cs="Segoe UI"/>
          <w:sz w:val="24"/>
          <w:szCs w:val="24"/>
        </w:rPr>
        <w:t xml:space="preserve">alone is not sufficient in ensuring that these duties are met through a co-ordinated and joint approach across all agencies and organisations.  </w:t>
      </w:r>
    </w:p>
    <w:p w14:paraId="1BA48110" w14:textId="77777777" w:rsidR="00B74EF4" w:rsidRPr="00B74EF4" w:rsidRDefault="00B74EF4" w:rsidP="00B74EF4">
      <w:pPr>
        <w:rPr>
          <w:rFonts w:ascii="Segoe UI" w:hAnsi="Segoe UI" w:cs="Segoe UI"/>
          <w:sz w:val="24"/>
          <w:szCs w:val="24"/>
        </w:rPr>
      </w:pPr>
      <w:r w:rsidRPr="00B74EF4">
        <w:rPr>
          <w:rFonts w:ascii="Segoe UI" w:hAnsi="Segoe UI" w:cs="Segoe UI"/>
          <w:sz w:val="24"/>
          <w:szCs w:val="24"/>
        </w:rPr>
        <w:t xml:space="preserve">As highlighted in the National Preparedness Commissions review of the Civil Contingencies Act 2004 and its supporting arrangements (2022, p.10), statutory bodies and resilience partnerships face challenges with “very limited levels of resourcing”.  Capacity, resourcing and finances pose a significant challenge across responder organisations at all levels, both locally and nationally. This naturally has an impact on the approach to emergency preparedness within these agencies. </w:t>
      </w:r>
    </w:p>
    <w:p w14:paraId="10F80FD5" w14:textId="64CC1236" w:rsidR="00B74EF4" w:rsidRPr="00B74EF4" w:rsidRDefault="00B74EF4" w:rsidP="00B74EF4">
      <w:pPr>
        <w:rPr>
          <w:rFonts w:ascii="Segoe UI" w:hAnsi="Segoe UI" w:cs="Segoe UI"/>
          <w:sz w:val="24"/>
          <w:szCs w:val="24"/>
        </w:rPr>
      </w:pPr>
      <w:r w:rsidRPr="00B74EF4">
        <w:rPr>
          <w:rFonts w:ascii="Segoe UI" w:hAnsi="Segoe UI" w:cs="Segoe UI"/>
          <w:sz w:val="24"/>
          <w:szCs w:val="24"/>
        </w:rPr>
        <w:t xml:space="preserve">Another issue, likely exacerbated by the limitations in resourcing and one which is highlighted through the Manchester Arena inquiry (2022), is inconsistencies in attendance at LRF meetings by various responding organisations. Recommendations 99 through to 101 relate to improving, monitoring and compelling attendance of representatives of both category one and two responders at all Local Resilience Forum meetings. Recommendation 101 states “The Home Office should consider empowering the leadership of local resilience forums to compel the attendance of a senior representative of its category 1 and category 2 responders at all local resilience forum meetings” </w:t>
      </w:r>
      <w:r w:rsidR="00C1016D">
        <w:rPr>
          <w:rFonts w:ascii="Segoe UI" w:hAnsi="Segoe UI" w:cs="Segoe UI"/>
          <w:sz w:val="24"/>
          <w:szCs w:val="24"/>
        </w:rPr>
        <w:t>(</w:t>
      </w:r>
      <w:r w:rsidRPr="00B74EF4">
        <w:rPr>
          <w:rFonts w:ascii="Segoe UI" w:hAnsi="Segoe UI" w:cs="Segoe UI"/>
          <w:sz w:val="24"/>
          <w:szCs w:val="24"/>
        </w:rPr>
        <w:t xml:space="preserve">Manchester Arena Inquiry, 2022 p.154). This supports the view that there is a requirement for more stringent and robust oversight of attendance at the local and national level, consistent attendance by all responders would allow for better engagement, coordination and cooperation between agencies and improve the overall compliance with the Civil Contingencies Act 2004. </w:t>
      </w:r>
    </w:p>
    <w:p w14:paraId="17841E7C" w14:textId="46280829" w:rsidR="00B74EF4" w:rsidRPr="00B74EF4" w:rsidRDefault="00B74EF4" w:rsidP="00B74EF4">
      <w:pPr>
        <w:rPr>
          <w:rFonts w:ascii="Segoe UI" w:hAnsi="Segoe UI" w:cs="Segoe UI"/>
          <w:sz w:val="24"/>
          <w:szCs w:val="24"/>
        </w:rPr>
      </w:pPr>
      <w:r w:rsidRPr="00B74EF4">
        <w:rPr>
          <w:rFonts w:ascii="Segoe UI" w:hAnsi="Segoe UI" w:cs="Segoe UI"/>
          <w:sz w:val="24"/>
          <w:szCs w:val="24"/>
        </w:rPr>
        <w:t xml:space="preserve">Emergency Response and Recovery (Cabinet Office, 2013) is the non-statutory guidance, where command and control arrangements are set out, the way in which organisations apply this varies. Having statutory guidance that sets out how each responding organisation achieves their roles and responsibilities would allow for greater consistency and inter-agency collaboration, thus preventing many of the points of learning that have been identified through various inquiries, including the </w:t>
      </w:r>
      <w:r w:rsidRPr="00B74EF4">
        <w:rPr>
          <w:rFonts w:ascii="Segoe UI" w:hAnsi="Segoe UI" w:cs="Segoe UI"/>
          <w:sz w:val="24"/>
          <w:szCs w:val="24"/>
        </w:rPr>
        <w:lastRenderedPageBreak/>
        <w:t xml:space="preserve">Manchester Arena Inquiry, Volume 2: Emergency Response report (2022). Recommendation 52 highlights that despite the Civil Contingencies Act </w:t>
      </w:r>
      <w:r w:rsidR="009C79E2">
        <w:rPr>
          <w:rFonts w:ascii="Segoe UI" w:hAnsi="Segoe UI" w:cs="Segoe UI"/>
          <w:sz w:val="24"/>
          <w:szCs w:val="24"/>
        </w:rPr>
        <w:t xml:space="preserve">2004 </w:t>
      </w:r>
      <w:r w:rsidRPr="00B74EF4">
        <w:rPr>
          <w:rFonts w:ascii="Segoe UI" w:hAnsi="Segoe UI" w:cs="Segoe UI"/>
          <w:sz w:val="24"/>
          <w:szCs w:val="24"/>
        </w:rPr>
        <w:t xml:space="preserve">and the JESIP Principles of joint working (2024), inconsistencies in the co-location of commanders </w:t>
      </w:r>
      <w:proofErr w:type="gramStart"/>
      <w:r w:rsidRPr="00B74EF4">
        <w:rPr>
          <w:rFonts w:ascii="Segoe UI" w:hAnsi="Segoe UI" w:cs="Segoe UI"/>
          <w:sz w:val="24"/>
          <w:szCs w:val="24"/>
        </w:rPr>
        <w:t>was</w:t>
      </w:r>
      <w:proofErr w:type="gramEnd"/>
      <w:r w:rsidRPr="00B74EF4">
        <w:rPr>
          <w:rFonts w:ascii="Segoe UI" w:hAnsi="Segoe UI" w:cs="Segoe UI"/>
          <w:sz w:val="24"/>
          <w:szCs w:val="24"/>
        </w:rPr>
        <w:t xml:space="preserve"> clearly an issue.</w:t>
      </w:r>
    </w:p>
    <w:p w14:paraId="42922A70" w14:textId="56E9F9C6" w:rsidR="00B74EF4" w:rsidRPr="00B74EF4" w:rsidRDefault="00B74EF4" w:rsidP="00B74EF4">
      <w:pPr>
        <w:rPr>
          <w:rFonts w:ascii="Segoe UI" w:hAnsi="Segoe UI" w:cs="Segoe UI"/>
          <w:sz w:val="24"/>
          <w:szCs w:val="24"/>
        </w:rPr>
      </w:pPr>
      <w:r w:rsidRPr="00B74EF4">
        <w:rPr>
          <w:rFonts w:ascii="Segoe UI" w:hAnsi="Segoe UI" w:cs="Segoe UI"/>
          <w:sz w:val="24"/>
          <w:szCs w:val="24"/>
        </w:rPr>
        <w:t xml:space="preserve">Another set of guidance that supports the implementation and provision of command, control and co-ordination is the JESIP principles (2024), which encourage Commanders at all levels to </w:t>
      </w:r>
      <w:r w:rsidR="00CA62F7">
        <w:rPr>
          <w:rFonts w:ascii="Segoe UI" w:hAnsi="Segoe UI" w:cs="Segoe UI"/>
          <w:sz w:val="24"/>
          <w:szCs w:val="24"/>
        </w:rPr>
        <w:t>“</w:t>
      </w:r>
      <w:r w:rsidRPr="00B74EF4">
        <w:rPr>
          <w:rFonts w:ascii="Segoe UI" w:hAnsi="Segoe UI" w:cs="Segoe UI"/>
          <w:sz w:val="24"/>
          <w:szCs w:val="24"/>
        </w:rPr>
        <w:t>co-locate, communicate, co-ordinate, jointly understand risk and have a shared situational awareness</w:t>
      </w:r>
      <w:r w:rsidR="00CA62F7">
        <w:rPr>
          <w:rFonts w:ascii="Segoe UI" w:hAnsi="Segoe UI" w:cs="Segoe UI"/>
          <w:sz w:val="24"/>
          <w:szCs w:val="24"/>
        </w:rPr>
        <w:t>”</w:t>
      </w:r>
      <w:r w:rsidRPr="00B74EF4">
        <w:rPr>
          <w:rFonts w:ascii="Segoe UI" w:hAnsi="Segoe UI" w:cs="Segoe UI"/>
          <w:sz w:val="24"/>
          <w:szCs w:val="24"/>
        </w:rPr>
        <w:t xml:space="preserve">. These principles are not mandated, legislative or statutory guidance, but best practice that has been adopted by many agencies, the key issue here though, is that due to them not being legislative, not all responding agencies have fully adopted them into everyday practices across all areas of the business and so their success and benefit is limited. </w:t>
      </w:r>
    </w:p>
    <w:p w14:paraId="7C72F365" w14:textId="5C676096" w:rsidR="00B74EF4" w:rsidRDefault="00B74EF4" w:rsidP="00B74EF4">
      <w:pPr>
        <w:rPr>
          <w:rFonts w:ascii="Segoe UI" w:hAnsi="Segoe UI" w:cs="Segoe UI"/>
          <w:sz w:val="24"/>
          <w:szCs w:val="24"/>
        </w:rPr>
      </w:pPr>
      <w:r w:rsidRPr="00B74EF4">
        <w:rPr>
          <w:rFonts w:ascii="Segoe UI" w:hAnsi="Segoe UI" w:cs="Segoe UI"/>
          <w:sz w:val="24"/>
          <w:szCs w:val="24"/>
        </w:rPr>
        <w:t xml:space="preserve">A key area for improvement in the Civil Contingencies Act 2004 is linked to the duty to risk assess. Whilst there are many processes in place to undertake this task and use the findings to inform contingency planning, the National Preparedness Commission (2022) highlighted the lack of focus on “risk reduction activities” with an “insufficient emphasis on preventing emergencies arising in the first place”. </w:t>
      </w:r>
    </w:p>
    <w:p w14:paraId="75296908" w14:textId="0ADC344C" w:rsidR="00563612" w:rsidRDefault="00563612" w:rsidP="00563612">
      <w:pPr>
        <w:rPr>
          <w:rFonts w:ascii="Segoe UI" w:hAnsi="Segoe UI" w:cs="Segoe UI"/>
          <w:sz w:val="24"/>
          <w:szCs w:val="24"/>
        </w:rPr>
      </w:pPr>
      <w:r w:rsidRPr="00B74EF4">
        <w:rPr>
          <w:rFonts w:ascii="Segoe UI" w:hAnsi="Segoe UI" w:cs="Segoe UI"/>
          <w:sz w:val="24"/>
          <w:szCs w:val="24"/>
        </w:rPr>
        <w:t xml:space="preserve">Prevention is addressed under phase </w:t>
      </w:r>
      <w:r>
        <w:rPr>
          <w:rFonts w:ascii="Segoe UI" w:hAnsi="Segoe UI" w:cs="Segoe UI"/>
          <w:sz w:val="24"/>
          <w:szCs w:val="24"/>
        </w:rPr>
        <w:t>three</w:t>
      </w:r>
      <w:r w:rsidRPr="00B74EF4">
        <w:rPr>
          <w:rFonts w:ascii="Segoe UI" w:hAnsi="Segoe UI" w:cs="Segoe UI"/>
          <w:sz w:val="24"/>
          <w:szCs w:val="24"/>
        </w:rPr>
        <w:t xml:space="preserve"> of the </w:t>
      </w:r>
      <w:proofErr w:type="gramStart"/>
      <w:r w:rsidRPr="00B74EF4">
        <w:rPr>
          <w:rFonts w:ascii="Segoe UI" w:hAnsi="Segoe UI" w:cs="Segoe UI"/>
          <w:sz w:val="24"/>
          <w:szCs w:val="24"/>
        </w:rPr>
        <w:t>IEM,</w:t>
      </w:r>
      <w:proofErr w:type="gramEnd"/>
      <w:r w:rsidRPr="00B74EF4">
        <w:rPr>
          <w:rFonts w:ascii="Segoe UI" w:hAnsi="Segoe UI" w:cs="Segoe UI"/>
          <w:sz w:val="24"/>
          <w:szCs w:val="24"/>
        </w:rPr>
        <w:t xml:space="preserve"> however this is not a specific duty under the Civil Contingencies Act 2004, nor is it covered within its statutory and non-statutory supporting guidance. </w:t>
      </w:r>
      <w:r>
        <w:rPr>
          <w:rFonts w:ascii="Segoe UI" w:hAnsi="Segoe UI" w:cs="Segoe UI"/>
          <w:sz w:val="24"/>
          <w:szCs w:val="24"/>
        </w:rPr>
        <w:t xml:space="preserve">During the Covid-19 Public Inquiry, Sir Mark </w:t>
      </w:r>
      <w:proofErr w:type="spellStart"/>
      <w:r>
        <w:rPr>
          <w:rFonts w:ascii="Segoe UI" w:hAnsi="Segoe UI" w:cs="Segoe UI"/>
          <w:sz w:val="24"/>
          <w:szCs w:val="24"/>
        </w:rPr>
        <w:t>Walport</w:t>
      </w:r>
      <w:proofErr w:type="spellEnd"/>
      <w:r>
        <w:rPr>
          <w:rFonts w:ascii="Segoe UI" w:hAnsi="Segoe UI" w:cs="Segoe UI"/>
          <w:sz w:val="24"/>
          <w:szCs w:val="24"/>
        </w:rPr>
        <w:t xml:space="preserve"> </w:t>
      </w:r>
      <w:r w:rsidR="00152F5B">
        <w:rPr>
          <w:rFonts w:ascii="Segoe UI" w:hAnsi="Segoe UI" w:cs="Segoe UI"/>
          <w:sz w:val="24"/>
          <w:szCs w:val="24"/>
        </w:rPr>
        <w:t>(</w:t>
      </w:r>
      <w:r w:rsidR="00C816FA">
        <w:rPr>
          <w:rFonts w:ascii="Segoe UI" w:hAnsi="Segoe UI" w:cs="Segoe UI"/>
          <w:sz w:val="24"/>
          <w:szCs w:val="24"/>
        </w:rPr>
        <w:t xml:space="preserve">2020) </w:t>
      </w:r>
      <w:r>
        <w:rPr>
          <w:rFonts w:ascii="Segoe UI" w:hAnsi="Segoe UI" w:cs="Segoe UI"/>
          <w:sz w:val="24"/>
          <w:szCs w:val="24"/>
        </w:rPr>
        <w:t>argued that focus on prevention is limited, with a “bias towards managing” emergencies and that the National Risk Assessment “could have been used more effectively for preventing them in the first place”.</w:t>
      </w:r>
    </w:p>
    <w:p w14:paraId="3717D408" w14:textId="282E02CF" w:rsidR="00974394" w:rsidRPr="00B74EF4" w:rsidRDefault="00974394" w:rsidP="00563612">
      <w:pPr>
        <w:rPr>
          <w:rFonts w:ascii="Segoe UI" w:hAnsi="Segoe UI" w:cs="Segoe UI"/>
          <w:sz w:val="24"/>
          <w:szCs w:val="24"/>
        </w:rPr>
      </w:pPr>
      <w:r w:rsidRPr="00B74EF4">
        <w:rPr>
          <w:rFonts w:ascii="Segoe UI" w:hAnsi="Segoe UI" w:cs="Segoe UI"/>
          <w:sz w:val="24"/>
          <w:szCs w:val="24"/>
        </w:rPr>
        <w:t>The promotion of an improved understanding of risk prevention under various existing legislation, separate to the Civil Contingencies Act 2004, would enable emergency planners engaged in LRF preparedness activities to acknowledge and contextualise existing risk prevention activities and incorporate this into emergency preparedness arrangements.</w:t>
      </w:r>
    </w:p>
    <w:p w14:paraId="60F07701" w14:textId="77777777" w:rsidR="00B74EF4" w:rsidRPr="00B74EF4" w:rsidRDefault="00B74EF4" w:rsidP="00B74EF4">
      <w:pPr>
        <w:rPr>
          <w:rFonts w:ascii="Segoe UI" w:hAnsi="Segoe UI" w:cs="Segoe UI"/>
          <w:sz w:val="24"/>
          <w:szCs w:val="24"/>
        </w:rPr>
      </w:pPr>
      <w:r w:rsidRPr="00B74EF4">
        <w:rPr>
          <w:rFonts w:ascii="Segoe UI" w:hAnsi="Segoe UI" w:cs="Segoe UI"/>
          <w:sz w:val="24"/>
          <w:szCs w:val="24"/>
        </w:rPr>
        <w:t xml:space="preserve">This would further enhance the resilience of our local communities. In the long term, an argument could be made that proactive prevention instead of reaction and responding to emergencies would be less time, capacity and resource intensive for responding organisations and statutory bodies at all levels. </w:t>
      </w:r>
    </w:p>
    <w:p w14:paraId="4DC8E548" w14:textId="4CCE95DD" w:rsidR="00B74EF4" w:rsidRPr="00B74EF4" w:rsidRDefault="00B74EF4" w:rsidP="00B74EF4">
      <w:pPr>
        <w:rPr>
          <w:rFonts w:ascii="Segoe UI" w:hAnsi="Segoe UI" w:cs="Segoe UI"/>
          <w:sz w:val="24"/>
          <w:szCs w:val="24"/>
        </w:rPr>
      </w:pPr>
      <w:r w:rsidRPr="00B74EF4">
        <w:rPr>
          <w:rFonts w:ascii="Segoe UI" w:hAnsi="Segoe UI" w:cs="Segoe UI"/>
          <w:sz w:val="24"/>
          <w:szCs w:val="24"/>
        </w:rPr>
        <w:t>Another key limitation of the Civil Contingencies Act 2004 is the separation of organisations into category one and two responders, and the limited inclusion of voluntary organisations altogether. This separation does not align with what a truly effective response to and recovery from an emergency look</w:t>
      </w:r>
      <w:r w:rsidR="009D4245">
        <w:rPr>
          <w:rFonts w:ascii="Segoe UI" w:hAnsi="Segoe UI" w:cs="Segoe UI"/>
          <w:sz w:val="24"/>
          <w:szCs w:val="24"/>
        </w:rPr>
        <w:t>s</w:t>
      </w:r>
      <w:r w:rsidRPr="00B74EF4">
        <w:rPr>
          <w:rFonts w:ascii="Segoe UI" w:hAnsi="Segoe UI" w:cs="Segoe UI"/>
          <w:sz w:val="24"/>
          <w:szCs w:val="24"/>
        </w:rPr>
        <w:t xml:space="preserve"> like two decades on from the introduction of the </w:t>
      </w:r>
      <w:r w:rsidR="00756CB6">
        <w:rPr>
          <w:rFonts w:ascii="Segoe UI" w:hAnsi="Segoe UI" w:cs="Segoe UI"/>
          <w:sz w:val="24"/>
          <w:szCs w:val="24"/>
        </w:rPr>
        <w:t xml:space="preserve">Civil Contingencies </w:t>
      </w:r>
      <w:r w:rsidRPr="00B74EF4">
        <w:rPr>
          <w:rFonts w:ascii="Segoe UI" w:hAnsi="Segoe UI" w:cs="Segoe UI"/>
          <w:sz w:val="24"/>
          <w:szCs w:val="24"/>
        </w:rPr>
        <w:t>Act</w:t>
      </w:r>
      <w:r w:rsidR="00756CB6">
        <w:rPr>
          <w:rFonts w:ascii="Segoe UI" w:hAnsi="Segoe UI" w:cs="Segoe UI"/>
          <w:sz w:val="24"/>
          <w:szCs w:val="24"/>
        </w:rPr>
        <w:t xml:space="preserve"> 2004</w:t>
      </w:r>
      <w:r w:rsidRPr="00B74EF4">
        <w:rPr>
          <w:rFonts w:ascii="Segoe UI" w:hAnsi="Segoe UI" w:cs="Segoe UI"/>
          <w:sz w:val="24"/>
          <w:szCs w:val="24"/>
        </w:rPr>
        <w:t xml:space="preserve">. The response to </w:t>
      </w:r>
      <w:r w:rsidRPr="00B74EF4">
        <w:rPr>
          <w:rFonts w:ascii="Segoe UI" w:hAnsi="Segoe UI" w:cs="Segoe UI"/>
          <w:sz w:val="24"/>
          <w:szCs w:val="24"/>
        </w:rPr>
        <w:lastRenderedPageBreak/>
        <w:t xml:space="preserve">emergencies in recent years, including the Covid-19 Pandemic evidences the wealth of support, knowledge and skills that local voluntary and community organisations can provide, to that end, there could be an argument that “voluntary and community sector organisations should have true partnership status” (National Preparedness Commission, 2022) when it comes to emergency preparedness and civil protection, particularly at the local level, where we see a thirst to come together and provide community support in times of crisis. </w:t>
      </w:r>
    </w:p>
    <w:p w14:paraId="2F10DC57" w14:textId="77777777" w:rsidR="00B74EF4" w:rsidRDefault="00B74EF4" w:rsidP="00B74EF4">
      <w:pPr>
        <w:rPr>
          <w:rFonts w:ascii="Segoe UI" w:hAnsi="Segoe UI" w:cs="Segoe UI"/>
          <w:sz w:val="24"/>
          <w:szCs w:val="24"/>
        </w:rPr>
      </w:pPr>
      <w:r w:rsidRPr="00B74EF4">
        <w:rPr>
          <w:rFonts w:ascii="Segoe UI" w:hAnsi="Segoe UI" w:cs="Segoe UI"/>
          <w:sz w:val="24"/>
          <w:szCs w:val="24"/>
        </w:rPr>
        <w:t xml:space="preserve">This disparity in co-operation and investment extends into the wider group of category two responders. “Although engagement by some utility sectors remains good, in others it has eroded over time, with damaging impacts on the quality of risk assessments and emergency planning and hence the response to emergencies” (National Preparedness Commission, 2022), this supports the view that there are inconsistencies in involvement at the local level, impacting on the ability to effectively prepare for and respond to emergencies across various sectors. Increasing the responsibilities and duties that are placed upon these responders, or indeed including them within the full set of civil protection duties, placed upon category one responders, would allow for a more holistic approach to emergency preparedness that fully incorporates the wide range of services and organisations that are required to fully manage an emergency situation in today’s society. The same could be said when it comes to imposing these duties on the UK and devolved Governments, to ensure that consistency and cohesion </w:t>
      </w:r>
      <w:proofErr w:type="gramStart"/>
      <w:r w:rsidRPr="00B74EF4">
        <w:rPr>
          <w:rFonts w:ascii="Segoe UI" w:hAnsi="Segoe UI" w:cs="Segoe UI"/>
          <w:sz w:val="24"/>
          <w:szCs w:val="24"/>
        </w:rPr>
        <w:t>extends</w:t>
      </w:r>
      <w:proofErr w:type="gramEnd"/>
      <w:r w:rsidRPr="00B74EF4">
        <w:rPr>
          <w:rFonts w:ascii="Segoe UI" w:hAnsi="Segoe UI" w:cs="Segoe UI"/>
          <w:sz w:val="24"/>
          <w:szCs w:val="24"/>
        </w:rPr>
        <w:t xml:space="preserve"> across all levels. </w:t>
      </w:r>
    </w:p>
    <w:p w14:paraId="566C236E" w14:textId="4FC0F861" w:rsidR="00FB2D4E" w:rsidRPr="009D4245" w:rsidRDefault="00FB2D4E" w:rsidP="00B74EF4">
      <w:pPr>
        <w:rPr>
          <w:rFonts w:ascii="Segoe UI" w:hAnsi="Segoe UI" w:cs="Segoe UI"/>
          <w:b/>
          <w:bCs/>
          <w:sz w:val="24"/>
          <w:szCs w:val="24"/>
          <w:u w:val="single"/>
        </w:rPr>
      </w:pPr>
      <w:r w:rsidRPr="009D4245">
        <w:rPr>
          <w:rFonts w:ascii="Segoe UI" w:hAnsi="Segoe UI" w:cs="Segoe UI"/>
          <w:b/>
          <w:bCs/>
          <w:sz w:val="24"/>
          <w:szCs w:val="24"/>
          <w:u w:val="single"/>
        </w:rPr>
        <w:t>Conclusion</w:t>
      </w:r>
    </w:p>
    <w:p w14:paraId="34E1BFA3" w14:textId="3172D790" w:rsidR="00B74EF4" w:rsidRPr="00B74EF4" w:rsidRDefault="00192933" w:rsidP="00B74EF4">
      <w:pPr>
        <w:rPr>
          <w:rFonts w:ascii="Segoe UI" w:hAnsi="Segoe UI" w:cs="Segoe UI"/>
          <w:sz w:val="24"/>
          <w:szCs w:val="24"/>
        </w:rPr>
      </w:pPr>
      <w:r>
        <w:rPr>
          <w:rFonts w:ascii="Segoe UI" w:hAnsi="Segoe UI" w:cs="Segoe UI"/>
          <w:sz w:val="24"/>
          <w:szCs w:val="24"/>
        </w:rPr>
        <w:t xml:space="preserve">The evidence explored throughout this assignment, </w:t>
      </w:r>
      <w:r w:rsidR="00D8075E">
        <w:rPr>
          <w:rFonts w:ascii="Segoe UI" w:hAnsi="Segoe UI" w:cs="Segoe UI"/>
          <w:sz w:val="24"/>
          <w:szCs w:val="24"/>
        </w:rPr>
        <w:t>support</w:t>
      </w:r>
      <w:r w:rsidR="00440B40">
        <w:rPr>
          <w:rFonts w:ascii="Segoe UI" w:hAnsi="Segoe UI" w:cs="Segoe UI"/>
          <w:sz w:val="24"/>
          <w:szCs w:val="24"/>
        </w:rPr>
        <w:t>s</w:t>
      </w:r>
      <w:r w:rsidR="00D8075E">
        <w:rPr>
          <w:rFonts w:ascii="Segoe UI" w:hAnsi="Segoe UI" w:cs="Segoe UI"/>
          <w:sz w:val="24"/>
          <w:szCs w:val="24"/>
        </w:rPr>
        <w:t xml:space="preserve"> the view that the</w:t>
      </w:r>
      <w:r w:rsidR="00B74EF4" w:rsidRPr="00B74EF4">
        <w:rPr>
          <w:rFonts w:ascii="Segoe UI" w:hAnsi="Segoe UI" w:cs="Segoe UI"/>
          <w:sz w:val="24"/>
          <w:szCs w:val="24"/>
        </w:rPr>
        <w:t xml:space="preserve"> Civil Contingencies Act 2004 and its accompanying statutory and non-statutory guidance has transformed the landscape of emergency preparedness and civil protection in the United Kingdom</w:t>
      </w:r>
      <w:r w:rsidR="00D8075E">
        <w:rPr>
          <w:rFonts w:ascii="Segoe UI" w:hAnsi="Segoe UI" w:cs="Segoe UI"/>
          <w:sz w:val="24"/>
          <w:szCs w:val="24"/>
        </w:rPr>
        <w:t xml:space="preserve">. </w:t>
      </w:r>
    </w:p>
    <w:p w14:paraId="5381955F" w14:textId="7D990467" w:rsidR="00B74EF4" w:rsidRDefault="00B74EF4" w:rsidP="00B74EF4">
      <w:pPr>
        <w:rPr>
          <w:rFonts w:ascii="Segoe UI" w:hAnsi="Segoe UI" w:cs="Segoe UI"/>
          <w:sz w:val="24"/>
          <w:szCs w:val="24"/>
        </w:rPr>
      </w:pPr>
      <w:r w:rsidRPr="00B74EF4">
        <w:rPr>
          <w:rFonts w:ascii="Segoe UI" w:hAnsi="Segoe UI" w:cs="Segoe UI"/>
          <w:sz w:val="24"/>
          <w:szCs w:val="24"/>
        </w:rPr>
        <w:t xml:space="preserve">The duties under the </w:t>
      </w:r>
      <w:r w:rsidR="00A23823">
        <w:rPr>
          <w:rFonts w:ascii="Segoe UI" w:hAnsi="Segoe UI" w:cs="Segoe UI"/>
          <w:sz w:val="24"/>
          <w:szCs w:val="24"/>
        </w:rPr>
        <w:t xml:space="preserve">Civil Contingencies </w:t>
      </w:r>
      <w:r w:rsidRPr="00B74EF4">
        <w:rPr>
          <w:rFonts w:ascii="Segoe UI" w:hAnsi="Segoe UI" w:cs="Segoe UI"/>
          <w:sz w:val="24"/>
          <w:szCs w:val="24"/>
        </w:rPr>
        <w:t xml:space="preserve">Act </w:t>
      </w:r>
      <w:r w:rsidR="00A23823">
        <w:rPr>
          <w:rFonts w:ascii="Segoe UI" w:hAnsi="Segoe UI" w:cs="Segoe UI"/>
          <w:sz w:val="24"/>
          <w:szCs w:val="24"/>
        </w:rPr>
        <w:t xml:space="preserve">2004 </w:t>
      </w:r>
      <w:r w:rsidRPr="00B74EF4">
        <w:rPr>
          <w:rFonts w:ascii="Segoe UI" w:hAnsi="Segoe UI" w:cs="Segoe UI"/>
          <w:sz w:val="24"/>
          <w:szCs w:val="24"/>
        </w:rPr>
        <w:t xml:space="preserve">are arguably more relevant </w:t>
      </w:r>
      <w:proofErr w:type="gramStart"/>
      <w:r w:rsidRPr="00B74EF4">
        <w:rPr>
          <w:rFonts w:ascii="Segoe UI" w:hAnsi="Segoe UI" w:cs="Segoe UI"/>
          <w:sz w:val="24"/>
          <w:szCs w:val="24"/>
        </w:rPr>
        <w:t>in today’s society</w:t>
      </w:r>
      <w:proofErr w:type="gramEnd"/>
      <w:r w:rsidRPr="00B74EF4">
        <w:rPr>
          <w:rFonts w:ascii="Segoe UI" w:hAnsi="Segoe UI" w:cs="Segoe UI"/>
          <w:sz w:val="24"/>
          <w:szCs w:val="24"/>
        </w:rPr>
        <w:t xml:space="preserve"> than ever before, however “the world has changed over the past 20 years. So has business, the economy and society. They will change much further over the next 20 years. In particular, the risk picture the UK faces is less benign now than in 2004 and is likely to get worse” (National Preparedness Commission,</w:t>
      </w:r>
      <w:r w:rsidR="009D4245">
        <w:rPr>
          <w:rFonts w:ascii="Segoe UI" w:hAnsi="Segoe UI" w:cs="Segoe UI"/>
          <w:sz w:val="24"/>
          <w:szCs w:val="24"/>
        </w:rPr>
        <w:t xml:space="preserve"> 2022</w:t>
      </w:r>
      <w:r w:rsidRPr="00B74EF4">
        <w:rPr>
          <w:rFonts w:ascii="Segoe UI" w:hAnsi="Segoe UI" w:cs="Segoe UI"/>
          <w:sz w:val="24"/>
          <w:szCs w:val="24"/>
        </w:rPr>
        <w:t xml:space="preserve"> P.9). The causation of some of the emergencies we are now facing have shifted over the past 20 years.</w:t>
      </w:r>
    </w:p>
    <w:p w14:paraId="2B26212E" w14:textId="26A15D73" w:rsidR="00694730" w:rsidRDefault="00694730" w:rsidP="00B74EF4">
      <w:pPr>
        <w:rPr>
          <w:rFonts w:ascii="Segoe UI" w:hAnsi="Segoe UI" w:cs="Segoe UI"/>
          <w:color w:val="000000" w:themeColor="text1"/>
          <w:sz w:val="24"/>
          <w:szCs w:val="24"/>
        </w:rPr>
      </w:pPr>
      <w:r w:rsidRPr="002577A5">
        <w:rPr>
          <w:rFonts w:ascii="Segoe UI" w:hAnsi="Segoe UI" w:cs="Segoe UI"/>
          <w:color w:val="000000" w:themeColor="text1"/>
          <w:sz w:val="24"/>
          <w:szCs w:val="24"/>
        </w:rPr>
        <w:t xml:space="preserve">Post Implementation Reviews (PIRs) are fundamental in assessing the effectiveness of the legislative framework and it’s supporting guidance, identifying any gaps or requirement for amendments, providing improved transparency and accountability, leading to enhanced public confidence. </w:t>
      </w:r>
      <w:r w:rsidR="004E0B16">
        <w:rPr>
          <w:rFonts w:ascii="Segoe UI" w:hAnsi="Segoe UI" w:cs="Segoe UI"/>
          <w:color w:val="000000" w:themeColor="text1"/>
          <w:sz w:val="24"/>
          <w:szCs w:val="24"/>
        </w:rPr>
        <w:t xml:space="preserve">The UK Government has </w:t>
      </w:r>
      <w:r w:rsidR="003D70EF">
        <w:rPr>
          <w:rFonts w:ascii="Segoe UI" w:hAnsi="Segoe UI" w:cs="Segoe UI"/>
          <w:color w:val="000000" w:themeColor="text1"/>
          <w:sz w:val="24"/>
          <w:szCs w:val="24"/>
        </w:rPr>
        <w:t xml:space="preserve">a </w:t>
      </w:r>
      <w:r w:rsidR="004E0B16">
        <w:rPr>
          <w:rFonts w:ascii="Segoe UI" w:hAnsi="Segoe UI" w:cs="Segoe UI"/>
          <w:color w:val="000000" w:themeColor="text1"/>
          <w:sz w:val="24"/>
          <w:szCs w:val="24"/>
        </w:rPr>
        <w:t xml:space="preserve">statutory duty </w:t>
      </w:r>
      <w:r w:rsidR="00B74C55">
        <w:rPr>
          <w:rFonts w:ascii="Segoe UI" w:hAnsi="Segoe UI" w:cs="Segoe UI"/>
          <w:color w:val="000000" w:themeColor="text1"/>
          <w:sz w:val="24"/>
          <w:szCs w:val="24"/>
        </w:rPr>
        <w:t xml:space="preserve">to </w:t>
      </w:r>
      <w:r w:rsidR="00B74C55">
        <w:rPr>
          <w:rFonts w:ascii="Segoe UI" w:hAnsi="Segoe UI" w:cs="Segoe UI"/>
          <w:color w:val="000000" w:themeColor="text1"/>
          <w:sz w:val="24"/>
          <w:szCs w:val="24"/>
        </w:rPr>
        <w:lastRenderedPageBreak/>
        <w:t xml:space="preserve">undertake </w:t>
      </w:r>
      <w:r w:rsidR="00494349">
        <w:rPr>
          <w:rFonts w:ascii="Segoe UI" w:hAnsi="Segoe UI" w:cs="Segoe UI"/>
          <w:color w:val="000000" w:themeColor="text1"/>
          <w:sz w:val="24"/>
          <w:szCs w:val="24"/>
        </w:rPr>
        <w:t>Post Implementation Review</w:t>
      </w:r>
      <w:r w:rsidR="003D70EF">
        <w:rPr>
          <w:rFonts w:ascii="Segoe UI" w:hAnsi="Segoe UI" w:cs="Segoe UI"/>
          <w:color w:val="000000" w:themeColor="text1"/>
          <w:sz w:val="24"/>
          <w:szCs w:val="24"/>
        </w:rPr>
        <w:t>s</w:t>
      </w:r>
      <w:r w:rsidR="00494349">
        <w:rPr>
          <w:rFonts w:ascii="Segoe UI" w:hAnsi="Segoe UI" w:cs="Segoe UI"/>
          <w:color w:val="000000" w:themeColor="text1"/>
          <w:sz w:val="24"/>
          <w:szCs w:val="24"/>
        </w:rPr>
        <w:t xml:space="preserve"> of the CCA 2004</w:t>
      </w:r>
      <w:r w:rsidR="00B74C55">
        <w:rPr>
          <w:rFonts w:ascii="Segoe UI" w:hAnsi="Segoe UI" w:cs="Segoe UI"/>
          <w:color w:val="000000" w:themeColor="text1"/>
          <w:sz w:val="24"/>
          <w:szCs w:val="24"/>
        </w:rPr>
        <w:t xml:space="preserve">. These were </w:t>
      </w:r>
      <w:r w:rsidR="00494349">
        <w:rPr>
          <w:rFonts w:ascii="Segoe UI" w:hAnsi="Segoe UI" w:cs="Segoe UI"/>
          <w:color w:val="000000" w:themeColor="text1"/>
          <w:sz w:val="24"/>
          <w:szCs w:val="24"/>
        </w:rPr>
        <w:t>carried out in both 2017 and 2022</w:t>
      </w:r>
      <w:r w:rsidR="0019360F">
        <w:rPr>
          <w:rFonts w:ascii="Segoe UI" w:hAnsi="Segoe UI" w:cs="Segoe UI"/>
          <w:color w:val="000000" w:themeColor="text1"/>
          <w:sz w:val="24"/>
          <w:szCs w:val="24"/>
        </w:rPr>
        <w:t xml:space="preserve"> and involved consultations with </w:t>
      </w:r>
      <w:r w:rsidR="002A33A8">
        <w:rPr>
          <w:rFonts w:ascii="Segoe UI" w:hAnsi="Segoe UI" w:cs="Segoe UI"/>
          <w:color w:val="000000" w:themeColor="text1"/>
          <w:sz w:val="24"/>
          <w:szCs w:val="24"/>
        </w:rPr>
        <w:t>stakeholders</w:t>
      </w:r>
      <w:r w:rsidR="00494349">
        <w:rPr>
          <w:rFonts w:ascii="Segoe UI" w:hAnsi="Segoe UI" w:cs="Segoe UI"/>
          <w:color w:val="000000" w:themeColor="text1"/>
          <w:sz w:val="24"/>
          <w:szCs w:val="24"/>
        </w:rPr>
        <w:t xml:space="preserve">. </w:t>
      </w:r>
    </w:p>
    <w:p w14:paraId="2D4C5074" w14:textId="368C0F1F" w:rsidR="00B74EF4" w:rsidRPr="00694730" w:rsidRDefault="00B74EF4" w:rsidP="00B74EF4">
      <w:pPr>
        <w:rPr>
          <w:rFonts w:ascii="Segoe UI" w:hAnsi="Segoe UI" w:cs="Segoe UI"/>
          <w:color w:val="000000" w:themeColor="text1"/>
          <w:sz w:val="24"/>
          <w:szCs w:val="24"/>
        </w:rPr>
      </w:pPr>
      <w:r w:rsidRPr="00B74EF4">
        <w:rPr>
          <w:rFonts w:ascii="Segoe UI" w:hAnsi="Segoe UI" w:cs="Segoe UI"/>
          <w:sz w:val="24"/>
          <w:szCs w:val="24"/>
        </w:rPr>
        <w:t xml:space="preserve">The Cabinet Office Civil Contingencies Post </w:t>
      </w:r>
      <w:commentRangeStart w:id="0"/>
      <w:commentRangeStart w:id="1"/>
      <w:r w:rsidRPr="00B74EF4">
        <w:rPr>
          <w:rFonts w:ascii="Segoe UI" w:hAnsi="Segoe UI" w:cs="Segoe UI"/>
          <w:sz w:val="24"/>
          <w:szCs w:val="24"/>
        </w:rPr>
        <w:t xml:space="preserve">Implementation Review 2022, states </w:t>
      </w:r>
      <w:commentRangeEnd w:id="0"/>
      <w:r w:rsidR="002577A5">
        <w:rPr>
          <w:rStyle w:val="CommentReference"/>
        </w:rPr>
        <w:commentReference w:id="0"/>
      </w:r>
      <w:commentRangeEnd w:id="1"/>
      <w:r w:rsidR="00C76C6C">
        <w:rPr>
          <w:rStyle w:val="CommentReference"/>
        </w:rPr>
        <w:commentReference w:id="1"/>
      </w:r>
      <w:r w:rsidRPr="00B74EF4">
        <w:rPr>
          <w:rFonts w:ascii="Segoe UI" w:hAnsi="Segoe UI" w:cs="Segoe UI"/>
          <w:sz w:val="24"/>
          <w:szCs w:val="24"/>
        </w:rPr>
        <w:t xml:space="preserve">that the </w:t>
      </w:r>
      <w:r w:rsidR="00D760FD">
        <w:rPr>
          <w:rFonts w:ascii="Segoe UI" w:hAnsi="Segoe UI" w:cs="Segoe UI"/>
          <w:sz w:val="24"/>
          <w:szCs w:val="24"/>
        </w:rPr>
        <w:t>CCA</w:t>
      </w:r>
      <w:r w:rsidRPr="00B74EF4">
        <w:rPr>
          <w:rFonts w:ascii="Segoe UI" w:hAnsi="Segoe UI" w:cs="Segoe UI"/>
          <w:sz w:val="24"/>
          <w:szCs w:val="24"/>
        </w:rPr>
        <w:t xml:space="preserve"> still “broadly achieves the objectives envisaged when it was created” however, the review also identified </w:t>
      </w:r>
      <w:r w:rsidR="00EE5198" w:rsidRPr="00B74EF4">
        <w:rPr>
          <w:rFonts w:ascii="Segoe UI" w:hAnsi="Segoe UI" w:cs="Segoe UI"/>
          <w:sz w:val="24"/>
          <w:szCs w:val="24"/>
        </w:rPr>
        <w:t>evidence-based</w:t>
      </w:r>
      <w:r w:rsidRPr="00B74EF4">
        <w:rPr>
          <w:rFonts w:ascii="Segoe UI" w:hAnsi="Segoe UI" w:cs="Segoe UI"/>
          <w:sz w:val="24"/>
          <w:szCs w:val="24"/>
        </w:rPr>
        <w:t xml:space="preserve"> recommendations that “could drive further benefits in terms of standardising best practice and performance”</w:t>
      </w:r>
      <w:r w:rsidR="00646808">
        <w:rPr>
          <w:rFonts w:ascii="Segoe UI" w:hAnsi="Segoe UI" w:cs="Segoe UI"/>
          <w:sz w:val="24"/>
          <w:szCs w:val="24"/>
        </w:rPr>
        <w:t xml:space="preserve">. This </w:t>
      </w:r>
      <w:r w:rsidRPr="00B74EF4">
        <w:rPr>
          <w:rFonts w:ascii="Segoe UI" w:hAnsi="Segoe UI" w:cs="Segoe UI"/>
          <w:sz w:val="24"/>
          <w:szCs w:val="24"/>
        </w:rPr>
        <w:t xml:space="preserve">supports the view, that whilst the duties under the </w:t>
      </w:r>
      <w:r w:rsidR="00675F65">
        <w:rPr>
          <w:rFonts w:ascii="Segoe UI" w:hAnsi="Segoe UI" w:cs="Segoe UI"/>
          <w:sz w:val="24"/>
          <w:szCs w:val="24"/>
        </w:rPr>
        <w:t>CCA 2004</w:t>
      </w:r>
      <w:r w:rsidRPr="00B74EF4">
        <w:rPr>
          <w:rFonts w:ascii="Segoe UI" w:hAnsi="Segoe UI" w:cs="Segoe UI"/>
          <w:sz w:val="24"/>
          <w:szCs w:val="24"/>
        </w:rPr>
        <w:t xml:space="preserve"> are still relevant in 2025, and the initial implementation of the Civil Contingencies Act 2004 did indeed alter and shape Emergency Preparedness and Civil Protection in the United Kingdom, there is still a need for modernisation and amendments to either the </w:t>
      </w:r>
      <w:r w:rsidR="00675F65">
        <w:rPr>
          <w:rFonts w:ascii="Segoe UI" w:hAnsi="Segoe UI" w:cs="Segoe UI"/>
          <w:sz w:val="24"/>
          <w:szCs w:val="24"/>
        </w:rPr>
        <w:t xml:space="preserve">Civil Contingencies </w:t>
      </w:r>
      <w:r w:rsidRPr="00B74EF4">
        <w:rPr>
          <w:rFonts w:ascii="Segoe UI" w:hAnsi="Segoe UI" w:cs="Segoe UI"/>
          <w:sz w:val="24"/>
          <w:szCs w:val="24"/>
        </w:rPr>
        <w:t xml:space="preserve">Act </w:t>
      </w:r>
      <w:r w:rsidR="00675F65">
        <w:rPr>
          <w:rFonts w:ascii="Segoe UI" w:hAnsi="Segoe UI" w:cs="Segoe UI"/>
          <w:sz w:val="24"/>
          <w:szCs w:val="24"/>
        </w:rPr>
        <w:t xml:space="preserve">2004 </w:t>
      </w:r>
      <w:r w:rsidRPr="00B74EF4">
        <w:rPr>
          <w:rFonts w:ascii="Segoe UI" w:hAnsi="Segoe UI" w:cs="Segoe UI"/>
          <w:sz w:val="24"/>
          <w:szCs w:val="24"/>
        </w:rPr>
        <w:t xml:space="preserve">or it’s supporting guidance to ensure that it aligns with the modern day threats and risks as well as providing a greater level of standardisation and consistency across Responding Organisations. </w:t>
      </w:r>
    </w:p>
    <w:p w14:paraId="63B73E0B" w14:textId="2E0112D9" w:rsidR="00B74EF4" w:rsidRPr="00B74EF4" w:rsidRDefault="00B74EF4" w:rsidP="00B74EF4">
      <w:pPr>
        <w:rPr>
          <w:rFonts w:ascii="Segoe UI" w:hAnsi="Segoe UI" w:cs="Segoe UI"/>
          <w:color w:val="4EA72E" w:themeColor="accent6"/>
          <w:sz w:val="24"/>
          <w:szCs w:val="24"/>
        </w:rPr>
      </w:pPr>
      <w:r w:rsidRPr="00B74EF4">
        <w:rPr>
          <w:rFonts w:ascii="Segoe UI" w:hAnsi="Segoe UI" w:cs="Segoe UI"/>
          <w:sz w:val="24"/>
          <w:szCs w:val="24"/>
        </w:rPr>
        <w:t xml:space="preserve">Time and time again, we identify learning and failures through debriefing and inquiries, which the </w:t>
      </w:r>
      <w:r w:rsidR="003D70EF">
        <w:rPr>
          <w:rFonts w:ascii="Segoe UI" w:hAnsi="Segoe UI" w:cs="Segoe UI"/>
          <w:sz w:val="24"/>
          <w:szCs w:val="24"/>
        </w:rPr>
        <w:t>CCA 2004</w:t>
      </w:r>
      <w:r w:rsidRPr="00B74EF4">
        <w:rPr>
          <w:rFonts w:ascii="Segoe UI" w:hAnsi="Segoe UI" w:cs="Segoe UI"/>
          <w:sz w:val="24"/>
          <w:szCs w:val="24"/>
        </w:rPr>
        <w:t xml:space="preserve"> and its accompanying statutory and non-statutory guidance fails to appropriately address.  As highlighted in the national preparedness commissions independent review of the CCA 2004 and its supporting arrangements “much of the key resilience doctrine and guidance has not been updated for a decade, especially the two major pieces of statutory and non-statutory guidance accompanying the Act: Emergency Preparedness and Emergency Response and Recovery” (National Preparedness Commission</w:t>
      </w:r>
      <w:r w:rsidR="007B4C2C">
        <w:rPr>
          <w:rFonts w:ascii="Segoe UI" w:hAnsi="Segoe UI" w:cs="Segoe UI"/>
          <w:sz w:val="24"/>
          <w:szCs w:val="24"/>
        </w:rPr>
        <w:t xml:space="preserve">, </w:t>
      </w:r>
      <w:r w:rsidRPr="00B74EF4">
        <w:rPr>
          <w:rFonts w:ascii="Segoe UI" w:hAnsi="Segoe UI" w:cs="Segoe UI"/>
          <w:sz w:val="24"/>
          <w:szCs w:val="24"/>
        </w:rPr>
        <w:t>2022).</w:t>
      </w:r>
      <w:r w:rsidRPr="00B74EF4">
        <w:t xml:space="preserve"> </w:t>
      </w:r>
    </w:p>
    <w:p w14:paraId="07D405EA" w14:textId="1146F137" w:rsidR="00B74EF4" w:rsidRPr="00B74EF4" w:rsidRDefault="00B74EF4" w:rsidP="00B74EF4">
      <w:pPr>
        <w:rPr>
          <w:rFonts w:ascii="Segoe UI" w:hAnsi="Segoe UI" w:cs="Segoe UI"/>
          <w:sz w:val="24"/>
          <w:szCs w:val="24"/>
        </w:rPr>
      </w:pPr>
      <w:r w:rsidRPr="00B74EF4">
        <w:rPr>
          <w:rFonts w:ascii="Segoe UI" w:hAnsi="Segoe UI" w:cs="Segoe UI"/>
          <w:sz w:val="24"/>
          <w:szCs w:val="24"/>
        </w:rPr>
        <w:t xml:space="preserve">The Civil Contingencies Act </w:t>
      </w:r>
      <w:r w:rsidR="003D70EF">
        <w:rPr>
          <w:rFonts w:ascii="Segoe UI" w:hAnsi="Segoe UI" w:cs="Segoe UI"/>
          <w:sz w:val="24"/>
          <w:szCs w:val="24"/>
        </w:rPr>
        <w:t xml:space="preserve">2004 </w:t>
      </w:r>
      <w:r w:rsidRPr="00B74EF4">
        <w:rPr>
          <w:rFonts w:ascii="Segoe UI" w:hAnsi="Segoe UI" w:cs="Segoe UI"/>
          <w:sz w:val="24"/>
          <w:szCs w:val="24"/>
        </w:rPr>
        <w:t>was fit for purpose when introduced in 2004 and the fundamentals behind it are still valid</w:t>
      </w:r>
      <w:r w:rsidR="001615CF">
        <w:rPr>
          <w:rFonts w:ascii="Segoe UI" w:hAnsi="Segoe UI" w:cs="Segoe UI"/>
          <w:sz w:val="24"/>
          <w:szCs w:val="24"/>
        </w:rPr>
        <w:t>.</w:t>
      </w:r>
      <w:r w:rsidRPr="00B74EF4">
        <w:rPr>
          <w:rFonts w:ascii="Segoe UI" w:hAnsi="Segoe UI" w:cs="Segoe UI"/>
          <w:sz w:val="24"/>
          <w:szCs w:val="24"/>
        </w:rPr>
        <w:t xml:space="preserve"> </w:t>
      </w:r>
      <w:r w:rsidR="00BB344A">
        <w:rPr>
          <w:rFonts w:ascii="Segoe UI" w:hAnsi="Segoe UI" w:cs="Segoe UI"/>
          <w:sz w:val="24"/>
          <w:szCs w:val="24"/>
        </w:rPr>
        <w:t>H</w:t>
      </w:r>
      <w:r w:rsidR="00BB344A" w:rsidRPr="00B74EF4">
        <w:rPr>
          <w:rFonts w:ascii="Segoe UI" w:hAnsi="Segoe UI" w:cs="Segoe UI"/>
          <w:sz w:val="24"/>
          <w:szCs w:val="24"/>
        </w:rPr>
        <w:t>owever,</w:t>
      </w:r>
      <w:r w:rsidRPr="00B74EF4">
        <w:rPr>
          <w:rFonts w:ascii="Segoe UI" w:hAnsi="Segoe UI" w:cs="Segoe UI"/>
          <w:sz w:val="24"/>
          <w:szCs w:val="24"/>
        </w:rPr>
        <w:t xml:space="preserve"> </w:t>
      </w:r>
      <w:proofErr w:type="gramStart"/>
      <w:r w:rsidRPr="00B74EF4">
        <w:rPr>
          <w:rFonts w:ascii="Segoe UI" w:hAnsi="Segoe UI" w:cs="Segoe UI"/>
          <w:sz w:val="24"/>
          <w:szCs w:val="24"/>
        </w:rPr>
        <w:t>in order to</w:t>
      </w:r>
      <w:proofErr w:type="gramEnd"/>
      <w:r w:rsidRPr="00B74EF4">
        <w:rPr>
          <w:rFonts w:ascii="Segoe UI" w:hAnsi="Segoe UI" w:cs="Segoe UI"/>
          <w:sz w:val="24"/>
          <w:szCs w:val="24"/>
        </w:rPr>
        <w:t xml:space="preserve"> remain effective both the </w:t>
      </w:r>
      <w:r w:rsidR="0073224A">
        <w:rPr>
          <w:rFonts w:ascii="Segoe UI" w:hAnsi="Segoe UI" w:cs="Segoe UI"/>
          <w:sz w:val="24"/>
          <w:szCs w:val="24"/>
        </w:rPr>
        <w:t xml:space="preserve">Civil Contingencies </w:t>
      </w:r>
      <w:r w:rsidRPr="00B74EF4">
        <w:rPr>
          <w:rFonts w:ascii="Segoe UI" w:hAnsi="Segoe UI" w:cs="Segoe UI"/>
          <w:sz w:val="24"/>
          <w:szCs w:val="24"/>
        </w:rPr>
        <w:t xml:space="preserve">Act </w:t>
      </w:r>
      <w:r w:rsidR="0073224A">
        <w:rPr>
          <w:rFonts w:ascii="Segoe UI" w:hAnsi="Segoe UI" w:cs="Segoe UI"/>
          <w:sz w:val="24"/>
          <w:szCs w:val="24"/>
        </w:rPr>
        <w:t xml:space="preserve">2004 </w:t>
      </w:r>
      <w:r w:rsidRPr="00B74EF4">
        <w:rPr>
          <w:rFonts w:ascii="Segoe UI" w:hAnsi="Segoe UI" w:cs="Segoe UI"/>
          <w:sz w:val="24"/>
          <w:szCs w:val="24"/>
        </w:rPr>
        <w:t xml:space="preserve">and </w:t>
      </w:r>
      <w:proofErr w:type="gramStart"/>
      <w:r w:rsidRPr="00B74EF4">
        <w:rPr>
          <w:rFonts w:ascii="Segoe UI" w:hAnsi="Segoe UI" w:cs="Segoe UI"/>
          <w:sz w:val="24"/>
          <w:szCs w:val="24"/>
        </w:rPr>
        <w:t>it’s</w:t>
      </w:r>
      <w:proofErr w:type="gramEnd"/>
      <w:r w:rsidRPr="00B74EF4">
        <w:rPr>
          <w:rFonts w:ascii="Segoe UI" w:hAnsi="Segoe UI" w:cs="Segoe UI"/>
          <w:sz w:val="24"/>
          <w:szCs w:val="24"/>
        </w:rPr>
        <w:t xml:space="preserve"> various pieces of accompanying statutory and non-statutory guidance needs to be regularly reviewed and updated following the identification of required amendments or improvements</w:t>
      </w:r>
      <w:r w:rsidR="00BB344A">
        <w:rPr>
          <w:rFonts w:ascii="Segoe UI" w:hAnsi="Segoe UI" w:cs="Segoe UI"/>
          <w:sz w:val="24"/>
          <w:szCs w:val="24"/>
        </w:rPr>
        <w:t>. This will</w:t>
      </w:r>
      <w:r w:rsidRPr="00B74EF4">
        <w:rPr>
          <w:rFonts w:ascii="Segoe UI" w:hAnsi="Segoe UI" w:cs="Segoe UI"/>
          <w:sz w:val="24"/>
          <w:szCs w:val="24"/>
        </w:rPr>
        <w:t xml:space="preserve"> ensure that it continues to be relevant and address the threats, risks and needs that communities across the country face in 2025. During the last post-implementation review, which was undertaken in 2022, the need for </w:t>
      </w:r>
      <w:r w:rsidRPr="00B74EF4">
        <w:rPr>
          <w:rFonts w:ascii="Segoe UI" w:hAnsi="Segoe UI" w:cs="Segoe UI"/>
          <w:sz w:val="28"/>
          <w:szCs w:val="28"/>
        </w:rPr>
        <w:t>“</w:t>
      </w:r>
      <w:r w:rsidRPr="00B74EF4">
        <w:rPr>
          <w:rFonts w:ascii="Segoe UI" w:hAnsi="Segoe UI" w:cs="Segoe UI"/>
          <w:sz w:val="24"/>
          <w:szCs w:val="24"/>
        </w:rPr>
        <w:t>considering future needs of UK emergency preparedness” (Cabinet Office</w:t>
      </w:r>
      <w:r w:rsidR="00D62090">
        <w:rPr>
          <w:rFonts w:ascii="Segoe UI" w:hAnsi="Segoe UI" w:cs="Segoe UI"/>
          <w:sz w:val="24"/>
          <w:szCs w:val="24"/>
        </w:rPr>
        <w:t xml:space="preserve">, </w:t>
      </w:r>
      <w:r w:rsidRPr="00B74EF4">
        <w:rPr>
          <w:rFonts w:ascii="Segoe UI" w:hAnsi="Segoe UI" w:cs="Segoe UI"/>
          <w:sz w:val="24"/>
          <w:szCs w:val="24"/>
        </w:rPr>
        <w:t xml:space="preserve">2022) was highlighted. </w:t>
      </w:r>
    </w:p>
    <w:p w14:paraId="6BF39448" w14:textId="5CF4F4D1" w:rsidR="00B74EF4" w:rsidRPr="00B74EF4" w:rsidRDefault="00B74EF4" w:rsidP="00B74EF4">
      <w:pPr>
        <w:rPr>
          <w:rFonts w:ascii="Segoe UI" w:hAnsi="Segoe UI" w:cs="Segoe UI"/>
          <w:sz w:val="24"/>
          <w:szCs w:val="24"/>
        </w:rPr>
      </w:pPr>
      <w:r w:rsidRPr="00B74EF4">
        <w:rPr>
          <w:rFonts w:ascii="Segoe UI" w:hAnsi="Segoe UI" w:cs="Segoe UI"/>
          <w:sz w:val="24"/>
          <w:szCs w:val="24"/>
        </w:rPr>
        <w:t xml:space="preserve">Regardless of individual opinion around how effective the Civil Contingencies Act 2004 has been to improve preparedness across the United Kingdom, there is no denying that it has indeed transformed emergency preparedness and civil protection in the United Kingdom since its publication, along with its supporting statutory and non-statutory guidance. Twenty years on, and the evidence strongly supports the view that there is room for improvement and the requirement for modernisation of the </w:t>
      </w:r>
      <w:r w:rsidR="003D70EF">
        <w:rPr>
          <w:rFonts w:ascii="Segoe UI" w:hAnsi="Segoe UI" w:cs="Segoe UI"/>
          <w:sz w:val="24"/>
          <w:szCs w:val="24"/>
        </w:rPr>
        <w:t>CCA 2004</w:t>
      </w:r>
      <w:r w:rsidRPr="00B74EF4">
        <w:rPr>
          <w:rFonts w:ascii="Segoe UI" w:hAnsi="Segoe UI" w:cs="Segoe UI"/>
          <w:sz w:val="24"/>
          <w:szCs w:val="24"/>
        </w:rPr>
        <w:t xml:space="preserve"> so that it continues to meet the needs of emergency preparedness and </w:t>
      </w:r>
      <w:r w:rsidRPr="00B74EF4">
        <w:rPr>
          <w:rFonts w:ascii="Segoe UI" w:hAnsi="Segoe UI" w:cs="Segoe UI"/>
          <w:sz w:val="24"/>
          <w:szCs w:val="24"/>
        </w:rPr>
        <w:lastRenderedPageBreak/>
        <w:t>civil protection in the United Kingdom as we continue to move through the 21</w:t>
      </w:r>
      <w:r w:rsidRPr="00B74EF4">
        <w:rPr>
          <w:rFonts w:ascii="Segoe UI" w:hAnsi="Segoe UI" w:cs="Segoe UI"/>
          <w:sz w:val="24"/>
          <w:szCs w:val="24"/>
          <w:vertAlign w:val="superscript"/>
        </w:rPr>
        <w:t>st</w:t>
      </w:r>
      <w:r w:rsidRPr="00B74EF4">
        <w:rPr>
          <w:rFonts w:ascii="Segoe UI" w:hAnsi="Segoe UI" w:cs="Segoe UI"/>
          <w:sz w:val="24"/>
          <w:szCs w:val="24"/>
        </w:rPr>
        <w:t xml:space="preserve"> Century.</w:t>
      </w:r>
    </w:p>
    <w:p w14:paraId="7A8C89C9" w14:textId="77777777" w:rsidR="00B74EF4" w:rsidRPr="00B74EF4" w:rsidRDefault="00B74EF4" w:rsidP="00B74EF4">
      <w:pPr>
        <w:rPr>
          <w:rFonts w:ascii="Segoe UI" w:hAnsi="Segoe UI" w:cs="Segoe UI"/>
          <w:sz w:val="24"/>
          <w:szCs w:val="24"/>
        </w:rPr>
      </w:pPr>
    </w:p>
    <w:p w14:paraId="7C8ED921" w14:textId="77777777" w:rsidR="00B74EF4" w:rsidRPr="00B74EF4" w:rsidRDefault="00B74EF4" w:rsidP="00B74EF4">
      <w:pPr>
        <w:rPr>
          <w:rFonts w:ascii="Segoe UI" w:hAnsi="Segoe UI" w:cs="Segoe UI"/>
          <w:b/>
          <w:bCs/>
          <w:sz w:val="24"/>
          <w:szCs w:val="24"/>
        </w:rPr>
      </w:pPr>
      <w:r w:rsidRPr="00B74EF4">
        <w:rPr>
          <w:rFonts w:ascii="Segoe UI" w:hAnsi="Segoe UI" w:cs="Segoe UI"/>
          <w:b/>
          <w:bCs/>
          <w:sz w:val="24"/>
          <w:szCs w:val="24"/>
        </w:rPr>
        <w:br w:type="page"/>
      </w:r>
    </w:p>
    <w:p w14:paraId="0F2CC399" w14:textId="77777777" w:rsidR="00B74EF4" w:rsidRPr="00B74EF4" w:rsidRDefault="00B74EF4" w:rsidP="00B74EF4">
      <w:pPr>
        <w:rPr>
          <w:rFonts w:ascii="Segoe UI" w:hAnsi="Segoe UI" w:cs="Segoe UI"/>
          <w:b/>
          <w:bCs/>
          <w:sz w:val="24"/>
          <w:szCs w:val="24"/>
        </w:rPr>
      </w:pPr>
      <w:r w:rsidRPr="00B74EF4">
        <w:rPr>
          <w:rFonts w:ascii="Segoe UI" w:hAnsi="Segoe UI" w:cs="Segoe UI"/>
          <w:b/>
          <w:bCs/>
          <w:sz w:val="24"/>
          <w:szCs w:val="24"/>
        </w:rPr>
        <w:lastRenderedPageBreak/>
        <w:t>REFERENCES</w:t>
      </w:r>
    </w:p>
    <w:p w14:paraId="43587AC1" w14:textId="77777777" w:rsidR="00B74EF4" w:rsidRPr="00B74EF4" w:rsidRDefault="00B74EF4" w:rsidP="00B74EF4">
      <w:pPr>
        <w:rPr>
          <w:rFonts w:ascii="Segoe UI" w:hAnsi="Segoe UI" w:cs="Segoe UI"/>
          <w:sz w:val="24"/>
          <w:szCs w:val="24"/>
        </w:rPr>
      </w:pPr>
      <w:r w:rsidRPr="00B74EF4">
        <w:rPr>
          <w:rFonts w:ascii="Segoe UI" w:hAnsi="Segoe UI" w:cs="Segoe UI"/>
          <w:sz w:val="24"/>
          <w:szCs w:val="24"/>
        </w:rPr>
        <w:t>Barrell, J. (2006) ‘’Tolley's Handbook of Disaster and Emergency Management’. Taylor &amp; Francis. 3rd Edition. P.14.</w:t>
      </w:r>
    </w:p>
    <w:p w14:paraId="346A2477" w14:textId="671B1F5E" w:rsidR="00B74EF4" w:rsidRPr="00B74EF4" w:rsidRDefault="00B74EF4" w:rsidP="00B74EF4">
      <w:pPr>
        <w:rPr>
          <w:rFonts w:ascii="Segoe UI" w:hAnsi="Segoe UI" w:cs="Segoe UI"/>
          <w:i/>
          <w:iCs/>
          <w:sz w:val="24"/>
          <w:szCs w:val="24"/>
        </w:rPr>
      </w:pPr>
      <w:r w:rsidRPr="00B74EF4">
        <w:rPr>
          <w:rFonts w:ascii="Segoe UI" w:hAnsi="Segoe UI" w:cs="Segoe UI"/>
          <w:sz w:val="24"/>
          <w:szCs w:val="24"/>
        </w:rPr>
        <w:t xml:space="preserve">Business Continuity Institute (2023) ‘Good Practice Guidelines’. Edition 7.0, p. 16. </w:t>
      </w:r>
      <w:r w:rsidRPr="00B74EF4">
        <w:rPr>
          <w:rFonts w:ascii="Segoe UI" w:hAnsi="Segoe UI" w:cs="Segoe UI"/>
          <w:i/>
          <w:iCs/>
          <w:sz w:val="24"/>
          <w:szCs w:val="24"/>
        </w:rPr>
        <w:t xml:space="preserve">Note: This document </w:t>
      </w:r>
      <w:r w:rsidR="00840D30">
        <w:rPr>
          <w:rFonts w:ascii="Segoe UI" w:hAnsi="Segoe UI" w:cs="Segoe UI"/>
          <w:i/>
          <w:iCs/>
          <w:sz w:val="24"/>
          <w:szCs w:val="24"/>
        </w:rPr>
        <w:t xml:space="preserve">is </w:t>
      </w:r>
      <w:r w:rsidR="00E91701">
        <w:rPr>
          <w:rFonts w:ascii="Segoe UI" w:hAnsi="Segoe UI" w:cs="Segoe UI"/>
          <w:i/>
          <w:iCs/>
          <w:sz w:val="24"/>
          <w:szCs w:val="24"/>
        </w:rPr>
        <w:t>acce</w:t>
      </w:r>
      <w:r w:rsidR="00840D30">
        <w:rPr>
          <w:rFonts w:ascii="Segoe UI" w:hAnsi="Segoe UI" w:cs="Segoe UI"/>
          <w:i/>
          <w:iCs/>
          <w:sz w:val="24"/>
          <w:szCs w:val="24"/>
        </w:rPr>
        <w:t>ssible</w:t>
      </w:r>
      <w:r w:rsidR="00E91701">
        <w:rPr>
          <w:rFonts w:ascii="Segoe UI" w:hAnsi="Segoe UI" w:cs="Segoe UI"/>
          <w:i/>
          <w:iCs/>
          <w:sz w:val="24"/>
          <w:szCs w:val="24"/>
        </w:rPr>
        <w:t xml:space="preserve"> through a pay wall. </w:t>
      </w:r>
    </w:p>
    <w:p w14:paraId="6705C7B7" w14:textId="77777777" w:rsidR="00B74EF4" w:rsidRPr="00B74EF4" w:rsidRDefault="00B74EF4" w:rsidP="00B74EF4">
      <w:pPr>
        <w:rPr>
          <w:rFonts w:ascii="Segoe UI" w:hAnsi="Segoe UI" w:cs="Segoe UI"/>
          <w:sz w:val="24"/>
          <w:szCs w:val="24"/>
        </w:rPr>
      </w:pPr>
      <w:r w:rsidRPr="00B74EF4">
        <w:rPr>
          <w:rFonts w:ascii="Segoe UI" w:hAnsi="Segoe UI" w:cs="Segoe UI"/>
          <w:sz w:val="24"/>
          <w:szCs w:val="24"/>
        </w:rPr>
        <w:t xml:space="preserve">Cabinet Office (2004), The Civil Contingencies Act 2004. Available at:  </w:t>
      </w:r>
      <w:hyperlink r:id="rId9" w:history="1">
        <w:r w:rsidRPr="00B74EF4">
          <w:rPr>
            <w:rFonts w:ascii="Segoe UI" w:hAnsi="Segoe UI" w:cs="Segoe UI"/>
            <w:color w:val="467886" w:themeColor="hyperlink"/>
            <w:sz w:val="24"/>
            <w:szCs w:val="24"/>
            <w:u w:val="single"/>
          </w:rPr>
          <w:t>https://www.legislation.gov.uk/ukpga/2004/36/contents</w:t>
        </w:r>
      </w:hyperlink>
      <w:r w:rsidRPr="00B74EF4">
        <w:rPr>
          <w:rFonts w:ascii="Segoe UI" w:hAnsi="Segoe UI" w:cs="Segoe UI"/>
          <w:sz w:val="24"/>
          <w:szCs w:val="24"/>
        </w:rPr>
        <w:t xml:space="preserve"> [Accessed 1 December 2025].</w:t>
      </w:r>
    </w:p>
    <w:p w14:paraId="63CB9331" w14:textId="77777777" w:rsidR="00B74EF4" w:rsidRPr="00B74EF4" w:rsidRDefault="00B74EF4" w:rsidP="00B74EF4">
      <w:pPr>
        <w:rPr>
          <w:rFonts w:ascii="Segoe UI" w:hAnsi="Segoe UI" w:cs="Segoe UI"/>
          <w:sz w:val="24"/>
          <w:szCs w:val="24"/>
        </w:rPr>
      </w:pPr>
      <w:r w:rsidRPr="00B74EF4">
        <w:rPr>
          <w:rFonts w:ascii="Segoe UI" w:hAnsi="Segoe UI" w:cs="Segoe UI"/>
          <w:sz w:val="24"/>
          <w:szCs w:val="24"/>
        </w:rPr>
        <w:t xml:space="preserve">Cabinet Office (2004), The Civil Contingencies Act 2004: Explanatory Notes. Available at: </w:t>
      </w:r>
      <w:hyperlink r:id="rId10" w:history="1">
        <w:r w:rsidRPr="00B74EF4">
          <w:rPr>
            <w:rFonts w:ascii="Segoe UI" w:hAnsi="Segoe UI" w:cs="Segoe UI"/>
            <w:color w:val="467886" w:themeColor="hyperlink"/>
            <w:sz w:val="24"/>
            <w:szCs w:val="24"/>
            <w:u w:val="single"/>
          </w:rPr>
          <w:t>https://www.legislation.gov.uk/ukpga/2004/36/notes</w:t>
        </w:r>
      </w:hyperlink>
      <w:r w:rsidRPr="00B74EF4">
        <w:rPr>
          <w:rFonts w:ascii="Segoe UI" w:hAnsi="Segoe UI" w:cs="Segoe UI"/>
          <w:sz w:val="24"/>
          <w:szCs w:val="24"/>
        </w:rPr>
        <w:t xml:space="preserve"> [Accessed 1 December 2025].</w:t>
      </w:r>
    </w:p>
    <w:p w14:paraId="13DAA53B" w14:textId="77777777" w:rsidR="00B74EF4" w:rsidRDefault="00B74EF4" w:rsidP="00B74EF4">
      <w:pPr>
        <w:rPr>
          <w:rFonts w:ascii="Segoe UI" w:hAnsi="Segoe UI" w:cs="Segoe UI"/>
          <w:sz w:val="24"/>
          <w:szCs w:val="24"/>
        </w:rPr>
      </w:pPr>
      <w:r w:rsidRPr="00B74EF4">
        <w:rPr>
          <w:rFonts w:ascii="Segoe UI" w:hAnsi="Segoe UI" w:cs="Segoe UI"/>
          <w:sz w:val="24"/>
          <w:szCs w:val="24"/>
        </w:rPr>
        <w:t xml:space="preserve">Cabinet Office (2005), The Civil Contingencies Act 2004 (Contingency Planning) Regulations. Available at: </w:t>
      </w:r>
      <w:hyperlink r:id="rId11" w:history="1">
        <w:r w:rsidRPr="00B74EF4">
          <w:rPr>
            <w:rFonts w:ascii="Segoe UI" w:hAnsi="Segoe UI" w:cs="Segoe UI"/>
            <w:color w:val="467886" w:themeColor="hyperlink"/>
            <w:sz w:val="24"/>
            <w:szCs w:val="24"/>
            <w:u w:val="single"/>
          </w:rPr>
          <w:t>https://www.legislation.gov.uk/uksi/2005/2042/regulation/25</w:t>
        </w:r>
      </w:hyperlink>
      <w:r w:rsidRPr="00B74EF4">
        <w:rPr>
          <w:rFonts w:ascii="Segoe UI" w:hAnsi="Segoe UI" w:cs="Segoe UI"/>
          <w:sz w:val="24"/>
          <w:szCs w:val="24"/>
        </w:rPr>
        <w:t xml:space="preserve"> [Accessed 4 December 2025].</w:t>
      </w:r>
    </w:p>
    <w:p w14:paraId="57DC8900" w14:textId="1C599122" w:rsidR="000C161F" w:rsidRPr="00B74EF4" w:rsidRDefault="000C161F" w:rsidP="00B74EF4">
      <w:pPr>
        <w:rPr>
          <w:rFonts w:ascii="Segoe UI" w:hAnsi="Segoe UI" w:cs="Segoe UI"/>
          <w:sz w:val="24"/>
          <w:szCs w:val="24"/>
        </w:rPr>
      </w:pPr>
      <w:r>
        <w:rPr>
          <w:rFonts w:ascii="Segoe UI" w:hAnsi="Segoe UI" w:cs="Segoe UI"/>
          <w:sz w:val="24"/>
          <w:szCs w:val="24"/>
        </w:rPr>
        <w:t xml:space="preserve">Cabinet Office (2011), </w:t>
      </w:r>
      <w:r w:rsidR="00D02563">
        <w:rPr>
          <w:rFonts w:ascii="Segoe UI" w:hAnsi="Segoe UI" w:cs="Segoe UI"/>
          <w:sz w:val="24"/>
          <w:szCs w:val="24"/>
        </w:rPr>
        <w:t xml:space="preserve">Concordat </w:t>
      </w:r>
      <w:r>
        <w:rPr>
          <w:rFonts w:ascii="Segoe UI" w:hAnsi="Segoe UI" w:cs="Segoe UI"/>
          <w:sz w:val="24"/>
          <w:szCs w:val="24"/>
        </w:rPr>
        <w:t>between the UK Govern</w:t>
      </w:r>
      <w:r w:rsidR="00D02563">
        <w:rPr>
          <w:rFonts w:ascii="Segoe UI" w:hAnsi="Segoe UI" w:cs="Segoe UI"/>
          <w:sz w:val="24"/>
          <w:szCs w:val="24"/>
        </w:rPr>
        <w:t>ment and the Welsh Assembly Government on the Civil Contingencies Act 2004</w:t>
      </w:r>
      <w:r w:rsidR="00880D0C">
        <w:rPr>
          <w:rFonts w:ascii="Segoe UI" w:hAnsi="Segoe UI" w:cs="Segoe UI"/>
          <w:sz w:val="24"/>
          <w:szCs w:val="24"/>
        </w:rPr>
        <w:t xml:space="preserve">. Available at: </w:t>
      </w:r>
      <w:hyperlink r:id="rId12" w:history="1">
        <w:r w:rsidR="00880D0C" w:rsidRPr="00DC06DE">
          <w:rPr>
            <w:rStyle w:val="Hyperlink"/>
            <w:rFonts w:ascii="Segoe UI" w:hAnsi="Segoe UI" w:cs="Segoe UI"/>
            <w:sz w:val="24"/>
            <w:szCs w:val="24"/>
          </w:rPr>
          <w:t>https://assets.publishing.service.gov.uk/media/5a7966a1e5274a2acd18c88d/wales_concordat.pdf</w:t>
        </w:r>
      </w:hyperlink>
      <w:r w:rsidR="00880D0C">
        <w:rPr>
          <w:rFonts w:ascii="Segoe UI" w:hAnsi="Segoe UI" w:cs="Segoe UI"/>
          <w:sz w:val="24"/>
          <w:szCs w:val="24"/>
        </w:rPr>
        <w:t xml:space="preserve"> </w:t>
      </w:r>
      <w:r w:rsidR="00197046">
        <w:rPr>
          <w:rFonts w:ascii="Segoe UI" w:hAnsi="Segoe UI" w:cs="Segoe UI"/>
          <w:sz w:val="24"/>
          <w:szCs w:val="24"/>
        </w:rPr>
        <w:t xml:space="preserve">[Accessed 30 December 2025]. </w:t>
      </w:r>
    </w:p>
    <w:p w14:paraId="46018786" w14:textId="77777777" w:rsidR="00B74EF4" w:rsidRPr="00B74EF4" w:rsidRDefault="00B74EF4" w:rsidP="00B74EF4">
      <w:pPr>
        <w:rPr>
          <w:rFonts w:ascii="Segoe UI" w:hAnsi="Segoe UI" w:cs="Segoe UI"/>
          <w:sz w:val="24"/>
          <w:szCs w:val="24"/>
        </w:rPr>
      </w:pPr>
      <w:r w:rsidRPr="00B74EF4">
        <w:rPr>
          <w:rFonts w:ascii="Segoe UI" w:hAnsi="Segoe UI" w:cs="Segoe UI"/>
          <w:sz w:val="24"/>
          <w:szCs w:val="24"/>
        </w:rPr>
        <w:t xml:space="preserve">Cabinet Office (2012), Chapter 2 Co-operation Revision to Emergency Preparedness. Available at: </w:t>
      </w:r>
      <w:hyperlink r:id="rId13" w:history="1">
        <w:r w:rsidRPr="00B74EF4">
          <w:rPr>
            <w:rFonts w:ascii="Segoe UI" w:hAnsi="Segoe UI" w:cs="Segoe UI"/>
            <w:color w:val="467886" w:themeColor="hyperlink"/>
            <w:sz w:val="24"/>
            <w:szCs w:val="24"/>
            <w:u w:val="single"/>
          </w:rPr>
          <w:t>https://assets.publishing.service.gov.uk/media/5a79b54b40f0b63d72fc7ddd/Chapter-2-Co-operation-revised-March-2012.pdf</w:t>
        </w:r>
      </w:hyperlink>
      <w:r w:rsidRPr="00B74EF4">
        <w:rPr>
          <w:rFonts w:ascii="Segoe UI" w:hAnsi="Segoe UI" w:cs="Segoe UI"/>
          <w:sz w:val="24"/>
          <w:szCs w:val="24"/>
        </w:rPr>
        <w:t xml:space="preserve"> [Accessed 2 December 2025].</w:t>
      </w:r>
    </w:p>
    <w:p w14:paraId="43B8F745" w14:textId="77777777" w:rsidR="00B74EF4" w:rsidRPr="00B74EF4" w:rsidRDefault="00B74EF4" w:rsidP="00B74EF4">
      <w:pPr>
        <w:rPr>
          <w:rFonts w:ascii="Segoe UI" w:hAnsi="Segoe UI" w:cs="Segoe UI"/>
          <w:sz w:val="24"/>
          <w:szCs w:val="24"/>
        </w:rPr>
      </w:pPr>
      <w:r w:rsidRPr="00B74EF4">
        <w:rPr>
          <w:rFonts w:ascii="Segoe UI" w:hAnsi="Segoe UI" w:cs="Segoe UI"/>
          <w:sz w:val="24"/>
          <w:szCs w:val="24"/>
        </w:rPr>
        <w:t xml:space="preserve">Cabinet Office (2012), Chapter 4 Local responder risk assessment duty, Revision to Emergency Preparedness, P17. Available at: </w:t>
      </w:r>
    </w:p>
    <w:p w14:paraId="29F2F8DF" w14:textId="3F35453C" w:rsidR="00B74EF4" w:rsidRPr="00B74EF4" w:rsidRDefault="00B74EF4" w:rsidP="00B74EF4">
      <w:pPr>
        <w:rPr>
          <w:rFonts w:ascii="Segoe UI" w:hAnsi="Segoe UI" w:cs="Segoe UI"/>
          <w:sz w:val="24"/>
          <w:szCs w:val="24"/>
        </w:rPr>
      </w:pPr>
      <w:hyperlink r:id="rId14" w:history="1">
        <w:r w:rsidRPr="00B74EF4">
          <w:rPr>
            <w:rFonts w:ascii="Segoe UI" w:hAnsi="Segoe UI" w:cs="Segoe UI"/>
            <w:color w:val="467886" w:themeColor="hyperlink"/>
            <w:sz w:val="24"/>
            <w:szCs w:val="24"/>
            <w:u w:val="single"/>
          </w:rPr>
          <w:t>https://assets.publishing.service.gov.uk/media/5a789647e5274a3b4807f079/Chapter-4-Local_20Responder-Risk-assessment-duty-revised-March.pdf</w:t>
        </w:r>
      </w:hyperlink>
      <w:r w:rsidRPr="00B74EF4">
        <w:rPr>
          <w:rFonts w:ascii="Segoe UI" w:hAnsi="Segoe UI" w:cs="Segoe UI"/>
          <w:sz w:val="24"/>
          <w:szCs w:val="24"/>
        </w:rPr>
        <w:t xml:space="preserve"> [Accessed 4 December 2025]</w:t>
      </w:r>
      <w:r w:rsidR="008A3E55">
        <w:rPr>
          <w:rFonts w:ascii="Segoe UI" w:hAnsi="Segoe UI" w:cs="Segoe UI"/>
          <w:sz w:val="24"/>
          <w:szCs w:val="24"/>
        </w:rPr>
        <w:t>.</w:t>
      </w:r>
    </w:p>
    <w:p w14:paraId="69423E94" w14:textId="77777777" w:rsidR="00B74EF4" w:rsidRPr="00B74EF4" w:rsidRDefault="00B74EF4" w:rsidP="00B74EF4">
      <w:pPr>
        <w:rPr>
          <w:rFonts w:ascii="Segoe UI" w:hAnsi="Segoe UI" w:cs="Segoe UI"/>
          <w:sz w:val="24"/>
          <w:szCs w:val="24"/>
        </w:rPr>
      </w:pPr>
      <w:r w:rsidRPr="00B74EF4">
        <w:rPr>
          <w:rFonts w:ascii="Segoe UI" w:hAnsi="Segoe UI" w:cs="Segoe UI"/>
          <w:sz w:val="24"/>
          <w:szCs w:val="24"/>
        </w:rPr>
        <w:t xml:space="preserve">Cabinet Office (2012), Chapter 4 Local responder risk assessment duty, Revision to Emergency Preparedness, P. 30. Available at: </w:t>
      </w:r>
      <w:hyperlink r:id="rId15" w:history="1">
        <w:r w:rsidRPr="00B74EF4">
          <w:rPr>
            <w:rFonts w:ascii="Segoe UI" w:hAnsi="Segoe UI" w:cs="Segoe UI"/>
            <w:color w:val="467886" w:themeColor="hyperlink"/>
            <w:sz w:val="24"/>
            <w:szCs w:val="24"/>
            <w:u w:val="single"/>
          </w:rPr>
          <w:t>https://assets.publishing.service.gov.uk/media/5a789647e5274a3b4807f079/Chapter-4-Local_20Responder-Risk-assessment-duty-revised-March.pdf</w:t>
        </w:r>
      </w:hyperlink>
      <w:r w:rsidRPr="00B74EF4">
        <w:rPr>
          <w:rFonts w:ascii="Segoe UI" w:hAnsi="Segoe UI" w:cs="Segoe UI"/>
          <w:sz w:val="24"/>
          <w:szCs w:val="24"/>
        </w:rPr>
        <w:t xml:space="preserve"> [Accessed 4 December 2025].</w:t>
      </w:r>
    </w:p>
    <w:p w14:paraId="2D679D1E" w14:textId="77777777" w:rsidR="00B74EF4" w:rsidRPr="00B74EF4" w:rsidRDefault="00B74EF4" w:rsidP="00B74EF4">
      <w:pPr>
        <w:rPr>
          <w:rFonts w:ascii="Segoe UI" w:hAnsi="Segoe UI" w:cs="Segoe UI"/>
          <w:sz w:val="24"/>
          <w:szCs w:val="24"/>
        </w:rPr>
      </w:pPr>
      <w:r w:rsidRPr="00B74EF4">
        <w:rPr>
          <w:rFonts w:ascii="Segoe UI" w:hAnsi="Segoe UI" w:cs="Segoe UI"/>
          <w:sz w:val="24"/>
          <w:szCs w:val="24"/>
        </w:rPr>
        <w:lastRenderedPageBreak/>
        <w:t xml:space="preserve">Cabinet Office (2012), Emergency Preparedness.  Available at:  </w:t>
      </w:r>
      <w:hyperlink r:id="rId16" w:history="1">
        <w:r w:rsidRPr="00B74EF4">
          <w:rPr>
            <w:rFonts w:ascii="Segoe UI" w:hAnsi="Segoe UI" w:cs="Segoe UI"/>
            <w:color w:val="467886" w:themeColor="hyperlink"/>
            <w:sz w:val="24"/>
            <w:szCs w:val="24"/>
            <w:u w:val="single"/>
          </w:rPr>
          <w:t>https://assets.publishing.service.gov.uk/media/5a74fc51ed915d3c7d5297f4/Chapter-1-Introduction_amends_16042012.pdf</w:t>
        </w:r>
      </w:hyperlink>
      <w:r w:rsidRPr="00B74EF4">
        <w:rPr>
          <w:rFonts w:ascii="Segoe UI" w:hAnsi="Segoe UI" w:cs="Segoe UI"/>
          <w:sz w:val="24"/>
          <w:szCs w:val="24"/>
        </w:rPr>
        <w:t xml:space="preserve">  [Accessed 2 December 2025].</w:t>
      </w:r>
    </w:p>
    <w:p w14:paraId="7B034A35" w14:textId="77777777" w:rsidR="00B74EF4" w:rsidRPr="00B74EF4" w:rsidRDefault="00B74EF4" w:rsidP="00B74EF4">
      <w:pPr>
        <w:rPr>
          <w:rFonts w:ascii="Segoe UI" w:hAnsi="Segoe UI" w:cs="Segoe UI"/>
          <w:sz w:val="24"/>
          <w:szCs w:val="24"/>
        </w:rPr>
      </w:pPr>
      <w:r w:rsidRPr="00B74EF4">
        <w:rPr>
          <w:rFonts w:ascii="Segoe UI" w:hAnsi="Segoe UI" w:cs="Segoe UI"/>
          <w:sz w:val="24"/>
          <w:szCs w:val="24"/>
        </w:rPr>
        <w:t xml:space="preserve">Cabinet Office (2013), Emergency Response and Recovery. Available at: </w:t>
      </w:r>
      <w:hyperlink r:id="rId17" w:history="1">
        <w:r w:rsidRPr="00B74EF4">
          <w:rPr>
            <w:rFonts w:ascii="Segoe UI" w:hAnsi="Segoe UI" w:cs="Segoe UI"/>
            <w:color w:val="467886" w:themeColor="hyperlink"/>
            <w:sz w:val="24"/>
            <w:szCs w:val="24"/>
            <w:u w:val="single"/>
          </w:rPr>
          <w:t>https://assets.publishing.service.gov.uk/government/uploads/system/uploads/attachment_data/file/253488/Emergency_Response_and_Recovery_5th_edition_October_2013.pdf</w:t>
        </w:r>
      </w:hyperlink>
      <w:r w:rsidRPr="00B74EF4">
        <w:rPr>
          <w:rFonts w:ascii="Segoe UI" w:hAnsi="Segoe UI" w:cs="Segoe UI"/>
          <w:sz w:val="24"/>
          <w:szCs w:val="24"/>
        </w:rPr>
        <w:t xml:space="preserve"> [Accessed 2 December 2025].</w:t>
      </w:r>
    </w:p>
    <w:p w14:paraId="4842C9F1" w14:textId="77777777" w:rsidR="00B74EF4" w:rsidRPr="00B74EF4" w:rsidRDefault="00B74EF4" w:rsidP="00B74EF4">
      <w:pPr>
        <w:rPr>
          <w:rFonts w:ascii="Segoe UI" w:hAnsi="Segoe UI" w:cs="Segoe UI"/>
          <w:sz w:val="24"/>
          <w:szCs w:val="24"/>
        </w:rPr>
      </w:pPr>
      <w:r w:rsidRPr="00B74EF4">
        <w:rPr>
          <w:rFonts w:ascii="Segoe UI" w:hAnsi="Segoe UI" w:cs="Segoe UI"/>
          <w:sz w:val="24"/>
          <w:szCs w:val="24"/>
        </w:rPr>
        <w:t xml:space="preserve">Cabinet Office (2013), Preparation and planning for emergencies: responsibilities of responder agencies and others. Available at: </w:t>
      </w:r>
      <w:hyperlink r:id="rId18" w:history="1">
        <w:r w:rsidRPr="00B74EF4">
          <w:rPr>
            <w:rFonts w:ascii="Segoe UI" w:hAnsi="Segoe UI" w:cs="Segoe UI"/>
            <w:color w:val="467886" w:themeColor="hyperlink"/>
            <w:sz w:val="24"/>
            <w:szCs w:val="24"/>
            <w:u w:val="single"/>
          </w:rPr>
          <w:t>https://www.gov.uk/guidance/preparation-and-planning-for-emergencies-responsibilities-of-responder-agencies-and-others</w:t>
        </w:r>
      </w:hyperlink>
      <w:r w:rsidRPr="00B74EF4">
        <w:rPr>
          <w:rFonts w:ascii="Segoe UI" w:hAnsi="Segoe UI" w:cs="Segoe UI"/>
          <w:sz w:val="24"/>
          <w:szCs w:val="24"/>
        </w:rPr>
        <w:t xml:space="preserve"> [Accessed 2 December 2025].</w:t>
      </w:r>
    </w:p>
    <w:p w14:paraId="4549F19A" w14:textId="77777777" w:rsidR="00B74EF4" w:rsidRPr="00B74EF4" w:rsidRDefault="00B74EF4" w:rsidP="00B74EF4">
      <w:pPr>
        <w:rPr>
          <w:rFonts w:ascii="Segoe UI" w:hAnsi="Segoe UI" w:cs="Segoe UI"/>
          <w:sz w:val="24"/>
          <w:szCs w:val="24"/>
        </w:rPr>
      </w:pPr>
      <w:r w:rsidRPr="00B74EF4">
        <w:rPr>
          <w:rFonts w:ascii="Segoe UI" w:hAnsi="Segoe UI" w:cs="Segoe UI"/>
          <w:sz w:val="24"/>
          <w:szCs w:val="24"/>
        </w:rPr>
        <w:t xml:space="preserve">Cabinet Office (2013), The role of Local Resilience Forums: A reference document. Available at: </w:t>
      </w:r>
      <w:hyperlink r:id="rId19" w:history="1">
        <w:r w:rsidRPr="00B74EF4">
          <w:rPr>
            <w:rFonts w:ascii="Segoe UI" w:hAnsi="Segoe UI" w:cs="Segoe UI"/>
            <w:color w:val="467886" w:themeColor="hyperlink"/>
            <w:sz w:val="24"/>
            <w:szCs w:val="24"/>
            <w:u w:val="single"/>
          </w:rPr>
          <w:t>https://assets.publishing.service.gov.uk/media/5a79ce28ed915d6b1deb379d/The_role_of_Local_Resilience_Forums-_A_reference_document_v2_July_2013.pdf</w:t>
        </w:r>
      </w:hyperlink>
      <w:r w:rsidRPr="00B74EF4">
        <w:rPr>
          <w:rFonts w:ascii="Segoe UI" w:hAnsi="Segoe UI" w:cs="Segoe UI"/>
          <w:sz w:val="24"/>
          <w:szCs w:val="24"/>
        </w:rPr>
        <w:t xml:space="preserve"> [Accessed 3 December 2025].</w:t>
      </w:r>
    </w:p>
    <w:p w14:paraId="40C66CA0" w14:textId="77777777" w:rsidR="00B74EF4" w:rsidRPr="00B74EF4" w:rsidRDefault="00B74EF4" w:rsidP="00B74EF4">
      <w:pPr>
        <w:rPr>
          <w:rFonts w:ascii="Segoe UI" w:hAnsi="Segoe UI" w:cs="Segoe UI"/>
          <w:sz w:val="24"/>
          <w:szCs w:val="24"/>
          <w:shd w:val="clear" w:color="auto" w:fill="FFFFFF"/>
        </w:rPr>
      </w:pPr>
      <w:r w:rsidRPr="00B74EF4">
        <w:rPr>
          <w:rFonts w:ascii="Segoe UI" w:hAnsi="Segoe UI" w:cs="Segoe UI"/>
          <w:sz w:val="24"/>
          <w:szCs w:val="24"/>
        </w:rPr>
        <w:t xml:space="preserve">Cabinet Office (2018), </w:t>
      </w:r>
      <w:r w:rsidRPr="00B74EF4">
        <w:rPr>
          <w:rFonts w:ascii="Segoe UI" w:hAnsi="Segoe UI" w:cs="Segoe UI"/>
          <w:sz w:val="24"/>
          <w:szCs w:val="24"/>
          <w:shd w:val="clear" w:color="auto" w:fill="FFFFFF"/>
        </w:rPr>
        <w:t xml:space="preserve">Preparation and planning for emergencies. Available at: </w:t>
      </w:r>
    </w:p>
    <w:p w14:paraId="1741FB23" w14:textId="77777777" w:rsidR="00B74EF4" w:rsidRPr="00B74EF4" w:rsidRDefault="00B74EF4" w:rsidP="00B74EF4">
      <w:pPr>
        <w:rPr>
          <w:rFonts w:ascii="Segoe UI" w:hAnsi="Segoe UI" w:cs="Segoe UI"/>
          <w:sz w:val="24"/>
          <w:szCs w:val="24"/>
        </w:rPr>
      </w:pPr>
      <w:hyperlink r:id="rId20" w:history="1">
        <w:r w:rsidRPr="00B74EF4">
          <w:rPr>
            <w:rFonts w:ascii="Segoe UI" w:hAnsi="Segoe UI" w:cs="Segoe UI"/>
            <w:color w:val="467886" w:themeColor="hyperlink"/>
            <w:sz w:val="24"/>
            <w:szCs w:val="24"/>
            <w:u w:val="single"/>
          </w:rPr>
          <w:t>https://www.gov.uk/guidance/preparation-and-planning-for-emergencies-the-capabilities-programme</w:t>
        </w:r>
      </w:hyperlink>
      <w:r w:rsidRPr="00B74EF4">
        <w:rPr>
          <w:rFonts w:ascii="Segoe UI" w:hAnsi="Segoe UI" w:cs="Segoe UI"/>
          <w:sz w:val="24"/>
          <w:szCs w:val="24"/>
        </w:rPr>
        <w:t xml:space="preserve"> [Accessed 5 December 2025].</w:t>
      </w:r>
    </w:p>
    <w:p w14:paraId="594C2C5B" w14:textId="77777777" w:rsidR="00B74EF4" w:rsidRPr="00B74EF4" w:rsidRDefault="00B74EF4" w:rsidP="00B74EF4">
      <w:pPr>
        <w:rPr>
          <w:rFonts w:ascii="Segoe UI" w:hAnsi="Segoe UI" w:cs="Segoe UI"/>
          <w:sz w:val="24"/>
          <w:szCs w:val="24"/>
        </w:rPr>
      </w:pPr>
      <w:r w:rsidRPr="00B74EF4">
        <w:rPr>
          <w:rFonts w:ascii="Segoe UI" w:hAnsi="Segoe UI" w:cs="Segoe UI"/>
          <w:sz w:val="24"/>
          <w:szCs w:val="24"/>
        </w:rPr>
        <w:t xml:space="preserve">Cabinet Office (2022), Civil Contingencies Act Post Implementation Review. Available at: </w:t>
      </w:r>
      <w:hyperlink r:id="rId21" w:history="1">
        <w:r w:rsidRPr="00B74EF4">
          <w:rPr>
            <w:rFonts w:ascii="Segoe UI" w:hAnsi="Segoe UI" w:cs="Segoe UI"/>
            <w:color w:val="467886" w:themeColor="hyperlink"/>
            <w:sz w:val="24"/>
            <w:szCs w:val="24"/>
            <w:u w:val="single"/>
          </w:rPr>
          <w:t>https://assets.publishing.service.gov.uk/media/6283a1a6d3bf7f1f3ef4838d/cca-pir-2022.pdf</w:t>
        </w:r>
      </w:hyperlink>
      <w:r w:rsidRPr="00B74EF4">
        <w:rPr>
          <w:rFonts w:ascii="Segoe UI" w:hAnsi="Segoe UI" w:cs="Segoe UI"/>
          <w:sz w:val="24"/>
          <w:szCs w:val="24"/>
        </w:rPr>
        <w:t xml:space="preserve"> [Accessed 5 December 2025].</w:t>
      </w:r>
    </w:p>
    <w:p w14:paraId="5A4E7334" w14:textId="77777777" w:rsidR="00B74EF4" w:rsidRPr="00B74EF4" w:rsidRDefault="00B74EF4" w:rsidP="00B74EF4">
      <w:pPr>
        <w:rPr>
          <w:rFonts w:ascii="Segoe UI" w:hAnsi="Segoe UI" w:cs="Segoe UI"/>
          <w:sz w:val="24"/>
          <w:szCs w:val="24"/>
        </w:rPr>
      </w:pPr>
      <w:r w:rsidRPr="00B74EF4">
        <w:rPr>
          <w:rFonts w:ascii="Segoe UI" w:hAnsi="Segoe UI" w:cs="Segoe UI"/>
          <w:sz w:val="24"/>
          <w:szCs w:val="24"/>
        </w:rPr>
        <w:t xml:space="preserve">Hansard (1979), Written Answers on The Emergency Powers Act 1920 Invocation.  Available at:  </w:t>
      </w:r>
      <w:hyperlink r:id="rId22" w:history="1">
        <w:r w:rsidRPr="00B74EF4">
          <w:rPr>
            <w:rFonts w:ascii="Segoe UI" w:hAnsi="Segoe UI" w:cs="Segoe UI"/>
            <w:color w:val="467886" w:themeColor="hyperlink"/>
            <w:sz w:val="24"/>
            <w:szCs w:val="24"/>
            <w:u w:val="single"/>
          </w:rPr>
          <w:t>https://api.parliament.uk/historic-hansard/written-answers/1979/jun/12/emergency-powers-act-1920</w:t>
        </w:r>
      </w:hyperlink>
      <w:r w:rsidRPr="00B74EF4">
        <w:rPr>
          <w:rFonts w:ascii="Segoe UI" w:hAnsi="Segoe UI" w:cs="Segoe UI"/>
          <w:sz w:val="24"/>
          <w:szCs w:val="24"/>
        </w:rPr>
        <w:t xml:space="preserve">  [Accessed 2 December 2025].</w:t>
      </w:r>
    </w:p>
    <w:p w14:paraId="0EA66B0F" w14:textId="77777777" w:rsidR="00B74EF4" w:rsidRDefault="00B74EF4" w:rsidP="00B74EF4">
      <w:pPr>
        <w:rPr>
          <w:rFonts w:ascii="Segoe UI" w:hAnsi="Segoe UI" w:cs="Segoe UI"/>
          <w:sz w:val="24"/>
          <w:szCs w:val="24"/>
        </w:rPr>
      </w:pPr>
      <w:r w:rsidRPr="00B74EF4">
        <w:rPr>
          <w:rFonts w:ascii="Segoe UI" w:hAnsi="Segoe UI" w:cs="Segoe UI"/>
          <w:sz w:val="24"/>
          <w:szCs w:val="24"/>
        </w:rPr>
        <w:t xml:space="preserve">JESIP (2024), Joint Doctrine: The Interoperability Framework.  Available at:  </w:t>
      </w:r>
      <w:hyperlink r:id="rId23" w:history="1">
        <w:r w:rsidRPr="00B74EF4">
          <w:rPr>
            <w:rFonts w:ascii="Segoe UI" w:hAnsi="Segoe UI" w:cs="Segoe UI"/>
            <w:color w:val="467886" w:themeColor="hyperlink"/>
            <w:sz w:val="24"/>
            <w:szCs w:val="24"/>
            <w:u w:val="single"/>
          </w:rPr>
          <w:t>https://www.jesip.org.uk/wp-content/uploads/2022/03/JESIP-Joint-Doctrine-Update-April-2024-Web.pdf</w:t>
        </w:r>
      </w:hyperlink>
      <w:r w:rsidRPr="00B74EF4">
        <w:rPr>
          <w:rFonts w:ascii="Segoe UI" w:hAnsi="Segoe UI" w:cs="Segoe UI"/>
          <w:sz w:val="24"/>
          <w:szCs w:val="24"/>
        </w:rPr>
        <w:t>.  [Accessed 2 December 2025].</w:t>
      </w:r>
    </w:p>
    <w:p w14:paraId="3EC989F7" w14:textId="77777777" w:rsidR="00FC1F47" w:rsidRPr="00B74EF4" w:rsidRDefault="00FC1F47" w:rsidP="00FC1F47">
      <w:pPr>
        <w:rPr>
          <w:rFonts w:ascii="Segoe UI" w:hAnsi="Segoe UI" w:cs="Segoe UI"/>
          <w:sz w:val="24"/>
          <w:szCs w:val="24"/>
        </w:rPr>
      </w:pPr>
      <w:r>
        <w:rPr>
          <w:rFonts w:ascii="Segoe UI" w:hAnsi="Segoe UI" w:cs="Segoe UI"/>
          <w:sz w:val="24"/>
          <w:szCs w:val="24"/>
        </w:rPr>
        <w:t xml:space="preserve">McFadden P. (2025) National Risk Register. p.4. Available at: </w:t>
      </w:r>
      <w:hyperlink r:id="rId24" w:history="1">
        <w:r w:rsidRPr="00BD1432">
          <w:rPr>
            <w:rStyle w:val="Hyperlink"/>
            <w:rFonts w:ascii="Segoe UI" w:hAnsi="Segoe UI" w:cs="Segoe UI"/>
            <w:sz w:val="24"/>
            <w:szCs w:val="24"/>
          </w:rPr>
          <w:t>https://assets.publishing.service.gov.uk/media/67b5f85732b2aab18314bbe4/National_Risk_Register_2025.pdf</w:t>
        </w:r>
      </w:hyperlink>
      <w:r>
        <w:rPr>
          <w:rFonts w:ascii="Segoe UI" w:hAnsi="Segoe UI" w:cs="Segoe UI"/>
          <w:sz w:val="24"/>
          <w:szCs w:val="24"/>
        </w:rPr>
        <w:t xml:space="preserve"> [Accessed 19 December 2025}. </w:t>
      </w:r>
    </w:p>
    <w:p w14:paraId="5B1378AE" w14:textId="77777777" w:rsidR="00B74EF4" w:rsidRDefault="00B74EF4" w:rsidP="00B74EF4">
      <w:pPr>
        <w:rPr>
          <w:rFonts w:ascii="Segoe UI" w:hAnsi="Segoe UI" w:cs="Segoe UI"/>
          <w:sz w:val="24"/>
          <w:szCs w:val="24"/>
        </w:rPr>
      </w:pPr>
      <w:r w:rsidRPr="00B74EF4">
        <w:rPr>
          <w:rFonts w:ascii="Segoe UI" w:hAnsi="Segoe UI" w:cs="Segoe UI"/>
          <w:sz w:val="24"/>
          <w:szCs w:val="24"/>
        </w:rPr>
        <w:t xml:space="preserve">National Audit Office (2025), An Overview of the Cabinet Office for the new Parliament 2023-24.  Available at:  </w:t>
      </w:r>
      <w:hyperlink r:id="rId25" w:history="1">
        <w:r w:rsidRPr="00B74EF4">
          <w:rPr>
            <w:rFonts w:ascii="Segoe UI" w:hAnsi="Segoe UI" w:cs="Segoe UI"/>
            <w:color w:val="467886" w:themeColor="hyperlink"/>
            <w:sz w:val="24"/>
            <w:szCs w:val="24"/>
            <w:u w:val="single"/>
          </w:rPr>
          <w:t>https://www.nao.org.uk/wp-content/uploads/2025/02/2627-Cabinet-Office-Overview-2023-24-FINAL.pdf</w:t>
        </w:r>
      </w:hyperlink>
      <w:r w:rsidRPr="00B74EF4">
        <w:rPr>
          <w:rFonts w:ascii="Segoe UI" w:hAnsi="Segoe UI" w:cs="Segoe UI"/>
          <w:sz w:val="24"/>
          <w:szCs w:val="24"/>
        </w:rPr>
        <w:t xml:space="preserve">  [Accessed 2 December 2025].</w:t>
      </w:r>
    </w:p>
    <w:p w14:paraId="15099C6E" w14:textId="77777777" w:rsidR="00B74EF4" w:rsidRPr="00B74EF4" w:rsidRDefault="00B74EF4" w:rsidP="00B74EF4">
      <w:pPr>
        <w:rPr>
          <w:rFonts w:ascii="Segoe UI" w:hAnsi="Segoe UI" w:cs="Segoe UI"/>
          <w:sz w:val="24"/>
          <w:szCs w:val="24"/>
        </w:rPr>
      </w:pPr>
      <w:r w:rsidRPr="00B74EF4">
        <w:rPr>
          <w:rFonts w:ascii="Segoe UI" w:hAnsi="Segoe UI" w:cs="Segoe UI"/>
          <w:sz w:val="24"/>
          <w:szCs w:val="24"/>
        </w:rPr>
        <w:lastRenderedPageBreak/>
        <w:t xml:space="preserve">National Preparedness Commission (2022), An independent review of the Civil Contingencies Act (2004).  Available at:  </w:t>
      </w:r>
      <w:hyperlink r:id="rId26" w:history="1">
        <w:r w:rsidRPr="00B74EF4">
          <w:rPr>
            <w:rFonts w:ascii="Segoe UI" w:hAnsi="Segoe UI" w:cs="Segoe UI"/>
            <w:color w:val="467886" w:themeColor="hyperlink"/>
            <w:sz w:val="24"/>
            <w:szCs w:val="24"/>
            <w:u w:val="single"/>
          </w:rPr>
          <w:t>https://nationalpreparednesscommission.uk/publications/an-independent-review-of-the-civil-contingencies-act-2004/</w:t>
        </w:r>
      </w:hyperlink>
      <w:r w:rsidRPr="00B74EF4">
        <w:rPr>
          <w:rFonts w:ascii="Segoe UI" w:hAnsi="Segoe UI" w:cs="Segoe UI"/>
          <w:sz w:val="24"/>
          <w:szCs w:val="24"/>
        </w:rPr>
        <w:t xml:space="preserve"> [Accessed 2 December 2025].</w:t>
      </w:r>
    </w:p>
    <w:p w14:paraId="2CC2ED0C" w14:textId="77777777" w:rsidR="00B74EF4" w:rsidRPr="00B74EF4" w:rsidRDefault="00B74EF4" w:rsidP="00B74EF4">
      <w:pPr>
        <w:rPr>
          <w:rFonts w:ascii="Segoe UI" w:hAnsi="Segoe UI" w:cs="Segoe UI"/>
          <w:sz w:val="24"/>
          <w:szCs w:val="24"/>
        </w:rPr>
      </w:pPr>
      <w:r w:rsidRPr="00B74EF4">
        <w:rPr>
          <w:rFonts w:ascii="Segoe UI" w:hAnsi="Segoe UI" w:cs="Segoe UI"/>
          <w:sz w:val="24"/>
          <w:szCs w:val="24"/>
        </w:rPr>
        <w:t>Pollock, K (2013), Review of Persistent Lessons Identified Relating to Interoperability from Emergencies and Major Incidents since 1986.  Available at:</w:t>
      </w:r>
      <w:r w:rsidRPr="00B74EF4">
        <w:t xml:space="preserve">  </w:t>
      </w:r>
      <w:hyperlink r:id="rId27" w:history="1">
        <w:r w:rsidRPr="00B74EF4">
          <w:rPr>
            <w:rFonts w:ascii="Segoe UI" w:hAnsi="Segoe UI" w:cs="Segoe UI"/>
            <w:color w:val="467886" w:themeColor="hyperlink"/>
            <w:sz w:val="24"/>
            <w:szCs w:val="24"/>
            <w:u w:val="single"/>
          </w:rPr>
          <w:t>file:///C:/Users/pa140197/AppData/Local/Temp/MicrosoftEdgeDownloads/64129078-b195-4b5a-a534-23f20d4a1d51/Pollock_Review_Oct_2013.pdf</w:t>
        </w:r>
      </w:hyperlink>
      <w:r w:rsidRPr="00B74EF4">
        <w:rPr>
          <w:rFonts w:ascii="Segoe UI" w:hAnsi="Segoe UI" w:cs="Segoe UI"/>
          <w:sz w:val="24"/>
          <w:szCs w:val="24"/>
        </w:rPr>
        <w:t xml:space="preserve">  [Accessed 2 December 2025].</w:t>
      </w:r>
    </w:p>
    <w:p w14:paraId="4D0CAAF8" w14:textId="77777777" w:rsidR="00B74EF4" w:rsidRPr="00B74EF4" w:rsidRDefault="00B74EF4" w:rsidP="00B74EF4">
      <w:pPr>
        <w:rPr>
          <w:rFonts w:ascii="Segoe UI" w:hAnsi="Segoe UI" w:cs="Segoe UI"/>
          <w:sz w:val="24"/>
          <w:szCs w:val="24"/>
        </w:rPr>
      </w:pPr>
      <w:r w:rsidRPr="00B74EF4">
        <w:rPr>
          <w:rFonts w:ascii="Segoe UI" w:hAnsi="Segoe UI" w:cs="Segoe UI"/>
          <w:sz w:val="24"/>
          <w:szCs w:val="24"/>
        </w:rPr>
        <w:t xml:space="preserve">Saunders. J (2022), Manchester Arena Inquiry, Volume 2: Emergency Response. Available at: </w:t>
      </w:r>
      <w:hyperlink r:id="rId28" w:history="1">
        <w:r w:rsidRPr="00B74EF4">
          <w:rPr>
            <w:rFonts w:ascii="Segoe UI" w:hAnsi="Segoe UI" w:cs="Segoe UI"/>
            <w:color w:val="467886" w:themeColor="hyperlink"/>
            <w:sz w:val="24"/>
            <w:szCs w:val="24"/>
            <w:u w:val="single"/>
          </w:rPr>
          <w:t>https://assets.publishing.service.gov.uk/media/6363d597e90e0705a35f5754/MAI-Vol2-Part_Ii_Accessible.pdf</w:t>
        </w:r>
      </w:hyperlink>
      <w:r w:rsidRPr="00B74EF4">
        <w:rPr>
          <w:rFonts w:ascii="Segoe UI" w:hAnsi="Segoe UI" w:cs="Segoe UI"/>
          <w:sz w:val="24"/>
          <w:szCs w:val="24"/>
        </w:rPr>
        <w:t xml:space="preserve"> [Accessed 2 December 2025].</w:t>
      </w:r>
    </w:p>
    <w:p w14:paraId="7A07BC1D" w14:textId="77777777" w:rsidR="00B74EF4" w:rsidRPr="00B74EF4" w:rsidRDefault="00B74EF4" w:rsidP="00B74EF4">
      <w:pPr>
        <w:rPr>
          <w:rFonts w:ascii="Segoe UI" w:hAnsi="Segoe UI" w:cs="Segoe UI"/>
          <w:sz w:val="24"/>
          <w:szCs w:val="24"/>
        </w:rPr>
      </w:pPr>
      <w:r w:rsidRPr="00B74EF4">
        <w:rPr>
          <w:rFonts w:ascii="Segoe UI" w:hAnsi="Segoe UI" w:cs="Segoe UI"/>
          <w:sz w:val="24"/>
          <w:szCs w:val="24"/>
        </w:rPr>
        <w:t xml:space="preserve">UK Government (1920), Emergency Powers Act 1920. Available at: </w:t>
      </w:r>
      <w:hyperlink r:id="rId29" w:history="1">
        <w:r w:rsidRPr="00B74EF4">
          <w:rPr>
            <w:rFonts w:ascii="Segoe UI" w:hAnsi="Segoe UI" w:cs="Segoe UI"/>
            <w:color w:val="467886" w:themeColor="hyperlink"/>
            <w:sz w:val="24"/>
            <w:szCs w:val="24"/>
            <w:u w:val="single"/>
          </w:rPr>
          <w:t>https://www.legislation.gov.uk/ukpga/Geo5/10-11/55/pdfs/ukpga_19200055_en.pdf</w:t>
        </w:r>
      </w:hyperlink>
      <w:r w:rsidRPr="00B74EF4">
        <w:rPr>
          <w:rFonts w:ascii="Segoe UI" w:hAnsi="Segoe UI" w:cs="Segoe UI"/>
          <w:sz w:val="24"/>
          <w:szCs w:val="24"/>
        </w:rPr>
        <w:t xml:space="preserve"> [Accessed 7 December 2025]. </w:t>
      </w:r>
    </w:p>
    <w:p w14:paraId="15C8A471" w14:textId="77777777" w:rsidR="00B74EF4" w:rsidRPr="00B74EF4" w:rsidRDefault="00B74EF4" w:rsidP="00B74EF4">
      <w:pPr>
        <w:rPr>
          <w:rFonts w:ascii="Segoe UI" w:hAnsi="Segoe UI" w:cs="Segoe UI"/>
          <w:sz w:val="24"/>
          <w:szCs w:val="24"/>
        </w:rPr>
      </w:pPr>
      <w:r w:rsidRPr="00B74EF4">
        <w:rPr>
          <w:rFonts w:ascii="Segoe UI" w:hAnsi="Segoe UI" w:cs="Segoe UI"/>
          <w:sz w:val="24"/>
          <w:szCs w:val="24"/>
        </w:rPr>
        <w:t xml:space="preserve">UK Government (1948), Civil Defence Act 1948.  Available at:  </w:t>
      </w:r>
      <w:hyperlink r:id="rId30" w:history="1">
        <w:r w:rsidRPr="00B74EF4">
          <w:rPr>
            <w:rFonts w:ascii="Segoe UI" w:hAnsi="Segoe UI" w:cs="Segoe UI"/>
            <w:color w:val="467886" w:themeColor="hyperlink"/>
            <w:sz w:val="24"/>
            <w:szCs w:val="24"/>
            <w:u w:val="single"/>
          </w:rPr>
          <w:t>https://www.legislation.gov.uk/ukpga/Geo6/12-13-14/5/enacted</w:t>
        </w:r>
      </w:hyperlink>
      <w:r w:rsidRPr="00B74EF4">
        <w:rPr>
          <w:rFonts w:ascii="Segoe UI" w:hAnsi="Segoe UI" w:cs="Segoe UI"/>
          <w:sz w:val="24"/>
          <w:szCs w:val="24"/>
        </w:rPr>
        <w:t xml:space="preserve">  [Accessed 2 December 2015].</w:t>
      </w:r>
    </w:p>
    <w:p w14:paraId="4D5938EC" w14:textId="77777777" w:rsidR="00B74EF4" w:rsidRPr="00B74EF4" w:rsidRDefault="00B74EF4" w:rsidP="00B74EF4">
      <w:pPr>
        <w:rPr>
          <w:rFonts w:ascii="Segoe UI" w:hAnsi="Segoe UI" w:cs="Segoe UI"/>
          <w:sz w:val="24"/>
          <w:szCs w:val="24"/>
        </w:rPr>
      </w:pPr>
      <w:r w:rsidRPr="00B74EF4">
        <w:rPr>
          <w:rFonts w:ascii="Segoe UI" w:hAnsi="Segoe UI" w:cs="Segoe UI"/>
          <w:sz w:val="24"/>
          <w:szCs w:val="24"/>
        </w:rPr>
        <w:t xml:space="preserve">UK Government (2004), Civil Contingencies Act 2004, Chapter 36.  Available at:  </w:t>
      </w:r>
      <w:hyperlink r:id="rId31" w:history="1">
        <w:r w:rsidRPr="00B74EF4">
          <w:rPr>
            <w:rFonts w:ascii="Segoe UI" w:hAnsi="Segoe UI" w:cs="Segoe UI"/>
            <w:color w:val="467886" w:themeColor="hyperlink"/>
            <w:sz w:val="24"/>
            <w:szCs w:val="24"/>
            <w:u w:val="single"/>
          </w:rPr>
          <w:t>https://www.legislation.gov.uk/ukpga/2004/36/notes</w:t>
        </w:r>
      </w:hyperlink>
      <w:r w:rsidRPr="00B74EF4">
        <w:rPr>
          <w:rFonts w:ascii="Segoe UI" w:hAnsi="Segoe UI" w:cs="Segoe UI"/>
          <w:sz w:val="24"/>
          <w:szCs w:val="24"/>
        </w:rPr>
        <w:t xml:space="preserve">  [Accessed 2 December 2025].</w:t>
      </w:r>
    </w:p>
    <w:p w14:paraId="72E9A693" w14:textId="77777777" w:rsidR="00B74EF4" w:rsidRPr="00B74EF4" w:rsidRDefault="00B74EF4" w:rsidP="00B74EF4">
      <w:pPr>
        <w:rPr>
          <w:rFonts w:ascii="Segoe UI" w:hAnsi="Segoe UI" w:cs="Segoe UI"/>
          <w:sz w:val="24"/>
          <w:szCs w:val="24"/>
        </w:rPr>
      </w:pPr>
      <w:r w:rsidRPr="00B74EF4">
        <w:rPr>
          <w:rFonts w:ascii="Segoe UI" w:hAnsi="Segoe UI" w:cs="Segoe UI"/>
          <w:sz w:val="24"/>
          <w:szCs w:val="24"/>
        </w:rPr>
        <w:t xml:space="preserve">UK Government (2025), National Risk Register.  Available at:  </w:t>
      </w:r>
      <w:hyperlink r:id="rId32" w:history="1">
        <w:r w:rsidRPr="00B74EF4">
          <w:rPr>
            <w:rFonts w:ascii="Segoe UI" w:hAnsi="Segoe UI" w:cs="Segoe UI"/>
            <w:color w:val="467886" w:themeColor="hyperlink"/>
            <w:sz w:val="24"/>
            <w:szCs w:val="24"/>
            <w:u w:val="single"/>
          </w:rPr>
          <w:t>https://assets.publishing.service.gov.uk/media/67b5f85732b2aab18314bbe4/National_Risk_Register_2025.pdf</w:t>
        </w:r>
      </w:hyperlink>
      <w:r w:rsidRPr="00B74EF4">
        <w:rPr>
          <w:rFonts w:ascii="Segoe UI" w:hAnsi="Segoe UI" w:cs="Segoe UI"/>
          <w:sz w:val="24"/>
          <w:szCs w:val="24"/>
        </w:rPr>
        <w:t xml:space="preserve">  [Accessed 2 December 2025].</w:t>
      </w:r>
    </w:p>
    <w:p w14:paraId="08A84460" w14:textId="77777777" w:rsidR="00B74EF4" w:rsidRDefault="00B74EF4" w:rsidP="00B74EF4">
      <w:pPr>
        <w:rPr>
          <w:rFonts w:ascii="Segoe UI" w:hAnsi="Segoe UI" w:cs="Segoe UI"/>
          <w:sz w:val="24"/>
          <w:szCs w:val="24"/>
        </w:rPr>
      </w:pPr>
      <w:r w:rsidRPr="00B74EF4">
        <w:rPr>
          <w:rFonts w:ascii="Segoe UI" w:hAnsi="Segoe UI" w:cs="Segoe UI"/>
          <w:sz w:val="24"/>
          <w:szCs w:val="24"/>
        </w:rPr>
        <w:t xml:space="preserve">UK Resilience Academy (2024), Lessons Management Best Practice Guidance’. Available at: </w:t>
      </w:r>
      <w:hyperlink r:id="rId33" w:history="1">
        <w:r w:rsidRPr="00B74EF4">
          <w:rPr>
            <w:rFonts w:ascii="Segoe UI" w:hAnsi="Segoe UI" w:cs="Segoe UI"/>
            <w:color w:val="467886" w:themeColor="hyperlink"/>
            <w:sz w:val="24"/>
            <w:szCs w:val="24"/>
            <w:u w:val="single"/>
          </w:rPr>
          <w:t>https://www.gov.uk/government/publications/lessons-management-best-practice-guidance</w:t>
        </w:r>
      </w:hyperlink>
      <w:r w:rsidRPr="00B74EF4">
        <w:rPr>
          <w:rFonts w:ascii="Segoe UI" w:hAnsi="Segoe UI" w:cs="Segoe UI"/>
          <w:sz w:val="24"/>
          <w:szCs w:val="24"/>
        </w:rPr>
        <w:t xml:space="preserve"> [Accessed 3 December 2025]. </w:t>
      </w:r>
    </w:p>
    <w:p w14:paraId="6758D284" w14:textId="044B8C72" w:rsidR="002F5041" w:rsidRPr="00B74EF4" w:rsidRDefault="002F5041" w:rsidP="00B74EF4">
      <w:pPr>
        <w:rPr>
          <w:rFonts w:ascii="Segoe UI" w:hAnsi="Segoe UI" w:cs="Segoe UI"/>
          <w:sz w:val="24"/>
          <w:szCs w:val="24"/>
        </w:rPr>
      </w:pPr>
      <w:proofErr w:type="spellStart"/>
      <w:r>
        <w:rPr>
          <w:rFonts w:ascii="Segoe UI" w:hAnsi="Segoe UI" w:cs="Segoe UI"/>
          <w:sz w:val="24"/>
          <w:szCs w:val="24"/>
        </w:rPr>
        <w:t>Walport</w:t>
      </w:r>
      <w:proofErr w:type="spellEnd"/>
      <w:r>
        <w:rPr>
          <w:rFonts w:ascii="Segoe UI" w:hAnsi="Segoe UI" w:cs="Segoe UI"/>
          <w:sz w:val="24"/>
          <w:szCs w:val="24"/>
        </w:rPr>
        <w:t>. M (</w:t>
      </w:r>
      <w:r w:rsidR="00F17313">
        <w:rPr>
          <w:rFonts w:ascii="Segoe UI" w:hAnsi="Segoe UI" w:cs="Segoe UI"/>
          <w:sz w:val="24"/>
          <w:szCs w:val="24"/>
        </w:rPr>
        <w:t xml:space="preserve">2020), </w:t>
      </w:r>
      <w:r w:rsidR="00EB4D25">
        <w:rPr>
          <w:rFonts w:ascii="Segoe UI" w:hAnsi="Segoe UI" w:cs="Segoe UI"/>
          <w:sz w:val="24"/>
          <w:szCs w:val="24"/>
        </w:rPr>
        <w:t>Oral Evidence: Coronavirus: Lessons learnt, HC 877</w:t>
      </w:r>
      <w:r w:rsidR="00BF16E7">
        <w:rPr>
          <w:rFonts w:ascii="Segoe UI" w:hAnsi="Segoe UI" w:cs="Segoe UI"/>
          <w:sz w:val="24"/>
          <w:szCs w:val="24"/>
        </w:rPr>
        <w:t xml:space="preserve">. Available at: </w:t>
      </w:r>
      <w:hyperlink r:id="rId34" w:history="1">
        <w:r w:rsidR="00BF16E7" w:rsidRPr="00DC06DE">
          <w:rPr>
            <w:rStyle w:val="Hyperlink"/>
            <w:rFonts w:ascii="Segoe UI" w:hAnsi="Segoe UI" w:cs="Segoe UI"/>
            <w:sz w:val="24"/>
            <w:szCs w:val="24"/>
          </w:rPr>
          <w:t>https://committees.parliament.uk/oralevidence/1323/html/</w:t>
        </w:r>
      </w:hyperlink>
      <w:r w:rsidR="00BF16E7">
        <w:rPr>
          <w:rFonts w:ascii="Segoe UI" w:hAnsi="Segoe UI" w:cs="Segoe UI"/>
          <w:sz w:val="24"/>
          <w:szCs w:val="24"/>
        </w:rPr>
        <w:t xml:space="preserve"> [Accessed 30 December 2025]. </w:t>
      </w:r>
    </w:p>
    <w:p w14:paraId="3A53CACD" w14:textId="77777777" w:rsidR="00B74EF4" w:rsidRPr="00B74EF4" w:rsidRDefault="00B74EF4" w:rsidP="00B74EF4">
      <w:pPr>
        <w:rPr>
          <w:rFonts w:ascii="Segoe UI" w:hAnsi="Segoe UI" w:cs="Segoe UI"/>
          <w:sz w:val="24"/>
          <w:szCs w:val="24"/>
        </w:rPr>
      </w:pPr>
    </w:p>
    <w:p w14:paraId="2AAF98D5" w14:textId="77777777" w:rsidR="00862124" w:rsidRDefault="00862124"/>
    <w:sectPr w:rsidR="00862124">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0" w:author="Emily Gibbins (Welsh Ambulance Service NHS Trust - 020)" w:date="2025-12-30T11:56:00Z" w:initials="EG">
    <w:p w14:paraId="2B206F4A" w14:textId="77777777" w:rsidR="002577A5" w:rsidRDefault="002577A5" w:rsidP="002577A5">
      <w:pPr>
        <w:pStyle w:val="CommentText"/>
      </w:pPr>
      <w:r>
        <w:rPr>
          <w:rStyle w:val="CommentReference"/>
        </w:rPr>
        <w:annotationRef/>
      </w:r>
      <w:r>
        <w:rPr>
          <w:color w:val="283041"/>
          <w:highlight w:val="white"/>
        </w:rPr>
        <w:t>There have been two reviews of the CCA to date so it may be worth mentioning them both. You could also highlight any differences between them. </w:t>
      </w:r>
    </w:p>
  </w:comment>
  <w:comment w:id="1" w:author="Emily Gibbins (Welsh Ambulance Service NHS Trust - 020)" w:date="2025-12-30T12:58:00Z" w:initials="EG">
    <w:p w14:paraId="4C882AD6" w14:textId="77777777" w:rsidR="00C76C6C" w:rsidRDefault="00C76C6C" w:rsidP="00C76C6C">
      <w:pPr>
        <w:pStyle w:val="CommentText"/>
      </w:pPr>
      <w:r>
        <w:rPr>
          <w:rStyle w:val="CommentReference"/>
        </w:rPr>
        <w:annotationRef/>
      </w:r>
      <w:r>
        <w:t xml:space="preserve">Can’t find the first review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2B206F4A" w15:done="0"/>
  <w15:commentEx w15:paraId="4C882AD6" w15:paraIdParent="2B206F4A"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19A2126B" w16cex:dateUtc="2025-12-30T11:56:00Z"/>
  <w16cex:commentExtensible w16cex:durableId="01AF68C0" w16cex:dateUtc="2025-12-30T12:58: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2B206F4A" w16cid:durableId="19A2126B"/>
  <w16cid:commentId w16cid:paraId="4C882AD6" w16cid:durableId="01AF68C0"/>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Roboto">
    <w:charset w:val="00"/>
    <w:family w:val="auto"/>
    <w:pitch w:val="variable"/>
    <w:sig w:usb0="E0000AFF" w:usb1="5000217F" w:usb2="00000021"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55B6B1F0"/>
    <w:lvl w:ilvl="0">
      <w:start w:val="1"/>
      <w:numFmt w:val="bullet"/>
      <w:pStyle w:val="ListBullet"/>
      <w:lvlText w:val=""/>
      <w:lvlJc w:val="left"/>
      <w:pPr>
        <w:tabs>
          <w:tab w:val="num" w:pos="360"/>
        </w:tabs>
        <w:ind w:left="360" w:hanging="360"/>
      </w:pPr>
      <w:rPr>
        <w:rFonts w:ascii="Symbol" w:hAnsi="Symbol" w:hint="default"/>
      </w:rPr>
    </w:lvl>
  </w:abstractNum>
  <w:num w:numId="1" w16cid:durableId="205450252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Emily Gibbins (Welsh Ambulance Service NHS Trust - 020)">
    <w15:presenceInfo w15:providerId="AD" w15:userId="S::Emily.gibbins2@wales.nhs.uk::10fcaa92-a70b-4c6d-b249-cb1b9164927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4EF4"/>
    <w:rsid w:val="00001E17"/>
    <w:rsid w:val="000052A8"/>
    <w:rsid w:val="00044076"/>
    <w:rsid w:val="00072BA3"/>
    <w:rsid w:val="00073245"/>
    <w:rsid w:val="00083B1D"/>
    <w:rsid w:val="000A77B6"/>
    <w:rsid w:val="000B42A5"/>
    <w:rsid w:val="000B4CE1"/>
    <w:rsid w:val="000C161F"/>
    <w:rsid w:val="000C27FB"/>
    <w:rsid w:val="000D1BCC"/>
    <w:rsid w:val="000E3C0E"/>
    <w:rsid w:val="000E3C99"/>
    <w:rsid w:val="000F2D92"/>
    <w:rsid w:val="000F34E9"/>
    <w:rsid w:val="0013048C"/>
    <w:rsid w:val="001424AB"/>
    <w:rsid w:val="00144A19"/>
    <w:rsid w:val="00152D22"/>
    <w:rsid w:val="00152F5B"/>
    <w:rsid w:val="001615CF"/>
    <w:rsid w:val="00161CBC"/>
    <w:rsid w:val="00175A35"/>
    <w:rsid w:val="00192933"/>
    <w:rsid w:val="0019360F"/>
    <w:rsid w:val="001961FB"/>
    <w:rsid w:val="00197046"/>
    <w:rsid w:val="001A3520"/>
    <w:rsid w:val="001D7404"/>
    <w:rsid w:val="001E3E70"/>
    <w:rsid w:val="00200FAB"/>
    <w:rsid w:val="00203FBB"/>
    <w:rsid w:val="0020677B"/>
    <w:rsid w:val="00232393"/>
    <w:rsid w:val="00234372"/>
    <w:rsid w:val="002577A5"/>
    <w:rsid w:val="002A33A8"/>
    <w:rsid w:val="002A4E73"/>
    <w:rsid w:val="002B00DA"/>
    <w:rsid w:val="002B306E"/>
    <w:rsid w:val="002B65D5"/>
    <w:rsid w:val="002C6ACD"/>
    <w:rsid w:val="002D4966"/>
    <w:rsid w:val="002E0DD6"/>
    <w:rsid w:val="002F5041"/>
    <w:rsid w:val="0030396E"/>
    <w:rsid w:val="00303D08"/>
    <w:rsid w:val="00322E4B"/>
    <w:rsid w:val="003356F2"/>
    <w:rsid w:val="00346B78"/>
    <w:rsid w:val="003667FB"/>
    <w:rsid w:val="00372956"/>
    <w:rsid w:val="00385864"/>
    <w:rsid w:val="003D70EF"/>
    <w:rsid w:val="003E4EAE"/>
    <w:rsid w:val="003E6D39"/>
    <w:rsid w:val="00411430"/>
    <w:rsid w:val="00426CB3"/>
    <w:rsid w:val="00440B40"/>
    <w:rsid w:val="0044660D"/>
    <w:rsid w:val="004515B3"/>
    <w:rsid w:val="00454F25"/>
    <w:rsid w:val="0046221C"/>
    <w:rsid w:val="004638C2"/>
    <w:rsid w:val="00466E1E"/>
    <w:rsid w:val="00472F14"/>
    <w:rsid w:val="0047695C"/>
    <w:rsid w:val="00494349"/>
    <w:rsid w:val="004946C3"/>
    <w:rsid w:val="004A4FAC"/>
    <w:rsid w:val="004B0473"/>
    <w:rsid w:val="004E0B16"/>
    <w:rsid w:val="004F2968"/>
    <w:rsid w:val="0050310D"/>
    <w:rsid w:val="00510453"/>
    <w:rsid w:val="00513508"/>
    <w:rsid w:val="0054425C"/>
    <w:rsid w:val="00563612"/>
    <w:rsid w:val="005743C2"/>
    <w:rsid w:val="005774B6"/>
    <w:rsid w:val="005B7489"/>
    <w:rsid w:val="005F369B"/>
    <w:rsid w:val="00602267"/>
    <w:rsid w:val="00607572"/>
    <w:rsid w:val="00623A2C"/>
    <w:rsid w:val="00635A69"/>
    <w:rsid w:val="00646808"/>
    <w:rsid w:val="00666202"/>
    <w:rsid w:val="00675F65"/>
    <w:rsid w:val="00694730"/>
    <w:rsid w:val="006A3532"/>
    <w:rsid w:val="006B1E08"/>
    <w:rsid w:val="006B3094"/>
    <w:rsid w:val="006B6F76"/>
    <w:rsid w:val="006D165A"/>
    <w:rsid w:val="006E28F2"/>
    <w:rsid w:val="006F0E25"/>
    <w:rsid w:val="006F161B"/>
    <w:rsid w:val="00700D1C"/>
    <w:rsid w:val="007020CD"/>
    <w:rsid w:val="00706D0B"/>
    <w:rsid w:val="0073224A"/>
    <w:rsid w:val="0073712F"/>
    <w:rsid w:val="00756CB6"/>
    <w:rsid w:val="00756D77"/>
    <w:rsid w:val="00761ECA"/>
    <w:rsid w:val="007726D7"/>
    <w:rsid w:val="00775409"/>
    <w:rsid w:val="00780C8A"/>
    <w:rsid w:val="00783B9E"/>
    <w:rsid w:val="00795A26"/>
    <w:rsid w:val="007970BA"/>
    <w:rsid w:val="007A0779"/>
    <w:rsid w:val="007A40C2"/>
    <w:rsid w:val="007A66E0"/>
    <w:rsid w:val="007A677C"/>
    <w:rsid w:val="007A7A87"/>
    <w:rsid w:val="007B4C2C"/>
    <w:rsid w:val="007C5C99"/>
    <w:rsid w:val="007C6E80"/>
    <w:rsid w:val="007F0F95"/>
    <w:rsid w:val="007F6028"/>
    <w:rsid w:val="00802F93"/>
    <w:rsid w:val="00804268"/>
    <w:rsid w:val="00804D0F"/>
    <w:rsid w:val="00817331"/>
    <w:rsid w:val="00824272"/>
    <w:rsid w:val="00824527"/>
    <w:rsid w:val="00840D30"/>
    <w:rsid w:val="008511BA"/>
    <w:rsid w:val="00855AEB"/>
    <w:rsid w:val="00856D89"/>
    <w:rsid w:val="0085751C"/>
    <w:rsid w:val="00861441"/>
    <w:rsid w:val="00862124"/>
    <w:rsid w:val="00866069"/>
    <w:rsid w:val="0087008C"/>
    <w:rsid w:val="00870817"/>
    <w:rsid w:val="00880D0C"/>
    <w:rsid w:val="00887D82"/>
    <w:rsid w:val="00893C53"/>
    <w:rsid w:val="00896921"/>
    <w:rsid w:val="008A2552"/>
    <w:rsid w:val="008A2F12"/>
    <w:rsid w:val="008A3E55"/>
    <w:rsid w:val="008A7CC8"/>
    <w:rsid w:val="008C2182"/>
    <w:rsid w:val="008D479F"/>
    <w:rsid w:val="008D6A3A"/>
    <w:rsid w:val="008E4633"/>
    <w:rsid w:val="008F007B"/>
    <w:rsid w:val="009019F9"/>
    <w:rsid w:val="0090519F"/>
    <w:rsid w:val="00915367"/>
    <w:rsid w:val="00930C53"/>
    <w:rsid w:val="009468B8"/>
    <w:rsid w:val="00961964"/>
    <w:rsid w:val="00973494"/>
    <w:rsid w:val="00974394"/>
    <w:rsid w:val="009810EE"/>
    <w:rsid w:val="009B326C"/>
    <w:rsid w:val="009C79E2"/>
    <w:rsid w:val="009D4245"/>
    <w:rsid w:val="00A208BC"/>
    <w:rsid w:val="00A23823"/>
    <w:rsid w:val="00A32CF1"/>
    <w:rsid w:val="00A41E58"/>
    <w:rsid w:val="00A52277"/>
    <w:rsid w:val="00A5687B"/>
    <w:rsid w:val="00A82058"/>
    <w:rsid w:val="00A91603"/>
    <w:rsid w:val="00A9352A"/>
    <w:rsid w:val="00A95A58"/>
    <w:rsid w:val="00A95A97"/>
    <w:rsid w:val="00A979B1"/>
    <w:rsid w:val="00AA6C63"/>
    <w:rsid w:val="00AB39BB"/>
    <w:rsid w:val="00AC5640"/>
    <w:rsid w:val="00AE558D"/>
    <w:rsid w:val="00AE709B"/>
    <w:rsid w:val="00AF7673"/>
    <w:rsid w:val="00B062C2"/>
    <w:rsid w:val="00B14AFA"/>
    <w:rsid w:val="00B15F81"/>
    <w:rsid w:val="00B33E32"/>
    <w:rsid w:val="00B432E7"/>
    <w:rsid w:val="00B702A6"/>
    <w:rsid w:val="00B74C55"/>
    <w:rsid w:val="00B74EF4"/>
    <w:rsid w:val="00B863E1"/>
    <w:rsid w:val="00B86503"/>
    <w:rsid w:val="00B968FA"/>
    <w:rsid w:val="00BA0ADC"/>
    <w:rsid w:val="00BB344A"/>
    <w:rsid w:val="00BB6BB4"/>
    <w:rsid w:val="00BC0D4B"/>
    <w:rsid w:val="00BC3747"/>
    <w:rsid w:val="00BE2D9C"/>
    <w:rsid w:val="00BF16E7"/>
    <w:rsid w:val="00BF40FE"/>
    <w:rsid w:val="00C1016D"/>
    <w:rsid w:val="00C14C27"/>
    <w:rsid w:val="00C34EB7"/>
    <w:rsid w:val="00C610FB"/>
    <w:rsid w:val="00C76C6C"/>
    <w:rsid w:val="00C816FA"/>
    <w:rsid w:val="00C91E86"/>
    <w:rsid w:val="00CA62F7"/>
    <w:rsid w:val="00CE4A24"/>
    <w:rsid w:val="00CF66C4"/>
    <w:rsid w:val="00D0105F"/>
    <w:rsid w:val="00D02563"/>
    <w:rsid w:val="00D03776"/>
    <w:rsid w:val="00D242D6"/>
    <w:rsid w:val="00D328F3"/>
    <w:rsid w:val="00D36540"/>
    <w:rsid w:val="00D55CF9"/>
    <w:rsid w:val="00D62090"/>
    <w:rsid w:val="00D74FCB"/>
    <w:rsid w:val="00D760FD"/>
    <w:rsid w:val="00D8075E"/>
    <w:rsid w:val="00D8512C"/>
    <w:rsid w:val="00D87AEA"/>
    <w:rsid w:val="00DA1447"/>
    <w:rsid w:val="00DA586E"/>
    <w:rsid w:val="00DA7BE3"/>
    <w:rsid w:val="00DB6C61"/>
    <w:rsid w:val="00DB73DA"/>
    <w:rsid w:val="00DC5A4C"/>
    <w:rsid w:val="00DD257D"/>
    <w:rsid w:val="00DD2D6F"/>
    <w:rsid w:val="00E01778"/>
    <w:rsid w:val="00E152F7"/>
    <w:rsid w:val="00E17A15"/>
    <w:rsid w:val="00E311C9"/>
    <w:rsid w:val="00E325C2"/>
    <w:rsid w:val="00E46642"/>
    <w:rsid w:val="00E50C06"/>
    <w:rsid w:val="00E6206C"/>
    <w:rsid w:val="00E67FF0"/>
    <w:rsid w:val="00E702D3"/>
    <w:rsid w:val="00E7756B"/>
    <w:rsid w:val="00E91701"/>
    <w:rsid w:val="00EB266F"/>
    <w:rsid w:val="00EB3E6D"/>
    <w:rsid w:val="00EB4D25"/>
    <w:rsid w:val="00EB7899"/>
    <w:rsid w:val="00EE3139"/>
    <w:rsid w:val="00EE5198"/>
    <w:rsid w:val="00F03F44"/>
    <w:rsid w:val="00F1012E"/>
    <w:rsid w:val="00F153D2"/>
    <w:rsid w:val="00F17313"/>
    <w:rsid w:val="00F23549"/>
    <w:rsid w:val="00F25386"/>
    <w:rsid w:val="00F67E63"/>
    <w:rsid w:val="00FA2129"/>
    <w:rsid w:val="00FA6FB5"/>
    <w:rsid w:val="00FB2D4E"/>
    <w:rsid w:val="00FB4632"/>
    <w:rsid w:val="00FC1F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049619"/>
  <w15:chartTrackingRefBased/>
  <w15:docId w15:val="{1BDCA4CA-34F6-475F-9036-791CF68091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4EF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4EF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4EF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4EF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4EF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4EF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4EF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4EF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4EF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4EF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4EF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4EF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4EF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4EF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4EF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4EF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4EF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4EF4"/>
    <w:rPr>
      <w:rFonts w:eastAsiaTheme="majorEastAsia" w:cstheme="majorBidi"/>
      <w:color w:val="272727" w:themeColor="text1" w:themeTint="D8"/>
    </w:rPr>
  </w:style>
  <w:style w:type="paragraph" w:styleId="Title">
    <w:name w:val="Title"/>
    <w:basedOn w:val="Normal"/>
    <w:next w:val="Normal"/>
    <w:link w:val="TitleChar"/>
    <w:uiPriority w:val="10"/>
    <w:qFormat/>
    <w:rsid w:val="00B74EF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4EF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4EF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4EF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4EF4"/>
    <w:pPr>
      <w:spacing w:before="160"/>
      <w:jc w:val="center"/>
    </w:pPr>
    <w:rPr>
      <w:i/>
      <w:iCs/>
      <w:color w:val="404040" w:themeColor="text1" w:themeTint="BF"/>
    </w:rPr>
  </w:style>
  <w:style w:type="character" w:customStyle="1" w:styleId="QuoteChar">
    <w:name w:val="Quote Char"/>
    <w:basedOn w:val="DefaultParagraphFont"/>
    <w:link w:val="Quote"/>
    <w:uiPriority w:val="29"/>
    <w:rsid w:val="00B74EF4"/>
    <w:rPr>
      <w:i/>
      <w:iCs/>
      <w:color w:val="404040" w:themeColor="text1" w:themeTint="BF"/>
    </w:rPr>
  </w:style>
  <w:style w:type="paragraph" w:styleId="ListParagraph">
    <w:name w:val="List Paragraph"/>
    <w:basedOn w:val="Normal"/>
    <w:uiPriority w:val="34"/>
    <w:qFormat/>
    <w:rsid w:val="00B74EF4"/>
    <w:pPr>
      <w:ind w:left="720"/>
      <w:contextualSpacing/>
    </w:pPr>
  </w:style>
  <w:style w:type="character" w:styleId="IntenseEmphasis">
    <w:name w:val="Intense Emphasis"/>
    <w:basedOn w:val="DefaultParagraphFont"/>
    <w:uiPriority w:val="21"/>
    <w:qFormat/>
    <w:rsid w:val="00B74EF4"/>
    <w:rPr>
      <w:i/>
      <w:iCs/>
      <w:color w:val="0F4761" w:themeColor="accent1" w:themeShade="BF"/>
    </w:rPr>
  </w:style>
  <w:style w:type="paragraph" w:styleId="IntenseQuote">
    <w:name w:val="Intense Quote"/>
    <w:basedOn w:val="Normal"/>
    <w:next w:val="Normal"/>
    <w:link w:val="IntenseQuoteChar"/>
    <w:uiPriority w:val="30"/>
    <w:qFormat/>
    <w:rsid w:val="00B74EF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4EF4"/>
    <w:rPr>
      <w:i/>
      <w:iCs/>
      <w:color w:val="0F4761" w:themeColor="accent1" w:themeShade="BF"/>
    </w:rPr>
  </w:style>
  <w:style w:type="character" w:styleId="IntenseReference">
    <w:name w:val="Intense Reference"/>
    <w:basedOn w:val="DefaultParagraphFont"/>
    <w:uiPriority w:val="32"/>
    <w:qFormat/>
    <w:rsid w:val="00B74EF4"/>
    <w:rPr>
      <w:b/>
      <w:bCs/>
      <w:smallCaps/>
      <w:color w:val="0F4761" w:themeColor="accent1" w:themeShade="BF"/>
      <w:spacing w:val="5"/>
    </w:rPr>
  </w:style>
  <w:style w:type="character" w:styleId="CommentReference">
    <w:name w:val="annotation reference"/>
    <w:basedOn w:val="DefaultParagraphFont"/>
    <w:uiPriority w:val="99"/>
    <w:semiHidden/>
    <w:unhideWhenUsed/>
    <w:rsid w:val="00B74EF4"/>
    <w:rPr>
      <w:sz w:val="16"/>
      <w:szCs w:val="16"/>
    </w:rPr>
  </w:style>
  <w:style w:type="paragraph" w:styleId="CommentText">
    <w:name w:val="annotation text"/>
    <w:basedOn w:val="Normal"/>
    <w:link w:val="CommentTextChar"/>
    <w:uiPriority w:val="99"/>
    <w:unhideWhenUsed/>
    <w:rsid w:val="00B74EF4"/>
    <w:pPr>
      <w:spacing w:line="240" w:lineRule="auto"/>
    </w:pPr>
    <w:rPr>
      <w:sz w:val="20"/>
      <w:szCs w:val="20"/>
    </w:rPr>
  </w:style>
  <w:style w:type="character" w:customStyle="1" w:styleId="CommentTextChar">
    <w:name w:val="Comment Text Char"/>
    <w:basedOn w:val="DefaultParagraphFont"/>
    <w:link w:val="CommentText"/>
    <w:uiPriority w:val="99"/>
    <w:rsid w:val="00B74EF4"/>
    <w:rPr>
      <w:sz w:val="20"/>
      <w:szCs w:val="20"/>
    </w:rPr>
  </w:style>
  <w:style w:type="paragraph" w:styleId="CommentSubject">
    <w:name w:val="annotation subject"/>
    <w:basedOn w:val="CommentText"/>
    <w:next w:val="CommentText"/>
    <w:link w:val="CommentSubjectChar"/>
    <w:uiPriority w:val="99"/>
    <w:semiHidden/>
    <w:unhideWhenUsed/>
    <w:rsid w:val="00B74EF4"/>
    <w:rPr>
      <w:b/>
      <w:bCs/>
    </w:rPr>
  </w:style>
  <w:style w:type="character" w:customStyle="1" w:styleId="CommentSubjectChar">
    <w:name w:val="Comment Subject Char"/>
    <w:basedOn w:val="CommentTextChar"/>
    <w:link w:val="CommentSubject"/>
    <w:uiPriority w:val="99"/>
    <w:semiHidden/>
    <w:rsid w:val="00B74EF4"/>
    <w:rPr>
      <w:b/>
      <w:bCs/>
      <w:sz w:val="20"/>
      <w:szCs w:val="20"/>
    </w:rPr>
  </w:style>
  <w:style w:type="character" w:styleId="Hyperlink">
    <w:name w:val="Hyperlink"/>
    <w:basedOn w:val="DefaultParagraphFont"/>
    <w:uiPriority w:val="99"/>
    <w:unhideWhenUsed/>
    <w:rsid w:val="00B74EF4"/>
    <w:rPr>
      <w:color w:val="467886" w:themeColor="hyperlink"/>
      <w:u w:val="single"/>
    </w:rPr>
  </w:style>
  <w:style w:type="character" w:styleId="UnresolvedMention">
    <w:name w:val="Unresolved Mention"/>
    <w:basedOn w:val="DefaultParagraphFont"/>
    <w:uiPriority w:val="99"/>
    <w:semiHidden/>
    <w:unhideWhenUsed/>
    <w:rsid w:val="00B74EF4"/>
    <w:rPr>
      <w:color w:val="605E5C"/>
      <w:shd w:val="clear" w:color="auto" w:fill="E1DFDD"/>
    </w:rPr>
  </w:style>
  <w:style w:type="paragraph" w:styleId="ListBullet">
    <w:name w:val="List Bullet"/>
    <w:basedOn w:val="Normal"/>
    <w:uiPriority w:val="99"/>
    <w:unhideWhenUsed/>
    <w:rsid w:val="00B74EF4"/>
    <w:pPr>
      <w:numPr>
        <w:numId w:val="1"/>
      </w:numPr>
      <w:tabs>
        <w:tab w:val="clear" w:pos="360"/>
      </w:tabs>
      <w:ind w:left="0" w:firstLine="0"/>
      <w:contextualSpacing/>
    </w:pPr>
  </w:style>
  <w:style w:type="character" w:customStyle="1" w:styleId="cf01">
    <w:name w:val="cf01"/>
    <w:basedOn w:val="DefaultParagraphFont"/>
    <w:rsid w:val="00B74EF4"/>
    <w:rPr>
      <w:rFonts w:ascii="Segoe UI" w:hAnsi="Segoe UI" w:cs="Segoe UI" w:hint="default"/>
      <w:color w:val="333333"/>
      <w:sz w:val="18"/>
      <w:szCs w:val="18"/>
      <w:shd w:val="clear" w:color="auto" w:fill="FFFFFF"/>
    </w:rPr>
  </w:style>
  <w:style w:type="character" w:customStyle="1" w:styleId="cf11">
    <w:name w:val="cf11"/>
    <w:basedOn w:val="DefaultParagraphFont"/>
    <w:rsid w:val="00B74EF4"/>
    <w:rPr>
      <w:rFonts w:ascii="Segoe UI" w:hAnsi="Segoe UI" w:cs="Segoe UI" w:hint="default"/>
      <w:i/>
      <w:iCs/>
      <w:color w:val="333333"/>
      <w:sz w:val="18"/>
      <w:szCs w:val="18"/>
      <w:shd w:val="clear" w:color="auto" w:fill="FFFFFF"/>
    </w:rPr>
  </w:style>
  <w:style w:type="character" w:customStyle="1" w:styleId="cf21">
    <w:name w:val="cf21"/>
    <w:basedOn w:val="DefaultParagraphFont"/>
    <w:rsid w:val="00B74EF4"/>
    <w:rPr>
      <w:rFonts w:ascii="Segoe UI" w:hAnsi="Segoe UI" w:cs="Segoe UI" w:hint="default"/>
      <w:color w:val="333333"/>
      <w:sz w:val="18"/>
      <w:szCs w:val="18"/>
      <w:shd w:val="clear" w:color="auto" w:fill="FFFFFF"/>
      <w:vertAlign w:val="superscript"/>
    </w:rPr>
  </w:style>
  <w:style w:type="paragraph" w:styleId="NormalWeb">
    <w:name w:val="Normal (Web)"/>
    <w:basedOn w:val="Normal"/>
    <w:uiPriority w:val="99"/>
    <w:semiHidden/>
    <w:unhideWhenUsed/>
    <w:rsid w:val="00B74EF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B74EF4"/>
    <w:rPr>
      <w:b/>
      <w:bCs/>
    </w:rPr>
  </w:style>
  <w:style w:type="character" w:styleId="FollowedHyperlink">
    <w:name w:val="FollowedHyperlink"/>
    <w:basedOn w:val="DefaultParagraphFont"/>
    <w:uiPriority w:val="99"/>
    <w:semiHidden/>
    <w:unhideWhenUsed/>
    <w:rsid w:val="00B74EF4"/>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ssets.publishing.service.gov.uk/media/5a79b54b40f0b63d72fc7ddd/Chapter-2-Co-operation-revised-March-2012.pdf" TargetMode="External"/><Relationship Id="rId18" Type="http://schemas.openxmlformats.org/officeDocument/2006/relationships/hyperlink" Target="https://www.gov.uk/guidance/preparation-and-planning-for-emergencies-responsibilities-of-responder-agencies-and-others" TargetMode="External"/><Relationship Id="rId26" Type="http://schemas.openxmlformats.org/officeDocument/2006/relationships/hyperlink" Target="https://nationalpreparednesscommission.uk/publications/an-independent-review-of-the-civil-contingencies-act-2004/" TargetMode="External"/><Relationship Id="rId21" Type="http://schemas.openxmlformats.org/officeDocument/2006/relationships/hyperlink" Target="https://assets.publishing.service.gov.uk/media/6283a1a6d3bf7f1f3ef4838d/cca-pir-2022.pdf" TargetMode="External"/><Relationship Id="rId34" Type="http://schemas.openxmlformats.org/officeDocument/2006/relationships/hyperlink" Target="https://committees.parliament.uk/oralevidence/1323/html/" TargetMode="External"/><Relationship Id="rId7" Type="http://schemas.microsoft.com/office/2016/09/relationships/commentsIds" Target="commentsIds.xml"/><Relationship Id="rId12" Type="http://schemas.openxmlformats.org/officeDocument/2006/relationships/hyperlink" Target="https://assets.publishing.service.gov.uk/media/5a7966a1e5274a2acd18c88d/wales_concordat.pdf" TargetMode="External"/><Relationship Id="rId17" Type="http://schemas.openxmlformats.org/officeDocument/2006/relationships/hyperlink" Target="https://assets.publishing.service.gov.uk/government/uploads/system/uploads/attachment_data/file/253488/Emergency_Response_and_Recovery_5th_edition_October_2013.pdf" TargetMode="External"/><Relationship Id="rId25" Type="http://schemas.openxmlformats.org/officeDocument/2006/relationships/hyperlink" Target="https://www.nao.org.uk/wp-content/uploads/2025/02/2627-Cabinet-Office-Overview-2023-24-FINAL.pdf" TargetMode="External"/><Relationship Id="rId33" Type="http://schemas.openxmlformats.org/officeDocument/2006/relationships/hyperlink" Target="https://www.gov.uk/government/publications/lessons-management-best-practice-guidance" TargetMode="External"/><Relationship Id="rId2" Type="http://schemas.openxmlformats.org/officeDocument/2006/relationships/styles" Target="styles.xml"/><Relationship Id="rId16" Type="http://schemas.openxmlformats.org/officeDocument/2006/relationships/hyperlink" Target="https://assets.publishing.service.gov.uk/media/5a74fc51ed915d3c7d5297f4/Chapter-1-Introduction_amends_16042012.pdf" TargetMode="External"/><Relationship Id="rId20" Type="http://schemas.openxmlformats.org/officeDocument/2006/relationships/hyperlink" Target="https://www.gov.uk/guidance/preparation-and-planning-for-emergencies-the-capabilities-programme" TargetMode="External"/><Relationship Id="rId29" Type="http://schemas.openxmlformats.org/officeDocument/2006/relationships/hyperlink" Target="https://www.legislation.gov.uk/ukpga/Geo5/10-11/55/pdfs/ukpga_19200055_en.pdf" TargetMode="External"/><Relationship Id="rId1" Type="http://schemas.openxmlformats.org/officeDocument/2006/relationships/numbering" Target="numbering.xml"/><Relationship Id="rId6" Type="http://schemas.microsoft.com/office/2011/relationships/commentsExtended" Target="commentsExtended.xml"/><Relationship Id="rId11" Type="http://schemas.openxmlformats.org/officeDocument/2006/relationships/hyperlink" Target="https://www.legislation.gov.uk/uksi/2005/2042/regulation/25" TargetMode="External"/><Relationship Id="rId24" Type="http://schemas.openxmlformats.org/officeDocument/2006/relationships/hyperlink" Target="https://assets.publishing.service.gov.uk/media/67b5f85732b2aab18314bbe4/National_Risk_Register_2025.pdf" TargetMode="External"/><Relationship Id="rId32" Type="http://schemas.openxmlformats.org/officeDocument/2006/relationships/hyperlink" Target="https://assets.publishing.service.gov.uk/media/67b5f85732b2aab18314bbe4/National_Risk_Register_2025.pdf" TargetMode="External"/><Relationship Id="rId37" Type="http://schemas.openxmlformats.org/officeDocument/2006/relationships/theme" Target="theme/theme1.xml"/><Relationship Id="rId5" Type="http://schemas.openxmlformats.org/officeDocument/2006/relationships/comments" Target="comments.xml"/><Relationship Id="rId15" Type="http://schemas.openxmlformats.org/officeDocument/2006/relationships/hyperlink" Target="https://assets.publishing.service.gov.uk/media/5a789647e5274a3b4807f079/Chapter-4-Local_20Responder-Risk-assessment-duty-revised-March.pdf" TargetMode="External"/><Relationship Id="rId23" Type="http://schemas.openxmlformats.org/officeDocument/2006/relationships/hyperlink" Target="https://www.jesip.org.uk/wp-content/uploads/2022/03/JESIP-Joint-Doctrine-Update-April-2024-Web.pdf" TargetMode="External"/><Relationship Id="rId28" Type="http://schemas.openxmlformats.org/officeDocument/2006/relationships/hyperlink" Target="https://assets.publishing.service.gov.uk/media/6363d597e90e0705a35f5754/MAI-Vol2-Part_Ii_Accessible.pdf" TargetMode="External"/><Relationship Id="rId36" Type="http://schemas.microsoft.com/office/2011/relationships/people" Target="people.xml"/><Relationship Id="rId10" Type="http://schemas.openxmlformats.org/officeDocument/2006/relationships/hyperlink" Target="https://www.legislation.gov.uk/ukpga/2004/36/notes" TargetMode="External"/><Relationship Id="rId19" Type="http://schemas.openxmlformats.org/officeDocument/2006/relationships/hyperlink" Target="https://assets.publishing.service.gov.uk/media/5a79ce28ed915d6b1deb379d/The_role_of_Local_Resilience_Forums-_A_reference_document_v2_July_2013.pdf" TargetMode="External"/><Relationship Id="rId31" Type="http://schemas.openxmlformats.org/officeDocument/2006/relationships/hyperlink" Target="https://www.legislation.gov.uk/ukpga/2004/36/notes" TargetMode="External"/><Relationship Id="rId4" Type="http://schemas.openxmlformats.org/officeDocument/2006/relationships/webSettings" Target="webSettings.xml"/><Relationship Id="rId9" Type="http://schemas.openxmlformats.org/officeDocument/2006/relationships/hyperlink" Target="https://www.legislation.gov.uk/ukpga/2004/36/contents" TargetMode="External"/><Relationship Id="rId14" Type="http://schemas.openxmlformats.org/officeDocument/2006/relationships/hyperlink" Target="https://assets.publishing.service.gov.uk/media/5a789647e5274a3b4807f079/Chapter-4-Local_20Responder-Risk-assessment-duty-revised-March.pdf" TargetMode="External"/><Relationship Id="rId22" Type="http://schemas.openxmlformats.org/officeDocument/2006/relationships/hyperlink" Target="https://api.parliament.uk/historic-hansard/written-answers/1979/jun/12/emergency-powers-act-1920" TargetMode="External"/><Relationship Id="rId27" Type="http://schemas.openxmlformats.org/officeDocument/2006/relationships/hyperlink" Target="file:///C:/Users/pa140197/AppData/Local/Temp/MicrosoftEdgeDownloads/64129078-b195-4b5a-a534-23f20d4a1d51/Pollock_Review_Oct_2013.pdf" TargetMode="External"/><Relationship Id="rId30" Type="http://schemas.openxmlformats.org/officeDocument/2006/relationships/hyperlink" Target="https://www.legislation.gov.uk/ukpga/Geo6/12-13-14/5/enacted" TargetMode="External"/><Relationship Id="rId35" Type="http://schemas.openxmlformats.org/officeDocument/2006/relationships/fontTable" Target="fontTable.xml"/><Relationship Id="rId8" Type="http://schemas.microsoft.com/office/2018/08/relationships/commentsExtensible" Target="commentsExtensible.xm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17942</TotalTime>
  <Pages>19</Pages>
  <Words>7323</Words>
  <Characters>44088</Characters>
  <Application>Microsoft Office Word</Application>
  <DocSecurity>0</DocSecurity>
  <Lines>711</Lines>
  <Paragraphs>137</Paragraphs>
  <ScaleCrop>false</ScaleCrop>
  <Company>Welsh Ambulance Service NHS Trust</Company>
  <LinksUpToDate>false</LinksUpToDate>
  <CharactersWithSpaces>51274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Gibbins (Welsh Ambulance Service NHS Trust - 020)</dc:creator>
  <cp:keywords/>
  <dc:description/>
  <cp:lastModifiedBy>Emily Gibbins (Welsh Ambulance Service NHS Trust - 020)</cp:lastModifiedBy>
  <cp:revision>164</cp:revision>
  <dcterms:created xsi:type="dcterms:W3CDTF">2025-12-19T10:32:00Z</dcterms:created>
  <dcterms:modified xsi:type="dcterms:W3CDTF">2026-01-11T20:55:00Z</dcterms:modified>
</cp:coreProperties>
</file>