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A4E22" w14:textId="77777777" w:rsidR="00CF2E5D" w:rsidRDefault="00CF2E5D" w:rsidP="00CF2E5D">
      <w:pPr>
        <w:rPr>
          <w:rFonts w:ascii="Arial" w:hAnsi="Arial" w:cs="Arial"/>
          <w:b/>
          <w:bCs/>
        </w:rPr>
      </w:pPr>
    </w:p>
    <w:p w14:paraId="45B6D651" w14:textId="77777777" w:rsidR="00CF2E5D" w:rsidRDefault="00CF2E5D" w:rsidP="00CF2E5D">
      <w:pPr>
        <w:rPr>
          <w:rFonts w:ascii="Arial" w:hAnsi="Arial" w:cs="Arial"/>
          <w:b/>
          <w:bCs/>
        </w:rPr>
      </w:pPr>
    </w:p>
    <w:p w14:paraId="0B1CB330" w14:textId="77777777" w:rsidR="00CF2E5D" w:rsidRDefault="00CF2E5D" w:rsidP="00CF2E5D">
      <w:pPr>
        <w:rPr>
          <w:rFonts w:ascii="Arial" w:hAnsi="Arial" w:cs="Arial"/>
          <w:b/>
          <w:bCs/>
        </w:rPr>
      </w:pPr>
    </w:p>
    <w:p w14:paraId="5EC5A117" w14:textId="77777777" w:rsidR="00CF2E5D" w:rsidRDefault="00CF2E5D" w:rsidP="00CF2E5D">
      <w:pPr>
        <w:rPr>
          <w:rFonts w:ascii="Arial" w:hAnsi="Arial" w:cs="Arial"/>
          <w:b/>
          <w:bCs/>
        </w:rPr>
      </w:pPr>
    </w:p>
    <w:p w14:paraId="4AD79A44" w14:textId="77777777" w:rsidR="00CF2E5D" w:rsidRDefault="00CF2E5D" w:rsidP="00CF2E5D">
      <w:pPr>
        <w:rPr>
          <w:rFonts w:ascii="Arial" w:hAnsi="Arial" w:cs="Arial"/>
          <w:b/>
          <w:bCs/>
        </w:rPr>
      </w:pPr>
    </w:p>
    <w:p w14:paraId="36D61110" w14:textId="77777777" w:rsidR="00CF2E5D" w:rsidRDefault="00CF2E5D" w:rsidP="00CF2E5D">
      <w:pPr>
        <w:rPr>
          <w:rFonts w:ascii="Arial" w:hAnsi="Arial" w:cs="Arial"/>
          <w:b/>
          <w:bCs/>
        </w:rPr>
      </w:pPr>
    </w:p>
    <w:p w14:paraId="77B8F638" w14:textId="77777777" w:rsidR="00CF2E5D" w:rsidRDefault="00CF2E5D" w:rsidP="00CF2E5D">
      <w:pPr>
        <w:rPr>
          <w:rFonts w:ascii="Arial" w:hAnsi="Arial" w:cs="Arial"/>
          <w:b/>
          <w:bCs/>
        </w:rPr>
      </w:pPr>
    </w:p>
    <w:p w14:paraId="3759BDD0" w14:textId="77777777" w:rsidR="00CF2E5D" w:rsidRDefault="00CF2E5D" w:rsidP="00CF2E5D">
      <w:pPr>
        <w:rPr>
          <w:rFonts w:ascii="Arial" w:hAnsi="Arial" w:cs="Arial"/>
          <w:b/>
          <w:bCs/>
        </w:rPr>
      </w:pPr>
    </w:p>
    <w:p w14:paraId="3B102004" w14:textId="77777777" w:rsidR="00CF2E5D" w:rsidRDefault="00CF2E5D" w:rsidP="00CF2E5D">
      <w:pPr>
        <w:rPr>
          <w:rFonts w:ascii="Arial" w:hAnsi="Arial" w:cs="Arial"/>
          <w:b/>
          <w:bCs/>
        </w:rPr>
      </w:pPr>
    </w:p>
    <w:p w14:paraId="11E37DA0" w14:textId="77777777" w:rsidR="00CF2E5D" w:rsidRDefault="00CF2E5D" w:rsidP="00CF2E5D">
      <w:pPr>
        <w:rPr>
          <w:rFonts w:ascii="Arial" w:hAnsi="Arial" w:cs="Arial"/>
          <w:b/>
          <w:bCs/>
        </w:rPr>
      </w:pPr>
    </w:p>
    <w:p w14:paraId="2ADCE5B0" w14:textId="77777777" w:rsidR="00CF2E5D" w:rsidRDefault="00CF2E5D" w:rsidP="00CF2E5D">
      <w:pPr>
        <w:rPr>
          <w:rFonts w:ascii="Arial" w:hAnsi="Arial" w:cs="Arial"/>
          <w:b/>
          <w:bCs/>
        </w:rPr>
      </w:pPr>
    </w:p>
    <w:p w14:paraId="60B1F95D" w14:textId="77777777" w:rsidR="00CF2E5D" w:rsidRDefault="00CF2E5D" w:rsidP="00CF2E5D">
      <w:pPr>
        <w:rPr>
          <w:rFonts w:ascii="Arial" w:hAnsi="Arial" w:cs="Arial"/>
          <w:b/>
          <w:bCs/>
        </w:rPr>
      </w:pPr>
    </w:p>
    <w:p w14:paraId="05DCCB13" w14:textId="77777777" w:rsidR="00CF2E5D" w:rsidRDefault="00CF2E5D" w:rsidP="00CF2E5D">
      <w:pPr>
        <w:rPr>
          <w:rFonts w:ascii="Arial" w:hAnsi="Arial" w:cs="Arial"/>
          <w:b/>
          <w:bCs/>
        </w:rPr>
      </w:pPr>
    </w:p>
    <w:p w14:paraId="47B534BA" w14:textId="26B84286" w:rsidR="00CF2E5D" w:rsidRPr="00CF2E5D" w:rsidRDefault="00CF2E5D" w:rsidP="00CF2E5D">
      <w:pPr>
        <w:jc w:val="center"/>
        <w:rPr>
          <w:rFonts w:ascii="Arial" w:hAnsi="Arial" w:cs="Arial"/>
          <w:b/>
          <w:bCs/>
        </w:rPr>
      </w:pPr>
      <w:r w:rsidRPr="00CF2E5D">
        <w:rPr>
          <w:rFonts w:ascii="Arial" w:hAnsi="Arial" w:cs="Arial"/>
          <w:b/>
          <w:bCs/>
        </w:rPr>
        <w:t>AI declaration</w:t>
      </w:r>
    </w:p>
    <w:p w14:paraId="0DB4A162" w14:textId="77777777" w:rsidR="00CF2E5D" w:rsidRPr="00CF2E5D" w:rsidRDefault="00CF2E5D" w:rsidP="00CF2E5D">
      <w:pPr>
        <w:jc w:val="center"/>
        <w:rPr>
          <w:rFonts w:ascii="Arial" w:hAnsi="Arial" w:cs="Arial"/>
        </w:rPr>
      </w:pPr>
      <w:r w:rsidRPr="00CF2E5D">
        <w:rPr>
          <w:rFonts w:ascii="Arial" w:hAnsi="Arial" w:cs="Arial"/>
        </w:rPr>
        <w:t>I confirm that I have not presented any AI generated text as my own work.</w:t>
      </w:r>
    </w:p>
    <w:p w14:paraId="56A10AD8" w14:textId="43B96404" w:rsidR="00CF2E5D" w:rsidRPr="00CF2E5D" w:rsidRDefault="00DC2624" w:rsidP="00CF2E5D">
      <w:pPr>
        <w:rPr>
          <w:rFonts w:ascii="Arial" w:hAnsi="Arial" w:cs="Arial"/>
          <w:b/>
          <w:bCs/>
        </w:rPr>
      </w:pPr>
      <w:r>
        <w:rPr>
          <w:rFonts w:ascii="Arial" w:hAnsi="Arial" w:cs="Arial"/>
          <w:b/>
          <w:bCs/>
        </w:rPr>
        <w:br w:type="page"/>
      </w:r>
    </w:p>
    <w:p w14:paraId="730D0203" w14:textId="493675AF" w:rsidR="00310D08" w:rsidRPr="00DC2624" w:rsidRDefault="00816B12" w:rsidP="00310D08">
      <w:pPr>
        <w:rPr>
          <w:rFonts w:ascii="Arial" w:hAnsi="Arial" w:cs="Arial"/>
          <w:b/>
          <w:bCs/>
        </w:rPr>
      </w:pPr>
      <w:r w:rsidRPr="00DC2624">
        <w:rPr>
          <w:rFonts w:ascii="Arial" w:hAnsi="Arial" w:cs="Arial"/>
          <w:b/>
          <w:bCs/>
        </w:rPr>
        <w:lastRenderedPageBreak/>
        <w:t xml:space="preserve">A Critical Reflection of the Ideological influences on the </w:t>
      </w:r>
      <w:r w:rsidRPr="00310D08">
        <w:rPr>
          <w:rFonts w:ascii="Arial" w:hAnsi="Arial" w:cs="Arial"/>
          <w:b/>
          <w:bCs/>
        </w:rPr>
        <w:t>Gender Equality at Every Stage: A Roadmap for Change (2019)</w:t>
      </w:r>
      <w:r w:rsidR="006648DE" w:rsidRPr="00DC2624">
        <w:rPr>
          <w:rFonts w:ascii="Arial" w:hAnsi="Arial" w:cs="Arial"/>
          <w:b/>
          <w:bCs/>
        </w:rPr>
        <w:t xml:space="preserve"> Social Policy.</w:t>
      </w:r>
    </w:p>
    <w:p w14:paraId="5B55ECA6" w14:textId="77777777" w:rsidR="00310D08" w:rsidRDefault="00310D08" w:rsidP="00310D08">
      <w:pPr>
        <w:rPr>
          <w:rFonts w:ascii="Calibri" w:hAnsi="Calibri" w:cs="Calibri"/>
        </w:rPr>
      </w:pPr>
    </w:p>
    <w:p w14:paraId="47E29014" w14:textId="77777777" w:rsidR="006648DE" w:rsidRDefault="006648DE" w:rsidP="00310D08">
      <w:pPr>
        <w:rPr>
          <w:rFonts w:ascii="Calibri" w:hAnsi="Calibri" w:cs="Calibri"/>
        </w:rPr>
      </w:pPr>
    </w:p>
    <w:sdt>
      <w:sdtPr>
        <w:id w:val="1087425671"/>
        <w:docPartObj>
          <w:docPartGallery w:val="Table of Contents"/>
          <w:docPartUnique/>
        </w:docPartObj>
      </w:sdtPr>
      <w:sdtEndPr>
        <w:rPr>
          <w:rFonts w:asciiTheme="minorHAnsi" w:eastAsiaTheme="minorHAnsi" w:hAnsiTheme="minorHAnsi" w:cstheme="minorHAnsi"/>
          <w:b/>
          <w:bCs/>
          <w:noProof/>
          <w:color w:val="auto"/>
          <w:kern w:val="2"/>
          <w:sz w:val="24"/>
          <w:szCs w:val="24"/>
          <w:lang w:val="en-GB"/>
          <w14:ligatures w14:val="standardContextual"/>
        </w:rPr>
      </w:sdtEndPr>
      <w:sdtContent>
        <w:p w14:paraId="030FFF17" w14:textId="46ED8087" w:rsidR="00DC2624" w:rsidRDefault="00DC2624">
          <w:pPr>
            <w:pStyle w:val="TOCHeading"/>
            <w:rPr>
              <w:rFonts w:ascii="Arial" w:hAnsi="Arial" w:cs="Arial"/>
              <w:b/>
              <w:bCs/>
              <w:color w:val="auto"/>
              <w:sz w:val="24"/>
              <w:szCs w:val="24"/>
            </w:rPr>
          </w:pPr>
          <w:r w:rsidRPr="00DC2624">
            <w:rPr>
              <w:rFonts w:ascii="Arial" w:hAnsi="Arial" w:cs="Arial"/>
              <w:b/>
              <w:bCs/>
              <w:color w:val="auto"/>
              <w:sz w:val="24"/>
              <w:szCs w:val="24"/>
            </w:rPr>
            <w:t>Contents</w:t>
          </w:r>
        </w:p>
        <w:p w14:paraId="71579D32" w14:textId="77777777" w:rsidR="00DC2624" w:rsidRPr="00DC2624" w:rsidRDefault="00DC2624" w:rsidP="00DC2624">
          <w:pPr>
            <w:rPr>
              <w:lang w:val="en-US"/>
            </w:rPr>
          </w:pPr>
        </w:p>
        <w:p w14:paraId="403CD0A6" w14:textId="3F7B5D22" w:rsidR="00DC2624" w:rsidRPr="00DC2624" w:rsidRDefault="00DC2624">
          <w:pPr>
            <w:pStyle w:val="TOC1"/>
            <w:tabs>
              <w:tab w:val="right" w:leader="dot" w:pos="9016"/>
            </w:tabs>
            <w:rPr>
              <w:rFonts w:ascii="Arial" w:hAnsi="Arial" w:cs="Arial"/>
              <w:noProof/>
            </w:rPr>
          </w:pPr>
          <w:r w:rsidRPr="00DC2624">
            <w:rPr>
              <w:rFonts w:ascii="Arial" w:hAnsi="Arial" w:cs="Arial"/>
            </w:rPr>
            <w:fldChar w:fldCharType="begin"/>
          </w:r>
          <w:r w:rsidRPr="00DC2624">
            <w:rPr>
              <w:rFonts w:ascii="Arial" w:hAnsi="Arial" w:cs="Arial"/>
            </w:rPr>
            <w:instrText xml:space="preserve"> TOC \o "1-3" \h \z \u </w:instrText>
          </w:r>
          <w:r w:rsidRPr="00DC2624">
            <w:rPr>
              <w:rFonts w:ascii="Arial" w:hAnsi="Arial" w:cs="Arial"/>
            </w:rPr>
            <w:fldChar w:fldCharType="separate"/>
          </w:r>
          <w:hyperlink w:anchor="_Toc225102868" w:history="1">
            <w:r w:rsidRPr="00DC2624">
              <w:rPr>
                <w:rStyle w:val="Hyperlink"/>
                <w:rFonts w:ascii="Arial" w:hAnsi="Arial" w:cs="Arial"/>
                <w:noProof/>
                <w:color w:val="auto"/>
              </w:rPr>
              <w:t>Introduction</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_Toc225102868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2</w:t>
            </w:r>
            <w:r w:rsidRPr="00DC2624">
              <w:rPr>
                <w:rFonts w:ascii="Arial" w:hAnsi="Arial" w:cs="Arial"/>
                <w:noProof/>
                <w:webHidden/>
              </w:rPr>
              <w:fldChar w:fldCharType="end"/>
            </w:r>
          </w:hyperlink>
        </w:p>
        <w:p w14:paraId="781D43EC" w14:textId="69A8485C" w:rsidR="00DC2624" w:rsidRPr="00DC2624" w:rsidRDefault="00DC2624">
          <w:pPr>
            <w:pStyle w:val="TOC1"/>
            <w:tabs>
              <w:tab w:val="right" w:leader="dot" w:pos="9016"/>
            </w:tabs>
            <w:rPr>
              <w:rFonts w:ascii="Arial" w:hAnsi="Arial" w:cs="Arial"/>
              <w:noProof/>
            </w:rPr>
          </w:pPr>
          <w:hyperlink w:anchor="_Toc225102869" w:history="1">
            <w:r w:rsidRPr="00DC2624">
              <w:rPr>
                <w:rStyle w:val="Hyperlink"/>
                <w:rFonts w:ascii="Arial" w:hAnsi="Arial" w:cs="Arial"/>
                <w:noProof/>
                <w:color w:val="auto"/>
              </w:rPr>
              <w:t>Ideological influences</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_Toc225102869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2</w:t>
            </w:r>
            <w:r w:rsidRPr="00DC2624">
              <w:rPr>
                <w:rFonts w:ascii="Arial" w:hAnsi="Arial" w:cs="Arial"/>
                <w:noProof/>
                <w:webHidden/>
              </w:rPr>
              <w:fldChar w:fldCharType="end"/>
            </w:r>
          </w:hyperlink>
        </w:p>
        <w:p w14:paraId="15C3A9DA" w14:textId="57186324" w:rsidR="00DC2624" w:rsidRPr="00DC2624" w:rsidRDefault="00DC2624">
          <w:pPr>
            <w:pStyle w:val="TOC1"/>
            <w:tabs>
              <w:tab w:val="right" w:leader="dot" w:pos="9016"/>
            </w:tabs>
            <w:rPr>
              <w:rFonts w:ascii="Arial" w:hAnsi="Arial" w:cs="Arial"/>
              <w:noProof/>
            </w:rPr>
          </w:pPr>
          <w:hyperlink w:anchor="_Toc225102870" w:history="1">
            <w:r w:rsidRPr="00DC2624">
              <w:rPr>
                <w:rStyle w:val="Hyperlink"/>
                <w:rFonts w:ascii="Arial" w:hAnsi="Arial" w:cs="Arial"/>
                <w:noProof/>
                <w:color w:val="auto"/>
              </w:rPr>
              <w:t>Social policy</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_Toc225102870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3</w:t>
            </w:r>
            <w:r w:rsidRPr="00DC2624">
              <w:rPr>
                <w:rFonts w:ascii="Arial" w:hAnsi="Arial" w:cs="Arial"/>
                <w:noProof/>
                <w:webHidden/>
              </w:rPr>
              <w:fldChar w:fldCharType="end"/>
            </w:r>
          </w:hyperlink>
        </w:p>
        <w:p w14:paraId="0E57C014" w14:textId="699FA33E" w:rsidR="00DC2624" w:rsidRPr="00DC2624" w:rsidRDefault="00DC2624">
          <w:pPr>
            <w:pStyle w:val="TOC1"/>
            <w:tabs>
              <w:tab w:val="right" w:leader="dot" w:pos="9016"/>
            </w:tabs>
            <w:rPr>
              <w:rFonts w:ascii="Arial" w:hAnsi="Arial" w:cs="Arial"/>
              <w:noProof/>
            </w:rPr>
          </w:pPr>
          <w:hyperlink w:anchor="_Toc225102871" w:history="1">
            <w:r w:rsidRPr="00DC2624">
              <w:rPr>
                <w:rStyle w:val="Hyperlink"/>
                <w:rFonts w:ascii="Arial" w:hAnsi="Arial" w:cs="Arial"/>
                <w:noProof/>
                <w:color w:val="auto"/>
              </w:rPr>
              <w:t>Gender equality</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_Toc225102871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4</w:t>
            </w:r>
            <w:r w:rsidRPr="00DC2624">
              <w:rPr>
                <w:rFonts w:ascii="Arial" w:hAnsi="Arial" w:cs="Arial"/>
                <w:noProof/>
                <w:webHidden/>
              </w:rPr>
              <w:fldChar w:fldCharType="end"/>
            </w:r>
          </w:hyperlink>
        </w:p>
        <w:p w14:paraId="5770755D" w14:textId="268CDE06" w:rsidR="00DC2624" w:rsidRPr="00DC2624" w:rsidRDefault="00DC2624">
          <w:pPr>
            <w:pStyle w:val="TOC1"/>
            <w:tabs>
              <w:tab w:val="right" w:leader="dot" w:pos="9016"/>
            </w:tabs>
            <w:rPr>
              <w:rFonts w:ascii="Arial" w:hAnsi="Arial" w:cs="Arial"/>
              <w:noProof/>
            </w:rPr>
          </w:pPr>
          <w:hyperlink w:anchor="_Toc225102872" w:history="1">
            <w:r w:rsidRPr="00DC2624">
              <w:rPr>
                <w:rStyle w:val="Hyperlink"/>
                <w:rFonts w:ascii="Arial" w:hAnsi="Arial" w:cs="Arial"/>
                <w:noProof/>
                <w:color w:val="auto"/>
              </w:rPr>
              <w:t>Education</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_Toc225102872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5</w:t>
            </w:r>
            <w:r w:rsidRPr="00DC2624">
              <w:rPr>
                <w:rFonts w:ascii="Arial" w:hAnsi="Arial" w:cs="Arial"/>
                <w:noProof/>
                <w:webHidden/>
              </w:rPr>
              <w:fldChar w:fldCharType="end"/>
            </w:r>
          </w:hyperlink>
        </w:p>
        <w:p w14:paraId="1053502C" w14:textId="5AD6DB7E" w:rsidR="00DC2624" w:rsidRPr="00DC2624" w:rsidRDefault="00DC2624">
          <w:pPr>
            <w:pStyle w:val="TOC1"/>
            <w:tabs>
              <w:tab w:val="right" w:leader="dot" w:pos="9016"/>
            </w:tabs>
            <w:rPr>
              <w:rFonts w:ascii="Arial" w:hAnsi="Arial" w:cs="Arial"/>
              <w:noProof/>
            </w:rPr>
          </w:pPr>
          <w:hyperlink w:anchor="_Toc225102873" w:history="1">
            <w:r w:rsidRPr="00DC2624">
              <w:rPr>
                <w:rStyle w:val="Hyperlink"/>
                <w:rFonts w:ascii="Arial" w:hAnsi="Arial" w:cs="Arial"/>
                <w:noProof/>
                <w:color w:val="auto"/>
              </w:rPr>
              <w:t>STEM workplace</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_Toc225102873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6</w:t>
            </w:r>
            <w:r w:rsidRPr="00DC2624">
              <w:rPr>
                <w:rFonts w:ascii="Arial" w:hAnsi="Arial" w:cs="Arial"/>
                <w:noProof/>
                <w:webHidden/>
              </w:rPr>
              <w:fldChar w:fldCharType="end"/>
            </w:r>
          </w:hyperlink>
        </w:p>
        <w:p w14:paraId="6737643A" w14:textId="0796C39E" w:rsidR="00DC2624" w:rsidRPr="00DC2624" w:rsidRDefault="00DC2624">
          <w:pPr>
            <w:pStyle w:val="TOC1"/>
            <w:tabs>
              <w:tab w:val="right" w:leader="dot" w:pos="9016"/>
            </w:tabs>
            <w:rPr>
              <w:rFonts w:ascii="Arial" w:hAnsi="Arial" w:cs="Arial"/>
              <w:noProof/>
            </w:rPr>
          </w:pPr>
          <w:hyperlink w:anchor="_Toc225102874" w:history="1">
            <w:r w:rsidRPr="00DC2624">
              <w:rPr>
                <w:rStyle w:val="Hyperlink"/>
                <w:rFonts w:ascii="Arial" w:hAnsi="Arial" w:cs="Arial"/>
                <w:noProof/>
                <w:color w:val="auto"/>
              </w:rPr>
              <w:t>Gender pay gap</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_Toc225102874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9</w:t>
            </w:r>
            <w:r w:rsidRPr="00DC2624">
              <w:rPr>
                <w:rFonts w:ascii="Arial" w:hAnsi="Arial" w:cs="Arial"/>
                <w:noProof/>
                <w:webHidden/>
              </w:rPr>
              <w:fldChar w:fldCharType="end"/>
            </w:r>
          </w:hyperlink>
        </w:p>
        <w:p w14:paraId="530CE068" w14:textId="1F48CF0C" w:rsidR="00DC2624" w:rsidRPr="00DC2624" w:rsidRDefault="00DC2624">
          <w:pPr>
            <w:pStyle w:val="TOC1"/>
            <w:tabs>
              <w:tab w:val="right" w:leader="dot" w:pos="9016"/>
            </w:tabs>
            <w:rPr>
              <w:rFonts w:ascii="Arial" w:hAnsi="Arial" w:cs="Arial"/>
              <w:noProof/>
            </w:rPr>
          </w:pPr>
          <w:hyperlink w:anchor="_Toc225102875" w:history="1">
            <w:r w:rsidRPr="00DC2624">
              <w:rPr>
                <w:rStyle w:val="Hyperlink"/>
                <w:rFonts w:ascii="Arial" w:hAnsi="Arial" w:cs="Arial"/>
                <w:noProof/>
                <w:color w:val="auto"/>
              </w:rPr>
              <w:t>Conclusion</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_Toc225102875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10</w:t>
            </w:r>
            <w:r w:rsidRPr="00DC2624">
              <w:rPr>
                <w:rFonts w:ascii="Arial" w:hAnsi="Arial" w:cs="Arial"/>
                <w:noProof/>
                <w:webHidden/>
              </w:rPr>
              <w:fldChar w:fldCharType="end"/>
            </w:r>
          </w:hyperlink>
        </w:p>
        <w:p w14:paraId="3009DFBB" w14:textId="5B50AA7F" w:rsidR="00DC2624" w:rsidRPr="00DC2624" w:rsidRDefault="00DC2624">
          <w:pPr>
            <w:pStyle w:val="TOC1"/>
            <w:tabs>
              <w:tab w:val="right" w:leader="dot" w:pos="9016"/>
            </w:tabs>
            <w:rPr>
              <w:rFonts w:ascii="Arial" w:hAnsi="Arial" w:cs="Arial"/>
              <w:noProof/>
            </w:rPr>
          </w:pPr>
          <w:hyperlink w:anchor="_Toc225102876" w:history="1">
            <w:r w:rsidRPr="00DC2624">
              <w:rPr>
                <w:rStyle w:val="Hyperlink"/>
                <w:rFonts w:ascii="Arial" w:hAnsi="Arial" w:cs="Arial"/>
                <w:noProof/>
                <w:color w:val="auto"/>
              </w:rPr>
              <w:t>Reference list</w:t>
            </w:r>
            <w:r w:rsidRPr="00DC2624">
              <w:rPr>
                <w:rFonts w:ascii="Arial" w:hAnsi="Arial" w:cs="Arial"/>
                <w:noProof/>
                <w:webHidden/>
              </w:rPr>
              <w:tab/>
            </w:r>
            <w:r w:rsidRPr="00DC2624">
              <w:rPr>
                <w:rFonts w:ascii="Arial" w:hAnsi="Arial" w:cs="Arial"/>
                <w:noProof/>
                <w:webHidden/>
              </w:rPr>
              <w:fldChar w:fldCharType="begin"/>
            </w:r>
            <w:r w:rsidRPr="00DC2624">
              <w:rPr>
                <w:rFonts w:ascii="Arial" w:hAnsi="Arial" w:cs="Arial"/>
                <w:noProof/>
                <w:webHidden/>
              </w:rPr>
              <w:instrText xml:space="preserve"> PAGEREF _Toc225102876 \h </w:instrText>
            </w:r>
            <w:r w:rsidRPr="00DC2624">
              <w:rPr>
                <w:rFonts w:ascii="Arial" w:hAnsi="Arial" w:cs="Arial"/>
                <w:noProof/>
                <w:webHidden/>
              </w:rPr>
            </w:r>
            <w:r w:rsidRPr="00DC2624">
              <w:rPr>
                <w:rFonts w:ascii="Arial" w:hAnsi="Arial" w:cs="Arial"/>
                <w:noProof/>
                <w:webHidden/>
              </w:rPr>
              <w:fldChar w:fldCharType="separate"/>
            </w:r>
            <w:r w:rsidRPr="00DC2624">
              <w:rPr>
                <w:rFonts w:ascii="Arial" w:hAnsi="Arial" w:cs="Arial"/>
                <w:noProof/>
                <w:webHidden/>
              </w:rPr>
              <w:t>11</w:t>
            </w:r>
            <w:r w:rsidRPr="00DC2624">
              <w:rPr>
                <w:rFonts w:ascii="Arial" w:hAnsi="Arial" w:cs="Arial"/>
                <w:noProof/>
                <w:webHidden/>
              </w:rPr>
              <w:fldChar w:fldCharType="end"/>
            </w:r>
          </w:hyperlink>
        </w:p>
        <w:p w14:paraId="17B9C0BE" w14:textId="40A9A360" w:rsidR="00DC2624" w:rsidRDefault="00DC2624">
          <w:r w:rsidRPr="00DC2624">
            <w:rPr>
              <w:rFonts w:ascii="Arial" w:hAnsi="Arial" w:cs="Arial"/>
              <w:noProof/>
            </w:rPr>
            <w:fldChar w:fldCharType="end"/>
          </w:r>
        </w:p>
      </w:sdtContent>
    </w:sdt>
    <w:p w14:paraId="6FCE5BE2" w14:textId="77777777" w:rsidR="006648DE" w:rsidRDefault="006648DE" w:rsidP="00310D08">
      <w:pPr>
        <w:rPr>
          <w:rFonts w:ascii="Calibri" w:hAnsi="Calibri" w:cs="Calibri"/>
        </w:rPr>
      </w:pPr>
    </w:p>
    <w:p w14:paraId="4B4BD8A8" w14:textId="77777777" w:rsidR="00310D08" w:rsidRDefault="00310D08">
      <w:pPr>
        <w:rPr>
          <w:rFonts w:ascii="Calibri" w:hAnsi="Calibri" w:cs="Calibri"/>
        </w:rPr>
      </w:pPr>
      <w:r>
        <w:rPr>
          <w:rFonts w:ascii="Calibri" w:hAnsi="Calibri" w:cs="Calibri"/>
        </w:rPr>
        <w:br w:type="page"/>
      </w:r>
    </w:p>
    <w:p w14:paraId="0FCF0571" w14:textId="0A647792" w:rsidR="00310D08" w:rsidRPr="00AC30B9" w:rsidRDefault="00310D08" w:rsidP="009427F2">
      <w:pPr>
        <w:pStyle w:val="Heading1"/>
        <w:rPr>
          <w:rFonts w:ascii="Arial" w:hAnsi="Arial" w:cs="Arial"/>
          <w:b/>
          <w:bCs/>
          <w:color w:val="auto"/>
          <w:sz w:val="24"/>
          <w:szCs w:val="24"/>
        </w:rPr>
      </w:pPr>
      <w:bookmarkStart w:id="0" w:name="_Toc225102868"/>
      <w:r w:rsidRPr="00AC30B9">
        <w:rPr>
          <w:rFonts w:ascii="Arial" w:hAnsi="Arial" w:cs="Arial"/>
          <w:b/>
          <w:bCs/>
          <w:color w:val="auto"/>
          <w:sz w:val="24"/>
          <w:szCs w:val="24"/>
        </w:rPr>
        <w:lastRenderedPageBreak/>
        <w:t>Introduction</w:t>
      </w:r>
      <w:bookmarkEnd w:id="0"/>
    </w:p>
    <w:p w14:paraId="4561A67E" w14:textId="789547CD" w:rsidR="00310D08" w:rsidRPr="00310D08" w:rsidRDefault="00310D08" w:rsidP="00F55B2D">
      <w:pPr>
        <w:spacing w:line="360" w:lineRule="auto"/>
        <w:jc w:val="both"/>
        <w:rPr>
          <w:rFonts w:ascii="Arial" w:hAnsi="Arial" w:cs="Arial"/>
        </w:rPr>
      </w:pPr>
      <w:r w:rsidRPr="00310D08">
        <w:rPr>
          <w:rFonts w:ascii="Arial" w:hAnsi="Arial" w:cs="Arial"/>
        </w:rPr>
        <w:t>This research will analyse the ideological influences on Gender Equality at Every Stage: A Roadmap for Change (2019) social policy from the 2016-2019 Theresa May Conservative government. This policy is considered historic, as the leaders and parties in government have changed since publication, therefore, the research will present the ideological influences which may have shaped the policy, in addition to a reflection on whether this guidance has been adhered</w:t>
      </w:r>
      <w:r w:rsidR="00467EEC">
        <w:rPr>
          <w:rFonts w:ascii="Arial" w:hAnsi="Arial" w:cs="Arial"/>
        </w:rPr>
        <w:t xml:space="preserve"> </w:t>
      </w:r>
      <w:r w:rsidRPr="00310D08">
        <w:rPr>
          <w:rFonts w:ascii="Arial" w:hAnsi="Arial" w:cs="Arial"/>
        </w:rPr>
        <w:t>to</w:t>
      </w:r>
      <w:r w:rsidR="00367C6C">
        <w:rPr>
          <w:rFonts w:ascii="Arial" w:hAnsi="Arial" w:cs="Arial"/>
        </w:rPr>
        <w:t xml:space="preserve"> and if societal ideologies have changed since publication</w:t>
      </w:r>
      <w:r w:rsidRPr="00310D08">
        <w:rPr>
          <w:rFonts w:ascii="Arial" w:hAnsi="Arial" w:cs="Arial"/>
        </w:rPr>
        <w:t>. This research will introduce an overview of ideologies and how social behaviour could influence various aspects of society. In addition, further analysis into the definition and criteria of social policy will be presented, drawing upon the Gender Equality at Every Stage: A Roadmap for Change (2019) social policy with reflection to the political influences and context. Gender equality is addressed as it is the predominant theme throughout the social policy, and the discussion will include binary representations of gender and an overview of gender inequalities. The social policy stated girls and boys are treated differently since birth, which could guide their education or occupation choices (Government Equalities Office, 2019). Therefore, the themes within this research include education, Science, Technology, Engineering, and Mathematics, hereafter abbreviated to STEM, workplaces, and the gender pay gap. In education, discussions present how young children could perceive distinctions between men and women and analysing the teacher’s power to reduce gender inequalities, in relation to the hidden curriculum. In addition, STEM workplaces could be predominantly masculine environments, acknowledging the ideological beliefs which may hinder women from entering without misogynist stereotypes. The gender pay gap is assessed from 2019 to 2025, to understand if government social policies are effective in reducing this disparity. Throughout the discussion, the first name of women researchers and theorists may be used, as surnames could misgender, which might cause women not to be acknowledged for their publication. </w:t>
      </w:r>
    </w:p>
    <w:p w14:paraId="4E3D18F9"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18F3E333"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1" w:name="_Toc225102869"/>
      <w:r w:rsidRPr="00F55B2D">
        <w:rPr>
          <w:rFonts w:ascii="Arial" w:hAnsi="Arial" w:cs="Arial"/>
          <w:b/>
          <w:bCs/>
          <w:color w:val="auto"/>
          <w:sz w:val="24"/>
          <w:szCs w:val="24"/>
        </w:rPr>
        <w:t>Ideological influences</w:t>
      </w:r>
      <w:bookmarkEnd w:id="1"/>
    </w:p>
    <w:p w14:paraId="5F5FCDBA" w14:textId="77777777" w:rsidR="00310D08" w:rsidRPr="00310D08" w:rsidRDefault="00310D08" w:rsidP="00F55B2D">
      <w:pPr>
        <w:spacing w:line="360" w:lineRule="auto"/>
        <w:jc w:val="both"/>
        <w:rPr>
          <w:rFonts w:ascii="Arial" w:hAnsi="Arial" w:cs="Arial"/>
        </w:rPr>
      </w:pPr>
      <w:r w:rsidRPr="00310D08">
        <w:rPr>
          <w:rFonts w:ascii="Arial" w:hAnsi="Arial" w:cs="Arial"/>
        </w:rPr>
        <w:t xml:space="preserve">Kroska (2000), van Dijk (2009), and Nescolarde-Selva, Usó-Doménech, and Gash (2017) stated ideology is a system of ideas or beliefs which individuals or groups may be committed to that may influence their thoughts and practices. For example, at the </w:t>
      </w:r>
      <w:r w:rsidRPr="00310D08">
        <w:rPr>
          <w:rFonts w:ascii="Arial" w:hAnsi="Arial" w:cs="Arial"/>
        </w:rPr>
        <w:lastRenderedPageBreak/>
        <w:t xml:space="preserve">basis of knowledge on women’s rights, there may be feminist or anti-feminist ideology, suggesting ideologies could maintain social dominance and manage opposition (van Dijk, 2009). Conway, Chan, and Woodard (2020) addressed ideological labels may not be simple to define, as meaning can be contextual and subjective, however, in contrast Freeden (2009) stated ideologies may be defined by non-negotiable beliefs which are specific. In addition, Weismueller </w:t>
      </w:r>
      <w:r w:rsidRPr="00310D08">
        <w:rPr>
          <w:rFonts w:ascii="Arial" w:hAnsi="Arial" w:cs="Arial"/>
          <w:i/>
          <w:iCs/>
        </w:rPr>
        <w:t>et al.</w:t>
      </w:r>
      <w:r w:rsidRPr="00310D08">
        <w:rPr>
          <w:rFonts w:ascii="Arial" w:hAnsi="Arial" w:cs="Arial"/>
        </w:rPr>
        <w:t xml:space="preserve"> (2022) defined political ideology as individuals’ attitudes and behaviours towards political issues, which may contrast with other ideologies the individual has, due to increased social media, as people may promote fake news or mistruths. This could influence the effectiveness of government policies in education, the workplace, or society. Furthermore, gender ideologies will be prevalent throughout the research, and while it is a multifaceted concept, for this research it encompasses the egalitarian to traditional attitudes and practices individuals and society hold regarding gender (Grunow, Begall, and Buchler, 2018). Therefore, understanding and defining ideologies may not be simplistic, addressing government policies could represent various ideologies which </w:t>
      </w:r>
      <w:proofErr w:type="gramStart"/>
      <w:r w:rsidRPr="00310D08">
        <w:rPr>
          <w:rFonts w:ascii="Arial" w:hAnsi="Arial" w:cs="Arial"/>
        </w:rPr>
        <w:t>compare and contrast</w:t>
      </w:r>
      <w:proofErr w:type="gramEnd"/>
      <w:r w:rsidRPr="00310D08">
        <w:rPr>
          <w:rFonts w:ascii="Arial" w:hAnsi="Arial" w:cs="Arial"/>
        </w:rPr>
        <w:t xml:space="preserve"> with the population.</w:t>
      </w:r>
    </w:p>
    <w:p w14:paraId="79644D3B"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17F3C985"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2" w:name="_Toc225102870"/>
      <w:r w:rsidRPr="00F55B2D">
        <w:rPr>
          <w:rFonts w:ascii="Arial" w:hAnsi="Arial" w:cs="Arial"/>
          <w:b/>
          <w:bCs/>
          <w:color w:val="auto"/>
          <w:sz w:val="24"/>
          <w:szCs w:val="24"/>
        </w:rPr>
        <w:t>Social policy</w:t>
      </w:r>
      <w:bookmarkEnd w:id="2"/>
    </w:p>
    <w:p w14:paraId="7E86BB2B" w14:textId="51A8659B" w:rsidR="00310D08" w:rsidRPr="00310D08" w:rsidRDefault="00310D08" w:rsidP="00F55B2D">
      <w:pPr>
        <w:spacing w:line="360" w:lineRule="auto"/>
        <w:jc w:val="both"/>
        <w:rPr>
          <w:rFonts w:ascii="Arial" w:hAnsi="Arial" w:cs="Arial"/>
        </w:rPr>
      </w:pPr>
      <w:r w:rsidRPr="00310D08">
        <w:rPr>
          <w:rFonts w:ascii="Arial" w:hAnsi="Arial" w:cs="Arial"/>
        </w:rPr>
        <w:t xml:space="preserve">Beland (2010), Baldock (2012), and Blakemore and Warwick-Booth (2013) addressed social policy is an intervention from the government with the aim to redistribute resources or support among the population, in response to societal problems or norms. In addition, Liddiard and Mitton (2012) stated for social policies to be effective, social needs should be defined in accordance with the specific policy. This is because social policy is designed to meet some individual needs or address specific inequalities or issues within the population (Hewitt, 1998), which could be supported with reference to Maslow’s hierarchy of need (1943) and Bradshaw’s taxonomy of need (1972). In Gender Equality at Every Stage: A Roadmap for Change (2019), the government was committed to transforming the UK into a country where everyone, regardless of gender, could reach their full potential, and their aim was for every woman in the UK to have the capacity and freedom to do anything they choose (Government Equalities Office, 2019). The Government Equalities Office (2019) addressed gender equality as being within national interest, because it could be influential in individuals’ well-being, </w:t>
      </w:r>
      <w:r w:rsidRPr="00310D08">
        <w:rPr>
          <w:rFonts w:ascii="Arial" w:hAnsi="Arial" w:cs="Arial"/>
        </w:rPr>
        <w:lastRenderedPageBreak/>
        <w:t xml:space="preserve">and for society, employers, and the economy. The policy addressed the outcomes that would be achieved by dismantling inequalities in both women and men’s lives (Government Equalities Office, 2019). This could be considered a left-wing policy from the Conservative government. Conservatism is generally right wing and aspires to preserve traditional society, however, some Conservative policies may have moved from right-wing and could be considered </w:t>
      </w:r>
      <w:proofErr w:type="gramStart"/>
      <w:r w:rsidRPr="00310D08">
        <w:rPr>
          <w:rFonts w:ascii="Arial" w:hAnsi="Arial" w:cs="Arial"/>
        </w:rPr>
        <w:t>similar to</w:t>
      </w:r>
      <w:proofErr w:type="gramEnd"/>
      <w:r w:rsidRPr="00310D08">
        <w:rPr>
          <w:rFonts w:ascii="Arial" w:hAnsi="Arial" w:cs="Arial"/>
        </w:rPr>
        <w:t xml:space="preserve"> Labour in recent years (Quinn, 2008; Blakemore and Warwick-Booth, 2013), as supported by Campbell and Erzeel (2018), which could be a response to transforming social norms. In contrast, Quinn (2008) addressed some of the UK population who believed this progress within British society would be unwelcomed by the Conservative party. However, David Cameron, who Th</w:t>
      </w:r>
      <w:r w:rsidR="00620C9A">
        <w:rPr>
          <w:rFonts w:ascii="Arial" w:hAnsi="Arial" w:cs="Arial"/>
        </w:rPr>
        <w:t>eresa</w:t>
      </w:r>
      <w:r w:rsidRPr="00310D08">
        <w:rPr>
          <w:rFonts w:ascii="Arial" w:hAnsi="Arial" w:cs="Arial"/>
        </w:rPr>
        <w:t xml:space="preserve"> May assumed leadership afterwards, pledged to modernise the Conservative party through inclusive and socially liberal ideologies, indicating the Conservative ideology may be altered depending on the beliefs of the party leader (Dorey, 2007; Beech, 2015). Nevertheless, Quinn (2008) addressed this could be viewed as rebranding the Conservative party with the aim to increase public support, which Gagnon </w:t>
      </w:r>
      <w:r w:rsidRPr="00310D08">
        <w:rPr>
          <w:rFonts w:ascii="Arial" w:hAnsi="Arial" w:cs="Arial"/>
          <w:i/>
          <w:iCs/>
        </w:rPr>
        <w:t>et al.</w:t>
      </w:r>
      <w:r w:rsidRPr="00310D08">
        <w:rPr>
          <w:rFonts w:ascii="Arial" w:hAnsi="Arial" w:cs="Arial"/>
        </w:rPr>
        <w:t xml:space="preserve"> (2018) states might represent populism, as while it is ideologically ambiguous, politicians and parties could claim to support the interests of the population, even though some would express contradictory opinions based on the current political movements. Nevertheless, gender equality may not be considered a populist attitude with the increase in online discussions and political figures expressing misogynist views, as supported by Ging (2017), Farrell </w:t>
      </w:r>
      <w:r w:rsidRPr="00310D08">
        <w:rPr>
          <w:rFonts w:ascii="Arial" w:hAnsi="Arial" w:cs="Arial"/>
          <w:i/>
          <w:iCs/>
        </w:rPr>
        <w:t>et al.</w:t>
      </w:r>
      <w:r w:rsidRPr="00310D08">
        <w:rPr>
          <w:rFonts w:ascii="Arial" w:hAnsi="Arial" w:cs="Arial"/>
        </w:rPr>
        <w:t xml:space="preserve"> (2019), Van Valkenburgh (2019), and Barnes and Karim (2025). Therefore, the ideology represented in the social policy presents a feminist and egalitarian view, in contrast to Conservative beliefs. In addition, left-wing ideology is considered inclusive and tolerant with the preference for social change and advocating for personal freedom (Huber and Schimpf, 2017; Czarnek, Szwed, and Kossowska, 2018). The Government Equalities Office (2019) adopting left feminist gender ideologies may portray the social policy as disingenuous, as it could aim to encourage women voters to the party (Campbell and Erzeel, 2018). However, the publication of gender equality objectives from the government may be perceived as beneficial in advocating for women’s rights, regardless of ideological or party intentions.</w:t>
      </w:r>
    </w:p>
    <w:p w14:paraId="11C7683F"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29F6E3AC"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3" w:name="_Toc225102871"/>
      <w:r w:rsidRPr="00F55B2D">
        <w:rPr>
          <w:rFonts w:ascii="Arial" w:hAnsi="Arial" w:cs="Arial"/>
          <w:b/>
          <w:bCs/>
          <w:color w:val="auto"/>
          <w:sz w:val="24"/>
          <w:szCs w:val="24"/>
        </w:rPr>
        <w:lastRenderedPageBreak/>
        <w:t>Gender equality</w:t>
      </w:r>
      <w:bookmarkEnd w:id="3"/>
    </w:p>
    <w:p w14:paraId="7F890C75" w14:textId="77777777" w:rsidR="00310D08" w:rsidRPr="00310D08" w:rsidRDefault="00310D08" w:rsidP="00F55B2D">
      <w:pPr>
        <w:spacing w:line="360" w:lineRule="auto"/>
        <w:jc w:val="both"/>
        <w:rPr>
          <w:rFonts w:ascii="Arial" w:hAnsi="Arial" w:cs="Arial"/>
        </w:rPr>
      </w:pPr>
      <w:r w:rsidRPr="00310D08">
        <w:rPr>
          <w:rFonts w:ascii="Arial" w:hAnsi="Arial" w:cs="Arial"/>
        </w:rPr>
        <w:t xml:space="preserve">Gender equality, while discussed and evidenced throughout the policy, is not addressed with a concise definition. This absence of clarity could cause miscommunication and individual bias to influence the effectiveness of the social policy, because gender identities in the twenty-first century may be fluid and diverse (Gosling, 2018; Roberts, Gray, and Miñano, 2020; Sumerau, Mathers, and Moon, 2020). However, Budgeon (2013) stated gender could be used to dismantle the perceived differences between men and women, which may be effective in creating objectives for policies, which is supported by gender duality beliefs, which may have influenced the policy, as boys and girls are regarded as distinct silos  (Emilson, Folkesson, and Lindberg, 2016). Nevertheless, gender is socially constructed and has been redefined based on transforming social, medical, and legal interpretations throughout centuries (Pryzgoda and Chrisler, 2000; Perry, 2016; Richardson, 2020; World Health Organisation, 2025), and may teach individuals expectations on how to act and interact with society based on their gender (Brussino and McBrien, 2022). The binary representation of gender in the social policy could depict the ideological views portrayed from the Conservative government in 2019. In contrast, Cary (2017), Settle (2018), and York (2018) reported Theresa May supported transgender individuals and aimed to absolve the gender pay gap to reduce the injustices women could experience, indicating while the language within the social policy indicates focused outcomes on women’s equality, May’s narrative might not suggest ignorance towards achieving equality for all genders. However, in April 2025, the UK Supreme Court in For Women Scotland Ltd vs The Scottish Ministers, declared the legal definition of a woman is founded on biological sex (The Supreme Court, 2025). This was due to their interpretation of the </w:t>
      </w:r>
      <w:r w:rsidRPr="00310D08">
        <w:rPr>
          <w:rFonts w:ascii="Arial" w:hAnsi="Arial" w:cs="Arial"/>
          <w:i/>
          <w:iCs/>
        </w:rPr>
        <w:t xml:space="preserve">Sex Discrimination Act 1975, </w:t>
      </w:r>
      <w:r w:rsidRPr="00310D08">
        <w:rPr>
          <w:rFonts w:ascii="Arial" w:hAnsi="Arial" w:cs="Arial"/>
        </w:rPr>
        <w:t xml:space="preserve">as the terms man and woman distinguished the contrast between the sex groups, and in the </w:t>
      </w:r>
      <w:r w:rsidRPr="00310D08">
        <w:rPr>
          <w:rFonts w:ascii="Arial" w:hAnsi="Arial" w:cs="Arial"/>
          <w:i/>
          <w:iCs/>
        </w:rPr>
        <w:t>Equality Act 2010</w:t>
      </w:r>
      <w:r w:rsidRPr="00310D08">
        <w:rPr>
          <w:rFonts w:ascii="Arial" w:hAnsi="Arial" w:cs="Arial"/>
        </w:rPr>
        <w:t xml:space="preserve">, no apparent modification of the meaning of man and woman was discovered (BBC, 2025; CIPD, 2025; House of Commons, 2025; The Supreme Court, 2025). Therefore, understanding the authors or organisation definitions and ideologies of gender equality could influence whether policies outcomes are achieved (Anderson, 2025), as it is important to acknowledge which definition of a woman the policy was or is advocating for. While further research is needed into the definition of women and gender used by </w:t>
      </w:r>
      <w:r w:rsidRPr="00310D08">
        <w:rPr>
          <w:rFonts w:ascii="Arial" w:hAnsi="Arial" w:cs="Arial"/>
        </w:rPr>
        <w:lastRenderedPageBreak/>
        <w:t>the Conservative party in 2019, for this essay, the definition of a woman represents all individuals who identify as a woman.</w:t>
      </w:r>
    </w:p>
    <w:p w14:paraId="47AFCF94" w14:textId="11F6F26E" w:rsidR="00310D08" w:rsidRPr="00310D08" w:rsidRDefault="00310D08" w:rsidP="00F55B2D">
      <w:pPr>
        <w:spacing w:line="360" w:lineRule="auto"/>
        <w:jc w:val="both"/>
        <w:rPr>
          <w:rFonts w:ascii="Arial" w:hAnsi="Arial" w:cs="Arial"/>
        </w:rPr>
      </w:pPr>
      <w:r w:rsidRPr="00310D08">
        <w:rPr>
          <w:rFonts w:ascii="Arial" w:hAnsi="Arial" w:cs="Arial"/>
        </w:rPr>
        <w:t xml:space="preserve">In addition, Krizsan and Lombardo (2013) and Roberts, Gray, and Miñano (2020) indicated policies aimed at equal treatment and dismantling inequality may disregard the broader disadvantages and intersectional impacts encountered by some women, which is recognised by the Government Equalities Office (2019) addressing the additional characteristics and intersectional disadvantages which may create gender inequalities. Furthermore, Mim (2019) addressed gender roles as referring to various stereotypical behaviours and attitudes expected by men and women in society, indicating socially prescribed rules for masculine and feminine could increase discrimination throughout an individual’s life. In support, Udry’s construction of gendered behaviour (1997) regarded masculinity and femininity as unequal statuses within society (Kennelly, Merz, and Lorber, 2001), which Simone de Beauvoir supported by expressing the status of women is continuously on the threshold of becoming (Barker, 1997). This ideology may be represented in the social policy, as the objectives present the inequalities women may encounter compared to men, which illustrate a liberal-egalitarian ideology, as it advocates for gender equality in pay and dual roles (Shu, Zhu, and Meagher, 2024). Furthermore, equality is a multifaceted concept with no single definition, but for equality to have meaning, it must be defined (Nanni, 2023). However, equality could be considered as the relationships between individuals, as an equal society would aim to dismantle hierarchies to ensure people are treated as equals (Fourie, 2012). Nanni (2023) expresses policies and practice may not be sufficient in achieving equality for women, as for example, the perceived norm is the </w:t>
      </w:r>
      <w:r w:rsidRPr="00310D08">
        <w:rPr>
          <w:rFonts w:ascii="Arial" w:hAnsi="Arial" w:cs="Arial"/>
          <w:i/>
          <w:iCs/>
        </w:rPr>
        <w:t>Equality Act 2010</w:t>
      </w:r>
      <w:r w:rsidRPr="00310D08">
        <w:rPr>
          <w:rFonts w:ascii="Arial" w:hAnsi="Arial" w:cs="Arial"/>
        </w:rPr>
        <w:t xml:space="preserve"> protects women against discrimination, and while this might be the truth for some women, others would contest it based on their actual norms (Dannals and Li, 2024). Therefore, gender and equality are distinct and intersectional concepts which may be influenced by various ideological views, which could affect how gender equality is portrayed and expected to be achieved </w:t>
      </w:r>
      <w:r w:rsidR="00620C9A">
        <w:rPr>
          <w:rFonts w:ascii="Arial" w:hAnsi="Arial" w:cs="Arial"/>
        </w:rPr>
        <w:t>in</w:t>
      </w:r>
      <w:r w:rsidRPr="00310D08">
        <w:rPr>
          <w:rFonts w:ascii="Arial" w:hAnsi="Arial" w:cs="Arial"/>
        </w:rPr>
        <w:t xml:space="preserve"> social policies.</w:t>
      </w:r>
    </w:p>
    <w:p w14:paraId="3EBB29F9"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2D45FAB1"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4" w:name="_Toc225102872"/>
      <w:r w:rsidRPr="00F55B2D">
        <w:rPr>
          <w:rFonts w:ascii="Arial" w:hAnsi="Arial" w:cs="Arial"/>
          <w:b/>
          <w:bCs/>
          <w:color w:val="auto"/>
          <w:sz w:val="24"/>
          <w:szCs w:val="24"/>
        </w:rPr>
        <w:t>Education</w:t>
      </w:r>
      <w:bookmarkEnd w:id="4"/>
    </w:p>
    <w:p w14:paraId="70AF2BD8" w14:textId="77777777" w:rsidR="00310D08" w:rsidRPr="00310D08" w:rsidRDefault="00310D08" w:rsidP="00F55B2D">
      <w:pPr>
        <w:spacing w:line="360" w:lineRule="auto"/>
        <w:jc w:val="both"/>
        <w:rPr>
          <w:rFonts w:ascii="Arial" w:hAnsi="Arial" w:cs="Arial"/>
        </w:rPr>
      </w:pPr>
      <w:r w:rsidRPr="00310D08">
        <w:rPr>
          <w:rFonts w:ascii="Arial" w:hAnsi="Arial" w:cs="Arial"/>
        </w:rPr>
        <w:t xml:space="preserve">The Government Equalities Office (2019) stated gender norms start from a young age which could contribute to limiting attitudes for men and women into adulthood, </w:t>
      </w:r>
      <w:r w:rsidRPr="00310D08">
        <w:rPr>
          <w:rFonts w:ascii="Arial" w:hAnsi="Arial" w:cs="Arial"/>
        </w:rPr>
        <w:lastRenderedPageBreak/>
        <w:t xml:space="preserve">supporting the policies aim to explore and improve the gender balance within education. In support, Marcus (2018) and Ollis </w:t>
      </w:r>
      <w:r w:rsidRPr="00310D08">
        <w:rPr>
          <w:rFonts w:ascii="Arial" w:hAnsi="Arial" w:cs="Arial"/>
          <w:i/>
          <w:iCs/>
        </w:rPr>
        <w:t xml:space="preserve">et al. </w:t>
      </w:r>
      <w:r w:rsidRPr="00310D08">
        <w:rPr>
          <w:rFonts w:ascii="Arial" w:hAnsi="Arial" w:cs="Arial"/>
        </w:rPr>
        <w:t xml:space="preserve">(2022) stated education could be influential in dismantling gender equality, because of the resources and opportunities teachers may provide children and young adults on gender norms. In addition, Wood </w:t>
      </w:r>
      <w:r w:rsidRPr="00310D08">
        <w:rPr>
          <w:rFonts w:ascii="Arial" w:hAnsi="Arial" w:cs="Arial"/>
          <w:i/>
          <w:iCs/>
        </w:rPr>
        <w:t>et al.</w:t>
      </w:r>
      <w:r w:rsidRPr="00310D08">
        <w:rPr>
          <w:rFonts w:ascii="Arial" w:hAnsi="Arial" w:cs="Arial"/>
        </w:rPr>
        <w:t xml:space="preserve"> (2022) addressed that infant children may begin to identify gender and interpret differences between men and women, which indicates primary teachers should begin discussions on gender norms. This could represent positive liberty, an individual’s ability to control their life and have freedom of choice (Carter, 2022), which is addressed in the social policy, suggesting education on gender bias to all students could prepare them for adulthood and twenty-first century society. In addition, the social policy could have adopted Foucault’s theory of relational power to address reproducing gender stereotypes, as it explores the relationships, language, and norms which may be considered more powerful within society compared to government policies (Roberts, Gray, and Miñano, 2020). This draws upon the UNESCO (2017) conclusion of a correlation between positive early educational experiences in STEM and career aspirations for all students, which Marcus (2018) and Mim (2019) further explored with teachers’ power within the classroom in their assessment of gender suitability in STEM subjects and in gendered assigned tasks, which could perpetuate gender roles from young ages. In support, Mim (2019) and De Loof </w:t>
      </w:r>
      <w:r w:rsidRPr="00310D08">
        <w:rPr>
          <w:rFonts w:ascii="Arial" w:hAnsi="Arial" w:cs="Arial"/>
          <w:i/>
          <w:iCs/>
        </w:rPr>
        <w:t>et al.</w:t>
      </w:r>
      <w:r w:rsidRPr="00310D08">
        <w:rPr>
          <w:rFonts w:ascii="Arial" w:hAnsi="Arial" w:cs="Arial"/>
        </w:rPr>
        <w:t xml:space="preserve"> (2021) stated teachers should encourage all students to STEM subjects and address any unwillingness to learn, as it may be influenced by gender stereotypes. However, Brussino and McBrien (2022) addressed that teachers should be educated and develop skills to dismantle gender stereotypes within the classroom, which is not reflected within the social policy. This suggests there may be pressure on schoolteachers to educate students on gender bias and deconstruct traditional ideologies within the classroom. However, Pearson’s Gender Equality Guidelines could support practitioners to acknowledge the traditional focus on men and aim to educate on how to adapt their language and behaviours to dismantle unconscious biases toward girls in the classroom (Brussino and McBrien, 2022). In addition, the hidden curriculum, from Marxist 1970s analysis of education, encompasses the values and practices within schools which could legitimise the reproduction of the dominant class or hierarchy (Donovan </w:t>
      </w:r>
      <w:r w:rsidRPr="00310D08">
        <w:rPr>
          <w:rFonts w:ascii="Arial" w:hAnsi="Arial" w:cs="Arial"/>
          <w:i/>
          <w:iCs/>
        </w:rPr>
        <w:t>et al.,</w:t>
      </w:r>
      <w:r w:rsidRPr="00310D08">
        <w:rPr>
          <w:rFonts w:ascii="Arial" w:hAnsi="Arial" w:cs="Arial"/>
        </w:rPr>
        <w:t xml:space="preserve"> 2023). This could be represented in the social policy, as the education objective recognised schools as significant in providing balanced information on sexism and misogynist views. Furthermore, Wood </w:t>
      </w:r>
      <w:r w:rsidRPr="00310D08">
        <w:rPr>
          <w:rFonts w:ascii="Arial" w:hAnsi="Arial" w:cs="Arial"/>
          <w:i/>
          <w:iCs/>
        </w:rPr>
        <w:t>et al.</w:t>
      </w:r>
      <w:r w:rsidRPr="00310D08">
        <w:rPr>
          <w:rFonts w:ascii="Arial" w:hAnsi="Arial" w:cs="Arial"/>
        </w:rPr>
        <w:t xml:space="preserve"> </w:t>
      </w:r>
      <w:r w:rsidRPr="00310D08">
        <w:rPr>
          <w:rFonts w:ascii="Arial" w:hAnsi="Arial" w:cs="Arial"/>
        </w:rPr>
        <w:lastRenderedPageBreak/>
        <w:t>(2022) found a distinction between the knowledge and endorsement of stereotypes in young adults and emphasised the importance of educating all gendered students on challenging persistent gender biases. The Relationships and Sexuality Code from the Welsh Government (2021) provides guidance to practitioners on educating students about equitable treatment and biases towards genders, which could have been influenced by the social policy and other government policies, in addition to changing ideological beliefs on gender equality. Furthermore, the classroom environment could be an influential factor in perpetuating gender bias, as masculine classroom environments could cause some girls to withdraw from the learning  (Mim, 2019), as the hidden curriculum may enforce subject suitability. In addition, Kahn and Ginther (2017) stated female teachers may encourage girls learning in all subjects, if inclusive attitudes and practices are adopted, supporting the Government Equalities Office (2019) analysis of children’s career aspirations becoming restricted from young ages. Therefore, education could be influential in dismantling gender inequalities for women if ideological beliefs held by practitioners, within the curriculum, and in social policy promote an inclusive and equitable environment.</w:t>
      </w:r>
    </w:p>
    <w:p w14:paraId="0B31EB9E"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1528C07A"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5" w:name="_Toc225102873"/>
      <w:r w:rsidRPr="00F55B2D">
        <w:rPr>
          <w:rFonts w:ascii="Arial" w:hAnsi="Arial" w:cs="Arial"/>
          <w:b/>
          <w:bCs/>
          <w:color w:val="auto"/>
          <w:sz w:val="24"/>
          <w:szCs w:val="24"/>
        </w:rPr>
        <w:t>STEM workplace</w:t>
      </w:r>
      <w:bookmarkEnd w:id="5"/>
    </w:p>
    <w:p w14:paraId="576CC503" w14:textId="77777777" w:rsidR="00310D08" w:rsidRPr="00310D08" w:rsidRDefault="00310D08" w:rsidP="00F55B2D">
      <w:pPr>
        <w:spacing w:line="360" w:lineRule="auto"/>
        <w:jc w:val="both"/>
        <w:rPr>
          <w:rFonts w:ascii="Arial" w:hAnsi="Arial" w:cs="Arial"/>
        </w:rPr>
      </w:pPr>
      <w:r w:rsidRPr="00310D08">
        <w:rPr>
          <w:rFonts w:ascii="Arial" w:hAnsi="Arial" w:cs="Arial"/>
        </w:rPr>
        <w:t xml:space="preserve">The social policy highlighted the government’s aim to increase participation in STEM subjects for girls through evidenced-based analysis of barriers to STEM progress, to ensure the action objectives can be effective (Government Equalities Office, 2019). The under-representation of girls and women in STEM education and careers is not a new phenomenon within the UK or worldwide (Smith and White, 2025), however, UNESCO (2017) addressed the gender gap in STEM has reduced but not eliminated, but this requires further research into each STEM field. This social policy could have been influenced by second-wave feminism, in the 1960s and 1970s, as it aimed to challenge gender equality and acknowledged the power hierarchy between men and women (Baxandall and Gordon, 2005; Budgeon, 2013). However, Rosalind Gill stated, in the 1980s and 1990s, the postfeminist movement, paradoxes and contradictions emerged in the representation of women, and gender quality became juxtaposed with increased misogyny (Banet-Weiser, Gill, and Rottenberg, 2019). Therefore, the ideological influences within the social policy could reflect the achievements in gender </w:t>
      </w:r>
      <w:r w:rsidRPr="00310D08">
        <w:rPr>
          <w:rFonts w:ascii="Arial" w:hAnsi="Arial" w:cs="Arial"/>
        </w:rPr>
        <w:lastRenderedPageBreak/>
        <w:t>equality while advocating for increased progress in equitable opportunities and dismantled biases for women. In addition, the social policy may encompass negative liberty, the absence of barriers or constraints (Carter, 2022), and individual autonomy, the freedom to make life choices (Krizsan and Lombardo, 2013), due to the objectives of gender equality and removing societal barriers. Nevertheless, government policies may not consider the support and resources needed to support women to continue in STEM careers, rather than a focus on education improvement, which while important, might not address the systematic biases persistent in society (Heilbronner, 2012; White and Smith, 2022). Parson’s functionalist perspective of the nuclear family (1959) depicted traditional gender roles as purposeful to social efficiency, as men are the providers and women nurture the family (Yee, 2023). This model could be considered inadequate as some family dynamics have evolved in post-industrial societies (Magda, Cukrowska-Torzewska, and Palczyńska, 2024); however, Government Equalities Office (2019) address the need for gender equality policies, as this ideological belief may be held by some.</w:t>
      </w:r>
    </w:p>
    <w:p w14:paraId="02CEE2E1" w14:textId="3884E286" w:rsidR="00310D08" w:rsidRPr="00310D08" w:rsidRDefault="00310D08" w:rsidP="00F55B2D">
      <w:pPr>
        <w:spacing w:line="360" w:lineRule="auto"/>
        <w:jc w:val="both"/>
        <w:rPr>
          <w:rFonts w:ascii="Arial" w:hAnsi="Arial" w:cs="Arial"/>
        </w:rPr>
      </w:pPr>
      <w:r w:rsidRPr="00310D08">
        <w:rPr>
          <w:rFonts w:ascii="Arial" w:hAnsi="Arial" w:cs="Arial"/>
        </w:rPr>
        <w:t xml:space="preserve">Workplace culture is defined by individual attitudes, behaviours, values, and traditions, in addition to workplace policies (Banchefsky and Park, 2018). Berkowitz and Perkins (1986) social norms theory examines the influence of perceived social norms on behaviour, and individuals’ ability to confront problem behaviour in others (Berkowitz, 2005), suggesting if normalised, individuals might not contest discriminatory attitudes. In addition, women may experience barriers in their STEM career advancement, which are likely to arise due to cultural norms of masculinity in STEM (Smith and White, 2025), as masculine individuals may become more dominant, due to individual attitudes, social norms, or political influences, which could affect women’s sense of belonging (Banchefsky and Park, 2018). This could consider relational mobility which acknowledges the social-ecological influences on some individual’s freedom for opportunities to connect or disassociate with individual and social groups (Conway, Chan, and Woodard, 2020), demonstrating the absence of choice some women have in STEM careers to remove themselves from negative work environments. Furthermore, Connell’s (1980s) hegemonic masculinity draws upon Gramsci, as it reflects the preservation of the male hierarchy to the </w:t>
      </w:r>
      <w:r w:rsidR="008E73D4" w:rsidRPr="00310D08">
        <w:rPr>
          <w:rFonts w:ascii="Arial" w:hAnsi="Arial" w:cs="Arial"/>
        </w:rPr>
        <w:t>detri</w:t>
      </w:r>
      <w:r w:rsidR="008E73D4">
        <w:rPr>
          <w:rFonts w:ascii="Arial" w:hAnsi="Arial" w:cs="Arial"/>
        </w:rPr>
        <w:t>ment</w:t>
      </w:r>
      <w:r w:rsidRPr="00310D08">
        <w:rPr>
          <w:rFonts w:ascii="Arial" w:hAnsi="Arial" w:cs="Arial"/>
        </w:rPr>
        <w:t xml:space="preserve"> of women (Seron </w:t>
      </w:r>
      <w:r w:rsidRPr="00310D08">
        <w:rPr>
          <w:rFonts w:ascii="Arial" w:hAnsi="Arial" w:cs="Arial"/>
          <w:i/>
          <w:iCs/>
        </w:rPr>
        <w:t>et al.,</w:t>
      </w:r>
      <w:r w:rsidRPr="00310D08">
        <w:rPr>
          <w:rFonts w:ascii="Arial" w:hAnsi="Arial" w:cs="Arial"/>
        </w:rPr>
        <w:t xml:space="preserve"> 2018). This could extend to the binary association of gender, as the gender hierarchy may be established through ideologies not considering biological sex (Seron </w:t>
      </w:r>
      <w:r w:rsidRPr="00310D08">
        <w:rPr>
          <w:rFonts w:ascii="Arial" w:hAnsi="Arial" w:cs="Arial"/>
          <w:i/>
          <w:iCs/>
        </w:rPr>
        <w:t>et al.,</w:t>
      </w:r>
      <w:r w:rsidRPr="00310D08">
        <w:rPr>
          <w:rFonts w:ascii="Arial" w:hAnsi="Arial" w:cs="Arial"/>
        </w:rPr>
        <w:t xml:space="preserve"> </w:t>
      </w:r>
      <w:r w:rsidRPr="00310D08">
        <w:rPr>
          <w:rFonts w:ascii="Arial" w:hAnsi="Arial" w:cs="Arial"/>
        </w:rPr>
        <w:lastRenderedPageBreak/>
        <w:t xml:space="preserve">2018). In addition, Banchefsky and Park (2018) found some men in male-dominated academic careers would endorse assimilation, where women adapt and conform to masculine norms to succeed in their career, or may disagree with gender blindness, when gender is disregarded. Therefore, due to men predominantly working in STEM occupations compared to women, these ideological perspectives held by some men could continue the gender inequality within academic fields (Banchefsky and Park, 2018). Sandra Bem (1983) developed gender schema theory, from Piaget, to explore how various gender identities experience society based on their gender stereotypes, which could have influenced the social policy on women’s inequalities, in addition to addressing the potential absence of understanding men have towards the misogynist </w:t>
      </w:r>
      <w:r w:rsidR="008E73D4">
        <w:rPr>
          <w:rFonts w:ascii="Arial" w:hAnsi="Arial" w:cs="Arial"/>
        </w:rPr>
        <w:t>attitudes</w:t>
      </w:r>
      <w:r w:rsidRPr="00310D08">
        <w:rPr>
          <w:rFonts w:ascii="Arial" w:hAnsi="Arial" w:cs="Arial"/>
        </w:rPr>
        <w:t xml:space="preserve"> women experience. However, Bandura’s (1977) social learning theory could suggest the discriminatory behaviour women encounter may be an imitation based on </w:t>
      </w:r>
      <w:r w:rsidR="008E73D4">
        <w:rPr>
          <w:rFonts w:ascii="Arial" w:hAnsi="Arial" w:cs="Arial"/>
        </w:rPr>
        <w:t xml:space="preserve">an individual’s </w:t>
      </w:r>
      <w:r w:rsidRPr="00310D08">
        <w:rPr>
          <w:rFonts w:ascii="Arial" w:hAnsi="Arial" w:cs="Arial"/>
        </w:rPr>
        <w:t xml:space="preserve">personal experiences of interactions between men and women, drawing upon Bandura’s (1961) bobo doll experiment (Bouton and Lang, 2020; Koutroubas and Galanakis, 2022). Therefore, the social policy identified the importance of education, as previously discussed, which could resemble ideological influence based on Bandura’s theories of shaping behaviour and attitudes into the workplace. Furthermore, the Programme for International Student Assessment (PISA) (2015) found no gender difference in STEM career aspirations between boys and girls, but noted a difference in STEM fields, as girls were more likely to aspire for health professions whereas boys were more likely to aim for engineering opportunities (OECD, 2016). González-Pérez, de Cabo, and Sáinz (2020) state the influence female role-models in STEM careers may have on young girls, encouraging self-efficacy beliefs, suggesting further research into current policies to illustrate whether discrimination </w:t>
      </w:r>
      <w:r w:rsidR="002975CB">
        <w:rPr>
          <w:rFonts w:ascii="Arial" w:hAnsi="Arial" w:cs="Arial"/>
        </w:rPr>
        <w:t>a</w:t>
      </w:r>
      <w:r w:rsidRPr="00310D08">
        <w:rPr>
          <w:rFonts w:ascii="Arial" w:hAnsi="Arial" w:cs="Arial"/>
        </w:rPr>
        <w:t>s a cyclical process, from youth to adulthood, is being addressed.</w:t>
      </w:r>
    </w:p>
    <w:p w14:paraId="55E27C99" w14:textId="77777777" w:rsidR="00310D08" w:rsidRPr="00310D08" w:rsidRDefault="00310D08" w:rsidP="00F55B2D">
      <w:pPr>
        <w:spacing w:line="360" w:lineRule="auto"/>
        <w:jc w:val="both"/>
        <w:rPr>
          <w:rFonts w:ascii="Arial" w:hAnsi="Arial" w:cs="Arial"/>
        </w:rPr>
      </w:pPr>
      <w:r w:rsidRPr="00310D08">
        <w:rPr>
          <w:rFonts w:ascii="Arial" w:hAnsi="Arial" w:cs="Arial"/>
        </w:rPr>
        <w:t xml:space="preserve">However, Mim (2019), Wood </w:t>
      </w:r>
      <w:r w:rsidRPr="00310D08">
        <w:rPr>
          <w:rFonts w:ascii="Arial" w:hAnsi="Arial" w:cs="Arial"/>
          <w:i/>
          <w:iCs/>
        </w:rPr>
        <w:t>et al.</w:t>
      </w:r>
      <w:r w:rsidRPr="00310D08">
        <w:rPr>
          <w:rFonts w:ascii="Arial" w:hAnsi="Arial" w:cs="Arial"/>
        </w:rPr>
        <w:t xml:space="preserve"> (2022), and Smith and White (2025) acknowledged there could be various attitudinal, educational, socio-cultural, and economic barriers for women pursuing or continuing in STEM, in addition to lifestyle choices, parenthood, career preferences, and family background, which are likely to be associated with stereotypical ideologies about inappropriate careers for women compared to biological gender. Furthermore, the House of Commons (2014) and Wood </w:t>
      </w:r>
      <w:r w:rsidRPr="00310D08">
        <w:rPr>
          <w:rFonts w:ascii="Arial" w:hAnsi="Arial" w:cs="Arial"/>
          <w:i/>
          <w:iCs/>
        </w:rPr>
        <w:t>et al.</w:t>
      </w:r>
      <w:r w:rsidRPr="00310D08">
        <w:rPr>
          <w:rFonts w:ascii="Arial" w:hAnsi="Arial" w:cs="Arial"/>
        </w:rPr>
        <w:t xml:space="preserve"> (2022) addressed while the government and policy makers aimed to increase women in STEM subjects and careers through training for educators, visible women in STEM </w:t>
      </w:r>
      <w:r w:rsidRPr="00310D08">
        <w:rPr>
          <w:rFonts w:ascii="Arial" w:hAnsi="Arial" w:cs="Arial"/>
        </w:rPr>
        <w:lastRenderedPageBreak/>
        <w:t>roles, and educating on social norms, these interventions may not have been effective in challenging significant and generational gender biases. However, the issues discussed may not be specific to STEM careers, indicating the discrimination women could encounter in different occupations (White and Smith, 2022). This could encompass Piaget’s concept of equilibrium within his constructivist approach, which depicted the balance individuals aim to maintain between what is expected and experienced (Nescolarde-Selva, Usó-Doménech, and Gash, 2017), which might acknowledge the Government Equalities Office (2019) ideal published outcomes for gender equality, that some women might not experience despite policy influence. Therefore, addressing neoliberalism, while encouraging girls and women to pursue their aspirations, the policy might not provide goals to dismantle the structural barriers, for example, gender bias and norms, which continue to create challenges to equity (Roberts, Gray, and Miñano, 2020). In addition, Grunow, Begall, and Buchler (2018) acknowledged some social policies may support equal pay for men and women, while disregarding dual caring responsibilities, however, this requires further research. Therefore, STEM workplaces could present ideological views which discourage some women from pursuing their career aspirations, but with acknowledgement of these beliefs, social policies and individuals could aim to dismantle this gender inequality.</w:t>
      </w:r>
    </w:p>
    <w:p w14:paraId="6CD2CF86"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6E7045A2"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6" w:name="_Toc225102874"/>
      <w:r w:rsidRPr="00F55B2D">
        <w:rPr>
          <w:rFonts w:ascii="Arial" w:hAnsi="Arial" w:cs="Arial"/>
          <w:b/>
          <w:bCs/>
          <w:color w:val="auto"/>
          <w:sz w:val="24"/>
          <w:szCs w:val="24"/>
        </w:rPr>
        <w:t>Gender pay gap</w:t>
      </w:r>
      <w:bookmarkEnd w:id="6"/>
    </w:p>
    <w:p w14:paraId="642C3EBA" w14:textId="5A6FA367" w:rsidR="00310D08" w:rsidRPr="00310D08" w:rsidRDefault="00310D08" w:rsidP="00F55B2D">
      <w:pPr>
        <w:spacing w:line="360" w:lineRule="auto"/>
        <w:jc w:val="both"/>
        <w:rPr>
          <w:rFonts w:ascii="Arial" w:hAnsi="Arial" w:cs="Arial"/>
        </w:rPr>
      </w:pPr>
      <w:r w:rsidRPr="00310D08">
        <w:rPr>
          <w:rFonts w:ascii="Arial" w:hAnsi="Arial" w:cs="Arial"/>
        </w:rPr>
        <w:t xml:space="preserve">The Government Equalities Office (2019) stated women with higher qualifications than men may earn less, and a reduced gender pay gap in STEM careers could increase the UK economy by an estimate of 2% by 2032 (Government Office Equalities, 2019). Joan Scott (1986) stated gender could be used to signify relationship power based on socially created appropriate roles for women and men, which supports Hill (2019) and Cleghorn (2022) addressing women may have been dismissed from power due to traditional ideological beliefs about menstruation. However, Claudia Goldin addressed that the gender pay gap was smaller during the industrial revolution but increased in response to the demand needs and societal expectations for women (Sarsons, 2024). This reflects the objectives within the social policy as it aims to improve the wages women receive in response to their experience and qualifications. In 2020, the gender pay gap in the UK was 15.5% (Office for National Statistics, 2020), which could present </w:t>
      </w:r>
      <w:r w:rsidRPr="00310D08">
        <w:rPr>
          <w:rFonts w:ascii="Arial" w:hAnsi="Arial" w:cs="Arial"/>
        </w:rPr>
        <w:lastRenderedPageBreak/>
        <w:t xml:space="preserve">a split ideology, as the policy indicated one goal while practice showed the opposite (Nescolarde-Selva, Usó-Doménech, and Gash, 2017). However, in 2019, the gender pay gap was 17.4% (Office for National Statistics, 2020), which highlights a 2% decrease, indicating the social policy could have been beneficial at promoting equitable pay in some organisations. In 2025, the gender pay gap was 12.8% (Office for National Statistics, 2025), illustrating a positive trend to achieving gender pay equality, but emphases the gradual progress of an estimate of 5% decrease in 7 years. In addition, White and Smith (2022) stated some women may experience discrimination or </w:t>
      </w:r>
      <w:r w:rsidR="00D86C4B">
        <w:rPr>
          <w:rFonts w:ascii="Arial" w:hAnsi="Arial" w:cs="Arial"/>
        </w:rPr>
        <w:t xml:space="preserve">be </w:t>
      </w:r>
      <w:r w:rsidRPr="00310D08">
        <w:rPr>
          <w:rFonts w:ascii="Arial" w:hAnsi="Arial" w:cs="Arial"/>
        </w:rPr>
        <w:t xml:space="preserve">overlooked for promotion compared to male peers, which Kahn and Ginther (2017) and Hodge, Davies, and Furlong (2019) critiqued suggesting the flexibility some women might require in their occupations, due to personal preferences or childcare, which may influence their wage compared to men. However, Kahn and Ginther (2017) stated when considering gender pay gaps within STEM, there may be an absence of generalised data, as pay could be subject specific or based on academia. Nevertheless, Marxism and communism, while both include complex ideologies, sought to ensure individuals were compensated for their labour (Blakemore and Warwick-Booth, 2013). Furthermore, women may perform increased unpaid work compared to men (Government Equalities Office, 2019), which Silvia Federici indicated modern gender norms were created in accordance with capitalist separations of home and work, drawing upon the ideologies within the Wages for Housework campaign (1970s) founded by Mariarosa Dalla Costa, Silvia Federici, and Selma James (Salzinger and Gonsalves, 2024). In support, Magda, Cukrowska-Torzewska, and Palczyńska (2024) addressed decreasing gender pay gaps could be influential in achieving equality within the home, but further research and evidence is needed. While the gender pay gap was addressed in the social policy, from April 2026, the current government is advising organisation to publish their gender pay gap data, which will become mandatory in spring 2027 in accordance with the </w:t>
      </w:r>
      <w:r w:rsidRPr="00310D08">
        <w:rPr>
          <w:rFonts w:ascii="Arial" w:hAnsi="Arial" w:cs="Arial"/>
          <w:i/>
          <w:iCs/>
        </w:rPr>
        <w:t>Employment Rights Act 2025,</w:t>
      </w:r>
      <w:r w:rsidRPr="00310D08">
        <w:rPr>
          <w:rFonts w:ascii="Arial" w:hAnsi="Arial" w:cs="Arial"/>
        </w:rPr>
        <w:t xml:space="preserve"> to aid employers in effective improvement of gender equality in the workplace (UK Government, 2026). Therefore, this could indicate the ideological influences from the social policy are relevant in today’s politics, and the government is continuing to dismantle gender equality within the UK.</w:t>
      </w:r>
    </w:p>
    <w:p w14:paraId="106F4E8C" w14:textId="77777777" w:rsidR="00310D08" w:rsidRPr="00310D08" w:rsidRDefault="00310D08" w:rsidP="00F55B2D">
      <w:pPr>
        <w:spacing w:line="360" w:lineRule="auto"/>
        <w:jc w:val="both"/>
        <w:rPr>
          <w:rFonts w:ascii="Arial" w:hAnsi="Arial" w:cs="Arial"/>
        </w:rPr>
      </w:pPr>
      <w:r w:rsidRPr="00310D08">
        <w:rPr>
          <w:rFonts w:ascii="Arial" w:hAnsi="Arial" w:cs="Arial"/>
        </w:rPr>
        <w:t> </w:t>
      </w:r>
    </w:p>
    <w:p w14:paraId="192516B2" w14:textId="77777777" w:rsidR="00310D08" w:rsidRPr="00F55B2D" w:rsidRDefault="00310D08" w:rsidP="00F55B2D">
      <w:pPr>
        <w:pStyle w:val="Heading1"/>
        <w:spacing w:line="360" w:lineRule="auto"/>
        <w:jc w:val="both"/>
        <w:rPr>
          <w:rFonts w:ascii="Arial" w:hAnsi="Arial" w:cs="Arial"/>
          <w:b/>
          <w:bCs/>
          <w:color w:val="auto"/>
          <w:sz w:val="24"/>
          <w:szCs w:val="24"/>
        </w:rPr>
      </w:pPr>
      <w:bookmarkStart w:id="7" w:name="_Toc225102875"/>
      <w:r w:rsidRPr="00F55B2D">
        <w:rPr>
          <w:rFonts w:ascii="Arial" w:hAnsi="Arial" w:cs="Arial"/>
          <w:b/>
          <w:bCs/>
          <w:color w:val="auto"/>
          <w:sz w:val="24"/>
          <w:szCs w:val="24"/>
        </w:rPr>
        <w:lastRenderedPageBreak/>
        <w:t>Conclusion</w:t>
      </w:r>
      <w:bookmarkEnd w:id="7"/>
    </w:p>
    <w:p w14:paraId="3EE4693B" w14:textId="77777777" w:rsidR="00310D08" w:rsidRPr="00310D08" w:rsidRDefault="00310D08" w:rsidP="00F55B2D">
      <w:pPr>
        <w:spacing w:line="360" w:lineRule="auto"/>
        <w:jc w:val="both"/>
        <w:rPr>
          <w:rFonts w:ascii="Arial" w:hAnsi="Arial" w:cs="Arial"/>
        </w:rPr>
      </w:pPr>
      <w:r w:rsidRPr="00310D08">
        <w:rPr>
          <w:rFonts w:ascii="Arial" w:hAnsi="Arial" w:cs="Arial"/>
        </w:rPr>
        <w:t xml:space="preserve">This research has presented some of the ideological influences which could have been influential in the Gender Equality at Every Stage: A Roadmap for Change (2019) social policy. Understanding and defining terminology within social policy could be improved within government publications to ensure readers’ bias or opinions do not influence the meaning and implementation of the objectives. In addition, education could be essential in teaching young people about gender biases and misogyny within society, and through curriculum guidance and support for practitioners, this could be achieved. Furthermore, in the STEM workplace, women may encounter a loss in their sense of belonging, due to the masculine culture within STEM. While the social policy addressed some of the improvements needed to ensure women remain in STEM, intersectional and personal influence should be considered. The gender pay gap has decreased since 2019, however, the presence of disparity in pay could reflect solutions that have not been effective in encouraging a societal change towards gender equality. The ideologies which may have influenced the policy are visible today, but the publication demonstrates the increased conversation and action towards gender equality within the UK. The cyclical nature of gender inequality should be addressed with further research to understand how barriers could be ameliorated to ensure women are provided with equitable opportunities, so the next generation of women do not encounter the same inequalities. </w:t>
      </w:r>
    </w:p>
    <w:p w14:paraId="0205EE75" w14:textId="77777777" w:rsidR="00A67969" w:rsidRPr="00F55B2D" w:rsidRDefault="00A67969" w:rsidP="00D87047">
      <w:pPr>
        <w:rPr>
          <w:rFonts w:ascii="Arial" w:hAnsi="Arial" w:cs="Arial"/>
        </w:rPr>
      </w:pPr>
    </w:p>
    <w:p w14:paraId="0446288D" w14:textId="128E5D27" w:rsidR="001B0949" w:rsidRPr="00F55B2D" w:rsidRDefault="001B0949">
      <w:pPr>
        <w:rPr>
          <w:rFonts w:ascii="Arial" w:hAnsi="Arial" w:cs="Arial"/>
        </w:rPr>
      </w:pPr>
      <w:r w:rsidRPr="00F55B2D">
        <w:rPr>
          <w:rFonts w:ascii="Arial" w:hAnsi="Arial" w:cs="Arial"/>
        </w:rPr>
        <w:br w:type="page"/>
      </w:r>
    </w:p>
    <w:p w14:paraId="7A984FEC" w14:textId="7046DAEE" w:rsidR="001B0949" w:rsidRPr="00F55B2D" w:rsidRDefault="009427F2" w:rsidP="00AC30B9">
      <w:pPr>
        <w:pStyle w:val="Heading1"/>
        <w:rPr>
          <w:rFonts w:ascii="Arial" w:hAnsi="Arial" w:cs="Arial"/>
          <w:b/>
          <w:bCs/>
          <w:color w:val="auto"/>
          <w:sz w:val="24"/>
          <w:szCs w:val="24"/>
        </w:rPr>
      </w:pPr>
      <w:bookmarkStart w:id="8" w:name="_Toc225102876"/>
      <w:r w:rsidRPr="00F55B2D">
        <w:rPr>
          <w:rFonts w:ascii="Arial" w:hAnsi="Arial" w:cs="Arial"/>
          <w:b/>
          <w:bCs/>
          <w:color w:val="auto"/>
          <w:sz w:val="24"/>
          <w:szCs w:val="24"/>
        </w:rPr>
        <w:lastRenderedPageBreak/>
        <w:t>Reference</w:t>
      </w:r>
      <w:r w:rsidR="001B0949" w:rsidRPr="00F55B2D">
        <w:rPr>
          <w:rFonts w:ascii="Arial" w:hAnsi="Arial" w:cs="Arial"/>
          <w:b/>
          <w:bCs/>
          <w:color w:val="auto"/>
          <w:sz w:val="24"/>
          <w:szCs w:val="24"/>
        </w:rPr>
        <w:t xml:space="preserve"> list</w:t>
      </w:r>
      <w:bookmarkEnd w:id="8"/>
    </w:p>
    <w:p w14:paraId="18B1DC5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Anderson, K. (2025) For Women Scotland Ltd v The Scottish Ministers – what are the legal and practical implications for </w:t>
      </w:r>
      <w:proofErr w:type="gramStart"/>
      <w:r w:rsidRPr="001B0949">
        <w:rPr>
          <w:rFonts w:ascii="Arial" w:eastAsia="Times New Roman" w:hAnsi="Arial" w:cs="Arial"/>
          <w:color w:val="000000"/>
          <w:kern w:val="0"/>
          <w:lang w:eastAsia="en-GB"/>
          <w14:ligatures w14:val="none"/>
        </w:rPr>
        <w:t>employers?.</w:t>
      </w:r>
      <w:proofErr w:type="gramEnd"/>
      <w:r w:rsidRPr="001B0949">
        <w:rPr>
          <w:rFonts w:ascii="Arial" w:eastAsia="Times New Roman" w:hAnsi="Arial" w:cs="Arial"/>
          <w:color w:val="000000"/>
          <w:kern w:val="0"/>
          <w:lang w:eastAsia="en-GB"/>
          <w14:ligatures w14:val="none"/>
        </w:rPr>
        <w:t xml:space="preserve"> Available at: https://www.3pb.co.uk/content/uploads/For-Women-Scotland-Ltd-v-The-Scottish-Ministers-%E2%80%93-what-are-the-legal-and-practical-implications-for-employers-by-Katherine-Anderson.pdf (Accessed: 21 March 2026). </w:t>
      </w:r>
    </w:p>
    <w:p w14:paraId="7A5E3C8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C44433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Baldock, J. (2012) ‘Social policy, social welfare, and the welfare state’, in. J. Baldock, L. Mitton, N. Manning and S. Vickerstaff (eds) </w:t>
      </w:r>
      <w:r w:rsidRPr="001B0949">
        <w:rPr>
          <w:rFonts w:ascii="Arial" w:eastAsia="Times New Roman" w:hAnsi="Arial" w:cs="Arial"/>
          <w:i/>
          <w:iCs/>
          <w:color w:val="000000"/>
          <w:kern w:val="0"/>
          <w:lang w:eastAsia="en-GB"/>
          <w14:ligatures w14:val="none"/>
        </w:rPr>
        <w:t>Social Policy</w:t>
      </w:r>
      <w:r w:rsidRPr="001B0949">
        <w:rPr>
          <w:rFonts w:ascii="Arial" w:eastAsia="Times New Roman" w:hAnsi="Arial" w:cs="Arial"/>
          <w:color w:val="000000"/>
          <w:kern w:val="0"/>
          <w:lang w:eastAsia="en-GB"/>
          <w14:ligatures w14:val="none"/>
        </w:rPr>
        <w:t>. 4th edn. Oxford University Press, pp. 7-26. </w:t>
      </w:r>
    </w:p>
    <w:p w14:paraId="31D2B00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AB8C93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Banchefsky, S. and Park, B. (2018) ‘Negative Gender Ideologies and Gender-Science Stereotypes Are More Pervasive in Male-Dominated Academic Disciplines’, </w:t>
      </w:r>
      <w:r w:rsidRPr="001B0949">
        <w:rPr>
          <w:rFonts w:ascii="Arial" w:eastAsia="Times New Roman" w:hAnsi="Arial" w:cs="Arial"/>
          <w:i/>
          <w:iCs/>
          <w:color w:val="000000"/>
          <w:kern w:val="0"/>
          <w:lang w:eastAsia="en-GB"/>
          <w14:ligatures w14:val="none"/>
        </w:rPr>
        <w:t>Social Sciences,</w:t>
      </w:r>
      <w:r w:rsidRPr="001B0949">
        <w:rPr>
          <w:rFonts w:ascii="Arial" w:eastAsia="Times New Roman" w:hAnsi="Arial" w:cs="Arial"/>
          <w:color w:val="000000"/>
          <w:kern w:val="0"/>
          <w:lang w:eastAsia="en-GB"/>
          <w14:ligatures w14:val="none"/>
        </w:rPr>
        <w:t xml:space="preserve"> 7(2). Available at: https://doi.org/10.3390/socsci7020027 </w:t>
      </w:r>
    </w:p>
    <w:p w14:paraId="1E0C7C2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002D18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Banet-Weiser, S., Gill, R. and Rottenberg, C. (2019) ‘</w:t>
      </w:r>
      <w:proofErr w:type="spellStart"/>
      <w:r w:rsidRPr="001B0949">
        <w:rPr>
          <w:rFonts w:ascii="Arial" w:eastAsia="Times New Roman" w:hAnsi="Arial" w:cs="Arial"/>
          <w:color w:val="000000"/>
          <w:kern w:val="0"/>
          <w:lang w:eastAsia="en-GB"/>
          <w14:ligatures w14:val="none"/>
        </w:rPr>
        <w:t>Postfeminism</w:t>
      </w:r>
      <w:proofErr w:type="spellEnd"/>
      <w:r w:rsidRPr="001B0949">
        <w:rPr>
          <w:rFonts w:ascii="Arial" w:eastAsia="Times New Roman" w:hAnsi="Arial" w:cs="Arial"/>
          <w:color w:val="000000"/>
          <w:kern w:val="0"/>
          <w:lang w:eastAsia="en-GB"/>
          <w14:ligatures w14:val="none"/>
        </w:rPr>
        <w:t xml:space="preserve">, popular feminism and neoliberal feminism? Sarah Banet-Weiser, Rosalind Gill and Catherine Rottenberg in conversation’, </w:t>
      </w:r>
      <w:r w:rsidRPr="001B0949">
        <w:rPr>
          <w:rFonts w:ascii="Arial" w:eastAsia="Times New Roman" w:hAnsi="Arial" w:cs="Arial"/>
          <w:i/>
          <w:iCs/>
          <w:color w:val="000000"/>
          <w:kern w:val="0"/>
          <w:lang w:eastAsia="en-GB"/>
          <w14:ligatures w14:val="none"/>
        </w:rPr>
        <w:t xml:space="preserve">Feminist Theory, </w:t>
      </w:r>
      <w:r w:rsidRPr="001B0949">
        <w:rPr>
          <w:rFonts w:ascii="Arial" w:eastAsia="Times New Roman" w:hAnsi="Arial" w:cs="Arial"/>
          <w:color w:val="000000"/>
          <w:kern w:val="0"/>
          <w:lang w:eastAsia="en-GB"/>
          <w14:ligatures w14:val="none"/>
        </w:rPr>
        <w:t>21(1). Available at: https://doi.org/10.1177/1464700119842555 </w:t>
      </w:r>
    </w:p>
    <w:p w14:paraId="672D3C8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D78C78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Barker, V. (1997) ‘Definition and the Question of "Woman"’, </w:t>
      </w:r>
      <w:r w:rsidRPr="001B0949">
        <w:rPr>
          <w:rFonts w:ascii="Arial" w:eastAsia="Times New Roman" w:hAnsi="Arial" w:cs="Arial"/>
          <w:i/>
          <w:iCs/>
          <w:color w:val="000000"/>
          <w:kern w:val="0"/>
          <w:lang w:eastAsia="en-GB"/>
          <w14:ligatures w14:val="none"/>
        </w:rPr>
        <w:t>Hypatia</w:t>
      </w:r>
      <w:r w:rsidRPr="001B0949">
        <w:rPr>
          <w:rFonts w:ascii="Arial" w:eastAsia="Times New Roman" w:hAnsi="Arial" w:cs="Arial"/>
          <w:color w:val="000000"/>
          <w:kern w:val="0"/>
          <w:lang w:eastAsia="en-GB"/>
          <w14:ligatures w14:val="none"/>
        </w:rPr>
        <w:t>, 12(2), pp. 185-215. Available at: https://www.jstor.org/stable/3810477?seq=24 (Accessed: 21 March 2026).</w:t>
      </w:r>
    </w:p>
    <w:p w14:paraId="2D8AC1B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F3623C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Barnes, M.J. and Karim, S.M. (2025) ‘The Manosphere and Politics’, </w:t>
      </w:r>
      <w:r w:rsidRPr="001B0949">
        <w:rPr>
          <w:rFonts w:ascii="Arial" w:eastAsia="Times New Roman" w:hAnsi="Arial" w:cs="Arial"/>
          <w:i/>
          <w:iCs/>
          <w:color w:val="000000"/>
          <w:kern w:val="0"/>
          <w:lang w:eastAsia="en-GB"/>
          <w14:ligatures w14:val="none"/>
        </w:rPr>
        <w:t>Comparative Political Studies</w:t>
      </w:r>
      <w:r w:rsidRPr="001B0949">
        <w:rPr>
          <w:rFonts w:ascii="Arial" w:eastAsia="Times New Roman" w:hAnsi="Arial" w:cs="Arial"/>
          <w:color w:val="000000"/>
          <w:kern w:val="0"/>
          <w:lang w:eastAsia="en-GB"/>
          <w14:ligatures w14:val="none"/>
        </w:rPr>
        <w:t>, 59(1). Available at: https://doi.org/10.1177/00104140241312095 </w:t>
      </w:r>
    </w:p>
    <w:p w14:paraId="1B07802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9CB4EF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Baxandall, R. and Gordon, L. (2005) ‘Second-wave Feminism’, in. N.A. Hewitt (ed) </w:t>
      </w:r>
      <w:r w:rsidRPr="001B0949">
        <w:rPr>
          <w:rFonts w:ascii="Arial" w:eastAsia="Times New Roman" w:hAnsi="Arial" w:cs="Arial"/>
          <w:i/>
          <w:iCs/>
          <w:color w:val="000000"/>
          <w:kern w:val="0"/>
          <w:lang w:eastAsia="en-GB"/>
          <w14:ligatures w14:val="none"/>
        </w:rPr>
        <w:t>A Companion to American Women’s History.</w:t>
      </w:r>
      <w:r w:rsidRPr="001B0949">
        <w:rPr>
          <w:rFonts w:ascii="Arial" w:eastAsia="Times New Roman" w:hAnsi="Arial" w:cs="Arial"/>
          <w:color w:val="000000"/>
          <w:kern w:val="0"/>
          <w:lang w:eastAsia="en-GB"/>
          <w14:ligatures w14:val="none"/>
        </w:rPr>
        <w:t xml:space="preserve"> Blackwell Publishing, pp. 414-432. </w:t>
      </w:r>
    </w:p>
    <w:p w14:paraId="57A1904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C27F9B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BBC (2025) </w:t>
      </w:r>
      <w:r w:rsidRPr="001B0949">
        <w:rPr>
          <w:rFonts w:ascii="Arial" w:eastAsia="Times New Roman" w:hAnsi="Arial" w:cs="Arial"/>
          <w:i/>
          <w:iCs/>
          <w:color w:val="000000"/>
          <w:kern w:val="0"/>
          <w:lang w:eastAsia="en-GB"/>
          <w14:ligatures w14:val="none"/>
        </w:rPr>
        <w:t xml:space="preserve">UK Supreme Court rules legal definition of a woman is based on biological sex. </w:t>
      </w:r>
      <w:r w:rsidRPr="001B0949">
        <w:rPr>
          <w:rFonts w:ascii="Arial" w:eastAsia="Times New Roman" w:hAnsi="Arial" w:cs="Arial"/>
          <w:color w:val="000000"/>
          <w:kern w:val="0"/>
          <w:lang w:eastAsia="en-GB"/>
          <w14:ligatures w14:val="none"/>
        </w:rPr>
        <w:t>Available at: https://www.bbc.co.uk/news/live/cvgq9ejql39t (Accessed: 21 March 2026).</w:t>
      </w:r>
    </w:p>
    <w:p w14:paraId="54A47F4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5B2D86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Beech, M. (2015) ‘The Ideology of the Coalition: More Liberal than Conservative’, in. M. Beech and S. Lee (eds) </w:t>
      </w:r>
      <w:r w:rsidRPr="001B0949">
        <w:rPr>
          <w:rFonts w:ascii="Arial" w:eastAsia="Times New Roman" w:hAnsi="Arial" w:cs="Arial"/>
          <w:i/>
          <w:iCs/>
          <w:color w:val="000000"/>
          <w:kern w:val="0"/>
          <w:lang w:eastAsia="en-GB"/>
          <w14:ligatures w14:val="none"/>
        </w:rPr>
        <w:t>The Conservative-Liberal Coalition</w:t>
      </w:r>
      <w:r w:rsidRPr="001B0949">
        <w:rPr>
          <w:rFonts w:ascii="Arial" w:eastAsia="Times New Roman" w:hAnsi="Arial" w:cs="Arial"/>
          <w:color w:val="000000"/>
          <w:kern w:val="0"/>
          <w:lang w:eastAsia="en-GB"/>
          <w14:ligatures w14:val="none"/>
        </w:rPr>
        <w:t>. Palgrave Macmillan, pp. 1-15. </w:t>
      </w:r>
    </w:p>
    <w:p w14:paraId="7925921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1620A3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Beland, D. (2010) </w:t>
      </w:r>
      <w:r w:rsidRPr="001B0949">
        <w:rPr>
          <w:rFonts w:ascii="Arial" w:eastAsia="Times New Roman" w:hAnsi="Arial" w:cs="Arial"/>
          <w:i/>
          <w:iCs/>
          <w:color w:val="000000"/>
          <w:kern w:val="0"/>
          <w:lang w:eastAsia="en-GB"/>
          <w14:ligatures w14:val="none"/>
        </w:rPr>
        <w:t xml:space="preserve">What is Social </w:t>
      </w:r>
      <w:proofErr w:type="gramStart"/>
      <w:r w:rsidRPr="001B0949">
        <w:rPr>
          <w:rFonts w:ascii="Arial" w:eastAsia="Times New Roman" w:hAnsi="Arial" w:cs="Arial"/>
          <w:i/>
          <w:iCs/>
          <w:color w:val="000000"/>
          <w:kern w:val="0"/>
          <w:lang w:eastAsia="en-GB"/>
          <w14:ligatures w14:val="none"/>
        </w:rPr>
        <w:t>Policy?:</w:t>
      </w:r>
      <w:proofErr w:type="gramEnd"/>
      <w:r w:rsidRPr="001B0949">
        <w:rPr>
          <w:rFonts w:ascii="Arial" w:eastAsia="Times New Roman" w:hAnsi="Arial" w:cs="Arial"/>
          <w:i/>
          <w:iCs/>
          <w:color w:val="000000"/>
          <w:kern w:val="0"/>
          <w:lang w:eastAsia="en-GB"/>
          <w14:ligatures w14:val="none"/>
        </w:rPr>
        <w:t xml:space="preserve"> Understanding the Welfare State.</w:t>
      </w:r>
      <w:r w:rsidRPr="001B0949">
        <w:rPr>
          <w:rFonts w:ascii="Arial" w:eastAsia="Times New Roman" w:hAnsi="Arial" w:cs="Arial"/>
          <w:color w:val="000000"/>
          <w:kern w:val="0"/>
          <w:lang w:eastAsia="en-GB"/>
          <w14:ligatures w14:val="none"/>
        </w:rPr>
        <w:t xml:space="preserve"> Polity Press. </w:t>
      </w:r>
    </w:p>
    <w:p w14:paraId="192ED10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41696D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Bem, S.L. (1983) ‘Gender Schema Theory and Its Implications for Child Development: Raising Gender-</w:t>
      </w:r>
      <w:proofErr w:type="spellStart"/>
      <w:r w:rsidRPr="001B0949">
        <w:rPr>
          <w:rFonts w:ascii="Arial" w:eastAsia="Times New Roman" w:hAnsi="Arial" w:cs="Arial"/>
          <w:color w:val="000000"/>
          <w:kern w:val="0"/>
          <w:lang w:eastAsia="en-GB"/>
          <w14:ligatures w14:val="none"/>
        </w:rPr>
        <w:t>Aschematic</w:t>
      </w:r>
      <w:proofErr w:type="spellEnd"/>
      <w:r w:rsidRPr="001B0949">
        <w:rPr>
          <w:rFonts w:ascii="Arial" w:eastAsia="Times New Roman" w:hAnsi="Arial" w:cs="Arial"/>
          <w:color w:val="000000"/>
          <w:kern w:val="0"/>
          <w:lang w:eastAsia="en-GB"/>
          <w14:ligatures w14:val="none"/>
        </w:rPr>
        <w:t xml:space="preserve"> Children in a Gender-Schematic Society’, </w:t>
      </w:r>
      <w:r w:rsidRPr="001B0949">
        <w:rPr>
          <w:rFonts w:ascii="Arial" w:eastAsia="Times New Roman" w:hAnsi="Arial" w:cs="Arial"/>
          <w:i/>
          <w:iCs/>
          <w:color w:val="000000"/>
          <w:kern w:val="0"/>
          <w:lang w:eastAsia="en-GB"/>
          <w14:ligatures w14:val="none"/>
        </w:rPr>
        <w:t>Signs,</w:t>
      </w:r>
      <w:r w:rsidRPr="001B0949">
        <w:rPr>
          <w:rFonts w:ascii="Arial" w:eastAsia="Times New Roman" w:hAnsi="Arial" w:cs="Arial"/>
          <w:color w:val="000000"/>
          <w:kern w:val="0"/>
          <w:lang w:eastAsia="en-GB"/>
          <w14:ligatures w14:val="none"/>
        </w:rPr>
        <w:t xml:space="preserve"> 8(4), pp. 598-616. Available at: https://www.jstor.org/stable/3173685 (Accessed: 21 March 2026).</w:t>
      </w:r>
    </w:p>
    <w:p w14:paraId="61A6B6D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53C20B8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Berkowitz, A.D. (2005) ‘An Overview of the Social Norms Approach’, in L.C. Lederman and L.P. Stewart (eds) </w:t>
      </w:r>
      <w:r w:rsidRPr="001B0949">
        <w:rPr>
          <w:rFonts w:ascii="Arial" w:eastAsia="Times New Roman" w:hAnsi="Arial" w:cs="Arial"/>
          <w:i/>
          <w:iCs/>
          <w:color w:val="000000"/>
          <w:kern w:val="0"/>
          <w:lang w:eastAsia="en-GB"/>
          <w14:ligatures w14:val="none"/>
        </w:rPr>
        <w:t xml:space="preserve">Changing the Culture of College Drinking: A Socially Situated Health Communication Campaign. </w:t>
      </w:r>
      <w:r w:rsidRPr="001B0949">
        <w:rPr>
          <w:rFonts w:ascii="Arial" w:eastAsia="Times New Roman" w:hAnsi="Arial" w:cs="Arial"/>
          <w:color w:val="000000"/>
          <w:kern w:val="0"/>
          <w:lang w:eastAsia="en-GB"/>
          <w14:ligatures w14:val="none"/>
        </w:rPr>
        <w:t>Hampton Press, pp. 193-214. </w:t>
      </w:r>
    </w:p>
    <w:p w14:paraId="56424D8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8A5396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lastRenderedPageBreak/>
        <w:t xml:space="preserve">Blakemore, K. and Warwick-Booth, L. (2013) </w:t>
      </w:r>
      <w:r w:rsidRPr="001B0949">
        <w:rPr>
          <w:rFonts w:ascii="Arial" w:eastAsia="Times New Roman" w:hAnsi="Arial" w:cs="Arial"/>
          <w:i/>
          <w:iCs/>
          <w:color w:val="000000"/>
          <w:kern w:val="0"/>
          <w:lang w:eastAsia="en-GB"/>
          <w14:ligatures w14:val="none"/>
        </w:rPr>
        <w:t>Social Policy: An Introduction.</w:t>
      </w:r>
      <w:r w:rsidRPr="001B0949">
        <w:rPr>
          <w:rFonts w:ascii="Arial" w:eastAsia="Times New Roman" w:hAnsi="Arial" w:cs="Arial"/>
          <w:color w:val="000000"/>
          <w:kern w:val="0"/>
          <w:lang w:eastAsia="en-GB"/>
          <w14:ligatures w14:val="none"/>
        </w:rPr>
        <w:t xml:space="preserve"> 4th edn. Open University Press.</w:t>
      </w:r>
    </w:p>
    <w:p w14:paraId="05987DA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6189FC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Bouton, M. and Lang, D. (2020) ‘1960’s: Bandura’, in. D. Lang (ed) </w:t>
      </w:r>
      <w:r w:rsidRPr="001B0949">
        <w:rPr>
          <w:rFonts w:ascii="Arial" w:eastAsia="Times New Roman" w:hAnsi="Arial" w:cs="Arial"/>
          <w:i/>
          <w:iCs/>
          <w:color w:val="000000"/>
          <w:kern w:val="0"/>
          <w:lang w:eastAsia="en-GB"/>
          <w14:ligatures w14:val="none"/>
        </w:rPr>
        <w:t xml:space="preserve">Parenting and Family Diversity Issues. </w:t>
      </w:r>
      <w:r w:rsidRPr="001B0949">
        <w:rPr>
          <w:rFonts w:ascii="Arial" w:eastAsia="Times New Roman" w:hAnsi="Arial" w:cs="Arial"/>
          <w:color w:val="000000"/>
          <w:kern w:val="0"/>
          <w:lang w:eastAsia="en-GB"/>
          <w14:ligatures w14:val="none"/>
        </w:rPr>
        <w:t>Iowa State University Digital Press, pp. 71-74. </w:t>
      </w:r>
    </w:p>
    <w:p w14:paraId="39B716D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FF35B9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Brussino, O. and McBrien, J. (2022) </w:t>
      </w:r>
      <w:r w:rsidRPr="001B0949">
        <w:rPr>
          <w:rFonts w:ascii="Arial" w:eastAsia="Times New Roman" w:hAnsi="Arial" w:cs="Arial"/>
          <w:i/>
          <w:iCs/>
          <w:color w:val="000000"/>
          <w:kern w:val="0"/>
          <w:lang w:eastAsia="en-GB"/>
          <w14:ligatures w14:val="none"/>
        </w:rPr>
        <w:t>Gender stereotypes in education: Policies and practices to address gender stereotyping across OECD education systems.</w:t>
      </w:r>
      <w:r w:rsidRPr="001B0949">
        <w:rPr>
          <w:rFonts w:ascii="Arial" w:eastAsia="Times New Roman" w:hAnsi="Arial" w:cs="Arial"/>
          <w:color w:val="000000"/>
          <w:kern w:val="0"/>
          <w:lang w:eastAsia="en-GB"/>
          <w14:ligatures w14:val="none"/>
        </w:rPr>
        <w:t xml:space="preserve"> Available at: https://one.oecd.org/document/EDU/WKP%282022%299/en/pdf (Accessed: 21 March 2026). </w:t>
      </w:r>
    </w:p>
    <w:p w14:paraId="760D9FD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3BB1D0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Budgeon, S. (2013) ‘The Dynamics of Gender Hegemony: Femininities, Masculinities and Social Change’, </w:t>
      </w:r>
      <w:r w:rsidRPr="001B0949">
        <w:rPr>
          <w:rFonts w:ascii="Arial" w:eastAsia="Times New Roman" w:hAnsi="Arial" w:cs="Arial"/>
          <w:i/>
          <w:iCs/>
          <w:color w:val="000000"/>
          <w:kern w:val="0"/>
          <w:lang w:eastAsia="en-GB"/>
          <w14:ligatures w14:val="none"/>
        </w:rPr>
        <w:t>Sociology,</w:t>
      </w:r>
      <w:r w:rsidRPr="001B0949">
        <w:rPr>
          <w:rFonts w:ascii="Arial" w:eastAsia="Times New Roman" w:hAnsi="Arial" w:cs="Arial"/>
          <w:color w:val="000000"/>
          <w:kern w:val="0"/>
          <w:lang w:eastAsia="en-GB"/>
          <w14:ligatures w14:val="none"/>
        </w:rPr>
        <w:t xml:space="preserve"> 48(2). Available at: https://doi.org/10.1177/0038038513490358 </w:t>
      </w:r>
    </w:p>
    <w:p w14:paraId="3C56836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5DFC77D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Campbell, R. and Erzeel, S. (2018) ‘Exploring Gender Differences in Support for Rightist Parties: The Role of Party and Gender Ideology’, </w:t>
      </w:r>
      <w:r w:rsidRPr="001B0949">
        <w:rPr>
          <w:rFonts w:ascii="Arial" w:eastAsia="Times New Roman" w:hAnsi="Arial" w:cs="Arial"/>
          <w:i/>
          <w:iCs/>
          <w:color w:val="000000"/>
          <w:kern w:val="0"/>
          <w:lang w:eastAsia="en-GB"/>
          <w14:ligatures w14:val="none"/>
        </w:rPr>
        <w:t>Politics &amp; Gender</w:t>
      </w:r>
      <w:r w:rsidRPr="001B0949">
        <w:rPr>
          <w:rFonts w:ascii="Arial" w:eastAsia="Times New Roman" w:hAnsi="Arial" w:cs="Arial"/>
          <w:color w:val="000000"/>
          <w:kern w:val="0"/>
          <w:lang w:eastAsia="en-GB"/>
          <w14:ligatures w14:val="none"/>
        </w:rPr>
        <w:t>, 14(1), pp. 80-105. Available at: https://doi.org/10.1017/S1743923X17000599 </w:t>
      </w:r>
    </w:p>
    <w:p w14:paraId="398E300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1ED5238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Carter, I. (2022) </w:t>
      </w:r>
      <w:r w:rsidRPr="001B0949">
        <w:rPr>
          <w:rFonts w:ascii="Arial" w:eastAsia="Times New Roman" w:hAnsi="Arial" w:cs="Arial"/>
          <w:i/>
          <w:iCs/>
          <w:color w:val="000000"/>
          <w:kern w:val="0"/>
          <w:lang w:eastAsia="en-GB"/>
          <w14:ligatures w14:val="none"/>
        </w:rPr>
        <w:t>Positive and Negative Liberty.</w:t>
      </w:r>
      <w:r w:rsidRPr="001B0949">
        <w:rPr>
          <w:rFonts w:ascii="Arial" w:eastAsia="Times New Roman" w:hAnsi="Arial" w:cs="Arial"/>
          <w:color w:val="000000"/>
          <w:kern w:val="0"/>
          <w:lang w:eastAsia="en-GB"/>
          <w14:ligatures w14:val="none"/>
        </w:rPr>
        <w:t xml:space="preserve"> Available at: https://plato.stanford.edu/cgi-bin/encyclopedia/archinfo.cgi?entry=liberty-positive-negative (Accessed: 19 March 2026). </w:t>
      </w:r>
    </w:p>
    <w:p w14:paraId="71BFF71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C76DE0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Cary, P. (2017) </w:t>
      </w:r>
      <w:r w:rsidRPr="001B0949">
        <w:rPr>
          <w:rFonts w:ascii="Arial" w:eastAsia="Times New Roman" w:hAnsi="Arial" w:cs="Arial"/>
          <w:i/>
          <w:iCs/>
          <w:color w:val="000000"/>
          <w:kern w:val="0"/>
          <w:lang w:eastAsia="en-GB"/>
          <w14:ligatures w14:val="none"/>
        </w:rPr>
        <w:t xml:space="preserve">Theresa May </w:t>
      </w:r>
      <w:proofErr w:type="gramStart"/>
      <w:r w:rsidRPr="001B0949">
        <w:rPr>
          <w:rFonts w:ascii="Arial" w:eastAsia="Times New Roman" w:hAnsi="Arial" w:cs="Arial"/>
          <w:i/>
          <w:iCs/>
          <w:color w:val="000000"/>
          <w:kern w:val="0"/>
          <w:lang w:eastAsia="en-GB"/>
          <w14:ligatures w14:val="none"/>
        </w:rPr>
        <w:t>says</w:t>
      </w:r>
      <w:proofErr w:type="gramEnd"/>
      <w:r w:rsidRPr="001B0949">
        <w:rPr>
          <w:rFonts w:ascii="Arial" w:eastAsia="Times New Roman" w:hAnsi="Arial" w:cs="Arial"/>
          <w:i/>
          <w:iCs/>
          <w:color w:val="000000"/>
          <w:kern w:val="0"/>
          <w:lang w:eastAsia="en-GB"/>
          <w14:ligatures w14:val="none"/>
        </w:rPr>
        <w:t xml:space="preserve"> 'being trans is not an illness' and pledges to reform Gender Recognition Act. </w:t>
      </w:r>
      <w:r w:rsidRPr="001B0949">
        <w:rPr>
          <w:rFonts w:ascii="Arial" w:eastAsia="Times New Roman" w:hAnsi="Arial" w:cs="Arial"/>
          <w:color w:val="000000"/>
          <w:kern w:val="0"/>
          <w:lang w:eastAsia="en-GB"/>
          <w14:ligatures w14:val="none"/>
        </w:rPr>
        <w:t>Available at: https://www.independent.co.uk/news/uk/politics/theresa-may-transgender-not-illness-gender-recognition-act-lgbt-rights-sex-edution-homophobia-pink-news-awards-a8008486.html (Accessed: 20 March 2026). </w:t>
      </w:r>
    </w:p>
    <w:p w14:paraId="2731C1F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AEBC6F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CIPD (2025) </w:t>
      </w:r>
      <w:r w:rsidRPr="001B0949">
        <w:rPr>
          <w:rFonts w:ascii="Arial" w:eastAsia="Times New Roman" w:hAnsi="Arial" w:cs="Arial"/>
          <w:i/>
          <w:iCs/>
          <w:color w:val="000000"/>
          <w:kern w:val="0"/>
          <w:lang w:eastAsia="en-GB"/>
          <w14:ligatures w14:val="none"/>
        </w:rPr>
        <w:t>Briefing | Supreme Court clarifies definition of “sex” in Equality Act</w:t>
      </w:r>
      <w:r w:rsidRPr="001B0949">
        <w:rPr>
          <w:rFonts w:ascii="Arial" w:eastAsia="Times New Roman" w:hAnsi="Arial" w:cs="Arial"/>
          <w:color w:val="000000"/>
          <w:kern w:val="0"/>
          <w:lang w:eastAsia="en-GB"/>
          <w14:ligatures w14:val="none"/>
        </w:rPr>
        <w:t>. Available at: https://www.cipd.org/uk/views-and-insights/thought-leadership/insight/definition-sex-equality-act/ (Accessed: 19 March 2026).</w:t>
      </w:r>
    </w:p>
    <w:p w14:paraId="023D23E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E97793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Cleghorn, E. (2022) </w:t>
      </w:r>
      <w:r w:rsidRPr="001B0949">
        <w:rPr>
          <w:rFonts w:ascii="Arial" w:eastAsia="Times New Roman" w:hAnsi="Arial" w:cs="Arial"/>
          <w:i/>
          <w:iCs/>
          <w:color w:val="000000"/>
          <w:kern w:val="0"/>
          <w:lang w:eastAsia="en-GB"/>
          <w14:ligatures w14:val="none"/>
        </w:rPr>
        <w:t>Unwell Women: A Journey Through Medicine and Myth in a Man-Made World.</w:t>
      </w:r>
      <w:r w:rsidRPr="001B0949">
        <w:rPr>
          <w:rFonts w:ascii="Arial" w:eastAsia="Times New Roman" w:hAnsi="Arial" w:cs="Arial"/>
          <w:color w:val="000000"/>
          <w:kern w:val="0"/>
          <w:lang w:eastAsia="en-GB"/>
          <w14:ligatures w14:val="none"/>
        </w:rPr>
        <w:t xml:space="preserve"> (2nd edn). Weidenfeld and Nicolson.</w:t>
      </w:r>
    </w:p>
    <w:p w14:paraId="1412D99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232BB9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Conway, L.G., Chan, L. and Woodard, S.R. (2020) ‘Socio-ecological influences on political ideology’, </w:t>
      </w:r>
      <w:r w:rsidRPr="001B0949">
        <w:rPr>
          <w:rFonts w:ascii="Arial" w:eastAsia="Times New Roman" w:hAnsi="Arial" w:cs="Arial"/>
          <w:i/>
          <w:iCs/>
          <w:color w:val="000000"/>
          <w:kern w:val="0"/>
          <w:lang w:eastAsia="en-GB"/>
          <w14:ligatures w14:val="none"/>
        </w:rPr>
        <w:t>Current Opinion in Psychology,</w:t>
      </w:r>
      <w:r w:rsidRPr="001B0949">
        <w:rPr>
          <w:rFonts w:ascii="Arial" w:eastAsia="Times New Roman" w:hAnsi="Arial" w:cs="Arial"/>
          <w:color w:val="000000"/>
          <w:kern w:val="0"/>
          <w:lang w:eastAsia="en-GB"/>
          <w14:ligatures w14:val="none"/>
        </w:rPr>
        <w:t xml:space="preserve"> 32, pp. 76-80. Available at: https://doi.org/10.1016/j.copsyc.2019.06.034 </w:t>
      </w:r>
    </w:p>
    <w:p w14:paraId="5F53771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00D2C3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Czarnek, G., Szwed, P. and Kossowska, M. (2018) ‘Right- and left-wing prejudice toward dissimilar groups in cultural and economic domains’, </w:t>
      </w:r>
      <w:r w:rsidRPr="001B0949">
        <w:rPr>
          <w:rFonts w:ascii="Arial" w:eastAsia="Times New Roman" w:hAnsi="Arial" w:cs="Arial"/>
          <w:i/>
          <w:iCs/>
          <w:color w:val="000000"/>
          <w:kern w:val="0"/>
          <w:lang w:eastAsia="en-GB"/>
          <w14:ligatures w14:val="none"/>
        </w:rPr>
        <w:t>European Journal of Social Psychology</w:t>
      </w:r>
      <w:r w:rsidRPr="001B0949">
        <w:rPr>
          <w:rFonts w:ascii="Arial" w:eastAsia="Times New Roman" w:hAnsi="Arial" w:cs="Arial"/>
          <w:color w:val="000000"/>
          <w:kern w:val="0"/>
          <w:lang w:eastAsia="en-GB"/>
          <w14:ligatures w14:val="none"/>
        </w:rPr>
        <w:t>, 49(4), pp. 807-823. Available at: https://doi.org/10.1002/ejsp.2548 </w:t>
      </w:r>
    </w:p>
    <w:p w14:paraId="3464FE1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173706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De Loof, H., </w:t>
      </w:r>
      <w:proofErr w:type="spellStart"/>
      <w:r w:rsidRPr="001B0949">
        <w:rPr>
          <w:rFonts w:ascii="Arial" w:eastAsia="Times New Roman" w:hAnsi="Arial" w:cs="Arial"/>
          <w:color w:val="000000"/>
          <w:kern w:val="0"/>
          <w:lang w:eastAsia="en-GB"/>
          <w14:ligatures w14:val="none"/>
        </w:rPr>
        <w:t>Struyf</w:t>
      </w:r>
      <w:proofErr w:type="spellEnd"/>
      <w:r w:rsidRPr="001B0949">
        <w:rPr>
          <w:rFonts w:ascii="Arial" w:eastAsia="Times New Roman" w:hAnsi="Arial" w:cs="Arial"/>
          <w:color w:val="000000"/>
          <w:kern w:val="0"/>
          <w:lang w:eastAsia="en-GB"/>
          <w14:ligatures w14:val="none"/>
        </w:rPr>
        <w:t xml:space="preserve">, A., Pauw, J.B-d. and </w:t>
      </w:r>
      <w:proofErr w:type="spellStart"/>
      <w:r w:rsidRPr="001B0949">
        <w:rPr>
          <w:rFonts w:ascii="Arial" w:eastAsia="Times New Roman" w:hAnsi="Arial" w:cs="Arial"/>
          <w:color w:val="000000"/>
          <w:kern w:val="0"/>
          <w:lang w:eastAsia="en-GB"/>
          <w14:ligatures w14:val="none"/>
        </w:rPr>
        <w:t>Petegem</w:t>
      </w:r>
      <w:proofErr w:type="spellEnd"/>
      <w:r w:rsidRPr="001B0949">
        <w:rPr>
          <w:rFonts w:ascii="Arial" w:eastAsia="Times New Roman" w:hAnsi="Arial" w:cs="Arial"/>
          <w:color w:val="000000"/>
          <w:kern w:val="0"/>
          <w:lang w:eastAsia="en-GB"/>
          <w14:ligatures w14:val="none"/>
        </w:rPr>
        <w:t xml:space="preserve">, P.V. (2021) ‘Teachers’ Motivating Style and Students’ Motivation and Engagement in STEM: the Relationship Between Three Key Educational Concepts’, </w:t>
      </w:r>
      <w:r w:rsidRPr="001B0949">
        <w:rPr>
          <w:rFonts w:ascii="Arial" w:eastAsia="Times New Roman" w:hAnsi="Arial" w:cs="Arial"/>
          <w:i/>
          <w:iCs/>
          <w:color w:val="000000"/>
          <w:kern w:val="0"/>
          <w:lang w:eastAsia="en-GB"/>
          <w14:ligatures w14:val="none"/>
        </w:rPr>
        <w:t>Research in Science Education,</w:t>
      </w:r>
      <w:r w:rsidRPr="001B0949">
        <w:rPr>
          <w:rFonts w:ascii="Arial" w:eastAsia="Times New Roman" w:hAnsi="Arial" w:cs="Arial"/>
          <w:color w:val="000000"/>
          <w:kern w:val="0"/>
          <w:lang w:eastAsia="en-GB"/>
          <w14:ligatures w14:val="none"/>
        </w:rPr>
        <w:t xml:space="preserve"> 51, pp 109-127. Available at: https://doi.org/10.1007/s11165-019-9830-3 </w:t>
      </w:r>
    </w:p>
    <w:p w14:paraId="64AACE1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7B04F0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lastRenderedPageBreak/>
        <w:t xml:space="preserve">Dannals, J.E. and Li, Y. (2024) ‘A theoretical framework for social norm perception’, </w:t>
      </w:r>
      <w:r w:rsidRPr="001B0949">
        <w:rPr>
          <w:rFonts w:ascii="Arial" w:eastAsia="Times New Roman" w:hAnsi="Arial" w:cs="Arial"/>
          <w:i/>
          <w:iCs/>
          <w:color w:val="000000"/>
          <w:kern w:val="0"/>
          <w:lang w:eastAsia="en-GB"/>
          <w14:ligatures w14:val="none"/>
        </w:rPr>
        <w:t xml:space="preserve">Research on Organizational Behaviour, </w:t>
      </w:r>
      <w:r w:rsidRPr="001B0949">
        <w:rPr>
          <w:rFonts w:ascii="Arial" w:eastAsia="Times New Roman" w:hAnsi="Arial" w:cs="Arial"/>
          <w:color w:val="000000"/>
          <w:kern w:val="0"/>
          <w:lang w:eastAsia="en-GB"/>
          <w14:ligatures w14:val="none"/>
        </w:rPr>
        <w:t>44 (December) article 100211. Available at: https://doi.org/10.1016/j.riob.2024.100211 </w:t>
      </w:r>
    </w:p>
    <w:p w14:paraId="11D5564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05BB03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Donovan, C., </w:t>
      </w:r>
      <w:proofErr w:type="spellStart"/>
      <w:r w:rsidRPr="001B0949">
        <w:rPr>
          <w:rFonts w:ascii="Arial" w:eastAsia="Times New Roman" w:hAnsi="Arial" w:cs="Arial"/>
          <w:color w:val="000000"/>
          <w:kern w:val="0"/>
          <w:lang w:eastAsia="en-GB"/>
          <w14:ligatures w14:val="none"/>
        </w:rPr>
        <w:t>Gangoli</w:t>
      </w:r>
      <w:proofErr w:type="spellEnd"/>
      <w:r w:rsidRPr="001B0949">
        <w:rPr>
          <w:rFonts w:ascii="Arial" w:eastAsia="Times New Roman" w:hAnsi="Arial" w:cs="Arial"/>
          <w:color w:val="000000"/>
          <w:kern w:val="0"/>
          <w:lang w:eastAsia="en-GB"/>
          <w14:ligatures w14:val="none"/>
        </w:rPr>
        <w:t xml:space="preserve">, G., King, H. and Dutt, A. (2023) ‘Understanding gender and sexuality: The hidden curriculum in English schools’, </w:t>
      </w:r>
      <w:r w:rsidRPr="001B0949">
        <w:rPr>
          <w:rFonts w:ascii="Arial" w:eastAsia="Times New Roman" w:hAnsi="Arial" w:cs="Arial"/>
          <w:i/>
          <w:iCs/>
          <w:color w:val="000000"/>
          <w:kern w:val="0"/>
          <w:lang w:eastAsia="en-GB"/>
          <w14:ligatures w14:val="none"/>
        </w:rPr>
        <w:t>Review of Education</w:t>
      </w:r>
      <w:r w:rsidRPr="001B0949">
        <w:rPr>
          <w:rFonts w:ascii="Arial" w:eastAsia="Times New Roman" w:hAnsi="Arial" w:cs="Arial"/>
          <w:color w:val="000000"/>
          <w:kern w:val="0"/>
          <w:lang w:eastAsia="en-GB"/>
          <w14:ligatures w14:val="none"/>
        </w:rPr>
        <w:t>, 11(3). Available at: https://doi.org/10.1002/rev3.3440 </w:t>
      </w:r>
    </w:p>
    <w:p w14:paraId="18851B2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57099B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Dorey, P. (2007) ‘A New Direction or Another False Dawn? David Cameron and the Crisis of British Conservatism’, </w:t>
      </w:r>
      <w:r w:rsidRPr="001B0949">
        <w:rPr>
          <w:rFonts w:ascii="Arial" w:eastAsia="Times New Roman" w:hAnsi="Arial" w:cs="Arial"/>
          <w:i/>
          <w:iCs/>
          <w:color w:val="000000"/>
          <w:kern w:val="0"/>
          <w:lang w:eastAsia="en-GB"/>
          <w14:ligatures w14:val="none"/>
        </w:rPr>
        <w:t>British Politics</w:t>
      </w:r>
      <w:r w:rsidRPr="001B0949">
        <w:rPr>
          <w:rFonts w:ascii="Arial" w:eastAsia="Times New Roman" w:hAnsi="Arial" w:cs="Arial"/>
          <w:color w:val="000000"/>
          <w:kern w:val="0"/>
          <w:lang w:eastAsia="en-GB"/>
          <w14:ligatures w14:val="none"/>
        </w:rPr>
        <w:t>, 2, pp. 137-166. Available at: https://doi.org/10.1057/palgrave.bp.4200051 </w:t>
      </w:r>
    </w:p>
    <w:p w14:paraId="0BC4D6F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1976CBD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Emilson, A., Folkesson, A-M. and Lindberg, I.M. (2016) ‘Gender Beliefs and Embedded Gendered Values in Preschool’,</w:t>
      </w:r>
      <w:r w:rsidRPr="001B0949">
        <w:rPr>
          <w:rFonts w:ascii="Arial" w:eastAsia="Times New Roman" w:hAnsi="Arial" w:cs="Arial"/>
          <w:i/>
          <w:iCs/>
          <w:color w:val="000000"/>
          <w:kern w:val="0"/>
          <w:lang w:eastAsia="en-GB"/>
          <w14:ligatures w14:val="none"/>
        </w:rPr>
        <w:t xml:space="preserve"> International Journal of Early Childhood</w:t>
      </w:r>
      <w:r w:rsidRPr="001B0949">
        <w:rPr>
          <w:rFonts w:ascii="Arial" w:eastAsia="Times New Roman" w:hAnsi="Arial" w:cs="Arial"/>
          <w:color w:val="000000"/>
          <w:kern w:val="0"/>
          <w:lang w:eastAsia="en-GB"/>
          <w14:ligatures w14:val="none"/>
        </w:rPr>
        <w:t>, 48, pp. 225-240. Available at: https://doi.org/10.1007/s13158-016-0162-4</w:t>
      </w:r>
    </w:p>
    <w:p w14:paraId="7D77E83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C13E39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i/>
          <w:iCs/>
          <w:color w:val="000000"/>
          <w:kern w:val="0"/>
          <w:lang w:eastAsia="en-GB"/>
          <w14:ligatures w14:val="none"/>
        </w:rPr>
        <w:t xml:space="preserve">Employment Rights Act 2025, c. 36. </w:t>
      </w:r>
      <w:r w:rsidRPr="001B0949">
        <w:rPr>
          <w:rFonts w:ascii="Arial" w:eastAsia="Times New Roman" w:hAnsi="Arial" w:cs="Arial"/>
          <w:color w:val="000000"/>
          <w:kern w:val="0"/>
          <w:lang w:eastAsia="en-GB"/>
          <w14:ligatures w14:val="none"/>
        </w:rPr>
        <w:t>Available at: https://www.legislation.gov.uk/ukpga/2025/36/contents (Accessed: 19 March 2026). </w:t>
      </w:r>
    </w:p>
    <w:p w14:paraId="220EE37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038E3F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i/>
          <w:iCs/>
          <w:color w:val="000000"/>
          <w:kern w:val="0"/>
          <w:lang w:eastAsia="en-GB"/>
          <w14:ligatures w14:val="none"/>
        </w:rPr>
        <w:t xml:space="preserve">Equality Act 2010, c. 15. </w:t>
      </w:r>
      <w:r w:rsidRPr="001B0949">
        <w:rPr>
          <w:rFonts w:ascii="Arial" w:eastAsia="Times New Roman" w:hAnsi="Arial" w:cs="Arial"/>
          <w:color w:val="000000"/>
          <w:kern w:val="0"/>
          <w:lang w:eastAsia="en-GB"/>
          <w14:ligatures w14:val="none"/>
        </w:rPr>
        <w:t>Available at: https://www.legislation.gov.uk/ukpga/2010/15/contents (Accessed: 19 March 2026). </w:t>
      </w:r>
    </w:p>
    <w:p w14:paraId="118F044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6A3E77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Farrell, T., Fernandez, M., Novotny, J. and Alani, H. (2019) ‘Exploring Misogyny across the Manosphere in Reddit’, </w:t>
      </w:r>
      <w:proofErr w:type="spellStart"/>
      <w:r w:rsidRPr="001B0949">
        <w:rPr>
          <w:rFonts w:ascii="Arial" w:eastAsia="Times New Roman" w:hAnsi="Arial" w:cs="Arial"/>
          <w:i/>
          <w:iCs/>
          <w:color w:val="000000"/>
          <w:kern w:val="0"/>
          <w:lang w:eastAsia="en-GB"/>
          <w14:ligatures w14:val="none"/>
        </w:rPr>
        <w:t>WebSci</w:t>
      </w:r>
      <w:proofErr w:type="spellEnd"/>
      <w:r w:rsidRPr="001B0949">
        <w:rPr>
          <w:rFonts w:ascii="Arial" w:eastAsia="Times New Roman" w:hAnsi="Arial" w:cs="Arial"/>
          <w:i/>
          <w:iCs/>
          <w:color w:val="000000"/>
          <w:kern w:val="0"/>
          <w:lang w:eastAsia="en-GB"/>
          <w14:ligatures w14:val="none"/>
        </w:rPr>
        <w:t xml:space="preserve"> '19: Proceedings of the 10th ACM Conference on Web Science,</w:t>
      </w:r>
      <w:r w:rsidRPr="001B0949">
        <w:rPr>
          <w:rFonts w:ascii="Arial" w:eastAsia="Times New Roman" w:hAnsi="Arial" w:cs="Arial"/>
          <w:color w:val="000000"/>
          <w:kern w:val="0"/>
          <w:lang w:eastAsia="en-GB"/>
          <w14:ligatures w14:val="none"/>
        </w:rPr>
        <w:t xml:space="preserve"> pp. 87-96. Available at: https://doi.org/10.1145/3292522.3326045 </w:t>
      </w:r>
    </w:p>
    <w:p w14:paraId="48F2B71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2679DF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Fourie, C. (2012) ‘What is Social Equality? An Analysis of Status Equality as a Strongly Egalitarian Ideal’, </w:t>
      </w:r>
      <w:r w:rsidRPr="001B0949">
        <w:rPr>
          <w:rFonts w:ascii="Arial" w:eastAsia="Times New Roman" w:hAnsi="Arial" w:cs="Arial"/>
          <w:i/>
          <w:iCs/>
          <w:color w:val="000000"/>
          <w:kern w:val="0"/>
          <w:lang w:eastAsia="en-GB"/>
          <w14:ligatures w14:val="none"/>
        </w:rPr>
        <w:t>Res Publica</w:t>
      </w:r>
      <w:r w:rsidRPr="001B0949">
        <w:rPr>
          <w:rFonts w:ascii="Arial" w:eastAsia="Times New Roman" w:hAnsi="Arial" w:cs="Arial"/>
          <w:color w:val="000000"/>
          <w:kern w:val="0"/>
          <w:lang w:eastAsia="en-GB"/>
          <w14:ligatures w14:val="none"/>
        </w:rPr>
        <w:t>, 18, pp. 107-126. Available at: https://doi.org/10.1007/s11158-011-9162-2 </w:t>
      </w:r>
    </w:p>
    <w:p w14:paraId="7C22E82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23257C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Freeden, M. (2009) ‘Editorial: What fails in ideologies?’, </w:t>
      </w:r>
      <w:r w:rsidRPr="001B0949">
        <w:rPr>
          <w:rFonts w:ascii="Arial" w:eastAsia="Times New Roman" w:hAnsi="Arial" w:cs="Arial"/>
          <w:i/>
          <w:iCs/>
          <w:color w:val="000000"/>
          <w:kern w:val="0"/>
          <w:lang w:eastAsia="en-GB"/>
          <w14:ligatures w14:val="none"/>
        </w:rPr>
        <w:t xml:space="preserve">Journal of Political Ideologies, </w:t>
      </w:r>
      <w:r w:rsidRPr="001B0949">
        <w:rPr>
          <w:rFonts w:ascii="Arial" w:eastAsia="Times New Roman" w:hAnsi="Arial" w:cs="Arial"/>
          <w:color w:val="000000"/>
          <w:kern w:val="0"/>
          <w:lang w:eastAsia="en-GB"/>
          <w14:ligatures w14:val="none"/>
        </w:rPr>
        <w:t>14(1), pp. 1-9. Available at: https://doi.org/10.1080/13569310802655943 </w:t>
      </w:r>
    </w:p>
    <w:p w14:paraId="405E14C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4500BE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Gagnon, J-P., Beausoleil, E., Son, K-M., Arguelles, C., Chalaye, P. and Johnston, C.N. (2018) ‘What is Populism? Who is the Populist?’, </w:t>
      </w:r>
      <w:r w:rsidRPr="001B0949">
        <w:rPr>
          <w:rFonts w:ascii="Arial" w:eastAsia="Times New Roman" w:hAnsi="Arial" w:cs="Arial"/>
          <w:i/>
          <w:iCs/>
          <w:color w:val="000000"/>
          <w:kern w:val="0"/>
          <w:lang w:eastAsia="en-GB"/>
          <w14:ligatures w14:val="none"/>
        </w:rPr>
        <w:t>Democratic Theory</w:t>
      </w:r>
      <w:r w:rsidRPr="001B0949">
        <w:rPr>
          <w:rFonts w:ascii="Arial" w:eastAsia="Times New Roman" w:hAnsi="Arial" w:cs="Arial"/>
          <w:color w:val="000000"/>
          <w:kern w:val="0"/>
          <w:lang w:eastAsia="en-GB"/>
          <w14:ligatures w14:val="none"/>
        </w:rPr>
        <w:t>. Available at: https://doi.org/10.3167/dt.2018.050201 </w:t>
      </w:r>
    </w:p>
    <w:p w14:paraId="3DE68A0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504AA71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Ging, D. (2017) ‘Alphas, Betas, and Incels: Theorizing the Masculinities of the Manosphere’, </w:t>
      </w:r>
      <w:r w:rsidRPr="001B0949">
        <w:rPr>
          <w:rFonts w:ascii="Arial" w:eastAsia="Times New Roman" w:hAnsi="Arial" w:cs="Arial"/>
          <w:i/>
          <w:iCs/>
          <w:color w:val="000000"/>
          <w:kern w:val="0"/>
          <w:lang w:eastAsia="en-GB"/>
          <w14:ligatures w14:val="none"/>
        </w:rPr>
        <w:t>Men and Masculinities</w:t>
      </w:r>
      <w:r w:rsidRPr="001B0949">
        <w:rPr>
          <w:rFonts w:ascii="Arial" w:eastAsia="Times New Roman" w:hAnsi="Arial" w:cs="Arial"/>
          <w:color w:val="000000"/>
          <w:kern w:val="0"/>
          <w:lang w:eastAsia="en-GB"/>
          <w14:ligatures w14:val="none"/>
        </w:rPr>
        <w:t>, 22(4). Available at: https://doi.org/10.1177/1097184X17706401 </w:t>
      </w:r>
    </w:p>
    <w:p w14:paraId="5AF8975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DD3903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González-Pérez, S., de Cabo, R.M. and Sáinz, M. (2020) ‘Girls in STEM: Is It a Female Role-Model Thing?’, </w:t>
      </w:r>
      <w:r w:rsidRPr="001B0949">
        <w:rPr>
          <w:rFonts w:ascii="Arial" w:eastAsia="Times New Roman" w:hAnsi="Arial" w:cs="Arial"/>
          <w:i/>
          <w:iCs/>
          <w:color w:val="000000"/>
          <w:kern w:val="0"/>
          <w:lang w:eastAsia="en-GB"/>
          <w14:ligatures w14:val="none"/>
        </w:rPr>
        <w:t>Frontiers in Psychology,</w:t>
      </w:r>
      <w:r w:rsidRPr="001B0949">
        <w:rPr>
          <w:rFonts w:ascii="Arial" w:eastAsia="Times New Roman" w:hAnsi="Arial" w:cs="Arial"/>
          <w:color w:val="000000"/>
          <w:kern w:val="0"/>
          <w:lang w:eastAsia="en-GB"/>
          <w14:ligatures w14:val="none"/>
        </w:rPr>
        <w:t xml:space="preserve"> 11. Available at: https://doi.org/10.3389/fpsyg.2020.02204 </w:t>
      </w:r>
    </w:p>
    <w:p w14:paraId="085182F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A1A6C3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Gosling, J. (2018) ‘Gender Fluidity Reflected in Contemporary Society’, </w:t>
      </w:r>
      <w:r w:rsidRPr="001B0949">
        <w:rPr>
          <w:rFonts w:ascii="Arial" w:eastAsia="Times New Roman" w:hAnsi="Arial" w:cs="Arial"/>
          <w:i/>
          <w:iCs/>
          <w:color w:val="000000"/>
          <w:kern w:val="0"/>
          <w:lang w:eastAsia="en-GB"/>
          <w14:ligatures w14:val="none"/>
        </w:rPr>
        <w:t>Jung Journal</w:t>
      </w:r>
      <w:r w:rsidRPr="001B0949">
        <w:rPr>
          <w:rFonts w:ascii="Arial" w:eastAsia="Times New Roman" w:hAnsi="Arial" w:cs="Arial"/>
          <w:color w:val="000000"/>
          <w:kern w:val="0"/>
          <w:lang w:eastAsia="en-GB"/>
          <w14:ligatures w14:val="none"/>
        </w:rPr>
        <w:t>, 12(3), pp. 75-79. Available at: https://doi.org/10.1080/19342039.2018.1479080 </w:t>
      </w:r>
    </w:p>
    <w:p w14:paraId="22B73B9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A7540F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lastRenderedPageBreak/>
        <w:t xml:space="preserve">Government Equalities Office (2019) </w:t>
      </w:r>
      <w:r w:rsidRPr="001B0949">
        <w:rPr>
          <w:rFonts w:ascii="Arial" w:eastAsia="Times New Roman" w:hAnsi="Arial" w:cs="Arial"/>
          <w:i/>
          <w:iCs/>
          <w:color w:val="000000"/>
          <w:kern w:val="0"/>
          <w:lang w:eastAsia="en-GB"/>
          <w14:ligatures w14:val="none"/>
        </w:rPr>
        <w:t xml:space="preserve">Gender equality at every stage: a roadmap for change. </w:t>
      </w:r>
      <w:r w:rsidRPr="001B0949">
        <w:rPr>
          <w:rFonts w:ascii="Arial" w:eastAsia="Times New Roman" w:hAnsi="Arial" w:cs="Arial"/>
          <w:color w:val="000000"/>
          <w:kern w:val="0"/>
          <w:lang w:eastAsia="en-GB"/>
          <w14:ligatures w14:val="none"/>
        </w:rPr>
        <w:t>Available at: https://www.gov.uk/government/publications/gender-equality-at-every-stage-a-roadmap-for-change (Accessed: 16 March 2026). </w:t>
      </w:r>
    </w:p>
    <w:p w14:paraId="2F49C69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C53F1D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Grunow, D., Begall, K. and Buchler, S. (2018) ‘Gender Ideologies in Europe: A Multidimensional Framework’, </w:t>
      </w:r>
      <w:r w:rsidRPr="001B0949">
        <w:rPr>
          <w:rFonts w:ascii="Arial" w:eastAsia="Times New Roman" w:hAnsi="Arial" w:cs="Arial"/>
          <w:i/>
          <w:iCs/>
          <w:color w:val="000000"/>
          <w:kern w:val="0"/>
          <w:lang w:eastAsia="en-GB"/>
          <w14:ligatures w14:val="none"/>
        </w:rPr>
        <w:t>Journal of Marriage and Family</w:t>
      </w:r>
      <w:r w:rsidRPr="001B0949">
        <w:rPr>
          <w:rFonts w:ascii="Arial" w:eastAsia="Times New Roman" w:hAnsi="Arial" w:cs="Arial"/>
          <w:color w:val="000000"/>
          <w:kern w:val="0"/>
          <w:lang w:eastAsia="en-GB"/>
          <w14:ligatures w14:val="none"/>
        </w:rPr>
        <w:t>, 80(1), pp. 42-60. Available at: https://doi.org/10.1111%2Fjomf.12453 </w:t>
      </w:r>
    </w:p>
    <w:p w14:paraId="7B72537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BF8240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Heilbronner, N.N. (2012) ‘The STEM Pathway for Women: What Has Changed?’, </w:t>
      </w:r>
      <w:r w:rsidRPr="001B0949">
        <w:rPr>
          <w:rFonts w:ascii="Arial" w:eastAsia="Times New Roman" w:hAnsi="Arial" w:cs="Arial"/>
          <w:i/>
          <w:iCs/>
          <w:color w:val="000000"/>
          <w:kern w:val="0"/>
          <w:lang w:eastAsia="en-GB"/>
          <w14:ligatures w14:val="none"/>
        </w:rPr>
        <w:t>Gifted Child Quarterly,</w:t>
      </w:r>
      <w:r w:rsidRPr="001B0949">
        <w:rPr>
          <w:rFonts w:ascii="Arial" w:eastAsia="Times New Roman" w:hAnsi="Arial" w:cs="Arial"/>
          <w:color w:val="000000"/>
          <w:kern w:val="0"/>
          <w:lang w:eastAsia="en-GB"/>
          <w14:ligatures w14:val="none"/>
        </w:rPr>
        <w:t xml:space="preserve"> 57(1). Available at: https://doi.org/10.1177/0016986212460085 </w:t>
      </w:r>
    </w:p>
    <w:p w14:paraId="298B759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629FEB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Hewitt, M. (1998) ‘Social Policy and Human Need’, in. N. Ellison and C. Pierson (eds) </w:t>
      </w:r>
      <w:r w:rsidRPr="001B0949">
        <w:rPr>
          <w:rFonts w:ascii="Arial" w:eastAsia="Times New Roman" w:hAnsi="Arial" w:cs="Arial"/>
          <w:i/>
          <w:iCs/>
          <w:color w:val="000000"/>
          <w:kern w:val="0"/>
          <w:lang w:eastAsia="en-GB"/>
          <w14:ligatures w14:val="none"/>
        </w:rPr>
        <w:t xml:space="preserve">Developments in British Social Policy. </w:t>
      </w:r>
      <w:r w:rsidRPr="001B0949">
        <w:rPr>
          <w:rFonts w:ascii="Arial" w:eastAsia="Times New Roman" w:hAnsi="Arial" w:cs="Arial"/>
          <w:color w:val="000000"/>
          <w:kern w:val="0"/>
          <w:lang w:eastAsia="en-GB"/>
          <w14:ligatures w14:val="none"/>
        </w:rPr>
        <w:t>Palgrave, pp. 61-77. </w:t>
      </w:r>
    </w:p>
    <w:p w14:paraId="741E61F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CA026C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Hill, M. (2019) </w:t>
      </w:r>
      <w:r w:rsidRPr="001B0949">
        <w:rPr>
          <w:rFonts w:ascii="Arial" w:eastAsia="Times New Roman" w:hAnsi="Arial" w:cs="Arial"/>
          <w:i/>
          <w:iCs/>
          <w:color w:val="000000"/>
          <w:kern w:val="0"/>
          <w:lang w:eastAsia="en-GB"/>
          <w14:ligatures w14:val="none"/>
        </w:rPr>
        <w:t>Period Power: Harness Your Hormones and Get Your Cycle Working For You.</w:t>
      </w:r>
      <w:r w:rsidRPr="001B0949">
        <w:rPr>
          <w:rFonts w:ascii="Arial" w:eastAsia="Times New Roman" w:hAnsi="Arial" w:cs="Arial"/>
          <w:color w:val="000000"/>
          <w:kern w:val="0"/>
          <w:lang w:eastAsia="en-GB"/>
          <w14:ligatures w14:val="none"/>
        </w:rPr>
        <w:t xml:space="preserve"> Green Tree.  </w:t>
      </w:r>
    </w:p>
    <w:p w14:paraId="36FB899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ADB1B2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House of Commons (2014) </w:t>
      </w:r>
      <w:r w:rsidRPr="001B0949">
        <w:rPr>
          <w:rFonts w:ascii="Arial" w:eastAsia="Times New Roman" w:hAnsi="Arial" w:cs="Arial"/>
          <w:i/>
          <w:iCs/>
          <w:color w:val="000000"/>
          <w:kern w:val="0"/>
          <w:lang w:eastAsia="en-GB"/>
          <w14:ligatures w14:val="none"/>
        </w:rPr>
        <w:t>Women in scientific careers.</w:t>
      </w:r>
      <w:r w:rsidRPr="001B0949">
        <w:rPr>
          <w:rFonts w:ascii="Arial" w:eastAsia="Times New Roman" w:hAnsi="Arial" w:cs="Arial"/>
          <w:color w:val="000000"/>
          <w:kern w:val="0"/>
          <w:lang w:eastAsia="en-GB"/>
          <w14:ligatures w14:val="none"/>
        </w:rPr>
        <w:t xml:space="preserve"> Available at: https://publications.parliament.uk/pa/cm201314/cmselect/cmsctech/701/701.pdf (Accessed: 21 March 2026). </w:t>
      </w:r>
    </w:p>
    <w:p w14:paraId="72ADC68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FA6837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House of Commons (2025) Supreme Court judgment on the meaning of “sex” in the Equality Act 2010: For Women Scotland. Available at: https://commonslibrary.parliament.uk/research-briefings/cbp-10259/ (Accessed: 19 March 2026).</w:t>
      </w:r>
    </w:p>
    <w:p w14:paraId="020E0BE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FEC569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Huber, R.A. and Schimpf, C.H. (2017) ‘On the Distinct Effects of Left-Wing and Right-Wing Populism on Democratic Quality’, </w:t>
      </w:r>
      <w:r w:rsidRPr="001B0949">
        <w:rPr>
          <w:rFonts w:ascii="Arial" w:eastAsia="Times New Roman" w:hAnsi="Arial" w:cs="Arial"/>
          <w:i/>
          <w:iCs/>
          <w:color w:val="000000"/>
          <w:kern w:val="0"/>
          <w:lang w:eastAsia="en-GB"/>
          <w14:ligatures w14:val="none"/>
        </w:rPr>
        <w:t>Politics and Governance</w:t>
      </w:r>
      <w:r w:rsidRPr="001B0949">
        <w:rPr>
          <w:rFonts w:ascii="Arial" w:eastAsia="Times New Roman" w:hAnsi="Arial" w:cs="Arial"/>
          <w:color w:val="000000"/>
          <w:kern w:val="0"/>
          <w:lang w:eastAsia="en-GB"/>
          <w14:ligatures w14:val="none"/>
        </w:rPr>
        <w:t>, 5(4), pp. 146-165. Available at: https://doi.org/10.17645/pag.v5i4.919 </w:t>
      </w:r>
    </w:p>
    <w:p w14:paraId="58C1DFD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0B5A39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i/>
          <w:iCs/>
          <w:color w:val="000000"/>
          <w:kern w:val="0"/>
          <w:lang w:eastAsia="en-GB"/>
          <w14:ligatures w14:val="none"/>
        </w:rPr>
        <w:t>Human Rights Act 1998, c. 42.</w:t>
      </w:r>
      <w:r w:rsidRPr="001B0949">
        <w:rPr>
          <w:rFonts w:ascii="Arial" w:eastAsia="Times New Roman" w:hAnsi="Arial" w:cs="Arial"/>
          <w:color w:val="000000"/>
          <w:kern w:val="0"/>
          <w:lang w:eastAsia="en-GB"/>
          <w14:ligatures w14:val="none"/>
        </w:rPr>
        <w:t xml:space="preserve"> Available at: https://www.legislation.gov.uk/ukpga/1998/42/contents (Accessed: 20 March 2026). </w:t>
      </w:r>
    </w:p>
    <w:p w14:paraId="7352635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ABA38B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Kennelly, I., Merz, S.N. and Lorber, J. (2001) ‘What is Gender?’, </w:t>
      </w:r>
      <w:r w:rsidRPr="001B0949">
        <w:rPr>
          <w:rFonts w:ascii="Arial" w:eastAsia="Times New Roman" w:hAnsi="Arial" w:cs="Arial"/>
          <w:i/>
          <w:iCs/>
          <w:color w:val="000000"/>
          <w:kern w:val="0"/>
          <w:lang w:eastAsia="en-GB"/>
          <w14:ligatures w14:val="none"/>
        </w:rPr>
        <w:t>American Sociological Review,</w:t>
      </w:r>
      <w:r w:rsidRPr="001B0949">
        <w:rPr>
          <w:rFonts w:ascii="Arial" w:eastAsia="Times New Roman" w:hAnsi="Arial" w:cs="Arial"/>
          <w:color w:val="000000"/>
          <w:kern w:val="0"/>
          <w:lang w:eastAsia="en-GB"/>
          <w14:ligatures w14:val="none"/>
        </w:rPr>
        <w:t xml:space="preserve"> 66(4). Available at: https://doi.org/10.1177/000312240106600407 </w:t>
      </w:r>
    </w:p>
    <w:p w14:paraId="151E367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31C74B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Khan, S. and Ginther, D. (2017) </w:t>
      </w:r>
      <w:r w:rsidRPr="001B0949">
        <w:rPr>
          <w:rFonts w:ascii="Arial" w:eastAsia="Times New Roman" w:hAnsi="Arial" w:cs="Arial"/>
          <w:i/>
          <w:iCs/>
          <w:color w:val="000000"/>
          <w:kern w:val="0"/>
          <w:lang w:eastAsia="en-GB"/>
          <w14:ligatures w14:val="none"/>
        </w:rPr>
        <w:t>Women and STEM.</w:t>
      </w:r>
      <w:r w:rsidRPr="001B0949">
        <w:rPr>
          <w:rFonts w:ascii="Arial" w:eastAsia="Times New Roman" w:hAnsi="Arial" w:cs="Arial"/>
          <w:color w:val="000000"/>
          <w:kern w:val="0"/>
          <w:lang w:eastAsia="en-GB"/>
          <w14:ligatures w14:val="none"/>
        </w:rPr>
        <w:t xml:space="preserve"> Available at: https://www.nber.org/papers/w23525 (Accessed: 20 March 2026). </w:t>
      </w:r>
    </w:p>
    <w:p w14:paraId="35B618C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0788836" w14:textId="6D10937B" w:rsidR="001B0949" w:rsidRPr="001B0949" w:rsidRDefault="001B0949" w:rsidP="00C6450C">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Koutroubas, V. and Galanakis, M. (2022) ‘Bandura’s Social Learning Theory and Its Importance in the Organizational Psychology Context’, </w:t>
      </w:r>
      <w:r w:rsidRPr="001B0949">
        <w:rPr>
          <w:rFonts w:ascii="Arial" w:eastAsia="Times New Roman" w:hAnsi="Arial" w:cs="Arial"/>
          <w:i/>
          <w:iCs/>
          <w:color w:val="000000"/>
          <w:kern w:val="0"/>
          <w:lang w:eastAsia="en-GB"/>
          <w14:ligatures w14:val="none"/>
        </w:rPr>
        <w:t>Psychology Research,</w:t>
      </w:r>
      <w:r w:rsidRPr="001B0949">
        <w:rPr>
          <w:rFonts w:ascii="Arial" w:eastAsia="Times New Roman" w:hAnsi="Arial" w:cs="Arial"/>
          <w:color w:val="000000"/>
          <w:kern w:val="0"/>
          <w:lang w:eastAsia="en-GB"/>
          <w14:ligatures w14:val="none"/>
        </w:rPr>
        <w:t xml:space="preserve"> 12(6), pp. 315-322. Available at: https://www.researchgate.net/publication/360837107_Bandura's_Social_Learning_Theory_and_Its_Importance_in_the_Organizational_Psychology_Context (Accessed: 21 March 2026). </w:t>
      </w:r>
    </w:p>
    <w:p w14:paraId="5B0E8297"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56B4C82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Krizsan, A. and Lombardo, E. (2013) ‘The quality of gender equality policies: A discursive approach’, </w:t>
      </w:r>
      <w:r w:rsidRPr="001B0949">
        <w:rPr>
          <w:rFonts w:ascii="Arial" w:eastAsia="Times New Roman" w:hAnsi="Arial" w:cs="Arial"/>
          <w:i/>
          <w:iCs/>
          <w:color w:val="000000"/>
          <w:kern w:val="0"/>
          <w:lang w:eastAsia="en-GB"/>
          <w14:ligatures w14:val="none"/>
        </w:rPr>
        <w:t>European Journal of Women’s Studies,</w:t>
      </w:r>
      <w:r w:rsidRPr="001B0949">
        <w:rPr>
          <w:rFonts w:ascii="Arial" w:eastAsia="Times New Roman" w:hAnsi="Arial" w:cs="Arial"/>
          <w:color w:val="000000"/>
          <w:kern w:val="0"/>
          <w:lang w:eastAsia="en-GB"/>
          <w14:ligatures w14:val="none"/>
        </w:rPr>
        <w:t xml:space="preserve"> 20(1). Available at: https://doi.org/10.1177/1350506812456462 </w:t>
      </w:r>
    </w:p>
    <w:p w14:paraId="707040B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1D6F623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lastRenderedPageBreak/>
        <w:t xml:space="preserve">Kroska, A. (2000) ‘CONCEPTUALIZING AND MEASURING GENDER IDEOLOGY AS AN IDENTITY’, </w:t>
      </w:r>
      <w:r w:rsidRPr="001B0949">
        <w:rPr>
          <w:rFonts w:ascii="Arial" w:eastAsia="Times New Roman" w:hAnsi="Arial" w:cs="Arial"/>
          <w:i/>
          <w:iCs/>
          <w:color w:val="000000"/>
          <w:kern w:val="0"/>
          <w:lang w:eastAsia="en-GB"/>
          <w14:ligatures w14:val="none"/>
        </w:rPr>
        <w:t>Gender &amp; Society</w:t>
      </w:r>
      <w:r w:rsidRPr="001B0949">
        <w:rPr>
          <w:rFonts w:ascii="Arial" w:eastAsia="Times New Roman" w:hAnsi="Arial" w:cs="Arial"/>
          <w:color w:val="000000"/>
          <w:kern w:val="0"/>
          <w:lang w:eastAsia="en-GB"/>
          <w14:ligatures w14:val="none"/>
        </w:rPr>
        <w:t>, 14(3). Available at: https://doi.org/10.1177/089124300014003002 </w:t>
      </w:r>
    </w:p>
    <w:p w14:paraId="551747D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92D0DD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Liddiard, M. and Mitton, L. (2012) ‘Social need and patterns of inequality’, in. J. Baldock, L. Mitton, N. Manning and S. Vickerstaff (eds) </w:t>
      </w:r>
      <w:r w:rsidRPr="001B0949">
        <w:rPr>
          <w:rFonts w:ascii="Arial" w:eastAsia="Times New Roman" w:hAnsi="Arial" w:cs="Arial"/>
          <w:i/>
          <w:iCs/>
          <w:color w:val="000000"/>
          <w:kern w:val="0"/>
          <w:lang w:eastAsia="en-GB"/>
          <w14:ligatures w14:val="none"/>
        </w:rPr>
        <w:t>Social Policy</w:t>
      </w:r>
      <w:r w:rsidRPr="001B0949">
        <w:rPr>
          <w:rFonts w:ascii="Arial" w:eastAsia="Times New Roman" w:hAnsi="Arial" w:cs="Arial"/>
          <w:color w:val="000000"/>
          <w:kern w:val="0"/>
          <w:lang w:eastAsia="en-GB"/>
          <w14:ligatures w14:val="none"/>
        </w:rPr>
        <w:t>. 4th edn. Oxford University Press, pp. 81-99. </w:t>
      </w:r>
    </w:p>
    <w:p w14:paraId="5078535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322C61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Magda, I., Cukrowska-Torzewska, E. and Palczyńska, M. (2024) ‘What if She Earns More? Gender Norms, Income Inequality, and the Division of Housework’, </w:t>
      </w:r>
      <w:r w:rsidRPr="001B0949">
        <w:rPr>
          <w:rFonts w:ascii="Arial" w:eastAsia="Times New Roman" w:hAnsi="Arial" w:cs="Arial"/>
          <w:i/>
          <w:iCs/>
          <w:color w:val="000000"/>
          <w:kern w:val="0"/>
          <w:lang w:eastAsia="en-GB"/>
          <w14:ligatures w14:val="none"/>
        </w:rPr>
        <w:t>Journal of Family and Economic Issues</w:t>
      </w:r>
      <w:r w:rsidRPr="001B0949">
        <w:rPr>
          <w:rFonts w:ascii="Arial" w:eastAsia="Times New Roman" w:hAnsi="Arial" w:cs="Arial"/>
          <w:color w:val="000000"/>
          <w:kern w:val="0"/>
          <w:lang w:eastAsia="en-GB"/>
          <w14:ligatures w14:val="none"/>
        </w:rPr>
        <w:t>, 45, pp. 1-20. Available at: https://doi.org/10.1007/s10834-023-09893-0 </w:t>
      </w:r>
    </w:p>
    <w:p w14:paraId="5815454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30EA89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Marcus, R. (2018) </w:t>
      </w:r>
      <w:r w:rsidRPr="001B0949">
        <w:rPr>
          <w:rFonts w:ascii="Arial" w:eastAsia="Times New Roman" w:hAnsi="Arial" w:cs="Arial"/>
          <w:i/>
          <w:iCs/>
          <w:color w:val="000000"/>
          <w:kern w:val="0"/>
          <w:lang w:eastAsia="en-GB"/>
          <w14:ligatures w14:val="none"/>
        </w:rPr>
        <w:t>Education and gender norm change.</w:t>
      </w:r>
      <w:r w:rsidRPr="001B0949">
        <w:rPr>
          <w:rFonts w:ascii="Arial" w:eastAsia="Times New Roman" w:hAnsi="Arial" w:cs="Arial"/>
          <w:color w:val="000000"/>
          <w:kern w:val="0"/>
          <w:lang w:eastAsia="en-GB"/>
          <w14:ligatures w14:val="none"/>
        </w:rPr>
        <w:t xml:space="preserve"> Available at: https://www.alignplatform.org/sites/default/files/2018-12/align_education_thematic_guide_-_formatted_v4.pdf (Accessed: 19 March 2026). </w:t>
      </w:r>
    </w:p>
    <w:p w14:paraId="2466FB8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1DCD47B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Mim, S.A. (2019) ‘Women Missing in STEM Careers: A Critical Review through the Gender Lens’, </w:t>
      </w:r>
      <w:r w:rsidRPr="001B0949">
        <w:rPr>
          <w:rFonts w:ascii="Arial" w:eastAsia="Times New Roman" w:hAnsi="Arial" w:cs="Arial"/>
          <w:i/>
          <w:iCs/>
          <w:color w:val="000000"/>
          <w:kern w:val="0"/>
          <w:lang w:eastAsia="en-GB"/>
          <w14:ligatures w14:val="none"/>
        </w:rPr>
        <w:t>Journal of Research in Science, Mathematics and Technology Education</w:t>
      </w:r>
      <w:r w:rsidRPr="001B0949">
        <w:rPr>
          <w:rFonts w:ascii="Arial" w:eastAsia="Times New Roman" w:hAnsi="Arial" w:cs="Arial"/>
          <w:color w:val="000000"/>
          <w:kern w:val="0"/>
          <w:lang w:eastAsia="en-GB"/>
          <w14:ligatures w14:val="none"/>
        </w:rPr>
        <w:t>, 2(2), pp. 59-70. Available at: https://doi.org/10.31756/jrsmte.221 </w:t>
      </w:r>
    </w:p>
    <w:p w14:paraId="6745C64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AD4302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Nanni, G. (2023) ‘Gender Equality, Equity, and Equal Opportunities’, in. E. di Bella, S. </w:t>
      </w:r>
      <w:proofErr w:type="spellStart"/>
      <w:r w:rsidRPr="001B0949">
        <w:rPr>
          <w:rFonts w:ascii="Arial" w:eastAsia="Times New Roman" w:hAnsi="Arial" w:cs="Arial"/>
          <w:color w:val="000000"/>
          <w:kern w:val="0"/>
          <w:lang w:eastAsia="en-GB"/>
          <w14:ligatures w14:val="none"/>
        </w:rPr>
        <w:t>Fachelli</w:t>
      </w:r>
      <w:proofErr w:type="spellEnd"/>
      <w:r w:rsidRPr="001B0949">
        <w:rPr>
          <w:rFonts w:ascii="Arial" w:eastAsia="Times New Roman" w:hAnsi="Arial" w:cs="Arial"/>
          <w:color w:val="000000"/>
          <w:kern w:val="0"/>
          <w:lang w:eastAsia="en-GB"/>
          <w14:ligatures w14:val="none"/>
        </w:rPr>
        <w:t xml:space="preserve">, P. López-Roldán and C. Suter (eds) </w:t>
      </w:r>
      <w:r w:rsidRPr="001B0949">
        <w:rPr>
          <w:rFonts w:ascii="Arial" w:eastAsia="Times New Roman" w:hAnsi="Arial" w:cs="Arial"/>
          <w:i/>
          <w:iCs/>
          <w:color w:val="000000"/>
          <w:kern w:val="0"/>
          <w:lang w:eastAsia="en-GB"/>
          <w14:ligatures w14:val="none"/>
        </w:rPr>
        <w:t>Measuring Gender Equality.</w:t>
      </w:r>
      <w:r w:rsidRPr="001B0949">
        <w:rPr>
          <w:rFonts w:ascii="Arial" w:eastAsia="Times New Roman" w:hAnsi="Arial" w:cs="Arial"/>
          <w:color w:val="000000"/>
          <w:kern w:val="0"/>
          <w:lang w:eastAsia="en-GB"/>
          <w14:ligatures w14:val="none"/>
        </w:rPr>
        <w:t xml:space="preserve"> Springer, pp. 1-30. </w:t>
      </w:r>
    </w:p>
    <w:p w14:paraId="39479E3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B8D3BE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Nescolarde-Selva, J.A., Usó-Doménech, J-L. and Gash, H. (2017) ‘What Are Ideological Systems?’, </w:t>
      </w:r>
      <w:r w:rsidRPr="001B0949">
        <w:rPr>
          <w:rFonts w:ascii="Arial" w:eastAsia="Times New Roman" w:hAnsi="Arial" w:cs="Arial"/>
          <w:i/>
          <w:iCs/>
          <w:color w:val="000000"/>
          <w:kern w:val="0"/>
          <w:lang w:eastAsia="en-GB"/>
          <w14:ligatures w14:val="none"/>
        </w:rPr>
        <w:t>Systems</w:t>
      </w:r>
      <w:r w:rsidRPr="001B0949">
        <w:rPr>
          <w:rFonts w:ascii="Arial" w:eastAsia="Times New Roman" w:hAnsi="Arial" w:cs="Arial"/>
          <w:color w:val="000000"/>
          <w:kern w:val="0"/>
          <w:lang w:eastAsia="en-GB"/>
          <w14:ligatures w14:val="none"/>
        </w:rPr>
        <w:t>, 5(1). Available at: https://doi.org/10.3390/systems5010021 </w:t>
      </w:r>
    </w:p>
    <w:p w14:paraId="443F24C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57260F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Office for National Statistics (2020) </w:t>
      </w:r>
      <w:r w:rsidRPr="001B0949">
        <w:rPr>
          <w:rFonts w:ascii="Arial" w:eastAsia="Times New Roman" w:hAnsi="Arial" w:cs="Arial"/>
          <w:i/>
          <w:iCs/>
          <w:color w:val="000000"/>
          <w:kern w:val="0"/>
          <w:lang w:eastAsia="en-GB"/>
          <w14:ligatures w14:val="none"/>
        </w:rPr>
        <w:t>Gender pay gap in the UK: 2020.</w:t>
      </w:r>
      <w:r w:rsidRPr="001B0949">
        <w:rPr>
          <w:rFonts w:ascii="Arial" w:eastAsia="Times New Roman" w:hAnsi="Arial" w:cs="Arial"/>
          <w:color w:val="000000"/>
          <w:kern w:val="0"/>
          <w:lang w:eastAsia="en-GB"/>
          <w14:ligatures w14:val="none"/>
        </w:rPr>
        <w:t xml:space="preserve"> Available at: https://www.ons.gov.uk/employmentandlabourmarket/peopleinwork/earningsandworkinghours/bulletins/genderpaygapintheuk/2020 (Accessed: 20 March 2026). </w:t>
      </w:r>
    </w:p>
    <w:p w14:paraId="4FFF0E4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6D3306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Office for National Statistics (2025) </w:t>
      </w:r>
      <w:r w:rsidRPr="001B0949">
        <w:rPr>
          <w:rFonts w:ascii="Arial" w:eastAsia="Times New Roman" w:hAnsi="Arial" w:cs="Arial"/>
          <w:i/>
          <w:iCs/>
          <w:color w:val="000000"/>
          <w:kern w:val="0"/>
          <w:lang w:eastAsia="en-GB"/>
          <w14:ligatures w14:val="none"/>
        </w:rPr>
        <w:t>Gender pay gap in the UK: 2025.</w:t>
      </w:r>
      <w:r w:rsidRPr="001B0949">
        <w:rPr>
          <w:rFonts w:ascii="Arial" w:eastAsia="Times New Roman" w:hAnsi="Arial" w:cs="Arial"/>
          <w:color w:val="000000"/>
          <w:kern w:val="0"/>
          <w:lang w:eastAsia="en-GB"/>
          <w14:ligatures w14:val="none"/>
        </w:rPr>
        <w:t xml:space="preserve"> Available at: https://www.ons.gov.uk/employmentandlabourmarket/peopleinwork/earningsandworkinghours/bulletins/genderpaygapintheuk/2025 (Accessed: 20 March 2026). </w:t>
      </w:r>
    </w:p>
    <w:p w14:paraId="6EF5AAC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Perry, M.J. (2016) ‘Defining Gender’, in P.J. Du Plessis, C. Ando and K. </w:t>
      </w:r>
      <w:proofErr w:type="spellStart"/>
      <w:r w:rsidRPr="001B0949">
        <w:rPr>
          <w:rFonts w:ascii="Arial" w:eastAsia="Times New Roman" w:hAnsi="Arial" w:cs="Arial"/>
          <w:color w:val="000000"/>
          <w:kern w:val="0"/>
          <w:lang w:eastAsia="en-GB"/>
          <w14:ligatures w14:val="none"/>
        </w:rPr>
        <w:t>Tuori</w:t>
      </w:r>
      <w:proofErr w:type="spellEnd"/>
      <w:r w:rsidRPr="001B0949">
        <w:rPr>
          <w:rFonts w:ascii="Arial" w:eastAsia="Times New Roman" w:hAnsi="Arial" w:cs="Arial"/>
          <w:color w:val="000000"/>
          <w:kern w:val="0"/>
          <w:lang w:eastAsia="en-GB"/>
          <w14:ligatures w14:val="none"/>
        </w:rPr>
        <w:t xml:space="preserve"> (eds) </w:t>
      </w:r>
      <w:r w:rsidRPr="001B0949">
        <w:rPr>
          <w:rFonts w:ascii="Arial" w:eastAsia="Times New Roman" w:hAnsi="Arial" w:cs="Arial"/>
          <w:i/>
          <w:iCs/>
          <w:color w:val="000000"/>
          <w:kern w:val="0"/>
          <w:lang w:eastAsia="en-GB"/>
          <w14:ligatures w14:val="none"/>
        </w:rPr>
        <w:t>The Oxford Handbook of Roman Law and Society.</w:t>
      </w:r>
      <w:r w:rsidRPr="001B0949">
        <w:rPr>
          <w:rFonts w:ascii="Arial" w:eastAsia="Times New Roman" w:hAnsi="Arial" w:cs="Arial"/>
          <w:color w:val="000000"/>
          <w:kern w:val="0"/>
          <w:lang w:eastAsia="en-GB"/>
          <w14:ligatures w14:val="none"/>
        </w:rPr>
        <w:t xml:space="preserve"> Oxford University Press, pp. 432-442.</w:t>
      </w:r>
    </w:p>
    <w:p w14:paraId="61A469D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B7CE16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Ollis, D., Iannucci, C., Keddie, A., Holland, E., Delaney, M. and Kearney, S. (2022) ‘‘Bulldozers aren’t just for boys’: respectful relationships education challenges gender bias in early primary students’, </w:t>
      </w:r>
      <w:r w:rsidRPr="001B0949">
        <w:rPr>
          <w:rFonts w:ascii="Arial" w:eastAsia="Times New Roman" w:hAnsi="Arial" w:cs="Arial"/>
          <w:i/>
          <w:iCs/>
          <w:color w:val="000000"/>
          <w:kern w:val="0"/>
          <w:lang w:eastAsia="en-GB"/>
          <w14:ligatures w14:val="none"/>
        </w:rPr>
        <w:t>International Journal of Health Promotion and Education</w:t>
      </w:r>
      <w:r w:rsidRPr="001B0949">
        <w:rPr>
          <w:rFonts w:ascii="Arial" w:eastAsia="Times New Roman" w:hAnsi="Arial" w:cs="Arial"/>
          <w:color w:val="000000"/>
          <w:kern w:val="0"/>
          <w:lang w:eastAsia="en-GB"/>
          <w14:ligatures w14:val="none"/>
        </w:rPr>
        <w:t>, 60(4), pp. 229-242. Available at: https://doi.org/10.1080/14635240.2021.1875020 </w:t>
      </w:r>
    </w:p>
    <w:p w14:paraId="00DF074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726FBC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Pryzgoda, J. and Chrisler, J.C. (2000) ‘Definitions of Gender and Sex: The Subtleties of Meaning’,</w:t>
      </w:r>
      <w:r w:rsidRPr="001B0949">
        <w:rPr>
          <w:rFonts w:ascii="Arial" w:eastAsia="Times New Roman" w:hAnsi="Arial" w:cs="Arial"/>
          <w:i/>
          <w:iCs/>
          <w:color w:val="000000"/>
          <w:kern w:val="0"/>
          <w:lang w:eastAsia="en-GB"/>
          <w14:ligatures w14:val="none"/>
        </w:rPr>
        <w:t xml:space="preserve"> Sex Roles</w:t>
      </w:r>
      <w:r w:rsidRPr="001B0949">
        <w:rPr>
          <w:rFonts w:ascii="Arial" w:eastAsia="Times New Roman" w:hAnsi="Arial" w:cs="Arial"/>
          <w:color w:val="000000"/>
          <w:kern w:val="0"/>
          <w:lang w:eastAsia="en-GB"/>
          <w14:ligatures w14:val="none"/>
        </w:rPr>
        <w:t xml:space="preserve">, 43, pp. 553-569. Available at: </w:t>
      </w:r>
      <w:hyperlink r:id="rId11" w:history="1">
        <w:r w:rsidRPr="001B0949">
          <w:rPr>
            <w:rFonts w:ascii="Arial" w:eastAsia="Times New Roman" w:hAnsi="Arial" w:cs="Arial"/>
            <w:kern w:val="0"/>
            <w:lang w:eastAsia="en-GB"/>
            <w14:ligatures w14:val="none"/>
          </w:rPr>
          <w:t>https://doi.org/10.1023/A:1007123617636</w:t>
        </w:r>
      </w:hyperlink>
    </w:p>
    <w:p w14:paraId="7D9496C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868D46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Quinn, T. (2008) ‘The Conservative Party and the “Centre Ground” of British Politics’,</w:t>
      </w:r>
      <w:r w:rsidRPr="001B0949">
        <w:rPr>
          <w:rFonts w:ascii="Arial" w:eastAsia="Times New Roman" w:hAnsi="Arial" w:cs="Arial"/>
          <w:i/>
          <w:iCs/>
          <w:color w:val="000000"/>
          <w:kern w:val="0"/>
          <w:lang w:eastAsia="en-GB"/>
          <w14:ligatures w14:val="none"/>
        </w:rPr>
        <w:t xml:space="preserve"> Journal of Elections, Public Opinion and Parties</w:t>
      </w:r>
      <w:r w:rsidRPr="001B0949">
        <w:rPr>
          <w:rFonts w:ascii="Arial" w:eastAsia="Times New Roman" w:hAnsi="Arial" w:cs="Arial"/>
          <w:color w:val="000000"/>
          <w:kern w:val="0"/>
          <w:lang w:eastAsia="en-GB"/>
          <w14:ligatures w14:val="none"/>
        </w:rPr>
        <w:t>, 18(2), pp. 172-199. Available at: https://doi.org/10.1080/17457280801987892 </w:t>
      </w:r>
    </w:p>
    <w:p w14:paraId="78A8502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C17A38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Richardson, D. (2020) ‘Conceptualising Gender’, in. D. Richardson and V. Robinson (eds) </w:t>
      </w:r>
      <w:r w:rsidRPr="001B0949">
        <w:rPr>
          <w:rFonts w:ascii="Arial" w:eastAsia="Times New Roman" w:hAnsi="Arial" w:cs="Arial"/>
          <w:i/>
          <w:iCs/>
          <w:color w:val="000000"/>
          <w:kern w:val="0"/>
          <w:lang w:eastAsia="en-GB"/>
          <w14:ligatures w14:val="none"/>
        </w:rPr>
        <w:t xml:space="preserve">Introducing Gender and Women’s Studies </w:t>
      </w:r>
      <w:r w:rsidRPr="001B0949">
        <w:rPr>
          <w:rFonts w:ascii="Arial" w:eastAsia="Times New Roman" w:hAnsi="Arial" w:cs="Arial"/>
          <w:color w:val="000000"/>
          <w:kern w:val="0"/>
          <w:lang w:eastAsia="en-GB"/>
          <w14:ligatures w14:val="none"/>
        </w:rPr>
        <w:t>(5th edn) Bloomsbury Publishing, pp. 8-23.</w:t>
      </w:r>
    </w:p>
    <w:p w14:paraId="61E8AD0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643010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Roberts, J.S., Gray, S. and Miñano, M.J.C. (2020) ‘Exploring the PE contexts and experiences of girls who challenge gender norms in a progressive secondary school’, </w:t>
      </w:r>
      <w:r w:rsidRPr="001B0949">
        <w:rPr>
          <w:rFonts w:ascii="Arial" w:eastAsia="Times New Roman" w:hAnsi="Arial" w:cs="Arial"/>
          <w:i/>
          <w:iCs/>
          <w:color w:val="000000"/>
          <w:kern w:val="0"/>
          <w:lang w:eastAsia="en-GB"/>
          <w14:ligatures w14:val="none"/>
        </w:rPr>
        <w:t>Curriculum Studies in Health and Physical Education</w:t>
      </w:r>
      <w:r w:rsidRPr="001B0949">
        <w:rPr>
          <w:rFonts w:ascii="Arial" w:eastAsia="Times New Roman" w:hAnsi="Arial" w:cs="Arial"/>
          <w:color w:val="000000"/>
          <w:kern w:val="0"/>
          <w:lang w:eastAsia="en-GB"/>
          <w14:ligatures w14:val="none"/>
        </w:rPr>
        <w:t>, 11(1), pp. 3-17. Available at: https://doi.org/10.1080/25742981.2019.1696688 </w:t>
      </w:r>
    </w:p>
    <w:p w14:paraId="438AF2FC"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498830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Salzinger, L. and Gonsalves, T. (2024) ‘Thinking Like a Feminist: What Feminist Theory Has to Offer Sociology’, </w:t>
      </w:r>
      <w:r w:rsidRPr="001B0949">
        <w:rPr>
          <w:rFonts w:ascii="Arial" w:eastAsia="Times New Roman" w:hAnsi="Arial" w:cs="Arial"/>
          <w:i/>
          <w:iCs/>
          <w:color w:val="000000"/>
          <w:kern w:val="0"/>
          <w:lang w:eastAsia="en-GB"/>
          <w14:ligatures w14:val="none"/>
        </w:rPr>
        <w:t>Annual Review of Sociology</w:t>
      </w:r>
      <w:r w:rsidRPr="001B0949">
        <w:rPr>
          <w:rFonts w:ascii="Arial" w:eastAsia="Times New Roman" w:hAnsi="Arial" w:cs="Arial"/>
          <w:color w:val="000000"/>
          <w:kern w:val="0"/>
          <w:lang w:eastAsia="en-GB"/>
          <w14:ligatures w14:val="none"/>
        </w:rPr>
        <w:t>, 50, pp. 107-128. Available at: https://doi.org/10.1146/annurev-soc-031021-040911 </w:t>
      </w:r>
    </w:p>
    <w:p w14:paraId="29E7FA24"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373F2F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Sarsons, H. (2024) ‘How the other half works: Claudia Goldin's contributions to our understanding of women's labour market outcomes’, </w:t>
      </w:r>
      <w:r w:rsidRPr="001B0949">
        <w:rPr>
          <w:rFonts w:ascii="Arial" w:eastAsia="Times New Roman" w:hAnsi="Arial" w:cs="Arial"/>
          <w:i/>
          <w:iCs/>
          <w:color w:val="000000"/>
          <w:kern w:val="0"/>
          <w:lang w:eastAsia="en-GB"/>
          <w14:ligatures w14:val="none"/>
        </w:rPr>
        <w:t>The Scandinavian Journal of Economics</w:t>
      </w:r>
      <w:r w:rsidRPr="001B0949">
        <w:rPr>
          <w:rFonts w:ascii="Arial" w:eastAsia="Times New Roman" w:hAnsi="Arial" w:cs="Arial"/>
          <w:color w:val="000000"/>
          <w:kern w:val="0"/>
          <w:lang w:eastAsia="en-GB"/>
          <w14:ligatures w14:val="none"/>
        </w:rPr>
        <w:t>, 126(3), pp. 419-439. Available at: https://doi.org/10.1111/sjoe.12570 </w:t>
      </w:r>
    </w:p>
    <w:p w14:paraId="523C0CC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4C2E01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Scott, J.W. (1986) ‘Gender: A Useful Category of Historical Analysis’, </w:t>
      </w:r>
      <w:r w:rsidRPr="001B0949">
        <w:rPr>
          <w:rFonts w:ascii="Arial" w:eastAsia="Times New Roman" w:hAnsi="Arial" w:cs="Arial"/>
          <w:i/>
          <w:iCs/>
          <w:color w:val="000000"/>
          <w:kern w:val="0"/>
          <w:lang w:eastAsia="en-GB"/>
          <w14:ligatures w14:val="none"/>
        </w:rPr>
        <w:t xml:space="preserve">The American Historical Review, </w:t>
      </w:r>
      <w:r w:rsidRPr="001B0949">
        <w:rPr>
          <w:rFonts w:ascii="Arial" w:eastAsia="Times New Roman" w:hAnsi="Arial" w:cs="Arial"/>
          <w:color w:val="000000"/>
          <w:kern w:val="0"/>
          <w:lang w:eastAsia="en-GB"/>
          <w14:ligatures w14:val="none"/>
        </w:rPr>
        <w:t>91(5), pp. 1053-1075. Available at: https://doi.org/10.2307/1864376 </w:t>
      </w:r>
    </w:p>
    <w:p w14:paraId="231CD71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47427F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Seron, C., </w:t>
      </w:r>
      <w:proofErr w:type="spellStart"/>
      <w:r w:rsidRPr="001B0949">
        <w:rPr>
          <w:rFonts w:ascii="Arial" w:eastAsia="Times New Roman" w:hAnsi="Arial" w:cs="Arial"/>
          <w:color w:val="000000"/>
          <w:kern w:val="0"/>
          <w:lang w:eastAsia="en-GB"/>
          <w14:ligatures w14:val="none"/>
        </w:rPr>
        <w:t>Silbey</w:t>
      </w:r>
      <w:proofErr w:type="spellEnd"/>
      <w:r w:rsidRPr="001B0949">
        <w:rPr>
          <w:rFonts w:ascii="Arial" w:eastAsia="Times New Roman" w:hAnsi="Arial" w:cs="Arial"/>
          <w:color w:val="000000"/>
          <w:kern w:val="0"/>
          <w:lang w:eastAsia="en-GB"/>
          <w14:ligatures w14:val="none"/>
        </w:rPr>
        <w:t xml:space="preserve">, S., Cech, E. and </w:t>
      </w:r>
      <w:proofErr w:type="spellStart"/>
      <w:r w:rsidRPr="001B0949">
        <w:rPr>
          <w:rFonts w:ascii="Arial" w:eastAsia="Times New Roman" w:hAnsi="Arial" w:cs="Arial"/>
          <w:color w:val="000000"/>
          <w:kern w:val="0"/>
          <w:lang w:eastAsia="en-GB"/>
          <w14:ligatures w14:val="none"/>
        </w:rPr>
        <w:t>Rubineau</w:t>
      </w:r>
      <w:proofErr w:type="spellEnd"/>
      <w:r w:rsidRPr="001B0949">
        <w:rPr>
          <w:rFonts w:ascii="Arial" w:eastAsia="Times New Roman" w:hAnsi="Arial" w:cs="Arial"/>
          <w:color w:val="000000"/>
          <w:kern w:val="0"/>
          <w:lang w:eastAsia="en-GB"/>
          <w14:ligatures w14:val="none"/>
        </w:rPr>
        <w:t xml:space="preserve">, B. (2018) ‘“I am Not a Feminist, but. . .”: Hegemony of a Meritocratic Ideology and the Limits of Critique Among Women in Engineering’, </w:t>
      </w:r>
      <w:r w:rsidRPr="001B0949">
        <w:rPr>
          <w:rFonts w:ascii="Arial" w:eastAsia="Times New Roman" w:hAnsi="Arial" w:cs="Arial"/>
          <w:i/>
          <w:iCs/>
          <w:color w:val="000000"/>
          <w:kern w:val="0"/>
          <w:lang w:eastAsia="en-GB"/>
          <w14:ligatures w14:val="none"/>
        </w:rPr>
        <w:t xml:space="preserve">Work and Occupations, </w:t>
      </w:r>
      <w:r w:rsidRPr="001B0949">
        <w:rPr>
          <w:rFonts w:ascii="Arial" w:eastAsia="Times New Roman" w:hAnsi="Arial" w:cs="Arial"/>
          <w:color w:val="000000"/>
          <w:kern w:val="0"/>
          <w:lang w:eastAsia="en-GB"/>
          <w14:ligatures w14:val="none"/>
        </w:rPr>
        <w:t>45(2), pp. 131-167. Available at: https://doi.org/10.1177/0730888418759774 </w:t>
      </w:r>
    </w:p>
    <w:p w14:paraId="172DA7FD"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4D92616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Settle, M. (2018) </w:t>
      </w:r>
      <w:r w:rsidRPr="001B0949">
        <w:rPr>
          <w:rFonts w:ascii="Arial" w:eastAsia="Times New Roman" w:hAnsi="Arial" w:cs="Arial"/>
          <w:i/>
          <w:iCs/>
          <w:color w:val="000000"/>
          <w:kern w:val="0"/>
          <w:lang w:eastAsia="en-GB"/>
          <w14:ligatures w14:val="none"/>
        </w:rPr>
        <w:t xml:space="preserve">Theresa May urges today's politicians to continue suffragettes' struggle towards gender equality. </w:t>
      </w:r>
      <w:r w:rsidRPr="001B0949">
        <w:rPr>
          <w:rFonts w:ascii="Arial" w:eastAsia="Times New Roman" w:hAnsi="Arial" w:cs="Arial"/>
          <w:color w:val="000000"/>
          <w:kern w:val="0"/>
          <w:lang w:eastAsia="en-GB"/>
          <w14:ligatures w14:val="none"/>
        </w:rPr>
        <w:t>Available at: https://www.heraldscotland.com/news/15923626.theresa-may-urges-todays-politicians-continue-suffragettes-struggle-towards-gender-equality/ (Accessed: 20 March 2026). </w:t>
      </w:r>
    </w:p>
    <w:p w14:paraId="03AFE47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0DDBA117"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i/>
          <w:iCs/>
          <w:color w:val="000000"/>
          <w:kern w:val="0"/>
          <w:lang w:eastAsia="en-GB"/>
          <w14:ligatures w14:val="none"/>
        </w:rPr>
        <w:t xml:space="preserve">Sex Discrimination Act 1975, c. 65. </w:t>
      </w:r>
      <w:r w:rsidRPr="001B0949">
        <w:rPr>
          <w:rFonts w:ascii="Arial" w:eastAsia="Times New Roman" w:hAnsi="Arial" w:cs="Arial"/>
          <w:color w:val="000000"/>
          <w:kern w:val="0"/>
          <w:lang w:eastAsia="en-GB"/>
          <w14:ligatures w14:val="none"/>
        </w:rPr>
        <w:t>Available at: https://www.legislation.gov.uk/ukpga/1975/65/enacted (Accessed: 19 March 2026). </w:t>
      </w:r>
    </w:p>
    <w:p w14:paraId="3DBFA14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B9A39C3"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Shu, X., Zhu, B. and Meagher, K.D. (2024) ‘Classifying and mapping gender ideologies globally: Gender attitudes in 47 countries at the turn of the 21st century’, </w:t>
      </w:r>
      <w:r w:rsidRPr="001B0949">
        <w:rPr>
          <w:rFonts w:ascii="Arial" w:eastAsia="Times New Roman" w:hAnsi="Arial" w:cs="Arial"/>
          <w:i/>
          <w:iCs/>
          <w:color w:val="000000"/>
          <w:kern w:val="0"/>
          <w:lang w:eastAsia="en-GB"/>
          <w14:ligatures w14:val="none"/>
        </w:rPr>
        <w:t>Journal of Marriage and Family</w:t>
      </w:r>
      <w:r w:rsidRPr="001B0949">
        <w:rPr>
          <w:rFonts w:ascii="Arial" w:eastAsia="Times New Roman" w:hAnsi="Arial" w:cs="Arial"/>
          <w:color w:val="000000"/>
          <w:kern w:val="0"/>
          <w:lang w:eastAsia="en-GB"/>
          <w14:ligatures w14:val="none"/>
        </w:rPr>
        <w:t>, 87(2), pp. 724-750. Available at: https://doi.org/10.1111/jomf.13052 </w:t>
      </w:r>
    </w:p>
    <w:p w14:paraId="66A6F76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E6E3D8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Smith, E. and White, P. (2025) ‘Gender, participation and attainment in STEM: A comprehensive overview of long-term trends in the United Kingdom’, </w:t>
      </w:r>
      <w:r w:rsidRPr="001B0949">
        <w:rPr>
          <w:rFonts w:ascii="Arial" w:eastAsia="Times New Roman" w:hAnsi="Arial" w:cs="Arial"/>
          <w:i/>
          <w:iCs/>
          <w:color w:val="000000"/>
          <w:kern w:val="0"/>
          <w:lang w:eastAsia="en-GB"/>
          <w14:ligatures w14:val="none"/>
        </w:rPr>
        <w:t>British Educational Research Journal</w:t>
      </w:r>
      <w:r w:rsidRPr="001B0949">
        <w:rPr>
          <w:rFonts w:ascii="Arial" w:eastAsia="Times New Roman" w:hAnsi="Arial" w:cs="Arial"/>
          <w:color w:val="000000"/>
          <w:kern w:val="0"/>
          <w:lang w:eastAsia="en-GB"/>
          <w14:ligatures w14:val="none"/>
        </w:rPr>
        <w:t xml:space="preserve">, 51(2), pp. 802-825. Available at: </w:t>
      </w:r>
      <w:hyperlink r:id="rId12" w:history="1">
        <w:r w:rsidRPr="001B0949">
          <w:rPr>
            <w:rFonts w:ascii="Arial" w:eastAsia="Times New Roman" w:hAnsi="Arial" w:cs="Arial"/>
            <w:color w:val="000000"/>
            <w:kern w:val="0"/>
            <w:lang w:eastAsia="en-GB"/>
            <w14:ligatures w14:val="none"/>
          </w:rPr>
          <w:t>https://doi.org/10.1002%2Fberj.4102</w:t>
        </w:r>
      </w:hyperlink>
    </w:p>
    <w:p w14:paraId="563A46D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14BCA32A"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lastRenderedPageBreak/>
        <w:t xml:space="preserve">Sumerau, J.E., Mathers, L.A.B. and Moon, D. (2019) ‘Foreclosing Fluidity at the Intersection of Gender and Sexual </w:t>
      </w:r>
      <w:proofErr w:type="spellStart"/>
      <w:r w:rsidRPr="001B0949">
        <w:rPr>
          <w:rFonts w:ascii="Arial" w:eastAsia="Times New Roman" w:hAnsi="Arial" w:cs="Arial"/>
          <w:color w:val="000000"/>
          <w:kern w:val="0"/>
          <w:lang w:eastAsia="en-GB"/>
          <w14:ligatures w14:val="none"/>
        </w:rPr>
        <w:t>Normativities</w:t>
      </w:r>
      <w:proofErr w:type="spellEnd"/>
      <w:r w:rsidRPr="001B0949">
        <w:rPr>
          <w:rFonts w:ascii="Arial" w:eastAsia="Times New Roman" w:hAnsi="Arial" w:cs="Arial"/>
          <w:color w:val="000000"/>
          <w:kern w:val="0"/>
          <w:lang w:eastAsia="en-GB"/>
          <w14:ligatures w14:val="none"/>
        </w:rPr>
        <w:t>’,</w:t>
      </w:r>
      <w:r w:rsidRPr="001B0949">
        <w:rPr>
          <w:rFonts w:ascii="Arial" w:eastAsia="Times New Roman" w:hAnsi="Arial" w:cs="Arial"/>
          <w:i/>
          <w:iCs/>
          <w:color w:val="000000"/>
          <w:kern w:val="0"/>
          <w:lang w:eastAsia="en-GB"/>
          <w14:ligatures w14:val="none"/>
        </w:rPr>
        <w:t xml:space="preserve"> Symbolic Interaction</w:t>
      </w:r>
      <w:r w:rsidRPr="001B0949">
        <w:rPr>
          <w:rFonts w:ascii="Arial" w:eastAsia="Times New Roman" w:hAnsi="Arial" w:cs="Arial"/>
          <w:color w:val="000000"/>
          <w:kern w:val="0"/>
          <w:lang w:eastAsia="en-GB"/>
          <w14:ligatures w14:val="none"/>
        </w:rPr>
        <w:t>, 43(2), pp. 205-234. Available at: https://doi.org/10.1002/symb.431 </w:t>
      </w:r>
    </w:p>
    <w:p w14:paraId="23CC3BC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6D1F147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The Supreme Court (2025) </w:t>
      </w:r>
      <w:r w:rsidRPr="001B0949">
        <w:rPr>
          <w:rFonts w:ascii="Arial" w:eastAsia="Times New Roman" w:hAnsi="Arial" w:cs="Arial"/>
          <w:i/>
          <w:iCs/>
          <w:color w:val="000000"/>
          <w:kern w:val="0"/>
          <w:lang w:eastAsia="en-GB"/>
          <w14:ligatures w14:val="none"/>
        </w:rPr>
        <w:t xml:space="preserve">Press Summary: For Women Scotland Ltd (Appellant) v The Scottish Ministers (Respondent). </w:t>
      </w:r>
      <w:r w:rsidRPr="001B0949">
        <w:rPr>
          <w:rFonts w:ascii="Arial" w:eastAsia="Times New Roman" w:hAnsi="Arial" w:cs="Arial"/>
          <w:color w:val="000000"/>
          <w:kern w:val="0"/>
          <w:lang w:eastAsia="en-GB"/>
          <w14:ligatures w14:val="none"/>
        </w:rPr>
        <w:t>Available at: https://supremecourt.uk/uploads/uksc_2024_0042_press_summary_8a42145662.pdf (Accessed: 21 March 2026). </w:t>
      </w:r>
    </w:p>
    <w:p w14:paraId="5C620AA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83E88D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OECD (2016)</w:t>
      </w:r>
      <w:r w:rsidRPr="001B0949">
        <w:rPr>
          <w:rFonts w:ascii="Arial" w:eastAsia="Times New Roman" w:hAnsi="Arial" w:cs="Arial"/>
          <w:i/>
          <w:iCs/>
          <w:color w:val="000000"/>
          <w:kern w:val="0"/>
          <w:lang w:eastAsia="en-GB"/>
          <w14:ligatures w14:val="none"/>
        </w:rPr>
        <w:t xml:space="preserve"> PISA 2015 Results (Volume I)</w:t>
      </w:r>
      <w:r w:rsidRPr="001B0949">
        <w:rPr>
          <w:rFonts w:ascii="Arial" w:eastAsia="Times New Roman" w:hAnsi="Arial" w:cs="Arial"/>
          <w:color w:val="000000"/>
          <w:kern w:val="0"/>
          <w:lang w:eastAsia="en-GB"/>
          <w14:ligatures w14:val="none"/>
        </w:rPr>
        <w:t>. Available at: https://www.oecd.org/en/publications/pisa-2015-results-volume-i_9789264266490-en.html (Accessed: 20 March 2026). </w:t>
      </w:r>
    </w:p>
    <w:p w14:paraId="5214B5D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F8FC340" w14:textId="77777777" w:rsidR="001B0949" w:rsidRDefault="001B0949" w:rsidP="00386E5F">
      <w:pPr>
        <w:spacing w:after="0" w:line="240" w:lineRule="auto"/>
        <w:ind w:hanging="284"/>
        <w:rPr>
          <w:rFonts w:ascii="Arial" w:eastAsia="Times New Roman" w:hAnsi="Arial" w:cs="Arial"/>
          <w:color w:val="000000"/>
          <w:kern w:val="0"/>
          <w:lang w:eastAsia="en-GB"/>
          <w14:ligatures w14:val="none"/>
        </w:rPr>
      </w:pPr>
      <w:r w:rsidRPr="001B0949">
        <w:rPr>
          <w:rFonts w:ascii="Arial" w:eastAsia="Times New Roman" w:hAnsi="Arial" w:cs="Arial"/>
          <w:color w:val="000000"/>
          <w:kern w:val="0"/>
          <w:lang w:eastAsia="en-GB"/>
          <w14:ligatures w14:val="none"/>
        </w:rPr>
        <w:t xml:space="preserve">UK Government (2026) </w:t>
      </w:r>
      <w:r w:rsidRPr="001B0949">
        <w:rPr>
          <w:rFonts w:ascii="Arial" w:eastAsia="Times New Roman" w:hAnsi="Arial" w:cs="Arial"/>
          <w:i/>
          <w:iCs/>
          <w:color w:val="000000"/>
          <w:kern w:val="0"/>
          <w:lang w:eastAsia="en-GB"/>
          <w14:ligatures w14:val="none"/>
        </w:rPr>
        <w:t>Gender Equality Action Plan.</w:t>
      </w:r>
      <w:r w:rsidRPr="001B0949">
        <w:rPr>
          <w:rFonts w:ascii="Arial" w:eastAsia="Times New Roman" w:hAnsi="Arial" w:cs="Arial"/>
          <w:color w:val="000000"/>
          <w:kern w:val="0"/>
          <w:lang w:eastAsia="en-GB"/>
          <w14:ligatures w14:val="none"/>
        </w:rPr>
        <w:t xml:space="preserve"> Available at: https://www.business.gov.uk/campaign/employment-changes/employers/gender-equality-action-plans/ (Accessed: 19 March 2026). </w:t>
      </w:r>
    </w:p>
    <w:p w14:paraId="282DFD2E" w14:textId="77777777" w:rsidR="00C6450C" w:rsidRPr="001B0949" w:rsidRDefault="00C6450C" w:rsidP="00386E5F">
      <w:pPr>
        <w:spacing w:after="0" w:line="240" w:lineRule="auto"/>
        <w:ind w:hanging="284"/>
        <w:rPr>
          <w:rFonts w:ascii="Arial" w:eastAsia="Times New Roman" w:hAnsi="Arial" w:cs="Arial"/>
          <w:kern w:val="0"/>
          <w:lang w:eastAsia="en-GB"/>
          <w14:ligatures w14:val="none"/>
        </w:rPr>
      </w:pPr>
    </w:p>
    <w:p w14:paraId="4942748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UNESCO (2017) </w:t>
      </w:r>
      <w:r w:rsidRPr="001B0949">
        <w:rPr>
          <w:rFonts w:ascii="Arial" w:eastAsia="Times New Roman" w:hAnsi="Arial" w:cs="Arial"/>
          <w:i/>
          <w:iCs/>
          <w:color w:val="000000"/>
          <w:kern w:val="0"/>
          <w:lang w:eastAsia="en-GB"/>
          <w14:ligatures w14:val="none"/>
        </w:rPr>
        <w:t xml:space="preserve">Cracking the code: girls' and women's education in science, technology, engineering and mathematics (STEM). </w:t>
      </w:r>
      <w:r w:rsidRPr="001B0949">
        <w:rPr>
          <w:rFonts w:ascii="Arial" w:eastAsia="Times New Roman" w:hAnsi="Arial" w:cs="Arial"/>
          <w:color w:val="000000"/>
          <w:kern w:val="0"/>
          <w:lang w:eastAsia="en-GB"/>
          <w14:ligatures w14:val="none"/>
        </w:rPr>
        <w:t>Available at: https://doi.org/10.54675/QYHK2407 (Accessed: 20 March 2026). </w:t>
      </w:r>
    </w:p>
    <w:p w14:paraId="157CFF57"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75C6B1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van Dijk, T.A. (2009) ‘Discourse, Ideology and Context’, </w:t>
      </w:r>
      <w:r w:rsidRPr="001B0949">
        <w:rPr>
          <w:rFonts w:ascii="Arial" w:eastAsia="Times New Roman" w:hAnsi="Arial" w:cs="Arial"/>
          <w:i/>
          <w:iCs/>
          <w:color w:val="000000"/>
          <w:kern w:val="0"/>
          <w:lang w:eastAsia="en-GB"/>
          <w14:ligatures w14:val="none"/>
        </w:rPr>
        <w:t xml:space="preserve">Folia </w:t>
      </w:r>
      <w:proofErr w:type="spellStart"/>
      <w:r w:rsidRPr="001B0949">
        <w:rPr>
          <w:rFonts w:ascii="Arial" w:eastAsia="Times New Roman" w:hAnsi="Arial" w:cs="Arial"/>
          <w:i/>
          <w:iCs/>
          <w:color w:val="000000"/>
          <w:kern w:val="0"/>
          <w:lang w:eastAsia="en-GB"/>
          <w14:ligatures w14:val="none"/>
        </w:rPr>
        <w:t>Linguistica</w:t>
      </w:r>
      <w:proofErr w:type="spellEnd"/>
      <w:r w:rsidRPr="001B0949">
        <w:rPr>
          <w:rFonts w:ascii="Arial" w:eastAsia="Times New Roman" w:hAnsi="Arial" w:cs="Arial"/>
          <w:color w:val="000000"/>
          <w:kern w:val="0"/>
          <w:lang w:eastAsia="en-GB"/>
          <w14:ligatures w14:val="none"/>
        </w:rPr>
        <w:t>, 35(1-2), pp. 11-40. Available at: https://doi.org/10.1515/flin.2001.35.1-2.11</w:t>
      </w:r>
    </w:p>
    <w:p w14:paraId="2F85644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2B654C5E"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Van Valkenburgh, S.P. (2019) ‘“She Thinks of Him as a Machine”: On the Entanglements of Neoliberal Ideology and Misogynist Cybercrime’, </w:t>
      </w:r>
      <w:r w:rsidRPr="001B0949">
        <w:rPr>
          <w:rFonts w:ascii="Arial" w:eastAsia="Times New Roman" w:hAnsi="Arial" w:cs="Arial"/>
          <w:i/>
          <w:iCs/>
          <w:color w:val="000000"/>
          <w:kern w:val="0"/>
          <w:lang w:eastAsia="en-GB"/>
          <w14:ligatures w14:val="none"/>
        </w:rPr>
        <w:t>Social Media + Society,</w:t>
      </w:r>
      <w:r w:rsidRPr="001B0949">
        <w:rPr>
          <w:rFonts w:ascii="Arial" w:eastAsia="Times New Roman" w:hAnsi="Arial" w:cs="Arial"/>
          <w:color w:val="000000"/>
          <w:kern w:val="0"/>
          <w:lang w:eastAsia="en-GB"/>
          <w14:ligatures w14:val="none"/>
        </w:rPr>
        <w:t xml:space="preserve"> 5(3). Available at: https://doi.org/10.1177/2056305119872953 </w:t>
      </w:r>
    </w:p>
    <w:p w14:paraId="682F71AF"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F2947F9"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Weismueller, J., Harrigan, P., </w:t>
      </w:r>
      <w:proofErr w:type="spellStart"/>
      <w:r w:rsidRPr="001B0949">
        <w:rPr>
          <w:rFonts w:ascii="Arial" w:eastAsia="Times New Roman" w:hAnsi="Arial" w:cs="Arial"/>
          <w:color w:val="000000"/>
          <w:kern w:val="0"/>
          <w:lang w:eastAsia="en-GB"/>
          <w14:ligatures w14:val="none"/>
        </w:rPr>
        <w:t>Coussement</w:t>
      </w:r>
      <w:proofErr w:type="spellEnd"/>
      <w:r w:rsidRPr="001B0949">
        <w:rPr>
          <w:rFonts w:ascii="Arial" w:eastAsia="Times New Roman" w:hAnsi="Arial" w:cs="Arial"/>
          <w:color w:val="000000"/>
          <w:kern w:val="0"/>
          <w:lang w:eastAsia="en-GB"/>
          <w14:ligatures w14:val="none"/>
        </w:rPr>
        <w:t xml:space="preserve">, K. and Tessitore, T. (2022) ‘What makes people share political content on social media? The role of emotion, authority and ideology’, </w:t>
      </w:r>
      <w:r w:rsidRPr="001B0949">
        <w:rPr>
          <w:rFonts w:ascii="Arial" w:eastAsia="Times New Roman" w:hAnsi="Arial" w:cs="Arial"/>
          <w:i/>
          <w:iCs/>
          <w:color w:val="000000"/>
          <w:kern w:val="0"/>
          <w:lang w:eastAsia="en-GB"/>
          <w14:ligatures w14:val="none"/>
        </w:rPr>
        <w:t xml:space="preserve">Computers in Human Behaviour, </w:t>
      </w:r>
      <w:r w:rsidRPr="001B0949">
        <w:rPr>
          <w:rFonts w:ascii="Arial" w:eastAsia="Times New Roman" w:hAnsi="Arial" w:cs="Arial"/>
          <w:color w:val="000000"/>
          <w:kern w:val="0"/>
          <w:lang w:eastAsia="en-GB"/>
          <w14:ligatures w14:val="none"/>
        </w:rPr>
        <w:t>129 (April) article 107150. Available at: https://doi.org/10.1016/j.chb.2021.107150 </w:t>
      </w:r>
    </w:p>
    <w:p w14:paraId="6DBB0FE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C5DA88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Welsh Government (2021) </w:t>
      </w:r>
      <w:r w:rsidRPr="001B0949">
        <w:rPr>
          <w:rFonts w:ascii="Arial" w:eastAsia="Times New Roman" w:hAnsi="Arial" w:cs="Arial"/>
          <w:i/>
          <w:iCs/>
          <w:color w:val="000000"/>
          <w:kern w:val="0"/>
          <w:lang w:eastAsia="en-GB"/>
          <w14:ligatures w14:val="none"/>
        </w:rPr>
        <w:t>The Curriculum for Wales - Relationships and Sexuality Code</w:t>
      </w:r>
      <w:r w:rsidRPr="001B0949">
        <w:rPr>
          <w:rFonts w:ascii="Arial" w:eastAsia="Times New Roman" w:hAnsi="Arial" w:cs="Arial"/>
          <w:color w:val="000000"/>
          <w:kern w:val="0"/>
          <w:lang w:eastAsia="en-GB"/>
          <w14:ligatures w14:val="none"/>
        </w:rPr>
        <w:t>. Available at: https://www.gov.wales/sites/default/files/publications/2022-01/curriculum-for-wales-relationships-sexuality-education-code.pdf (Accessed: 21 March 2026).</w:t>
      </w:r>
    </w:p>
    <w:p w14:paraId="7016D88B"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77E51B8"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White, P. and Smith, E. (2022) ‘From subject choice to career path: Female STEM graduates in the UK labour market’, </w:t>
      </w:r>
      <w:r w:rsidRPr="001B0949">
        <w:rPr>
          <w:rFonts w:ascii="Arial" w:eastAsia="Times New Roman" w:hAnsi="Arial" w:cs="Arial"/>
          <w:i/>
          <w:iCs/>
          <w:color w:val="000000"/>
          <w:kern w:val="0"/>
          <w:lang w:eastAsia="en-GB"/>
          <w14:ligatures w14:val="none"/>
        </w:rPr>
        <w:t>Oxford Review of Education</w:t>
      </w:r>
      <w:r w:rsidRPr="001B0949">
        <w:rPr>
          <w:rFonts w:ascii="Arial" w:eastAsia="Times New Roman" w:hAnsi="Arial" w:cs="Arial"/>
          <w:color w:val="000000"/>
          <w:kern w:val="0"/>
          <w:lang w:eastAsia="en-GB"/>
          <w14:ligatures w14:val="none"/>
        </w:rPr>
        <w:t>, 48(6), pp. 693-709. Available at: https://doi.org/10.1080/03054985.2021.2011713 </w:t>
      </w:r>
    </w:p>
    <w:p w14:paraId="0411D830"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B9F62D5"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Wood, L.A., Hutchison, J., Aitken, M. and Cunningham, S.J. (2021) ‘Gender stereotypes in UK children and adolescents: Changing patterns of knowledge and endorsement’, </w:t>
      </w:r>
      <w:r w:rsidRPr="001B0949">
        <w:rPr>
          <w:rFonts w:ascii="Arial" w:eastAsia="Times New Roman" w:hAnsi="Arial" w:cs="Arial"/>
          <w:i/>
          <w:iCs/>
          <w:color w:val="000000"/>
          <w:kern w:val="0"/>
          <w:lang w:eastAsia="en-GB"/>
          <w14:ligatures w14:val="none"/>
        </w:rPr>
        <w:t xml:space="preserve">British Journal of Social Psychology, </w:t>
      </w:r>
      <w:r w:rsidRPr="001B0949">
        <w:rPr>
          <w:rFonts w:ascii="Arial" w:eastAsia="Times New Roman" w:hAnsi="Arial" w:cs="Arial"/>
          <w:color w:val="000000"/>
          <w:kern w:val="0"/>
          <w:lang w:eastAsia="en-GB"/>
          <w14:ligatures w14:val="none"/>
        </w:rPr>
        <w:t>61(3), pp. 689-1066.</w:t>
      </w:r>
      <w:r w:rsidRPr="001B0949">
        <w:rPr>
          <w:rFonts w:ascii="Arial" w:eastAsia="Times New Roman" w:hAnsi="Arial" w:cs="Arial"/>
          <w:i/>
          <w:iCs/>
          <w:color w:val="000000"/>
          <w:kern w:val="0"/>
          <w:lang w:eastAsia="en-GB"/>
          <w14:ligatures w14:val="none"/>
        </w:rPr>
        <w:t xml:space="preserve"> </w:t>
      </w:r>
      <w:r w:rsidRPr="001B0949">
        <w:rPr>
          <w:rFonts w:ascii="Arial" w:eastAsia="Times New Roman" w:hAnsi="Arial" w:cs="Arial"/>
          <w:color w:val="000000"/>
          <w:kern w:val="0"/>
          <w:lang w:eastAsia="en-GB"/>
          <w14:ligatures w14:val="none"/>
        </w:rPr>
        <w:t>Available at: https://doi.org/10.1111/bjso.12510 </w:t>
      </w:r>
    </w:p>
    <w:p w14:paraId="6C9F6476"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39DDEFF7"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t xml:space="preserve">World Health Organisation (2025) </w:t>
      </w:r>
      <w:r w:rsidRPr="001B0949">
        <w:rPr>
          <w:rFonts w:ascii="Arial" w:eastAsia="Times New Roman" w:hAnsi="Arial" w:cs="Arial"/>
          <w:i/>
          <w:iCs/>
          <w:color w:val="000000"/>
          <w:kern w:val="0"/>
          <w:lang w:eastAsia="en-GB"/>
          <w14:ligatures w14:val="none"/>
        </w:rPr>
        <w:t>Gender and health.</w:t>
      </w:r>
      <w:r w:rsidRPr="001B0949">
        <w:rPr>
          <w:rFonts w:ascii="Arial" w:eastAsia="Times New Roman" w:hAnsi="Arial" w:cs="Arial"/>
          <w:color w:val="000000"/>
          <w:kern w:val="0"/>
          <w:lang w:eastAsia="en-GB"/>
          <w14:ligatures w14:val="none"/>
        </w:rPr>
        <w:t xml:space="preserve"> Available at: https://www.who.int/health-topics/gender#tab=tab_1 (Accessed: 19 March 2026).</w:t>
      </w:r>
    </w:p>
    <w:p w14:paraId="124B9C31"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p>
    <w:p w14:paraId="79B3C5E2" w14:textId="77777777" w:rsidR="001B0949" w:rsidRPr="001B0949" w:rsidRDefault="001B0949" w:rsidP="00386E5F">
      <w:pPr>
        <w:spacing w:after="0" w:line="240" w:lineRule="auto"/>
        <w:ind w:hanging="284"/>
        <w:rPr>
          <w:rFonts w:ascii="Arial" w:eastAsia="Times New Roman" w:hAnsi="Arial" w:cs="Arial"/>
          <w:kern w:val="0"/>
          <w:lang w:eastAsia="en-GB"/>
          <w14:ligatures w14:val="none"/>
        </w:rPr>
      </w:pPr>
      <w:r w:rsidRPr="001B0949">
        <w:rPr>
          <w:rFonts w:ascii="Arial" w:eastAsia="Times New Roman" w:hAnsi="Arial" w:cs="Arial"/>
          <w:color w:val="000000"/>
          <w:kern w:val="0"/>
          <w:lang w:eastAsia="en-GB"/>
          <w14:ligatures w14:val="none"/>
        </w:rPr>
        <w:lastRenderedPageBreak/>
        <w:t xml:space="preserve">Yee, H.H. (2023) ‘Different Perspectives on the Threats of Family Diversity on the Dominance of the Nuclear Family’, </w:t>
      </w:r>
      <w:r w:rsidRPr="001B0949">
        <w:rPr>
          <w:rFonts w:ascii="Arial" w:eastAsia="Times New Roman" w:hAnsi="Arial" w:cs="Arial"/>
          <w:i/>
          <w:iCs/>
          <w:color w:val="000000"/>
          <w:kern w:val="0"/>
          <w:lang w:eastAsia="en-GB"/>
          <w14:ligatures w14:val="none"/>
        </w:rPr>
        <w:t>Journal of Humanities, Arts and Social Science</w:t>
      </w:r>
      <w:r w:rsidRPr="001B0949">
        <w:rPr>
          <w:rFonts w:ascii="Arial" w:eastAsia="Times New Roman" w:hAnsi="Arial" w:cs="Arial"/>
          <w:color w:val="000000"/>
          <w:kern w:val="0"/>
          <w:lang w:eastAsia="en-GB"/>
          <w14:ligatures w14:val="none"/>
        </w:rPr>
        <w:t>, 7(8), pp. 1682-1685. Available at: https://www.hillpublisher.com/ArticleDetails/2143 (Accessed: 19 March 2026). </w:t>
      </w:r>
    </w:p>
    <w:p w14:paraId="799F55EA" w14:textId="77777777" w:rsidR="00C6450C" w:rsidRDefault="00C6450C" w:rsidP="00C6450C">
      <w:pPr>
        <w:ind w:hanging="284"/>
        <w:rPr>
          <w:rFonts w:ascii="Arial" w:eastAsia="Times New Roman" w:hAnsi="Arial" w:cs="Arial"/>
          <w:kern w:val="0"/>
          <w:lang w:eastAsia="en-GB"/>
          <w14:ligatures w14:val="none"/>
        </w:rPr>
      </w:pPr>
    </w:p>
    <w:p w14:paraId="41D9DB32" w14:textId="2B305E53" w:rsidR="001B0949" w:rsidRPr="00F55B2D" w:rsidRDefault="001B0949" w:rsidP="00C6450C">
      <w:pPr>
        <w:ind w:hanging="284"/>
        <w:rPr>
          <w:rFonts w:ascii="Arial" w:hAnsi="Arial" w:cs="Arial"/>
        </w:rPr>
      </w:pPr>
      <w:r w:rsidRPr="00F55B2D">
        <w:rPr>
          <w:rFonts w:ascii="Arial" w:eastAsia="Times New Roman" w:hAnsi="Arial" w:cs="Arial"/>
          <w:color w:val="000000"/>
          <w:kern w:val="0"/>
          <w:lang w:eastAsia="en-GB"/>
          <w14:ligatures w14:val="none"/>
        </w:rPr>
        <w:t xml:space="preserve">York, C. (2018) </w:t>
      </w:r>
      <w:r w:rsidRPr="00F55B2D">
        <w:rPr>
          <w:rFonts w:ascii="Arial" w:eastAsia="Times New Roman" w:hAnsi="Arial" w:cs="Arial"/>
          <w:i/>
          <w:iCs/>
          <w:color w:val="000000"/>
          <w:kern w:val="0"/>
          <w:lang w:eastAsia="en-GB"/>
          <w14:ligatures w14:val="none"/>
        </w:rPr>
        <w:t>Theresa May Vows To Tackle 'Burning Injustice' Of Gender Pay Gap</w:t>
      </w:r>
      <w:r w:rsidRPr="00F55B2D">
        <w:rPr>
          <w:rFonts w:ascii="Arial" w:eastAsia="Times New Roman" w:hAnsi="Arial" w:cs="Arial"/>
          <w:color w:val="000000"/>
          <w:kern w:val="0"/>
          <w:lang w:eastAsia="en-GB"/>
          <w14:ligatures w14:val="none"/>
        </w:rPr>
        <w:t>. Available at: https://www.huffingtonpost.co.uk/entry/theresa-may-gender-pay-gap_uk_5ac46ba3e4b0ac473edb435e?ec_carp=4804929029156561450 (Accessed: 20 March 2026).</w:t>
      </w:r>
    </w:p>
    <w:sectPr w:rsidR="001B0949" w:rsidRPr="00F55B2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506C" w14:textId="77777777" w:rsidR="00EA56C4" w:rsidRDefault="00EA56C4" w:rsidP="00CF2E5D">
      <w:pPr>
        <w:spacing w:after="0" w:line="240" w:lineRule="auto"/>
      </w:pPr>
      <w:r>
        <w:separator/>
      </w:r>
    </w:p>
  </w:endnote>
  <w:endnote w:type="continuationSeparator" w:id="0">
    <w:p w14:paraId="6EED2F7B" w14:textId="77777777" w:rsidR="00EA56C4" w:rsidRDefault="00EA56C4" w:rsidP="00CF2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505932"/>
      <w:docPartObj>
        <w:docPartGallery w:val="Page Numbers (Bottom of Page)"/>
        <w:docPartUnique/>
      </w:docPartObj>
    </w:sdtPr>
    <w:sdtEndPr>
      <w:rPr>
        <w:noProof/>
      </w:rPr>
    </w:sdtEndPr>
    <w:sdtContent>
      <w:p w14:paraId="067F4614" w14:textId="391D0A16" w:rsidR="00CF2E5D" w:rsidRDefault="00CF2E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FC41DC" w14:textId="77777777" w:rsidR="00CF2E5D" w:rsidRDefault="00CF2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0443D" w14:textId="77777777" w:rsidR="00EA56C4" w:rsidRDefault="00EA56C4" w:rsidP="00CF2E5D">
      <w:pPr>
        <w:spacing w:after="0" w:line="240" w:lineRule="auto"/>
      </w:pPr>
      <w:r>
        <w:separator/>
      </w:r>
    </w:p>
  </w:footnote>
  <w:footnote w:type="continuationSeparator" w:id="0">
    <w:p w14:paraId="654C2BF3" w14:textId="77777777" w:rsidR="00EA56C4" w:rsidRDefault="00EA56C4" w:rsidP="00CF2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F344" w14:textId="6E5B6DD0" w:rsidR="00754DB8" w:rsidRPr="00D4609E" w:rsidRDefault="00754DB8">
    <w:pPr>
      <w:pStyle w:val="Header"/>
      <w:rPr>
        <w:rFonts w:ascii="Arial" w:hAnsi="Arial" w:cs="Arial"/>
      </w:rPr>
    </w:pPr>
    <w:r w:rsidRPr="00D4609E">
      <w:rPr>
        <w:rFonts w:ascii="Arial" w:hAnsi="Arial" w:cs="Arial"/>
      </w:rPr>
      <w:t>2200299</w:t>
    </w:r>
    <w:r w:rsidRPr="00D4609E">
      <w:rPr>
        <w:rFonts w:ascii="Arial" w:hAnsi="Arial" w:cs="Arial"/>
      </w:rPr>
      <w:ptab w:relativeTo="margin" w:alignment="center" w:leader="none"/>
    </w:r>
    <w:r w:rsidR="00D4609E" w:rsidRPr="00D4609E">
      <w:rPr>
        <w:rFonts w:ascii="Arial" w:hAnsi="Arial" w:cs="Arial"/>
      </w:rPr>
      <w:t>ECED7007</w:t>
    </w:r>
    <w:r w:rsidRPr="00D4609E">
      <w:rPr>
        <w:rFonts w:ascii="Arial" w:hAnsi="Arial" w:cs="Arial"/>
      </w:rPr>
      <w:ptab w:relativeTo="margin" w:alignment="right" w:leader="none"/>
    </w:r>
    <w:r w:rsidR="00386E5F">
      <w:rPr>
        <w:rFonts w:ascii="Arial" w:hAnsi="Arial" w:cs="Arial"/>
      </w:rPr>
      <w:t>4,287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D27F1"/>
    <w:multiLevelType w:val="hybridMultilevel"/>
    <w:tmpl w:val="F6C80930"/>
    <w:lvl w:ilvl="0" w:tplc="E3D888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15962"/>
    <w:multiLevelType w:val="hybridMultilevel"/>
    <w:tmpl w:val="2F7039DA"/>
    <w:lvl w:ilvl="0" w:tplc="479CA9B0">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96EE6"/>
    <w:multiLevelType w:val="hybridMultilevel"/>
    <w:tmpl w:val="B922DF2E"/>
    <w:lvl w:ilvl="0" w:tplc="39BA0C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369AB"/>
    <w:multiLevelType w:val="multilevel"/>
    <w:tmpl w:val="024C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1076C1"/>
    <w:multiLevelType w:val="hybridMultilevel"/>
    <w:tmpl w:val="29FAEA22"/>
    <w:lvl w:ilvl="0" w:tplc="86D880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D1B90"/>
    <w:multiLevelType w:val="hybridMultilevel"/>
    <w:tmpl w:val="74EC0E38"/>
    <w:lvl w:ilvl="0" w:tplc="ACBC2F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826DE7"/>
    <w:multiLevelType w:val="hybridMultilevel"/>
    <w:tmpl w:val="BEAE9960"/>
    <w:lvl w:ilvl="0" w:tplc="F664E4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AB72D8"/>
    <w:multiLevelType w:val="hybridMultilevel"/>
    <w:tmpl w:val="35AA0306"/>
    <w:lvl w:ilvl="0" w:tplc="93BE6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02467"/>
    <w:multiLevelType w:val="multilevel"/>
    <w:tmpl w:val="610A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F17497"/>
    <w:multiLevelType w:val="hybridMultilevel"/>
    <w:tmpl w:val="8AE4E7C0"/>
    <w:lvl w:ilvl="0" w:tplc="FFD08D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65F03"/>
    <w:multiLevelType w:val="hybridMultilevel"/>
    <w:tmpl w:val="6CD6C316"/>
    <w:lvl w:ilvl="0" w:tplc="D6CCDC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957DE4"/>
    <w:multiLevelType w:val="hybridMultilevel"/>
    <w:tmpl w:val="B12EB292"/>
    <w:lvl w:ilvl="0" w:tplc="6D2A51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460910"/>
    <w:multiLevelType w:val="hybridMultilevel"/>
    <w:tmpl w:val="7578174A"/>
    <w:lvl w:ilvl="0" w:tplc="02DE6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603433">
    <w:abstractNumId w:val="9"/>
  </w:num>
  <w:num w:numId="2" w16cid:durableId="1522234468">
    <w:abstractNumId w:val="8"/>
  </w:num>
  <w:num w:numId="3" w16cid:durableId="1996103650">
    <w:abstractNumId w:val="3"/>
  </w:num>
  <w:num w:numId="4" w16cid:durableId="1839073317">
    <w:abstractNumId w:val="11"/>
  </w:num>
  <w:num w:numId="5" w16cid:durableId="1784418744">
    <w:abstractNumId w:val="10"/>
  </w:num>
  <w:num w:numId="6" w16cid:durableId="206181275">
    <w:abstractNumId w:val="4"/>
  </w:num>
  <w:num w:numId="7" w16cid:durableId="2119720055">
    <w:abstractNumId w:val="6"/>
  </w:num>
  <w:num w:numId="8" w16cid:durableId="2069767724">
    <w:abstractNumId w:val="2"/>
  </w:num>
  <w:num w:numId="9" w16cid:durableId="541216215">
    <w:abstractNumId w:val="12"/>
  </w:num>
  <w:num w:numId="10" w16cid:durableId="734549192">
    <w:abstractNumId w:val="5"/>
  </w:num>
  <w:num w:numId="11" w16cid:durableId="1444500960">
    <w:abstractNumId w:val="7"/>
  </w:num>
  <w:num w:numId="12" w16cid:durableId="2127696702">
    <w:abstractNumId w:val="0"/>
  </w:num>
  <w:num w:numId="13" w16cid:durableId="861671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65C"/>
    <w:rsid w:val="00003A30"/>
    <w:rsid w:val="000042BA"/>
    <w:rsid w:val="0000572F"/>
    <w:rsid w:val="00010693"/>
    <w:rsid w:val="00011D6D"/>
    <w:rsid w:val="00012484"/>
    <w:rsid w:val="00013C19"/>
    <w:rsid w:val="000163A4"/>
    <w:rsid w:val="000168D5"/>
    <w:rsid w:val="00023AEF"/>
    <w:rsid w:val="00023C1C"/>
    <w:rsid w:val="000266BE"/>
    <w:rsid w:val="00027417"/>
    <w:rsid w:val="000276A1"/>
    <w:rsid w:val="000305ED"/>
    <w:rsid w:val="00033A48"/>
    <w:rsid w:val="0003415E"/>
    <w:rsid w:val="00034F03"/>
    <w:rsid w:val="00035973"/>
    <w:rsid w:val="00036334"/>
    <w:rsid w:val="00036B19"/>
    <w:rsid w:val="000371CB"/>
    <w:rsid w:val="000376AA"/>
    <w:rsid w:val="00040006"/>
    <w:rsid w:val="000412A8"/>
    <w:rsid w:val="000422F4"/>
    <w:rsid w:val="00044017"/>
    <w:rsid w:val="0004491A"/>
    <w:rsid w:val="000453E8"/>
    <w:rsid w:val="00046232"/>
    <w:rsid w:val="000464D2"/>
    <w:rsid w:val="00050D17"/>
    <w:rsid w:val="00054547"/>
    <w:rsid w:val="00054EAE"/>
    <w:rsid w:val="000562A6"/>
    <w:rsid w:val="000616BD"/>
    <w:rsid w:val="00063039"/>
    <w:rsid w:val="00065E8A"/>
    <w:rsid w:val="00066013"/>
    <w:rsid w:val="0006769F"/>
    <w:rsid w:val="0006796E"/>
    <w:rsid w:val="00071120"/>
    <w:rsid w:val="0007220A"/>
    <w:rsid w:val="00073720"/>
    <w:rsid w:val="00073D01"/>
    <w:rsid w:val="00073D74"/>
    <w:rsid w:val="00074365"/>
    <w:rsid w:val="00076349"/>
    <w:rsid w:val="00082490"/>
    <w:rsid w:val="000828DA"/>
    <w:rsid w:val="00084378"/>
    <w:rsid w:val="000853A9"/>
    <w:rsid w:val="00087148"/>
    <w:rsid w:val="000909F3"/>
    <w:rsid w:val="00092139"/>
    <w:rsid w:val="00093562"/>
    <w:rsid w:val="000940DE"/>
    <w:rsid w:val="0009503B"/>
    <w:rsid w:val="00095DA3"/>
    <w:rsid w:val="00097EA1"/>
    <w:rsid w:val="00097FA0"/>
    <w:rsid w:val="000A303F"/>
    <w:rsid w:val="000A30E6"/>
    <w:rsid w:val="000A3842"/>
    <w:rsid w:val="000A4BF1"/>
    <w:rsid w:val="000A7926"/>
    <w:rsid w:val="000A7A23"/>
    <w:rsid w:val="000B0CDF"/>
    <w:rsid w:val="000B1489"/>
    <w:rsid w:val="000B2AA2"/>
    <w:rsid w:val="000B389B"/>
    <w:rsid w:val="000B728C"/>
    <w:rsid w:val="000B7767"/>
    <w:rsid w:val="000B7BE3"/>
    <w:rsid w:val="000C760E"/>
    <w:rsid w:val="000D0DE3"/>
    <w:rsid w:val="000D18CA"/>
    <w:rsid w:val="000D4A7F"/>
    <w:rsid w:val="000D7267"/>
    <w:rsid w:val="000D7A1A"/>
    <w:rsid w:val="000E17F7"/>
    <w:rsid w:val="000E1F86"/>
    <w:rsid w:val="000E2B4D"/>
    <w:rsid w:val="000E3A41"/>
    <w:rsid w:val="000F26C7"/>
    <w:rsid w:val="000F2780"/>
    <w:rsid w:val="000F28B9"/>
    <w:rsid w:val="000F43FD"/>
    <w:rsid w:val="000F61DC"/>
    <w:rsid w:val="001011CC"/>
    <w:rsid w:val="00101E1C"/>
    <w:rsid w:val="00103CBE"/>
    <w:rsid w:val="001045BD"/>
    <w:rsid w:val="00110B24"/>
    <w:rsid w:val="00110BDE"/>
    <w:rsid w:val="00110F2B"/>
    <w:rsid w:val="001123EF"/>
    <w:rsid w:val="001137E6"/>
    <w:rsid w:val="001179A6"/>
    <w:rsid w:val="00117A93"/>
    <w:rsid w:val="0012035F"/>
    <w:rsid w:val="00120975"/>
    <w:rsid w:val="00121E05"/>
    <w:rsid w:val="001223A4"/>
    <w:rsid w:val="00123465"/>
    <w:rsid w:val="00125CB2"/>
    <w:rsid w:val="00126494"/>
    <w:rsid w:val="00130C87"/>
    <w:rsid w:val="00132B22"/>
    <w:rsid w:val="00134E66"/>
    <w:rsid w:val="00137998"/>
    <w:rsid w:val="00143ACC"/>
    <w:rsid w:val="0014413F"/>
    <w:rsid w:val="0014539F"/>
    <w:rsid w:val="0014557C"/>
    <w:rsid w:val="00146DE4"/>
    <w:rsid w:val="00150B7F"/>
    <w:rsid w:val="00151D64"/>
    <w:rsid w:val="001531E0"/>
    <w:rsid w:val="0015347E"/>
    <w:rsid w:val="00153618"/>
    <w:rsid w:val="00153A11"/>
    <w:rsid w:val="00161DCA"/>
    <w:rsid w:val="00162728"/>
    <w:rsid w:val="00162CD5"/>
    <w:rsid w:val="00164884"/>
    <w:rsid w:val="00170468"/>
    <w:rsid w:val="00170621"/>
    <w:rsid w:val="0017067B"/>
    <w:rsid w:val="00170802"/>
    <w:rsid w:val="0017285C"/>
    <w:rsid w:val="00172B69"/>
    <w:rsid w:val="001732C2"/>
    <w:rsid w:val="001735A4"/>
    <w:rsid w:val="00175DD8"/>
    <w:rsid w:val="001817D4"/>
    <w:rsid w:val="0018365C"/>
    <w:rsid w:val="0018389E"/>
    <w:rsid w:val="00187A05"/>
    <w:rsid w:val="0019473E"/>
    <w:rsid w:val="001971A8"/>
    <w:rsid w:val="001974B9"/>
    <w:rsid w:val="0019783D"/>
    <w:rsid w:val="001A1B39"/>
    <w:rsid w:val="001A4097"/>
    <w:rsid w:val="001A58E7"/>
    <w:rsid w:val="001B0949"/>
    <w:rsid w:val="001B1710"/>
    <w:rsid w:val="001B2011"/>
    <w:rsid w:val="001B338A"/>
    <w:rsid w:val="001B429F"/>
    <w:rsid w:val="001C0586"/>
    <w:rsid w:val="001C0F7A"/>
    <w:rsid w:val="001C1D06"/>
    <w:rsid w:val="001C22BE"/>
    <w:rsid w:val="001C506E"/>
    <w:rsid w:val="001C5AEF"/>
    <w:rsid w:val="001C644C"/>
    <w:rsid w:val="001D02CD"/>
    <w:rsid w:val="001D1149"/>
    <w:rsid w:val="001D2CBD"/>
    <w:rsid w:val="001D3A6B"/>
    <w:rsid w:val="001D5336"/>
    <w:rsid w:val="001D63FC"/>
    <w:rsid w:val="001D6700"/>
    <w:rsid w:val="001D6E5C"/>
    <w:rsid w:val="001D7816"/>
    <w:rsid w:val="001D7C62"/>
    <w:rsid w:val="001D7C6C"/>
    <w:rsid w:val="001E004C"/>
    <w:rsid w:val="001E0E37"/>
    <w:rsid w:val="001E2286"/>
    <w:rsid w:val="001E3169"/>
    <w:rsid w:val="001E4123"/>
    <w:rsid w:val="001E4819"/>
    <w:rsid w:val="001E650F"/>
    <w:rsid w:val="001E6E21"/>
    <w:rsid w:val="001E74EF"/>
    <w:rsid w:val="001F1139"/>
    <w:rsid w:val="001F1E43"/>
    <w:rsid w:val="001F2809"/>
    <w:rsid w:val="001F4383"/>
    <w:rsid w:val="001F5447"/>
    <w:rsid w:val="001F626F"/>
    <w:rsid w:val="002003C5"/>
    <w:rsid w:val="00202037"/>
    <w:rsid w:val="00204E18"/>
    <w:rsid w:val="002114A3"/>
    <w:rsid w:val="002139DB"/>
    <w:rsid w:val="00213B1C"/>
    <w:rsid w:val="00213D85"/>
    <w:rsid w:val="00216405"/>
    <w:rsid w:val="00217E8D"/>
    <w:rsid w:val="0022043D"/>
    <w:rsid w:val="00220F6B"/>
    <w:rsid w:val="00221E94"/>
    <w:rsid w:val="0022679C"/>
    <w:rsid w:val="0022686D"/>
    <w:rsid w:val="00227683"/>
    <w:rsid w:val="00230A7D"/>
    <w:rsid w:val="002311CD"/>
    <w:rsid w:val="002316B9"/>
    <w:rsid w:val="00233FE4"/>
    <w:rsid w:val="00234A72"/>
    <w:rsid w:val="00241DE7"/>
    <w:rsid w:val="00242514"/>
    <w:rsid w:val="002435D1"/>
    <w:rsid w:val="002447FF"/>
    <w:rsid w:val="00245388"/>
    <w:rsid w:val="002457D4"/>
    <w:rsid w:val="00246105"/>
    <w:rsid w:val="00246788"/>
    <w:rsid w:val="00247792"/>
    <w:rsid w:val="002501DE"/>
    <w:rsid w:val="00250F14"/>
    <w:rsid w:val="002512CF"/>
    <w:rsid w:val="0025256E"/>
    <w:rsid w:val="00255C66"/>
    <w:rsid w:val="00256352"/>
    <w:rsid w:val="00256C82"/>
    <w:rsid w:val="002571BB"/>
    <w:rsid w:val="002575DA"/>
    <w:rsid w:val="002576C2"/>
    <w:rsid w:val="00262229"/>
    <w:rsid w:val="002656EA"/>
    <w:rsid w:val="002671E3"/>
    <w:rsid w:val="002674F9"/>
    <w:rsid w:val="00276802"/>
    <w:rsid w:val="00276974"/>
    <w:rsid w:val="00277147"/>
    <w:rsid w:val="00277DA3"/>
    <w:rsid w:val="002814C2"/>
    <w:rsid w:val="002815C7"/>
    <w:rsid w:val="002867E0"/>
    <w:rsid w:val="00291F0E"/>
    <w:rsid w:val="002946E5"/>
    <w:rsid w:val="0029620B"/>
    <w:rsid w:val="00296885"/>
    <w:rsid w:val="002972A9"/>
    <w:rsid w:val="002975CB"/>
    <w:rsid w:val="002A0FA4"/>
    <w:rsid w:val="002A2D61"/>
    <w:rsid w:val="002A2E83"/>
    <w:rsid w:val="002A3086"/>
    <w:rsid w:val="002A6C39"/>
    <w:rsid w:val="002B1344"/>
    <w:rsid w:val="002B6C17"/>
    <w:rsid w:val="002B76B5"/>
    <w:rsid w:val="002B7E22"/>
    <w:rsid w:val="002C028E"/>
    <w:rsid w:val="002C11CF"/>
    <w:rsid w:val="002C1A0E"/>
    <w:rsid w:val="002C4A4E"/>
    <w:rsid w:val="002C5FF3"/>
    <w:rsid w:val="002C60FA"/>
    <w:rsid w:val="002D0AEC"/>
    <w:rsid w:val="002D1D8C"/>
    <w:rsid w:val="002D209F"/>
    <w:rsid w:val="002D28DE"/>
    <w:rsid w:val="002D4E00"/>
    <w:rsid w:val="002D4E1D"/>
    <w:rsid w:val="002D510B"/>
    <w:rsid w:val="002D68A4"/>
    <w:rsid w:val="002D7EB1"/>
    <w:rsid w:val="002E18F7"/>
    <w:rsid w:val="002E2E8C"/>
    <w:rsid w:val="002E3904"/>
    <w:rsid w:val="002F084A"/>
    <w:rsid w:val="002F2A8E"/>
    <w:rsid w:val="002F376F"/>
    <w:rsid w:val="002F7218"/>
    <w:rsid w:val="002F7C46"/>
    <w:rsid w:val="0030342B"/>
    <w:rsid w:val="00303D1D"/>
    <w:rsid w:val="00303FA3"/>
    <w:rsid w:val="0030472F"/>
    <w:rsid w:val="00305CBD"/>
    <w:rsid w:val="0030628F"/>
    <w:rsid w:val="00310501"/>
    <w:rsid w:val="003107C4"/>
    <w:rsid w:val="00310D08"/>
    <w:rsid w:val="003118ED"/>
    <w:rsid w:val="00311BA1"/>
    <w:rsid w:val="003202D4"/>
    <w:rsid w:val="003211FE"/>
    <w:rsid w:val="00323F31"/>
    <w:rsid w:val="003241CA"/>
    <w:rsid w:val="00324E06"/>
    <w:rsid w:val="00325130"/>
    <w:rsid w:val="00325FAB"/>
    <w:rsid w:val="00335DD5"/>
    <w:rsid w:val="00336881"/>
    <w:rsid w:val="003403F1"/>
    <w:rsid w:val="003446C5"/>
    <w:rsid w:val="003452FB"/>
    <w:rsid w:val="003542F9"/>
    <w:rsid w:val="0035654C"/>
    <w:rsid w:val="00361ABE"/>
    <w:rsid w:val="00362AD6"/>
    <w:rsid w:val="00367C6C"/>
    <w:rsid w:val="00370738"/>
    <w:rsid w:val="0037136F"/>
    <w:rsid w:val="0037434E"/>
    <w:rsid w:val="00374484"/>
    <w:rsid w:val="00375F52"/>
    <w:rsid w:val="00381992"/>
    <w:rsid w:val="00386E5F"/>
    <w:rsid w:val="0039187E"/>
    <w:rsid w:val="00392315"/>
    <w:rsid w:val="00393571"/>
    <w:rsid w:val="00396353"/>
    <w:rsid w:val="0039726A"/>
    <w:rsid w:val="0039778F"/>
    <w:rsid w:val="003977C2"/>
    <w:rsid w:val="003A2086"/>
    <w:rsid w:val="003A2C1E"/>
    <w:rsid w:val="003A3BAA"/>
    <w:rsid w:val="003A503B"/>
    <w:rsid w:val="003A5293"/>
    <w:rsid w:val="003A5B2D"/>
    <w:rsid w:val="003B027A"/>
    <w:rsid w:val="003B098A"/>
    <w:rsid w:val="003B5E86"/>
    <w:rsid w:val="003B64CD"/>
    <w:rsid w:val="003C00E7"/>
    <w:rsid w:val="003C1C9D"/>
    <w:rsid w:val="003C1D24"/>
    <w:rsid w:val="003C2D6C"/>
    <w:rsid w:val="003C5870"/>
    <w:rsid w:val="003C5E81"/>
    <w:rsid w:val="003C621D"/>
    <w:rsid w:val="003C73F6"/>
    <w:rsid w:val="003C7F82"/>
    <w:rsid w:val="003D0BD9"/>
    <w:rsid w:val="003D0F70"/>
    <w:rsid w:val="003D2D00"/>
    <w:rsid w:val="003D3535"/>
    <w:rsid w:val="003D51BD"/>
    <w:rsid w:val="003D6031"/>
    <w:rsid w:val="003D6229"/>
    <w:rsid w:val="003E1D05"/>
    <w:rsid w:val="003E27D4"/>
    <w:rsid w:val="003E308A"/>
    <w:rsid w:val="003E34C8"/>
    <w:rsid w:val="003E3611"/>
    <w:rsid w:val="003E4FDD"/>
    <w:rsid w:val="003E6139"/>
    <w:rsid w:val="003E72DC"/>
    <w:rsid w:val="003E7D09"/>
    <w:rsid w:val="003E7EB8"/>
    <w:rsid w:val="003F0114"/>
    <w:rsid w:val="003F03A5"/>
    <w:rsid w:val="003F2175"/>
    <w:rsid w:val="003F406C"/>
    <w:rsid w:val="003F4954"/>
    <w:rsid w:val="003F50CC"/>
    <w:rsid w:val="003F55C9"/>
    <w:rsid w:val="00400B76"/>
    <w:rsid w:val="00400E97"/>
    <w:rsid w:val="0040156F"/>
    <w:rsid w:val="00401A0C"/>
    <w:rsid w:val="00402F60"/>
    <w:rsid w:val="00403BF7"/>
    <w:rsid w:val="00404F79"/>
    <w:rsid w:val="004056B9"/>
    <w:rsid w:val="00413088"/>
    <w:rsid w:val="00413CF6"/>
    <w:rsid w:val="00416832"/>
    <w:rsid w:val="00416BD5"/>
    <w:rsid w:val="00417746"/>
    <w:rsid w:val="00422761"/>
    <w:rsid w:val="00422987"/>
    <w:rsid w:val="00422988"/>
    <w:rsid w:val="00422AD6"/>
    <w:rsid w:val="00424667"/>
    <w:rsid w:val="00431404"/>
    <w:rsid w:val="00432A88"/>
    <w:rsid w:val="00432B22"/>
    <w:rsid w:val="00433336"/>
    <w:rsid w:val="004336AD"/>
    <w:rsid w:val="00435A0F"/>
    <w:rsid w:val="00436166"/>
    <w:rsid w:val="00436603"/>
    <w:rsid w:val="00437E73"/>
    <w:rsid w:val="0044179B"/>
    <w:rsid w:val="0044238F"/>
    <w:rsid w:val="0044268A"/>
    <w:rsid w:val="00442AFF"/>
    <w:rsid w:val="00443B19"/>
    <w:rsid w:val="00444BF7"/>
    <w:rsid w:val="00444F60"/>
    <w:rsid w:val="00446C72"/>
    <w:rsid w:val="00447A9B"/>
    <w:rsid w:val="00450398"/>
    <w:rsid w:val="00451949"/>
    <w:rsid w:val="00453BCD"/>
    <w:rsid w:val="00455B67"/>
    <w:rsid w:val="00456A89"/>
    <w:rsid w:val="00461EFC"/>
    <w:rsid w:val="00462F87"/>
    <w:rsid w:val="0046304D"/>
    <w:rsid w:val="00463F87"/>
    <w:rsid w:val="004640F7"/>
    <w:rsid w:val="0046420B"/>
    <w:rsid w:val="00464BD4"/>
    <w:rsid w:val="0046592F"/>
    <w:rsid w:val="00467874"/>
    <w:rsid w:val="00467EEC"/>
    <w:rsid w:val="0047295A"/>
    <w:rsid w:val="00473537"/>
    <w:rsid w:val="004735DE"/>
    <w:rsid w:val="004744BA"/>
    <w:rsid w:val="00477BD2"/>
    <w:rsid w:val="00481446"/>
    <w:rsid w:val="00485C35"/>
    <w:rsid w:val="00490C16"/>
    <w:rsid w:val="004915B4"/>
    <w:rsid w:val="00492986"/>
    <w:rsid w:val="004945DE"/>
    <w:rsid w:val="004A09CA"/>
    <w:rsid w:val="004A1402"/>
    <w:rsid w:val="004A1EDD"/>
    <w:rsid w:val="004A2673"/>
    <w:rsid w:val="004A2C61"/>
    <w:rsid w:val="004A38D2"/>
    <w:rsid w:val="004A48F0"/>
    <w:rsid w:val="004A5CDD"/>
    <w:rsid w:val="004B062F"/>
    <w:rsid w:val="004B5427"/>
    <w:rsid w:val="004B5703"/>
    <w:rsid w:val="004C04CC"/>
    <w:rsid w:val="004C5BB3"/>
    <w:rsid w:val="004D1714"/>
    <w:rsid w:val="004D329D"/>
    <w:rsid w:val="004D3A4D"/>
    <w:rsid w:val="004D4225"/>
    <w:rsid w:val="004D4AF5"/>
    <w:rsid w:val="004D7575"/>
    <w:rsid w:val="004D762E"/>
    <w:rsid w:val="004D7795"/>
    <w:rsid w:val="004E2C92"/>
    <w:rsid w:val="004E2DBC"/>
    <w:rsid w:val="004E47D0"/>
    <w:rsid w:val="004E48ED"/>
    <w:rsid w:val="004E7E8D"/>
    <w:rsid w:val="004F052D"/>
    <w:rsid w:val="004F1541"/>
    <w:rsid w:val="004F1AB7"/>
    <w:rsid w:val="004F4C6E"/>
    <w:rsid w:val="004F71B1"/>
    <w:rsid w:val="004F7216"/>
    <w:rsid w:val="00500054"/>
    <w:rsid w:val="0050083E"/>
    <w:rsid w:val="005009E2"/>
    <w:rsid w:val="00505CCD"/>
    <w:rsid w:val="005062E5"/>
    <w:rsid w:val="005077A0"/>
    <w:rsid w:val="00511621"/>
    <w:rsid w:val="00514A8B"/>
    <w:rsid w:val="0052662B"/>
    <w:rsid w:val="00527ED3"/>
    <w:rsid w:val="00535BA1"/>
    <w:rsid w:val="005365DF"/>
    <w:rsid w:val="00536746"/>
    <w:rsid w:val="00537568"/>
    <w:rsid w:val="00540B60"/>
    <w:rsid w:val="005410A1"/>
    <w:rsid w:val="005414B9"/>
    <w:rsid w:val="00541AB6"/>
    <w:rsid w:val="0054234F"/>
    <w:rsid w:val="00542BC9"/>
    <w:rsid w:val="0054374F"/>
    <w:rsid w:val="00544536"/>
    <w:rsid w:val="00546B67"/>
    <w:rsid w:val="0054767F"/>
    <w:rsid w:val="00550FE3"/>
    <w:rsid w:val="005511CC"/>
    <w:rsid w:val="005525C7"/>
    <w:rsid w:val="005538BA"/>
    <w:rsid w:val="005541EF"/>
    <w:rsid w:val="005541F7"/>
    <w:rsid w:val="00554C5C"/>
    <w:rsid w:val="0055504A"/>
    <w:rsid w:val="0055546D"/>
    <w:rsid w:val="00556C80"/>
    <w:rsid w:val="00557431"/>
    <w:rsid w:val="00560708"/>
    <w:rsid w:val="00563DFD"/>
    <w:rsid w:val="00567F2E"/>
    <w:rsid w:val="005727D4"/>
    <w:rsid w:val="0057321C"/>
    <w:rsid w:val="005744DC"/>
    <w:rsid w:val="00574DDD"/>
    <w:rsid w:val="00576658"/>
    <w:rsid w:val="00580342"/>
    <w:rsid w:val="005813D6"/>
    <w:rsid w:val="005849C8"/>
    <w:rsid w:val="00585E6E"/>
    <w:rsid w:val="00586C63"/>
    <w:rsid w:val="00592C25"/>
    <w:rsid w:val="0059676E"/>
    <w:rsid w:val="00597616"/>
    <w:rsid w:val="00597A00"/>
    <w:rsid w:val="005A19D6"/>
    <w:rsid w:val="005A23F3"/>
    <w:rsid w:val="005A48FF"/>
    <w:rsid w:val="005A6752"/>
    <w:rsid w:val="005A7C45"/>
    <w:rsid w:val="005A7DBD"/>
    <w:rsid w:val="005B2E0B"/>
    <w:rsid w:val="005B316C"/>
    <w:rsid w:val="005B3663"/>
    <w:rsid w:val="005B3EB0"/>
    <w:rsid w:val="005B5E3E"/>
    <w:rsid w:val="005B6A93"/>
    <w:rsid w:val="005B6ECC"/>
    <w:rsid w:val="005B6F58"/>
    <w:rsid w:val="005C22AE"/>
    <w:rsid w:val="005C26FA"/>
    <w:rsid w:val="005C3ACC"/>
    <w:rsid w:val="005C52D3"/>
    <w:rsid w:val="005C68BC"/>
    <w:rsid w:val="005C73B8"/>
    <w:rsid w:val="005D05E4"/>
    <w:rsid w:val="005D104F"/>
    <w:rsid w:val="005D16B8"/>
    <w:rsid w:val="005D3DE8"/>
    <w:rsid w:val="005D4041"/>
    <w:rsid w:val="005D4870"/>
    <w:rsid w:val="005D4E65"/>
    <w:rsid w:val="005E27E7"/>
    <w:rsid w:val="005E3C8C"/>
    <w:rsid w:val="005E4DBF"/>
    <w:rsid w:val="005F0C46"/>
    <w:rsid w:val="005F0F1D"/>
    <w:rsid w:val="005F10C1"/>
    <w:rsid w:val="005F136A"/>
    <w:rsid w:val="005F1D03"/>
    <w:rsid w:val="005F3230"/>
    <w:rsid w:val="005F3B1E"/>
    <w:rsid w:val="005F6043"/>
    <w:rsid w:val="006004D1"/>
    <w:rsid w:val="0060066F"/>
    <w:rsid w:val="00602E2C"/>
    <w:rsid w:val="00605667"/>
    <w:rsid w:val="00607085"/>
    <w:rsid w:val="00607EFE"/>
    <w:rsid w:val="00607F80"/>
    <w:rsid w:val="00610827"/>
    <w:rsid w:val="00611726"/>
    <w:rsid w:val="00611B11"/>
    <w:rsid w:val="00611EE9"/>
    <w:rsid w:val="0061376A"/>
    <w:rsid w:val="00613ACB"/>
    <w:rsid w:val="006150C4"/>
    <w:rsid w:val="00617DD5"/>
    <w:rsid w:val="00620C9A"/>
    <w:rsid w:val="0062162A"/>
    <w:rsid w:val="00621E81"/>
    <w:rsid w:val="00623841"/>
    <w:rsid w:val="00631123"/>
    <w:rsid w:val="00633D85"/>
    <w:rsid w:val="006341AB"/>
    <w:rsid w:val="00636F96"/>
    <w:rsid w:val="00637368"/>
    <w:rsid w:val="006403D6"/>
    <w:rsid w:val="00645263"/>
    <w:rsid w:val="00645917"/>
    <w:rsid w:val="006467F0"/>
    <w:rsid w:val="00647156"/>
    <w:rsid w:val="0064721D"/>
    <w:rsid w:val="00647C69"/>
    <w:rsid w:val="00651ADF"/>
    <w:rsid w:val="00651C9F"/>
    <w:rsid w:val="006535C7"/>
    <w:rsid w:val="00653979"/>
    <w:rsid w:val="006548A0"/>
    <w:rsid w:val="006564ED"/>
    <w:rsid w:val="006568BC"/>
    <w:rsid w:val="00663200"/>
    <w:rsid w:val="00664088"/>
    <w:rsid w:val="00664826"/>
    <w:rsid w:val="006648DE"/>
    <w:rsid w:val="00665DAF"/>
    <w:rsid w:val="0066656D"/>
    <w:rsid w:val="0067232C"/>
    <w:rsid w:val="00672999"/>
    <w:rsid w:val="00673333"/>
    <w:rsid w:val="0067366B"/>
    <w:rsid w:val="00674314"/>
    <w:rsid w:val="00677A15"/>
    <w:rsid w:val="0068029E"/>
    <w:rsid w:val="006805BD"/>
    <w:rsid w:val="00681892"/>
    <w:rsid w:val="0068256D"/>
    <w:rsid w:val="0068352C"/>
    <w:rsid w:val="00684205"/>
    <w:rsid w:val="006842BD"/>
    <w:rsid w:val="0068722A"/>
    <w:rsid w:val="00691B96"/>
    <w:rsid w:val="006920E2"/>
    <w:rsid w:val="006924F8"/>
    <w:rsid w:val="006945ED"/>
    <w:rsid w:val="00695CD5"/>
    <w:rsid w:val="00697199"/>
    <w:rsid w:val="00697AD1"/>
    <w:rsid w:val="006A098F"/>
    <w:rsid w:val="006A1B80"/>
    <w:rsid w:val="006A2525"/>
    <w:rsid w:val="006A2DDB"/>
    <w:rsid w:val="006A4CC6"/>
    <w:rsid w:val="006A7587"/>
    <w:rsid w:val="006B0237"/>
    <w:rsid w:val="006B09C6"/>
    <w:rsid w:val="006B74E2"/>
    <w:rsid w:val="006C1DD6"/>
    <w:rsid w:val="006C1F60"/>
    <w:rsid w:val="006C2639"/>
    <w:rsid w:val="006C284A"/>
    <w:rsid w:val="006D0323"/>
    <w:rsid w:val="006D0CC5"/>
    <w:rsid w:val="006D399A"/>
    <w:rsid w:val="006D6C3D"/>
    <w:rsid w:val="006F00F5"/>
    <w:rsid w:val="006F1B86"/>
    <w:rsid w:val="006F78B6"/>
    <w:rsid w:val="007028E3"/>
    <w:rsid w:val="00702F60"/>
    <w:rsid w:val="00702FA0"/>
    <w:rsid w:val="00704F6E"/>
    <w:rsid w:val="0070564E"/>
    <w:rsid w:val="00705BB7"/>
    <w:rsid w:val="00705E3D"/>
    <w:rsid w:val="00706192"/>
    <w:rsid w:val="007067C9"/>
    <w:rsid w:val="00712273"/>
    <w:rsid w:val="00712B1B"/>
    <w:rsid w:val="007136F6"/>
    <w:rsid w:val="0071471A"/>
    <w:rsid w:val="0071507C"/>
    <w:rsid w:val="0071568B"/>
    <w:rsid w:val="007157CC"/>
    <w:rsid w:val="007157DE"/>
    <w:rsid w:val="00720210"/>
    <w:rsid w:val="0072114F"/>
    <w:rsid w:val="007215F1"/>
    <w:rsid w:val="00724328"/>
    <w:rsid w:val="00724F67"/>
    <w:rsid w:val="00726153"/>
    <w:rsid w:val="00726C89"/>
    <w:rsid w:val="00727739"/>
    <w:rsid w:val="00732EA2"/>
    <w:rsid w:val="00733167"/>
    <w:rsid w:val="00735916"/>
    <w:rsid w:val="0073774F"/>
    <w:rsid w:val="00737E23"/>
    <w:rsid w:val="007415D8"/>
    <w:rsid w:val="00742F0F"/>
    <w:rsid w:val="00743247"/>
    <w:rsid w:val="00743811"/>
    <w:rsid w:val="00747449"/>
    <w:rsid w:val="00753FE7"/>
    <w:rsid w:val="00754DB8"/>
    <w:rsid w:val="007564EB"/>
    <w:rsid w:val="00756C9E"/>
    <w:rsid w:val="007639E2"/>
    <w:rsid w:val="00766689"/>
    <w:rsid w:val="00770784"/>
    <w:rsid w:val="007716A2"/>
    <w:rsid w:val="007735E2"/>
    <w:rsid w:val="007748AD"/>
    <w:rsid w:val="00775A65"/>
    <w:rsid w:val="00781057"/>
    <w:rsid w:val="007827E4"/>
    <w:rsid w:val="00783232"/>
    <w:rsid w:val="00785099"/>
    <w:rsid w:val="0078726A"/>
    <w:rsid w:val="007919F2"/>
    <w:rsid w:val="00791A0D"/>
    <w:rsid w:val="0079460F"/>
    <w:rsid w:val="00794B29"/>
    <w:rsid w:val="00795AC2"/>
    <w:rsid w:val="00796C81"/>
    <w:rsid w:val="007A35B9"/>
    <w:rsid w:val="007A447B"/>
    <w:rsid w:val="007B1B54"/>
    <w:rsid w:val="007B1C00"/>
    <w:rsid w:val="007B29AA"/>
    <w:rsid w:val="007B3B31"/>
    <w:rsid w:val="007B4591"/>
    <w:rsid w:val="007B46ED"/>
    <w:rsid w:val="007B5466"/>
    <w:rsid w:val="007B5AC5"/>
    <w:rsid w:val="007B6959"/>
    <w:rsid w:val="007B7AA6"/>
    <w:rsid w:val="007C2055"/>
    <w:rsid w:val="007C481D"/>
    <w:rsid w:val="007C5326"/>
    <w:rsid w:val="007C5396"/>
    <w:rsid w:val="007C7CBE"/>
    <w:rsid w:val="007D3D7A"/>
    <w:rsid w:val="007D5A94"/>
    <w:rsid w:val="007D7DDC"/>
    <w:rsid w:val="007E08AD"/>
    <w:rsid w:val="007E0DEF"/>
    <w:rsid w:val="007E188B"/>
    <w:rsid w:val="007E35E5"/>
    <w:rsid w:val="007E618E"/>
    <w:rsid w:val="007E6CCD"/>
    <w:rsid w:val="007F00E2"/>
    <w:rsid w:val="007F024C"/>
    <w:rsid w:val="007F1849"/>
    <w:rsid w:val="007F3646"/>
    <w:rsid w:val="007F45F9"/>
    <w:rsid w:val="007F51C4"/>
    <w:rsid w:val="007F57B3"/>
    <w:rsid w:val="007F5DE7"/>
    <w:rsid w:val="007F5FCF"/>
    <w:rsid w:val="007F697E"/>
    <w:rsid w:val="007F73C3"/>
    <w:rsid w:val="0080215F"/>
    <w:rsid w:val="008030E7"/>
    <w:rsid w:val="00804D1A"/>
    <w:rsid w:val="00807002"/>
    <w:rsid w:val="00807406"/>
    <w:rsid w:val="00807857"/>
    <w:rsid w:val="00813B80"/>
    <w:rsid w:val="00814037"/>
    <w:rsid w:val="00816B12"/>
    <w:rsid w:val="0082055C"/>
    <w:rsid w:val="00822056"/>
    <w:rsid w:val="00826767"/>
    <w:rsid w:val="00826E57"/>
    <w:rsid w:val="008325B0"/>
    <w:rsid w:val="008347A4"/>
    <w:rsid w:val="008407A8"/>
    <w:rsid w:val="0084176A"/>
    <w:rsid w:val="00841783"/>
    <w:rsid w:val="00841872"/>
    <w:rsid w:val="00844613"/>
    <w:rsid w:val="0084725A"/>
    <w:rsid w:val="008476CB"/>
    <w:rsid w:val="00847EC7"/>
    <w:rsid w:val="00855892"/>
    <w:rsid w:val="00855DAD"/>
    <w:rsid w:val="008562CE"/>
    <w:rsid w:val="0085649C"/>
    <w:rsid w:val="00856E71"/>
    <w:rsid w:val="00857403"/>
    <w:rsid w:val="008600AE"/>
    <w:rsid w:val="00864047"/>
    <w:rsid w:val="008668EC"/>
    <w:rsid w:val="00872D1E"/>
    <w:rsid w:val="00874038"/>
    <w:rsid w:val="008740D6"/>
    <w:rsid w:val="00875105"/>
    <w:rsid w:val="0087570A"/>
    <w:rsid w:val="0088167B"/>
    <w:rsid w:val="00883CF7"/>
    <w:rsid w:val="00885052"/>
    <w:rsid w:val="008859EB"/>
    <w:rsid w:val="0089014A"/>
    <w:rsid w:val="0089093E"/>
    <w:rsid w:val="00893C0A"/>
    <w:rsid w:val="008947EE"/>
    <w:rsid w:val="00895F82"/>
    <w:rsid w:val="00896575"/>
    <w:rsid w:val="00896D4E"/>
    <w:rsid w:val="008B3BD6"/>
    <w:rsid w:val="008B7B2B"/>
    <w:rsid w:val="008C297E"/>
    <w:rsid w:val="008C5463"/>
    <w:rsid w:val="008C6246"/>
    <w:rsid w:val="008D63FA"/>
    <w:rsid w:val="008D6F4E"/>
    <w:rsid w:val="008D7116"/>
    <w:rsid w:val="008D74BF"/>
    <w:rsid w:val="008E3CC0"/>
    <w:rsid w:val="008E4FDB"/>
    <w:rsid w:val="008E580E"/>
    <w:rsid w:val="008E69D4"/>
    <w:rsid w:val="008E73D4"/>
    <w:rsid w:val="008E751D"/>
    <w:rsid w:val="008E7E05"/>
    <w:rsid w:val="008F046B"/>
    <w:rsid w:val="008F18BB"/>
    <w:rsid w:val="008F29EB"/>
    <w:rsid w:val="008F3217"/>
    <w:rsid w:val="008F451D"/>
    <w:rsid w:val="008F45C5"/>
    <w:rsid w:val="008F7D13"/>
    <w:rsid w:val="00901548"/>
    <w:rsid w:val="009026AF"/>
    <w:rsid w:val="00902C84"/>
    <w:rsid w:val="0090452F"/>
    <w:rsid w:val="00910E47"/>
    <w:rsid w:val="00910F3D"/>
    <w:rsid w:val="00912D2D"/>
    <w:rsid w:val="00912D73"/>
    <w:rsid w:val="0091331D"/>
    <w:rsid w:val="00913651"/>
    <w:rsid w:val="009150D6"/>
    <w:rsid w:val="0092066C"/>
    <w:rsid w:val="009215C8"/>
    <w:rsid w:val="00923E5A"/>
    <w:rsid w:val="009242A7"/>
    <w:rsid w:val="00924D75"/>
    <w:rsid w:val="00926D4A"/>
    <w:rsid w:val="009278CC"/>
    <w:rsid w:val="0093191C"/>
    <w:rsid w:val="00931D7D"/>
    <w:rsid w:val="00932D9A"/>
    <w:rsid w:val="00933365"/>
    <w:rsid w:val="009356F4"/>
    <w:rsid w:val="00935916"/>
    <w:rsid w:val="009379D8"/>
    <w:rsid w:val="009427F2"/>
    <w:rsid w:val="00943F73"/>
    <w:rsid w:val="00945396"/>
    <w:rsid w:val="0094735D"/>
    <w:rsid w:val="0095003E"/>
    <w:rsid w:val="00950277"/>
    <w:rsid w:val="00950725"/>
    <w:rsid w:val="0095484E"/>
    <w:rsid w:val="00955B18"/>
    <w:rsid w:val="00957304"/>
    <w:rsid w:val="009575F5"/>
    <w:rsid w:val="00957F20"/>
    <w:rsid w:val="0096053D"/>
    <w:rsid w:val="00961EBC"/>
    <w:rsid w:val="00962CA1"/>
    <w:rsid w:val="00963163"/>
    <w:rsid w:val="009639E1"/>
    <w:rsid w:val="00965125"/>
    <w:rsid w:val="00967092"/>
    <w:rsid w:val="00971E60"/>
    <w:rsid w:val="009747D8"/>
    <w:rsid w:val="00975829"/>
    <w:rsid w:val="00977898"/>
    <w:rsid w:val="009821AB"/>
    <w:rsid w:val="009829E3"/>
    <w:rsid w:val="0098358E"/>
    <w:rsid w:val="00983DF6"/>
    <w:rsid w:val="00984715"/>
    <w:rsid w:val="00985F4E"/>
    <w:rsid w:val="00986FCB"/>
    <w:rsid w:val="009905E0"/>
    <w:rsid w:val="0099252C"/>
    <w:rsid w:val="00993462"/>
    <w:rsid w:val="00995FFD"/>
    <w:rsid w:val="009A09A1"/>
    <w:rsid w:val="009A1838"/>
    <w:rsid w:val="009A2938"/>
    <w:rsid w:val="009A3271"/>
    <w:rsid w:val="009A5652"/>
    <w:rsid w:val="009A6B92"/>
    <w:rsid w:val="009B057E"/>
    <w:rsid w:val="009B08BE"/>
    <w:rsid w:val="009B2D92"/>
    <w:rsid w:val="009C4804"/>
    <w:rsid w:val="009C4946"/>
    <w:rsid w:val="009C54DA"/>
    <w:rsid w:val="009C58C3"/>
    <w:rsid w:val="009C5A04"/>
    <w:rsid w:val="009D1EFA"/>
    <w:rsid w:val="009D3CF3"/>
    <w:rsid w:val="009D7CA8"/>
    <w:rsid w:val="009E2B89"/>
    <w:rsid w:val="009E358E"/>
    <w:rsid w:val="009E395C"/>
    <w:rsid w:val="009E718F"/>
    <w:rsid w:val="009E7303"/>
    <w:rsid w:val="009F23E3"/>
    <w:rsid w:val="009F245D"/>
    <w:rsid w:val="009F307F"/>
    <w:rsid w:val="009F37C2"/>
    <w:rsid w:val="009F417B"/>
    <w:rsid w:val="009F5F89"/>
    <w:rsid w:val="009F7AC8"/>
    <w:rsid w:val="009F7BC4"/>
    <w:rsid w:val="009F7C68"/>
    <w:rsid w:val="00A028FD"/>
    <w:rsid w:val="00A029D0"/>
    <w:rsid w:val="00A053C8"/>
    <w:rsid w:val="00A062B8"/>
    <w:rsid w:val="00A07F3E"/>
    <w:rsid w:val="00A12B1A"/>
    <w:rsid w:val="00A137D9"/>
    <w:rsid w:val="00A15C9B"/>
    <w:rsid w:val="00A2117E"/>
    <w:rsid w:val="00A21298"/>
    <w:rsid w:val="00A22210"/>
    <w:rsid w:val="00A22D60"/>
    <w:rsid w:val="00A23042"/>
    <w:rsid w:val="00A2419A"/>
    <w:rsid w:val="00A2672C"/>
    <w:rsid w:val="00A267F8"/>
    <w:rsid w:val="00A26E6A"/>
    <w:rsid w:val="00A27DC6"/>
    <w:rsid w:val="00A30496"/>
    <w:rsid w:val="00A30F64"/>
    <w:rsid w:val="00A31A77"/>
    <w:rsid w:val="00A35322"/>
    <w:rsid w:val="00A37EEA"/>
    <w:rsid w:val="00A45B9D"/>
    <w:rsid w:val="00A45F51"/>
    <w:rsid w:val="00A46638"/>
    <w:rsid w:val="00A51A68"/>
    <w:rsid w:val="00A52A99"/>
    <w:rsid w:val="00A536A1"/>
    <w:rsid w:val="00A55D9D"/>
    <w:rsid w:val="00A55EF7"/>
    <w:rsid w:val="00A567BA"/>
    <w:rsid w:val="00A56F57"/>
    <w:rsid w:val="00A56F6B"/>
    <w:rsid w:val="00A60CD6"/>
    <w:rsid w:val="00A62447"/>
    <w:rsid w:val="00A6260E"/>
    <w:rsid w:val="00A6310C"/>
    <w:rsid w:val="00A63DA6"/>
    <w:rsid w:val="00A64349"/>
    <w:rsid w:val="00A65599"/>
    <w:rsid w:val="00A6585B"/>
    <w:rsid w:val="00A66697"/>
    <w:rsid w:val="00A67969"/>
    <w:rsid w:val="00A67F88"/>
    <w:rsid w:val="00A71125"/>
    <w:rsid w:val="00A71392"/>
    <w:rsid w:val="00A75C71"/>
    <w:rsid w:val="00A8130C"/>
    <w:rsid w:val="00A81A51"/>
    <w:rsid w:val="00A825DB"/>
    <w:rsid w:val="00A90256"/>
    <w:rsid w:val="00A91361"/>
    <w:rsid w:val="00A9151A"/>
    <w:rsid w:val="00A91E95"/>
    <w:rsid w:val="00A927E4"/>
    <w:rsid w:val="00A931C4"/>
    <w:rsid w:val="00A9441F"/>
    <w:rsid w:val="00A9590B"/>
    <w:rsid w:val="00A959D4"/>
    <w:rsid w:val="00A95FC0"/>
    <w:rsid w:val="00A96451"/>
    <w:rsid w:val="00AA0D93"/>
    <w:rsid w:val="00AA0FB0"/>
    <w:rsid w:val="00AA47D5"/>
    <w:rsid w:val="00AA4B61"/>
    <w:rsid w:val="00AA6010"/>
    <w:rsid w:val="00AA7FEB"/>
    <w:rsid w:val="00AB0461"/>
    <w:rsid w:val="00AB0723"/>
    <w:rsid w:val="00AB201D"/>
    <w:rsid w:val="00AB3D15"/>
    <w:rsid w:val="00AB4B30"/>
    <w:rsid w:val="00AB6A44"/>
    <w:rsid w:val="00AB7F9A"/>
    <w:rsid w:val="00AC0919"/>
    <w:rsid w:val="00AC2AFA"/>
    <w:rsid w:val="00AC30B9"/>
    <w:rsid w:val="00AC32DF"/>
    <w:rsid w:val="00AC4B2A"/>
    <w:rsid w:val="00AC6B41"/>
    <w:rsid w:val="00AC76B1"/>
    <w:rsid w:val="00AC782E"/>
    <w:rsid w:val="00AC7EC7"/>
    <w:rsid w:val="00AC7F6F"/>
    <w:rsid w:val="00AD1699"/>
    <w:rsid w:val="00AD1CD9"/>
    <w:rsid w:val="00AD3259"/>
    <w:rsid w:val="00AE14A1"/>
    <w:rsid w:val="00AE1AA9"/>
    <w:rsid w:val="00AE3916"/>
    <w:rsid w:val="00AE4637"/>
    <w:rsid w:val="00AE50A7"/>
    <w:rsid w:val="00AE543C"/>
    <w:rsid w:val="00AF127A"/>
    <w:rsid w:val="00AF1CF7"/>
    <w:rsid w:val="00AF625F"/>
    <w:rsid w:val="00AF7491"/>
    <w:rsid w:val="00AF7D5F"/>
    <w:rsid w:val="00AF7E00"/>
    <w:rsid w:val="00B01487"/>
    <w:rsid w:val="00B06234"/>
    <w:rsid w:val="00B06783"/>
    <w:rsid w:val="00B10B57"/>
    <w:rsid w:val="00B13EC6"/>
    <w:rsid w:val="00B14D2E"/>
    <w:rsid w:val="00B163D8"/>
    <w:rsid w:val="00B1672A"/>
    <w:rsid w:val="00B17B65"/>
    <w:rsid w:val="00B203BD"/>
    <w:rsid w:val="00B20F21"/>
    <w:rsid w:val="00B23518"/>
    <w:rsid w:val="00B24FC6"/>
    <w:rsid w:val="00B31E3F"/>
    <w:rsid w:val="00B325CD"/>
    <w:rsid w:val="00B32EC5"/>
    <w:rsid w:val="00B32FDA"/>
    <w:rsid w:val="00B3534A"/>
    <w:rsid w:val="00B35540"/>
    <w:rsid w:val="00B3687C"/>
    <w:rsid w:val="00B467A0"/>
    <w:rsid w:val="00B5034D"/>
    <w:rsid w:val="00B52DE5"/>
    <w:rsid w:val="00B53DF0"/>
    <w:rsid w:val="00B54F3F"/>
    <w:rsid w:val="00B56516"/>
    <w:rsid w:val="00B603E5"/>
    <w:rsid w:val="00B63A5F"/>
    <w:rsid w:val="00B64BC6"/>
    <w:rsid w:val="00B64F7E"/>
    <w:rsid w:val="00B6523C"/>
    <w:rsid w:val="00B65435"/>
    <w:rsid w:val="00B658AD"/>
    <w:rsid w:val="00B67086"/>
    <w:rsid w:val="00B67FF5"/>
    <w:rsid w:val="00B70E1A"/>
    <w:rsid w:val="00B711AC"/>
    <w:rsid w:val="00B71810"/>
    <w:rsid w:val="00B72965"/>
    <w:rsid w:val="00B73D8C"/>
    <w:rsid w:val="00B763B8"/>
    <w:rsid w:val="00B80FAC"/>
    <w:rsid w:val="00B82763"/>
    <w:rsid w:val="00B842E1"/>
    <w:rsid w:val="00B874DB"/>
    <w:rsid w:val="00B940D4"/>
    <w:rsid w:val="00B95A21"/>
    <w:rsid w:val="00B95F86"/>
    <w:rsid w:val="00B96780"/>
    <w:rsid w:val="00B96F6E"/>
    <w:rsid w:val="00B974B6"/>
    <w:rsid w:val="00B978FC"/>
    <w:rsid w:val="00BA08E5"/>
    <w:rsid w:val="00BA0CE1"/>
    <w:rsid w:val="00BA140C"/>
    <w:rsid w:val="00BA4E8A"/>
    <w:rsid w:val="00BA7DED"/>
    <w:rsid w:val="00BA7FE2"/>
    <w:rsid w:val="00BB10DD"/>
    <w:rsid w:val="00BB300D"/>
    <w:rsid w:val="00BB6577"/>
    <w:rsid w:val="00BB65BA"/>
    <w:rsid w:val="00BB68B7"/>
    <w:rsid w:val="00BB68ED"/>
    <w:rsid w:val="00BB775F"/>
    <w:rsid w:val="00BB7A55"/>
    <w:rsid w:val="00BB7EB6"/>
    <w:rsid w:val="00BC0C74"/>
    <w:rsid w:val="00BC2624"/>
    <w:rsid w:val="00BC31C0"/>
    <w:rsid w:val="00BC3CF1"/>
    <w:rsid w:val="00BD1459"/>
    <w:rsid w:val="00BD3268"/>
    <w:rsid w:val="00BD6FFC"/>
    <w:rsid w:val="00BD7162"/>
    <w:rsid w:val="00BD7FB1"/>
    <w:rsid w:val="00BE0473"/>
    <w:rsid w:val="00BE183A"/>
    <w:rsid w:val="00BE231C"/>
    <w:rsid w:val="00BE4716"/>
    <w:rsid w:val="00BE5B1E"/>
    <w:rsid w:val="00BE6E06"/>
    <w:rsid w:val="00BE7172"/>
    <w:rsid w:val="00BE7A70"/>
    <w:rsid w:val="00BF0268"/>
    <w:rsid w:val="00BF07CF"/>
    <w:rsid w:val="00BF31DD"/>
    <w:rsid w:val="00BF707D"/>
    <w:rsid w:val="00BF79D6"/>
    <w:rsid w:val="00C0248F"/>
    <w:rsid w:val="00C02EA3"/>
    <w:rsid w:val="00C03EDA"/>
    <w:rsid w:val="00C03F13"/>
    <w:rsid w:val="00C06689"/>
    <w:rsid w:val="00C119E1"/>
    <w:rsid w:val="00C15D8A"/>
    <w:rsid w:val="00C17837"/>
    <w:rsid w:val="00C20A19"/>
    <w:rsid w:val="00C20AAB"/>
    <w:rsid w:val="00C22436"/>
    <w:rsid w:val="00C227EE"/>
    <w:rsid w:val="00C22FFB"/>
    <w:rsid w:val="00C30FB7"/>
    <w:rsid w:val="00C32319"/>
    <w:rsid w:val="00C33D93"/>
    <w:rsid w:val="00C35028"/>
    <w:rsid w:val="00C35B7C"/>
    <w:rsid w:val="00C3604B"/>
    <w:rsid w:val="00C36EF2"/>
    <w:rsid w:val="00C37F0D"/>
    <w:rsid w:val="00C40E72"/>
    <w:rsid w:val="00C414EF"/>
    <w:rsid w:val="00C4476F"/>
    <w:rsid w:val="00C44A96"/>
    <w:rsid w:val="00C45755"/>
    <w:rsid w:val="00C46F45"/>
    <w:rsid w:val="00C520C6"/>
    <w:rsid w:val="00C52F95"/>
    <w:rsid w:val="00C53A40"/>
    <w:rsid w:val="00C54136"/>
    <w:rsid w:val="00C56C0F"/>
    <w:rsid w:val="00C56C15"/>
    <w:rsid w:val="00C56E1C"/>
    <w:rsid w:val="00C63153"/>
    <w:rsid w:val="00C640DA"/>
    <w:rsid w:val="00C6450C"/>
    <w:rsid w:val="00C6468D"/>
    <w:rsid w:val="00C64988"/>
    <w:rsid w:val="00C650A0"/>
    <w:rsid w:val="00C66DE7"/>
    <w:rsid w:val="00C67224"/>
    <w:rsid w:val="00C67A0D"/>
    <w:rsid w:val="00C71920"/>
    <w:rsid w:val="00C71C51"/>
    <w:rsid w:val="00C71D00"/>
    <w:rsid w:val="00C730C2"/>
    <w:rsid w:val="00C738FC"/>
    <w:rsid w:val="00C73CE0"/>
    <w:rsid w:val="00C74AF4"/>
    <w:rsid w:val="00C758DB"/>
    <w:rsid w:val="00C75D79"/>
    <w:rsid w:val="00C770E2"/>
    <w:rsid w:val="00C81F1C"/>
    <w:rsid w:val="00C823AE"/>
    <w:rsid w:val="00C8510F"/>
    <w:rsid w:val="00C86120"/>
    <w:rsid w:val="00C93305"/>
    <w:rsid w:val="00C93BCD"/>
    <w:rsid w:val="00C93F36"/>
    <w:rsid w:val="00C94522"/>
    <w:rsid w:val="00C94E56"/>
    <w:rsid w:val="00C96055"/>
    <w:rsid w:val="00C962CD"/>
    <w:rsid w:val="00C96D53"/>
    <w:rsid w:val="00CA0367"/>
    <w:rsid w:val="00CA0A91"/>
    <w:rsid w:val="00CA1141"/>
    <w:rsid w:val="00CA4158"/>
    <w:rsid w:val="00CA63C6"/>
    <w:rsid w:val="00CA684C"/>
    <w:rsid w:val="00CB123C"/>
    <w:rsid w:val="00CB2E88"/>
    <w:rsid w:val="00CB3A28"/>
    <w:rsid w:val="00CB55A8"/>
    <w:rsid w:val="00CB627C"/>
    <w:rsid w:val="00CB780E"/>
    <w:rsid w:val="00CB7E9C"/>
    <w:rsid w:val="00CC1CA3"/>
    <w:rsid w:val="00CC1D7A"/>
    <w:rsid w:val="00CC4250"/>
    <w:rsid w:val="00CC5E88"/>
    <w:rsid w:val="00CC645A"/>
    <w:rsid w:val="00CC6F99"/>
    <w:rsid w:val="00CD0600"/>
    <w:rsid w:val="00CD49F0"/>
    <w:rsid w:val="00CD4A19"/>
    <w:rsid w:val="00CD5C6A"/>
    <w:rsid w:val="00CD67BF"/>
    <w:rsid w:val="00CD7A7F"/>
    <w:rsid w:val="00CE0707"/>
    <w:rsid w:val="00CE2937"/>
    <w:rsid w:val="00CE33E1"/>
    <w:rsid w:val="00CE6B1B"/>
    <w:rsid w:val="00CF19BF"/>
    <w:rsid w:val="00CF1A86"/>
    <w:rsid w:val="00CF2C71"/>
    <w:rsid w:val="00CF2E5D"/>
    <w:rsid w:val="00CF39A5"/>
    <w:rsid w:val="00CF40B3"/>
    <w:rsid w:val="00CF4767"/>
    <w:rsid w:val="00CF4E6F"/>
    <w:rsid w:val="00CF5B1E"/>
    <w:rsid w:val="00CF6923"/>
    <w:rsid w:val="00D0206E"/>
    <w:rsid w:val="00D02A79"/>
    <w:rsid w:val="00D03CAF"/>
    <w:rsid w:val="00D05DBA"/>
    <w:rsid w:val="00D06AC6"/>
    <w:rsid w:val="00D06B7E"/>
    <w:rsid w:val="00D07EE2"/>
    <w:rsid w:val="00D120DB"/>
    <w:rsid w:val="00D131C7"/>
    <w:rsid w:val="00D1470C"/>
    <w:rsid w:val="00D20CC8"/>
    <w:rsid w:val="00D227CF"/>
    <w:rsid w:val="00D22961"/>
    <w:rsid w:val="00D23720"/>
    <w:rsid w:val="00D25635"/>
    <w:rsid w:val="00D27D90"/>
    <w:rsid w:val="00D34D64"/>
    <w:rsid w:val="00D35060"/>
    <w:rsid w:val="00D366D7"/>
    <w:rsid w:val="00D36873"/>
    <w:rsid w:val="00D408A2"/>
    <w:rsid w:val="00D40F1B"/>
    <w:rsid w:val="00D425BD"/>
    <w:rsid w:val="00D4274C"/>
    <w:rsid w:val="00D43107"/>
    <w:rsid w:val="00D4505C"/>
    <w:rsid w:val="00D4609E"/>
    <w:rsid w:val="00D50E51"/>
    <w:rsid w:val="00D520B5"/>
    <w:rsid w:val="00D525DA"/>
    <w:rsid w:val="00D52E5D"/>
    <w:rsid w:val="00D6022D"/>
    <w:rsid w:val="00D62745"/>
    <w:rsid w:val="00D64198"/>
    <w:rsid w:val="00D64EE5"/>
    <w:rsid w:val="00D71420"/>
    <w:rsid w:val="00D72645"/>
    <w:rsid w:val="00D7609D"/>
    <w:rsid w:val="00D76FBF"/>
    <w:rsid w:val="00D77B06"/>
    <w:rsid w:val="00D82523"/>
    <w:rsid w:val="00D86C4B"/>
    <w:rsid w:val="00D86E3C"/>
    <w:rsid w:val="00D87047"/>
    <w:rsid w:val="00D87878"/>
    <w:rsid w:val="00D87CA4"/>
    <w:rsid w:val="00D91EF9"/>
    <w:rsid w:val="00D92505"/>
    <w:rsid w:val="00D92545"/>
    <w:rsid w:val="00D95560"/>
    <w:rsid w:val="00D9654B"/>
    <w:rsid w:val="00D9693B"/>
    <w:rsid w:val="00DA09C4"/>
    <w:rsid w:val="00DA61BB"/>
    <w:rsid w:val="00DA7C72"/>
    <w:rsid w:val="00DB045D"/>
    <w:rsid w:val="00DB0C09"/>
    <w:rsid w:val="00DB1F1B"/>
    <w:rsid w:val="00DB2C24"/>
    <w:rsid w:val="00DB5E58"/>
    <w:rsid w:val="00DC0FC0"/>
    <w:rsid w:val="00DC1224"/>
    <w:rsid w:val="00DC2624"/>
    <w:rsid w:val="00DC2658"/>
    <w:rsid w:val="00DC386D"/>
    <w:rsid w:val="00DC44BC"/>
    <w:rsid w:val="00DC53BF"/>
    <w:rsid w:val="00DC56FD"/>
    <w:rsid w:val="00DC6128"/>
    <w:rsid w:val="00DC7797"/>
    <w:rsid w:val="00DD5EBB"/>
    <w:rsid w:val="00DD67F3"/>
    <w:rsid w:val="00DD768F"/>
    <w:rsid w:val="00DD7D22"/>
    <w:rsid w:val="00DE036C"/>
    <w:rsid w:val="00DE1385"/>
    <w:rsid w:val="00DE1461"/>
    <w:rsid w:val="00DE366E"/>
    <w:rsid w:val="00DE42C9"/>
    <w:rsid w:val="00DE59FC"/>
    <w:rsid w:val="00DE68A6"/>
    <w:rsid w:val="00DE6910"/>
    <w:rsid w:val="00DE69FD"/>
    <w:rsid w:val="00DE772E"/>
    <w:rsid w:val="00DF074A"/>
    <w:rsid w:val="00DF1EA8"/>
    <w:rsid w:val="00DF34CC"/>
    <w:rsid w:val="00DF37BE"/>
    <w:rsid w:val="00DF4800"/>
    <w:rsid w:val="00DF49E5"/>
    <w:rsid w:val="00DF72AE"/>
    <w:rsid w:val="00DF7D95"/>
    <w:rsid w:val="00E00184"/>
    <w:rsid w:val="00E004E7"/>
    <w:rsid w:val="00E013DA"/>
    <w:rsid w:val="00E01E57"/>
    <w:rsid w:val="00E027CA"/>
    <w:rsid w:val="00E070A2"/>
    <w:rsid w:val="00E12986"/>
    <w:rsid w:val="00E13456"/>
    <w:rsid w:val="00E138C9"/>
    <w:rsid w:val="00E14186"/>
    <w:rsid w:val="00E14A0E"/>
    <w:rsid w:val="00E1575F"/>
    <w:rsid w:val="00E165CA"/>
    <w:rsid w:val="00E16775"/>
    <w:rsid w:val="00E17FE8"/>
    <w:rsid w:val="00E201B4"/>
    <w:rsid w:val="00E221A8"/>
    <w:rsid w:val="00E22243"/>
    <w:rsid w:val="00E23398"/>
    <w:rsid w:val="00E275E6"/>
    <w:rsid w:val="00E278B5"/>
    <w:rsid w:val="00E410ED"/>
    <w:rsid w:val="00E4447D"/>
    <w:rsid w:val="00E509AD"/>
    <w:rsid w:val="00E543C4"/>
    <w:rsid w:val="00E5469B"/>
    <w:rsid w:val="00E549F7"/>
    <w:rsid w:val="00E57003"/>
    <w:rsid w:val="00E57021"/>
    <w:rsid w:val="00E600CD"/>
    <w:rsid w:val="00E605D1"/>
    <w:rsid w:val="00E630A2"/>
    <w:rsid w:val="00E7497A"/>
    <w:rsid w:val="00E75650"/>
    <w:rsid w:val="00E763F1"/>
    <w:rsid w:val="00E77C7A"/>
    <w:rsid w:val="00E800F7"/>
    <w:rsid w:val="00E838CC"/>
    <w:rsid w:val="00E878B6"/>
    <w:rsid w:val="00E87F6B"/>
    <w:rsid w:val="00E91C2E"/>
    <w:rsid w:val="00E9277F"/>
    <w:rsid w:val="00E97006"/>
    <w:rsid w:val="00EA08DE"/>
    <w:rsid w:val="00EA0E2C"/>
    <w:rsid w:val="00EA1A67"/>
    <w:rsid w:val="00EA1DAF"/>
    <w:rsid w:val="00EA3A5F"/>
    <w:rsid w:val="00EA3F5D"/>
    <w:rsid w:val="00EA56C4"/>
    <w:rsid w:val="00EB03D6"/>
    <w:rsid w:val="00EB29DA"/>
    <w:rsid w:val="00EB4639"/>
    <w:rsid w:val="00EB479E"/>
    <w:rsid w:val="00EB57EC"/>
    <w:rsid w:val="00EC0B26"/>
    <w:rsid w:val="00EC2100"/>
    <w:rsid w:val="00EC27E4"/>
    <w:rsid w:val="00EC29CE"/>
    <w:rsid w:val="00ED032D"/>
    <w:rsid w:val="00ED0BE1"/>
    <w:rsid w:val="00ED27BD"/>
    <w:rsid w:val="00ED36B7"/>
    <w:rsid w:val="00ED6303"/>
    <w:rsid w:val="00ED7AF3"/>
    <w:rsid w:val="00EE2BEA"/>
    <w:rsid w:val="00EE39A4"/>
    <w:rsid w:val="00EE6634"/>
    <w:rsid w:val="00EE66B7"/>
    <w:rsid w:val="00EE6A76"/>
    <w:rsid w:val="00EE7E9C"/>
    <w:rsid w:val="00EF1A15"/>
    <w:rsid w:val="00EF3A99"/>
    <w:rsid w:val="00EF6412"/>
    <w:rsid w:val="00EF73A9"/>
    <w:rsid w:val="00F0099E"/>
    <w:rsid w:val="00F0549D"/>
    <w:rsid w:val="00F11B95"/>
    <w:rsid w:val="00F11C51"/>
    <w:rsid w:val="00F12628"/>
    <w:rsid w:val="00F126C3"/>
    <w:rsid w:val="00F15180"/>
    <w:rsid w:val="00F15E0B"/>
    <w:rsid w:val="00F16112"/>
    <w:rsid w:val="00F220CD"/>
    <w:rsid w:val="00F2216F"/>
    <w:rsid w:val="00F22FF5"/>
    <w:rsid w:val="00F246E0"/>
    <w:rsid w:val="00F247A8"/>
    <w:rsid w:val="00F27D0F"/>
    <w:rsid w:val="00F30AB0"/>
    <w:rsid w:val="00F30F27"/>
    <w:rsid w:val="00F3255B"/>
    <w:rsid w:val="00F32966"/>
    <w:rsid w:val="00F340A1"/>
    <w:rsid w:val="00F36738"/>
    <w:rsid w:val="00F367D5"/>
    <w:rsid w:val="00F40EDA"/>
    <w:rsid w:val="00F416D9"/>
    <w:rsid w:val="00F42323"/>
    <w:rsid w:val="00F42F7D"/>
    <w:rsid w:val="00F50E87"/>
    <w:rsid w:val="00F50F90"/>
    <w:rsid w:val="00F512F2"/>
    <w:rsid w:val="00F556DB"/>
    <w:rsid w:val="00F55B2D"/>
    <w:rsid w:val="00F56703"/>
    <w:rsid w:val="00F61BEC"/>
    <w:rsid w:val="00F629AC"/>
    <w:rsid w:val="00F62BBA"/>
    <w:rsid w:val="00F63576"/>
    <w:rsid w:val="00F6451A"/>
    <w:rsid w:val="00F64F54"/>
    <w:rsid w:val="00F70688"/>
    <w:rsid w:val="00F71043"/>
    <w:rsid w:val="00F7190D"/>
    <w:rsid w:val="00F72771"/>
    <w:rsid w:val="00F72B8B"/>
    <w:rsid w:val="00F7386C"/>
    <w:rsid w:val="00F75A32"/>
    <w:rsid w:val="00F75A5D"/>
    <w:rsid w:val="00F77300"/>
    <w:rsid w:val="00F84A59"/>
    <w:rsid w:val="00F84E45"/>
    <w:rsid w:val="00F86B73"/>
    <w:rsid w:val="00F9189F"/>
    <w:rsid w:val="00F92893"/>
    <w:rsid w:val="00F93A29"/>
    <w:rsid w:val="00F93F7D"/>
    <w:rsid w:val="00F94265"/>
    <w:rsid w:val="00FA1502"/>
    <w:rsid w:val="00FA739C"/>
    <w:rsid w:val="00FA7E9B"/>
    <w:rsid w:val="00FB0F4C"/>
    <w:rsid w:val="00FB10DD"/>
    <w:rsid w:val="00FC15D4"/>
    <w:rsid w:val="00FC4EAA"/>
    <w:rsid w:val="00FC4EE3"/>
    <w:rsid w:val="00FC610A"/>
    <w:rsid w:val="00FC7ADA"/>
    <w:rsid w:val="00FD0B05"/>
    <w:rsid w:val="00FD6C93"/>
    <w:rsid w:val="00FD6D9B"/>
    <w:rsid w:val="00FD7F67"/>
    <w:rsid w:val="00FE22C0"/>
    <w:rsid w:val="00FE3009"/>
    <w:rsid w:val="00FE351C"/>
    <w:rsid w:val="00FE5549"/>
    <w:rsid w:val="00FF1527"/>
    <w:rsid w:val="00FF6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D979"/>
  <w15:chartTrackingRefBased/>
  <w15:docId w15:val="{B41BEC37-A0AE-43A5-9606-016AE1786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6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6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6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6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6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6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6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6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6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6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6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6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6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6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6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6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6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65C"/>
    <w:rPr>
      <w:rFonts w:eastAsiaTheme="majorEastAsia" w:cstheme="majorBidi"/>
      <w:color w:val="272727" w:themeColor="text1" w:themeTint="D8"/>
    </w:rPr>
  </w:style>
  <w:style w:type="paragraph" w:styleId="Title">
    <w:name w:val="Title"/>
    <w:basedOn w:val="Normal"/>
    <w:next w:val="Normal"/>
    <w:link w:val="TitleChar"/>
    <w:uiPriority w:val="10"/>
    <w:qFormat/>
    <w:rsid w:val="001836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6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6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6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65C"/>
    <w:pPr>
      <w:spacing w:before="160"/>
      <w:jc w:val="center"/>
    </w:pPr>
    <w:rPr>
      <w:i/>
      <w:iCs/>
      <w:color w:val="404040" w:themeColor="text1" w:themeTint="BF"/>
    </w:rPr>
  </w:style>
  <w:style w:type="character" w:customStyle="1" w:styleId="QuoteChar">
    <w:name w:val="Quote Char"/>
    <w:basedOn w:val="DefaultParagraphFont"/>
    <w:link w:val="Quote"/>
    <w:uiPriority w:val="29"/>
    <w:rsid w:val="0018365C"/>
    <w:rPr>
      <w:i/>
      <w:iCs/>
      <w:color w:val="404040" w:themeColor="text1" w:themeTint="BF"/>
    </w:rPr>
  </w:style>
  <w:style w:type="paragraph" w:styleId="ListParagraph">
    <w:name w:val="List Paragraph"/>
    <w:basedOn w:val="Normal"/>
    <w:uiPriority w:val="34"/>
    <w:qFormat/>
    <w:rsid w:val="0018365C"/>
    <w:pPr>
      <w:ind w:left="720"/>
      <w:contextualSpacing/>
    </w:pPr>
  </w:style>
  <w:style w:type="character" w:styleId="IntenseEmphasis">
    <w:name w:val="Intense Emphasis"/>
    <w:basedOn w:val="DefaultParagraphFont"/>
    <w:uiPriority w:val="21"/>
    <w:qFormat/>
    <w:rsid w:val="0018365C"/>
    <w:rPr>
      <w:i/>
      <w:iCs/>
      <w:color w:val="0F4761" w:themeColor="accent1" w:themeShade="BF"/>
    </w:rPr>
  </w:style>
  <w:style w:type="paragraph" w:styleId="IntenseQuote">
    <w:name w:val="Intense Quote"/>
    <w:basedOn w:val="Normal"/>
    <w:next w:val="Normal"/>
    <w:link w:val="IntenseQuoteChar"/>
    <w:uiPriority w:val="30"/>
    <w:qFormat/>
    <w:rsid w:val="001836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65C"/>
    <w:rPr>
      <w:i/>
      <w:iCs/>
      <w:color w:val="0F4761" w:themeColor="accent1" w:themeShade="BF"/>
    </w:rPr>
  </w:style>
  <w:style w:type="character" w:styleId="IntenseReference">
    <w:name w:val="Intense Reference"/>
    <w:basedOn w:val="DefaultParagraphFont"/>
    <w:uiPriority w:val="32"/>
    <w:qFormat/>
    <w:rsid w:val="0018365C"/>
    <w:rPr>
      <w:b/>
      <w:bCs/>
      <w:smallCaps/>
      <w:color w:val="0F4761" w:themeColor="accent1" w:themeShade="BF"/>
      <w:spacing w:val="5"/>
    </w:rPr>
  </w:style>
  <w:style w:type="character" w:styleId="Hyperlink">
    <w:name w:val="Hyperlink"/>
    <w:basedOn w:val="DefaultParagraphFont"/>
    <w:uiPriority w:val="99"/>
    <w:unhideWhenUsed/>
    <w:rsid w:val="00162728"/>
    <w:rPr>
      <w:color w:val="467886" w:themeColor="hyperlink"/>
      <w:u w:val="single"/>
    </w:rPr>
  </w:style>
  <w:style w:type="character" w:styleId="UnresolvedMention">
    <w:name w:val="Unresolved Mention"/>
    <w:basedOn w:val="DefaultParagraphFont"/>
    <w:uiPriority w:val="99"/>
    <w:semiHidden/>
    <w:unhideWhenUsed/>
    <w:rsid w:val="00162728"/>
    <w:rPr>
      <w:color w:val="605E5C"/>
      <w:shd w:val="clear" w:color="auto" w:fill="E1DFDD"/>
    </w:rPr>
  </w:style>
  <w:style w:type="paragraph" w:styleId="TOCHeading">
    <w:name w:val="TOC Heading"/>
    <w:basedOn w:val="Heading1"/>
    <w:next w:val="Normal"/>
    <w:uiPriority w:val="39"/>
    <w:unhideWhenUsed/>
    <w:qFormat/>
    <w:rsid w:val="00DC262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C2624"/>
    <w:pPr>
      <w:spacing w:after="100"/>
    </w:pPr>
  </w:style>
  <w:style w:type="paragraph" w:styleId="NormalWeb">
    <w:name w:val="Normal (Web)"/>
    <w:basedOn w:val="Normal"/>
    <w:uiPriority w:val="99"/>
    <w:semiHidden/>
    <w:unhideWhenUsed/>
    <w:rsid w:val="00CF2E5D"/>
    <w:rPr>
      <w:rFonts w:ascii="Times New Roman" w:hAnsi="Times New Roman" w:cs="Times New Roman"/>
    </w:rPr>
  </w:style>
  <w:style w:type="paragraph" w:styleId="Header">
    <w:name w:val="header"/>
    <w:basedOn w:val="Normal"/>
    <w:link w:val="HeaderChar"/>
    <w:uiPriority w:val="99"/>
    <w:unhideWhenUsed/>
    <w:rsid w:val="00CF2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E5D"/>
  </w:style>
  <w:style w:type="paragraph" w:styleId="Footer">
    <w:name w:val="footer"/>
    <w:basedOn w:val="Normal"/>
    <w:link w:val="FooterChar"/>
    <w:uiPriority w:val="99"/>
    <w:unhideWhenUsed/>
    <w:rsid w:val="00CF2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02%2Fberj.410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23/A:1007123617636"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703d605af49039d2e2ffbc2b450d5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ea28bd1aa981eb61462d85a85769ef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6DD26-2065-4923-A528-A57F633E7782}">
  <ds:schemaRefs>
    <ds:schemaRef ds:uri="http://schemas.microsoft.com/sharepoint/v3/contenttype/forms"/>
  </ds:schemaRefs>
</ds:datastoreItem>
</file>

<file path=customXml/itemProps2.xml><?xml version="1.0" encoding="utf-8"?>
<ds:datastoreItem xmlns:ds="http://schemas.openxmlformats.org/officeDocument/2006/customXml" ds:itemID="{403ECD5F-E650-45C0-B128-D12F2246911D}">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DA8408F9-79F8-4541-95F7-F18582D74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A887A4-E65E-46E9-827A-EC2E725C2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7300</Words>
  <Characters>41614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dc:creator>
  <cp:keywords/>
  <dc:description/>
  <cp:lastModifiedBy>Libby Casey</cp:lastModifiedBy>
  <cp:revision>2</cp:revision>
  <dcterms:created xsi:type="dcterms:W3CDTF">2026-03-22T20:48:00Z</dcterms:created>
  <dcterms:modified xsi:type="dcterms:W3CDTF">2026-03-22T20:48:00Z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