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EA271" w14:textId="77777777" w:rsidR="003A1031" w:rsidRDefault="003A1031" w:rsidP="003B6D43">
      <w:pPr>
        <w:pStyle w:val="Heading1"/>
      </w:pPr>
      <w:r>
        <w:t>HPHI4903 Pathways to Evil: Genocide – History, Theory and Denial</w:t>
      </w:r>
    </w:p>
    <w:p w14:paraId="243C18D2" w14:textId="29060C19" w:rsidR="00AB75F5" w:rsidRPr="00AB75F5" w:rsidRDefault="00AB75F5" w:rsidP="00AB75F5">
      <w:r>
        <w:rPr>
          <w:noProof/>
        </w:rPr>
        <w:drawing>
          <wp:inline distT="0" distB="0" distL="0" distR="0" wp14:anchorId="4CCB2287" wp14:editId="2279A1B4">
            <wp:extent cx="5731510" cy="3223895"/>
            <wp:effectExtent l="0" t="0" r="0" b="0"/>
            <wp:docPr id="212828961" name="Picture 1" descr="A gate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8961" name="Picture 1" descr="A gate with a sign on i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23C58B7" w14:textId="77777777" w:rsidR="00AB75F5" w:rsidRDefault="00AB75F5">
      <w:r>
        <w:t xml:space="preserve">(Image: </w:t>
      </w:r>
      <w:proofErr w:type="spellStart"/>
      <w:r>
        <w:t>Nyamata</w:t>
      </w:r>
      <w:proofErr w:type="spellEnd"/>
      <w:r>
        <w:t xml:space="preserve"> Genocide Memorial, Rwanda)</w:t>
      </w:r>
    </w:p>
    <w:p w14:paraId="230ECBA6" w14:textId="56E26C05" w:rsidR="003A1031" w:rsidRDefault="00AB75F5" w:rsidP="00AB75F5">
      <w:pPr>
        <w:pStyle w:val="Heading2"/>
      </w:pPr>
      <w:r>
        <w:t>Module lead: Dr Rhian Elinor Keyse (</w:t>
      </w:r>
      <w:hyperlink r:id="rId8" w:history="1">
        <w:r w:rsidRPr="00314931">
          <w:rPr>
            <w:rStyle w:val="Hyperlink"/>
          </w:rPr>
          <w:t>r.keyse@uwtsd.ac.uk</w:t>
        </w:r>
      </w:hyperlink>
      <w:r>
        <w:t>)</w:t>
      </w:r>
    </w:p>
    <w:p w14:paraId="5F9CAB9D" w14:textId="63FA1CE9" w:rsidR="00AB75F5" w:rsidRDefault="00AB75F5">
      <w:r>
        <w:br w:type="page"/>
      </w:r>
    </w:p>
    <w:p w14:paraId="1E8080FF" w14:textId="77777777" w:rsidR="00AB75F5" w:rsidRDefault="00AB75F5" w:rsidP="00AB75F5">
      <w:pPr>
        <w:pStyle w:val="Heading2"/>
      </w:pPr>
      <w:r>
        <w:lastRenderedPageBreak/>
        <w:t>Contents</w:t>
      </w:r>
    </w:p>
    <w:p w14:paraId="42E167DD" w14:textId="05C78B72" w:rsidR="00AB75F5" w:rsidRDefault="00AB75F5" w:rsidP="00AB75F5">
      <w:r>
        <w:t xml:space="preserve">Introduction </w:t>
      </w:r>
      <w:r>
        <w:t>and content note</w:t>
      </w:r>
      <w:r>
        <w:tab/>
      </w:r>
      <w:r>
        <w:tab/>
      </w:r>
      <w:r>
        <w:tab/>
      </w:r>
      <w:r>
        <w:tab/>
      </w:r>
      <w:r>
        <w:tab/>
        <w:t>p.3</w:t>
      </w:r>
    </w:p>
    <w:p w14:paraId="2D755722" w14:textId="3850C8BD" w:rsidR="00EE7BED" w:rsidRDefault="00EE7BED" w:rsidP="00AB75F5">
      <w:r>
        <w:t>Aims and learning outcomes</w:t>
      </w:r>
      <w:r>
        <w:tab/>
      </w:r>
      <w:r>
        <w:tab/>
      </w:r>
      <w:r>
        <w:tab/>
      </w:r>
      <w:r>
        <w:tab/>
      </w:r>
      <w:r>
        <w:tab/>
        <w:t>p.4</w:t>
      </w:r>
    </w:p>
    <w:p w14:paraId="5C5A7016" w14:textId="26F19859" w:rsidR="00AB75F5" w:rsidRDefault="00EE7BED" w:rsidP="00AB75F5">
      <w:r>
        <w:t>Class schedule</w:t>
      </w:r>
      <w:r w:rsidR="00AB75F5">
        <w:tab/>
      </w:r>
      <w:r w:rsidR="00AB75F5">
        <w:tab/>
      </w:r>
      <w:r w:rsidR="00AB75F5">
        <w:tab/>
      </w:r>
      <w:r w:rsidR="00AB75F5">
        <w:tab/>
      </w:r>
      <w:r w:rsidR="00AB75F5">
        <w:tab/>
      </w:r>
      <w:r w:rsidR="00AB75F5">
        <w:tab/>
      </w:r>
      <w:r w:rsidR="00AB75F5">
        <w:tab/>
        <w:t>p.</w:t>
      </w:r>
      <w:r>
        <w:t>5</w:t>
      </w:r>
    </w:p>
    <w:p w14:paraId="148ADDED" w14:textId="7C20F94B" w:rsidR="00AB75F5" w:rsidRDefault="00EE7BED" w:rsidP="00AB75F5">
      <w:r>
        <w:t>Preparing for class</w:t>
      </w:r>
      <w:r w:rsidR="00AB75F5">
        <w:tab/>
      </w:r>
      <w:r w:rsidR="00AB75F5">
        <w:tab/>
      </w:r>
      <w:r w:rsidR="00AB75F5">
        <w:tab/>
      </w:r>
      <w:r w:rsidR="00AB75F5">
        <w:tab/>
      </w:r>
      <w:r w:rsidR="00AB75F5">
        <w:tab/>
      </w:r>
      <w:r w:rsidR="00AB75F5">
        <w:tab/>
      </w:r>
      <w:r w:rsidR="00AB75F5">
        <w:tab/>
        <w:t>p.</w:t>
      </w:r>
      <w:r>
        <w:t>6</w:t>
      </w:r>
    </w:p>
    <w:p w14:paraId="2E709016" w14:textId="2393CDE3" w:rsidR="00AB75F5" w:rsidRDefault="00AB75F5" w:rsidP="00AB75F5">
      <w:r>
        <w:t>Assessment</w:t>
      </w:r>
      <w:r w:rsidR="00EE7BED">
        <w:t>, referencing and use of AI</w:t>
      </w:r>
      <w:r>
        <w:tab/>
      </w:r>
      <w:r>
        <w:tab/>
      </w:r>
      <w:r>
        <w:tab/>
      </w:r>
      <w:r>
        <w:tab/>
        <w:t>p.</w:t>
      </w:r>
      <w:r w:rsidR="00EE7BED">
        <w:t>6</w:t>
      </w:r>
    </w:p>
    <w:p w14:paraId="2F545E4E" w14:textId="3FA265B1" w:rsidR="00AB75F5" w:rsidRDefault="00AB75F5" w:rsidP="00AB75F5">
      <w:r>
        <w:t>Seminar outlines</w:t>
      </w:r>
      <w:r w:rsidR="00EE7BED">
        <w:tab/>
      </w:r>
      <w:r>
        <w:tab/>
      </w:r>
      <w:r>
        <w:tab/>
      </w:r>
      <w:r>
        <w:tab/>
      </w:r>
      <w:r>
        <w:tab/>
      </w:r>
      <w:r>
        <w:tab/>
      </w:r>
      <w:r>
        <w:tab/>
        <w:t>p.</w:t>
      </w:r>
      <w:r w:rsidR="00EE7BED">
        <w:t>11</w:t>
      </w:r>
    </w:p>
    <w:p w14:paraId="52B2A6A9" w14:textId="77777777" w:rsidR="00AB75F5" w:rsidRPr="007E3144" w:rsidRDefault="00AB75F5" w:rsidP="00AB75F5">
      <w:r>
        <w:t>Supplementary reading list</w:t>
      </w:r>
      <w:r>
        <w:tab/>
      </w:r>
      <w:r>
        <w:tab/>
      </w:r>
      <w:r>
        <w:tab/>
      </w:r>
      <w:r>
        <w:tab/>
      </w:r>
      <w:r>
        <w:tab/>
      </w:r>
      <w:r>
        <w:tab/>
      </w:r>
      <w:r>
        <w:tab/>
        <w:t>p.23</w:t>
      </w:r>
    </w:p>
    <w:p w14:paraId="0D33FD13" w14:textId="6905B532" w:rsidR="00AB75F5" w:rsidRDefault="00AB75F5">
      <w:r>
        <w:br w:type="page"/>
      </w:r>
    </w:p>
    <w:p w14:paraId="1B052764" w14:textId="77777777" w:rsidR="00AB75F5" w:rsidRPr="00AB75F5" w:rsidRDefault="00AB75F5" w:rsidP="00AB75F5"/>
    <w:p w14:paraId="7B25DA7B" w14:textId="5A813004" w:rsidR="003B6D43" w:rsidRDefault="003B6D43" w:rsidP="003B6D43">
      <w:pPr>
        <w:pStyle w:val="Heading2"/>
      </w:pPr>
      <w:r>
        <w:t>Introduction to the module</w:t>
      </w:r>
    </w:p>
    <w:p w14:paraId="07A67FEF" w14:textId="355D2B03" w:rsidR="003A1031" w:rsidRPr="003B6D43" w:rsidRDefault="003A1031" w:rsidP="003B6D43">
      <w:pPr>
        <w:spacing w:line="276" w:lineRule="auto"/>
      </w:pPr>
      <w:r w:rsidRPr="003B6D43">
        <w:t xml:space="preserve">Welcome to </w:t>
      </w:r>
      <w:r w:rsidR="00AB75F5">
        <w:t xml:space="preserve">HPHI4903 </w:t>
      </w:r>
      <w:r w:rsidR="003B6D43" w:rsidRPr="003B6D43">
        <w:t>Pathways to Evil</w:t>
      </w:r>
      <w:r w:rsidR="00AB75F5">
        <w:t xml:space="preserve">: Genocide – History, Theory and Denial. </w:t>
      </w:r>
      <w:r w:rsidR="003B6D43" w:rsidRPr="003B6D43">
        <w:t xml:space="preserve">The module aims to give you a conceptual and theoretical introduction to the study of genocide. We’ll be exploring definitions of genocide, as well as how these have emerged and shifted. We’ll then move on to a selection of case studies week-by-week, drawing on examples from Europe, Africa, and Asia. We’ll be </w:t>
      </w:r>
      <w:r w:rsidR="00AB75F5">
        <w:t xml:space="preserve">thinking about what leads to genocide, </w:t>
      </w:r>
      <w:r w:rsidR="003B6D43" w:rsidRPr="003B6D43">
        <w:t xml:space="preserve">what drives ordinary people to commit </w:t>
      </w:r>
      <w:r w:rsidR="00AB75F5">
        <w:t>it</w:t>
      </w:r>
      <w:r w:rsidR="003B6D43" w:rsidRPr="003B6D43">
        <w:t xml:space="preserve">, and drawing out themes across the course like race, gender, totalitarianism, and the legacies of imperialism. We’ll also examine the issues of genocide remembrance and </w:t>
      </w:r>
      <w:proofErr w:type="gramStart"/>
      <w:r w:rsidR="003B6D43" w:rsidRPr="003B6D43">
        <w:t>denial, and</w:t>
      </w:r>
      <w:proofErr w:type="gramEnd"/>
      <w:r w:rsidR="003B6D43" w:rsidRPr="003B6D43">
        <w:t xml:space="preserve"> explore why commemorating past crimes is important for present-day societies.</w:t>
      </w:r>
    </w:p>
    <w:p w14:paraId="743474C8" w14:textId="55F110AC" w:rsidR="003B6D43" w:rsidRDefault="003B6D43" w:rsidP="003B6D43">
      <w:pPr>
        <w:spacing w:line="276" w:lineRule="auto"/>
      </w:pPr>
      <w:r w:rsidRPr="003B6D43">
        <w:t xml:space="preserve">The Moodle page for the module contains </w:t>
      </w:r>
      <w:proofErr w:type="gramStart"/>
      <w:r w:rsidRPr="003B6D43">
        <w:t>all of</w:t>
      </w:r>
      <w:proofErr w:type="gramEnd"/>
      <w:r w:rsidRPr="003B6D43">
        <w:t xml:space="preserve"> the information you’ll need for our classes. There you’ll find dates of classes, reading lists, asynchronous tasks, and information about assessment. We’ll meet weekly online on Teams over the course of ten weeks, in a two-hour slot. The lecture part of our sessions will be recorded</w:t>
      </w:r>
      <w:r>
        <w:t xml:space="preserve"> and will be available for you to review shortly after the class</w:t>
      </w:r>
      <w:r w:rsidRPr="003B6D43">
        <w:t>. There will also be an asynchronous exercise for you to do each week, which will help you to prepare for assignments. I’ll provide formative feedback on those tasks.</w:t>
      </w:r>
      <w:r>
        <w:t xml:space="preserve"> I’ll also be very happy to discuss the material outside of class, either by email or by setting up a meeting at a mutually convenient time.</w:t>
      </w:r>
    </w:p>
    <w:p w14:paraId="0CBB46F3" w14:textId="17557BFE" w:rsidR="00AB75F5" w:rsidRDefault="00AB75F5" w:rsidP="00AB75F5">
      <w:pPr>
        <w:spacing w:line="276" w:lineRule="auto"/>
      </w:pPr>
      <w:r>
        <w:t>Don’t be shy to ask questions if there’s something that doesn’t qu</w:t>
      </w:r>
      <w:r>
        <w:t>ite make sense, or if you want to know more. I might not always know the answer, but we can find out collaboratively! I actively encourage you to ask questions. Don’t be afraid to have a go at answering questions. I recognise that some of the subjects discussed during the module will be unfamiliar to some of you. Remember you’re encouraged to think and explore, and there are rarely right or wrong answers.</w:t>
      </w:r>
    </w:p>
    <w:p w14:paraId="6CBAF893" w14:textId="77777777" w:rsidR="00AB75F5" w:rsidRDefault="00AB75F5" w:rsidP="00AB75F5">
      <w:pPr>
        <w:pStyle w:val="Heading2"/>
      </w:pPr>
      <w:r>
        <w:t>Content note</w:t>
      </w:r>
    </w:p>
    <w:p w14:paraId="5BDF0275" w14:textId="2537A27B" w:rsidR="00AB75F5" w:rsidRDefault="00AB75F5" w:rsidP="00AB75F5">
      <w:r>
        <w:t xml:space="preserve">As you might expect on a module relating to genocide, the material we will cover this </w:t>
      </w:r>
      <w:r>
        <w:t>semester</w:t>
      </w:r>
      <w:r>
        <w:t xml:space="preserve"> will cover challenging material that could be potentially distressing. Topics covered will include violence (including sexual and racist violence), murder, sexual assault, racism, homophobia and transphobia. If there is anything that concerns you in the course outline, please do not hesitate to contact me. You will not need to discuss why you do not wish to engage with </w:t>
      </w:r>
      <w:proofErr w:type="gramStart"/>
      <w:r>
        <w:t>particular topics</w:t>
      </w:r>
      <w:proofErr w:type="gramEnd"/>
      <w:r>
        <w:t>, we can simply discuss how you might meet the learning objectives of the module</w:t>
      </w:r>
      <w:r>
        <w:t>.</w:t>
      </w:r>
    </w:p>
    <w:p w14:paraId="156E2171" w14:textId="129644DB" w:rsidR="00AB75F5" w:rsidRDefault="00AB75F5" w:rsidP="00AB75F5">
      <w:r>
        <w:t xml:space="preserve">I am committed to ensuring that our work together this </w:t>
      </w:r>
      <w:r>
        <w:t>semester</w:t>
      </w:r>
      <w:r>
        <w:t xml:space="preserve"> occurs in a safe space for discussing difficult topics. This isn’t about limiting critical engagement, but rather </w:t>
      </w:r>
      <w:r>
        <w:lastRenderedPageBreak/>
        <w:t>ensuring that everyone feels respected and safe. I ask that we all treat each other carefully.</w:t>
      </w:r>
    </w:p>
    <w:p w14:paraId="3D05A4D9" w14:textId="2FA32C52" w:rsidR="00AB75F5" w:rsidRPr="00CF0E9F" w:rsidRDefault="00AB75F5" w:rsidP="00AB75F5">
      <w:r>
        <w:t xml:space="preserve">There will be scheduled breaks in classes, but you’re welcome to </w:t>
      </w:r>
      <w:r>
        <w:t>leave the Teams call</w:t>
      </w:r>
      <w:r>
        <w:t xml:space="preserve"> if you need to take care of yourself – no questions will be asked if you need to do this, and you’re very welcome to rejoin the class when you feel able.</w:t>
      </w:r>
    </w:p>
    <w:p w14:paraId="1C91E689" w14:textId="77777777" w:rsidR="00AB75F5" w:rsidRPr="00CF0E9F" w:rsidRDefault="00AB75F5" w:rsidP="00AB75F5">
      <w:r w:rsidRPr="00CF0E9F">
        <w:t>Local and national support resources are available – these are linked here:</w:t>
      </w:r>
    </w:p>
    <w:p w14:paraId="2445D71C" w14:textId="77777777" w:rsidR="00AB75F5" w:rsidRPr="00CF0E9F" w:rsidRDefault="00AB75F5" w:rsidP="00AB75F5">
      <w:pPr>
        <w:numPr>
          <w:ilvl w:val="1"/>
          <w:numId w:val="13"/>
        </w:numPr>
      </w:pPr>
      <w:hyperlink r:id="rId9" w:history="1">
        <w:r w:rsidRPr="00CF0E9F">
          <w:rPr>
            <w:rStyle w:val="Hyperlink"/>
            <w:highlight w:val="white"/>
          </w:rPr>
          <w:t>Wellbeing Support | University of Wales Trinity Saint David (uwtsd.ac.uk)</w:t>
        </w:r>
      </w:hyperlink>
    </w:p>
    <w:p w14:paraId="265A0FA3" w14:textId="77777777" w:rsidR="00AB75F5" w:rsidRPr="00CF0E9F" w:rsidRDefault="00AB75F5" w:rsidP="00AB75F5">
      <w:pPr>
        <w:numPr>
          <w:ilvl w:val="1"/>
          <w:numId w:val="13"/>
        </w:numPr>
      </w:pPr>
      <w:hyperlink r:id="rId10" w:history="1">
        <w:r w:rsidRPr="00CF0E9F">
          <w:rPr>
            <w:rStyle w:val="Hyperlink"/>
            <w:highlight w:val="white"/>
          </w:rPr>
          <w:t>Domestic abuse | GOV.WALES</w:t>
        </w:r>
      </w:hyperlink>
    </w:p>
    <w:p w14:paraId="6816981C" w14:textId="77777777" w:rsidR="00AB75F5" w:rsidRPr="00962422" w:rsidRDefault="00AB75F5" w:rsidP="00AB75F5">
      <w:pPr>
        <w:numPr>
          <w:ilvl w:val="1"/>
          <w:numId w:val="13"/>
        </w:numPr>
        <w:rPr>
          <w:rStyle w:val="Hyperlink"/>
          <w:color w:val="auto"/>
          <w:u w:val="none"/>
        </w:rPr>
      </w:pPr>
      <w:hyperlink r:id="rId11" w:history="1">
        <w:r w:rsidRPr="00CF0E9F">
          <w:rPr>
            <w:rStyle w:val="Hyperlink"/>
            <w:highlight w:val="white"/>
          </w:rPr>
          <w:t>New Pathways Rape crisis and sexual abuse support services.</w:t>
        </w:r>
      </w:hyperlink>
    </w:p>
    <w:p w14:paraId="0C989222" w14:textId="77777777" w:rsidR="00962422" w:rsidRDefault="00962422" w:rsidP="00962422">
      <w:pPr>
        <w:pStyle w:val="Heading2"/>
      </w:pPr>
      <w:r>
        <w:t>Help and advice</w:t>
      </w:r>
    </w:p>
    <w:p w14:paraId="1824D267" w14:textId="112D6D62" w:rsidR="00962422" w:rsidRDefault="00962422" w:rsidP="00962422">
      <w:r>
        <w:t xml:space="preserve">If you have any queries about the module, please do not hesitate to ask for help. The best way to reach me is always by email: </w:t>
      </w:r>
      <w:hyperlink r:id="rId12" w:history="1">
        <w:r w:rsidRPr="00F93D87">
          <w:rPr>
            <w:rStyle w:val="Hyperlink"/>
          </w:rPr>
          <w:t>r.keyse@uwtsd.ac.uk</w:t>
        </w:r>
      </w:hyperlink>
      <w:r>
        <w:t>)</w:t>
      </w:r>
    </w:p>
    <w:p w14:paraId="5E3D5DA4" w14:textId="77777777" w:rsidR="00131066" w:rsidRDefault="00131066" w:rsidP="00962422">
      <w:pPr>
        <w:pStyle w:val="Heading2"/>
      </w:pPr>
      <w:r>
        <w:t>Aims</w:t>
      </w:r>
    </w:p>
    <w:p w14:paraId="390D26C1" w14:textId="2F3FD116" w:rsidR="00131066" w:rsidRPr="00131066" w:rsidRDefault="00131066" w:rsidP="00131066">
      <w:r>
        <w:t>This module aims to encourage students to acquire a broad knowledge of the nature of genocide, and the debates and interpretations surrounding the complex and sensitive subject of genocide and other violations of human rights. This should be achieved through an analysis of case studies and the historiographical debates surrounding the subject matter.</w:t>
      </w:r>
    </w:p>
    <w:p w14:paraId="5E78D0A6" w14:textId="0240466B" w:rsidR="00962422" w:rsidRDefault="00962422" w:rsidP="00962422">
      <w:pPr>
        <w:pStyle w:val="Heading2"/>
      </w:pPr>
      <w:r>
        <w:t xml:space="preserve">Learning </w:t>
      </w:r>
      <w:r w:rsidR="00131066">
        <w:t>outcomes</w:t>
      </w:r>
    </w:p>
    <w:p w14:paraId="5BE95D79" w14:textId="77777777" w:rsidR="00962422" w:rsidRDefault="00962422" w:rsidP="00962422">
      <w:r>
        <w:t xml:space="preserve">By the end of the </w:t>
      </w:r>
      <w:proofErr w:type="gramStart"/>
      <w:r>
        <w:t>module</w:t>
      </w:r>
      <w:proofErr w:type="gramEnd"/>
      <w:r>
        <w:t xml:space="preserve"> you should be able to:</w:t>
      </w:r>
    </w:p>
    <w:p w14:paraId="0F106AA4" w14:textId="2A756908" w:rsidR="00962422" w:rsidRDefault="00131066" w:rsidP="00962422">
      <w:pPr>
        <w:pStyle w:val="ListParagraph"/>
        <w:numPr>
          <w:ilvl w:val="0"/>
          <w:numId w:val="14"/>
        </w:numPr>
      </w:pPr>
      <w:r>
        <w:t>Demonstrate understanding of the different approaches applicable to Genocide Studies, including exploring what characteristics define violent acts against humanity as ‘genocide’.</w:t>
      </w:r>
    </w:p>
    <w:p w14:paraId="5F6A2D72" w14:textId="16F90D94" w:rsidR="00131066" w:rsidRDefault="00131066" w:rsidP="00962422">
      <w:pPr>
        <w:pStyle w:val="ListParagraph"/>
        <w:numPr>
          <w:ilvl w:val="0"/>
          <w:numId w:val="14"/>
        </w:numPr>
      </w:pPr>
      <w:r>
        <w:t>Demonstrate knowledge of examples of genocide and why these events have been described as acts of ‘genocide’.</w:t>
      </w:r>
    </w:p>
    <w:p w14:paraId="41DE5094" w14:textId="5B09C5C5" w:rsidR="00131066" w:rsidRDefault="00131066" w:rsidP="00962422">
      <w:pPr>
        <w:pStyle w:val="ListParagraph"/>
        <w:numPr>
          <w:ilvl w:val="0"/>
          <w:numId w:val="14"/>
        </w:numPr>
      </w:pPr>
      <w:r>
        <w:t xml:space="preserve">Discuss historiographical debates and </w:t>
      </w:r>
      <w:proofErr w:type="spellStart"/>
      <w:r>
        <w:t>intepretations</w:t>
      </w:r>
      <w:proofErr w:type="spellEnd"/>
      <w:r>
        <w:t xml:space="preserve"> surrounding genocide studies.</w:t>
      </w:r>
    </w:p>
    <w:p w14:paraId="3A85CC8A" w14:textId="77777777" w:rsidR="00131066" w:rsidRDefault="00131066">
      <w:pPr>
        <w:rPr>
          <w:rFonts w:asciiTheme="majorHAnsi" w:eastAsiaTheme="majorEastAsia" w:hAnsiTheme="majorHAnsi" w:cstheme="majorBidi"/>
          <w:color w:val="0F4761" w:themeColor="accent1" w:themeShade="BF"/>
          <w:sz w:val="32"/>
          <w:szCs w:val="32"/>
        </w:rPr>
      </w:pPr>
      <w:r>
        <w:br w:type="page"/>
      </w:r>
    </w:p>
    <w:p w14:paraId="2526A8EF" w14:textId="4FC7AEB2" w:rsidR="003B6D43" w:rsidRDefault="003B6D43" w:rsidP="003B6D43">
      <w:pPr>
        <w:pStyle w:val="Heading2"/>
      </w:pPr>
      <w:r>
        <w:lastRenderedPageBreak/>
        <w:t>Class schedule</w:t>
      </w:r>
    </w:p>
    <w:p w14:paraId="5D1C4FC2" w14:textId="7F7FCA6B" w:rsidR="00131066" w:rsidRPr="00131066" w:rsidRDefault="00131066" w:rsidP="00131066">
      <w:r>
        <w:t xml:space="preserve">The class will take place on </w:t>
      </w:r>
      <w:r w:rsidRPr="00131066">
        <w:rPr>
          <w:b/>
          <w:bCs/>
        </w:rPr>
        <w:t>Microsoft Teams</w:t>
      </w:r>
      <w:r>
        <w:t xml:space="preserve"> on </w:t>
      </w:r>
      <w:r w:rsidRPr="00131066">
        <w:rPr>
          <w:b/>
          <w:bCs/>
        </w:rPr>
        <w:t>Wednesdays, from 11am to 1pm</w:t>
      </w:r>
      <w:r>
        <w:t>. Links will be circulated prior to classes. The schedule is as follows:</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6"/>
        <w:gridCol w:w="4245"/>
        <w:gridCol w:w="3321"/>
      </w:tblGrid>
      <w:tr w:rsidR="00AB75F5" w:rsidRPr="003B6D43" w14:paraId="4B25A52F" w14:textId="77777777" w:rsidTr="00AB75F5">
        <w:trPr>
          <w:jc w:val="center"/>
        </w:trPr>
        <w:tc>
          <w:tcPr>
            <w:tcW w:w="1476" w:type="dxa"/>
            <w:tcBorders>
              <w:top w:val="outset" w:sz="6" w:space="0" w:color="auto"/>
              <w:left w:val="outset" w:sz="6" w:space="0" w:color="auto"/>
              <w:bottom w:val="outset" w:sz="6" w:space="0" w:color="auto"/>
              <w:right w:val="outset" w:sz="6" w:space="0" w:color="auto"/>
            </w:tcBorders>
          </w:tcPr>
          <w:p w14:paraId="7E867731" w14:textId="3D56C96E" w:rsidR="00AB75F5" w:rsidRPr="00AB75F5" w:rsidRDefault="00AB75F5" w:rsidP="00DA5851">
            <w:pPr>
              <w:spacing w:after="100" w:afterAutospacing="1" w:line="240" w:lineRule="auto"/>
              <w:ind w:left="120" w:right="120"/>
              <w:rPr>
                <w:rFonts w:eastAsia="Times New Roman" w:cs="Segoe UI"/>
                <w:b/>
                <w:bCs/>
                <w:color w:val="000000"/>
                <w:kern w:val="0"/>
                <w14:ligatures w14:val="none"/>
              </w:rPr>
            </w:pPr>
            <w:r w:rsidRPr="00AB75F5">
              <w:rPr>
                <w:rFonts w:eastAsia="Times New Roman" w:cs="Segoe UI"/>
                <w:b/>
                <w:bCs/>
                <w:color w:val="000000"/>
                <w:kern w:val="0"/>
                <w14:ligatures w14:val="none"/>
              </w:rPr>
              <w:t>Date</w:t>
            </w:r>
          </w:p>
        </w:tc>
        <w:tc>
          <w:tcPr>
            <w:tcW w:w="4245" w:type="dxa"/>
            <w:tcBorders>
              <w:top w:val="outset" w:sz="6" w:space="0" w:color="auto"/>
              <w:left w:val="outset" w:sz="6" w:space="0" w:color="auto"/>
              <w:bottom w:val="outset" w:sz="6" w:space="0" w:color="auto"/>
              <w:right w:val="outset" w:sz="6" w:space="0" w:color="auto"/>
            </w:tcBorders>
          </w:tcPr>
          <w:p w14:paraId="07977BDB" w14:textId="596A6E9F" w:rsidR="00AB75F5" w:rsidRPr="00AB75F5" w:rsidRDefault="00AB75F5" w:rsidP="00DA5851">
            <w:pPr>
              <w:spacing w:after="100" w:afterAutospacing="1" w:line="240" w:lineRule="auto"/>
              <w:ind w:left="120" w:right="120"/>
              <w:rPr>
                <w:rFonts w:eastAsia="Times New Roman" w:cs="Segoe UI"/>
                <w:b/>
                <w:bCs/>
                <w:color w:val="000000"/>
                <w:kern w:val="0"/>
                <w14:ligatures w14:val="none"/>
              </w:rPr>
            </w:pPr>
            <w:r w:rsidRPr="00AB75F5">
              <w:rPr>
                <w:rFonts w:eastAsia="Times New Roman" w:cs="Segoe UI"/>
                <w:b/>
                <w:bCs/>
                <w:color w:val="000000"/>
                <w:kern w:val="0"/>
                <w14:ligatures w14:val="none"/>
              </w:rPr>
              <w:t>Lecture details</w:t>
            </w:r>
          </w:p>
        </w:tc>
        <w:tc>
          <w:tcPr>
            <w:tcW w:w="3321" w:type="dxa"/>
            <w:tcBorders>
              <w:top w:val="outset" w:sz="6" w:space="0" w:color="auto"/>
              <w:left w:val="outset" w:sz="6" w:space="0" w:color="auto"/>
              <w:bottom w:val="outset" w:sz="6" w:space="0" w:color="auto"/>
              <w:right w:val="outset" w:sz="6" w:space="0" w:color="auto"/>
            </w:tcBorders>
          </w:tcPr>
          <w:p w14:paraId="59772725" w14:textId="4BD8AAE9" w:rsidR="00AB75F5" w:rsidRPr="00AB75F5" w:rsidRDefault="00AB75F5" w:rsidP="00DA5851">
            <w:pPr>
              <w:spacing w:after="100" w:afterAutospacing="1" w:line="240" w:lineRule="auto"/>
              <w:ind w:left="120" w:right="120"/>
              <w:rPr>
                <w:rFonts w:eastAsia="Times New Roman" w:cs="Segoe UI"/>
                <w:b/>
                <w:bCs/>
                <w:color w:val="000000"/>
                <w:kern w:val="0"/>
                <w14:ligatures w14:val="none"/>
              </w:rPr>
            </w:pPr>
            <w:r w:rsidRPr="00AB75F5">
              <w:rPr>
                <w:rFonts w:eastAsia="Times New Roman" w:cs="Segoe UI"/>
                <w:b/>
                <w:bCs/>
                <w:color w:val="000000"/>
                <w:kern w:val="0"/>
                <w14:ligatures w14:val="none"/>
              </w:rPr>
              <w:t>Assignments due this week</w:t>
            </w:r>
          </w:p>
        </w:tc>
      </w:tr>
      <w:tr w:rsidR="00AB75F5" w:rsidRPr="003B6D43" w14:paraId="26006FB8" w14:textId="279EDCF5"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5E22A8DD" w14:textId="68271CF9"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5 February 2025</w:t>
            </w:r>
          </w:p>
        </w:tc>
        <w:tc>
          <w:tcPr>
            <w:tcW w:w="4245" w:type="dxa"/>
            <w:tcBorders>
              <w:top w:val="outset" w:sz="6" w:space="0" w:color="auto"/>
              <w:left w:val="outset" w:sz="6" w:space="0" w:color="auto"/>
              <w:bottom w:val="outset" w:sz="6" w:space="0" w:color="auto"/>
              <w:right w:val="outset" w:sz="6" w:space="0" w:color="auto"/>
            </w:tcBorders>
            <w:hideMark/>
          </w:tcPr>
          <w:p w14:paraId="72B507FD" w14:textId="50A821A5"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Lecture 1: Introduction to the module</w:t>
            </w:r>
          </w:p>
        </w:tc>
        <w:tc>
          <w:tcPr>
            <w:tcW w:w="3321" w:type="dxa"/>
            <w:tcBorders>
              <w:top w:val="outset" w:sz="6" w:space="0" w:color="auto"/>
              <w:left w:val="outset" w:sz="6" w:space="0" w:color="auto"/>
              <w:bottom w:val="outset" w:sz="6" w:space="0" w:color="auto"/>
              <w:right w:val="outset" w:sz="6" w:space="0" w:color="auto"/>
            </w:tcBorders>
          </w:tcPr>
          <w:p w14:paraId="148F676B" w14:textId="52218E93" w:rsidR="00AB75F5" w:rsidRPr="003B6D43" w:rsidRDefault="00AB75F5" w:rsidP="00AB75F5">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5365089B" w14:textId="5C7F2120"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79CAB497" w14:textId="3F5EBDE6"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12 February 2025</w:t>
            </w:r>
          </w:p>
        </w:tc>
        <w:tc>
          <w:tcPr>
            <w:tcW w:w="4245" w:type="dxa"/>
            <w:tcBorders>
              <w:top w:val="outset" w:sz="6" w:space="0" w:color="auto"/>
              <w:left w:val="outset" w:sz="6" w:space="0" w:color="auto"/>
              <w:bottom w:val="outset" w:sz="6" w:space="0" w:color="auto"/>
              <w:right w:val="outset" w:sz="6" w:space="0" w:color="auto"/>
            </w:tcBorders>
            <w:hideMark/>
          </w:tcPr>
          <w:p w14:paraId="707F0162" w14:textId="791B4419"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Lecture 2: Defining genocide</w:t>
            </w:r>
          </w:p>
        </w:tc>
        <w:tc>
          <w:tcPr>
            <w:tcW w:w="3321" w:type="dxa"/>
            <w:tcBorders>
              <w:top w:val="outset" w:sz="6" w:space="0" w:color="auto"/>
              <w:left w:val="outset" w:sz="6" w:space="0" w:color="auto"/>
              <w:bottom w:val="outset" w:sz="6" w:space="0" w:color="auto"/>
              <w:right w:val="outset" w:sz="6" w:space="0" w:color="auto"/>
            </w:tcBorders>
          </w:tcPr>
          <w:p w14:paraId="1426BDBE" w14:textId="6322A339" w:rsidR="00AB75F5" w:rsidRPr="003B6D43" w:rsidRDefault="00AB75F5"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54864A29" w14:textId="2D49D1D4"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660813D3" w14:textId="690AE0D2"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19 February 2025</w:t>
            </w:r>
          </w:p>
        </w:tc>
        <w:tc>
          <w:tcPr>
            <w:tcW w:w="4245" w:type="dxa"/>
            <w:tcBorders>
              <w:top w:val="outset" w:sz="6" w:space="0" w:color="auto"/>
              <w:left w:val="outset" w:sz="6" w:space="0" w:color="auto"/>
              <w:bottom w:val="outset" w:sz="6" w:space="0" w:color="auto"/>
              <w:right w:val="outset" w:sz="6" w:space="0" w:color="auto"/>
            </w:tcBorders>
            <w:hideMark/>
          </w:tcPr>
          <w:p w14:paraId="5F8B5B39" w14:textId="77777777" w:rsidR="00AB75F5"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 xml:space="preserve">Lecture 3: </w:t>
            </w:r>
            <w:r w:rsidR="00AB75F5">
              <w:rPr>
                <w:rFonts w:eastAsia="Times New Roman" w:cs="Segoe UI"/>
                <w:color w:val="000000"/>
                <w:kern w:val="0"/>
                <w14:ligatures w14:val="none"/>
              </w:rPr>
              <w:t>Genocide in Namibia: On the path to Auschwitz?</w:t>
            </w:r>
          </w:p>
          <w:p w14:paraId="5EED669C" w14:textId="1EBA5E2D" w:rsidR="00962422" w:rsidRP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Assignment workshop</w:t>
            </w:r>
          </w:p>
        </w:tc>
        <w:tc>
          <w:tcPr>
            <w:tcW w:w="3321" w:type="dxa"/>
            <w:tcBorders>
              <w:top w:val="outset" w:sz="6" w:space="0" w:color="auto"/>
              <w:left w:val="outset" w:sz="6" w:space="0" w:color="auto"/>
              <w:bottom w:val="outset" w:sz="6" w:space="0" w:color="auto"/>
              <w:right w:val="outset" w:sz="6" w:space="0" w:color="auto"/>
            </w:tcBorders>
          </w:tcPr>
          <w:p w14:paraId="04038783" w14:textId="42DCBD44" w:rsidR="00AB75F5" w:rsidRPr="003B6D43" w:rsidRDefault="00AB75F5"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15FAE29F" w14:textId="167269BC"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3ED7D86B" w14:textId="5117D84C"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26 February 2025</w:t>
            </w:r>
          </w:p>
        </w:tc>
        <w:tc>
          <w:tcPr>
            <w:tcW w:w="4245" w:type="dxa"/>
            <w:tcBorders>
              <w:top w:val="outset" w:sz="6" w:space="0" w:color="auto"/>
              <w:left w:val="outset" w:sz="6" w:space="0" w:color="auto"/>
              <w:bottom w:val="outset" w:sz="6" w:space="0" w:color="auto"/>
              <w:right w:val="outset" w:sz="6" w:space="0" w:color="auto"/>
            </w:tcBorders>
            <w:hideMark/>
          </w:tcPr>
          <w:p w14:paraId="79964C52" w14:textId="6B3EC2AE" w:rsidR="00AB75F5" w:rsidRPr="00962422" w:rsidRDefault="00962422" w:rsidP="00962422">
            <w:r>
              <w:t xml:space="preserve">  Lecture 4: </w:t>
            </w:r>
            <w:r w:rsidR="00AB75F5" w:rsidRPr="00AB75F5">
              <w:t>Plan or a gruesome</w:t>
            </w:r>
            <w:r>
              <w:t xml:space="preserve"> </w:t>
            </w:r>
            <w:r w:rsidR="00131066">
              <w:t xml:space="preserve">  </w:t>
            </w:r>
            <w:r w:rsidR="00AB75F5" w:rsidRPr="00AB75F5">
              <w:t xml:space="preserve">accident? Origins of the Holocaust </w:t>
            </w:r>
          </w:p>
        </w:tc>
        <w:tc>
          <w:tcPr>
            <w:tcW w:w="3321" w:type="dxa"/>
            <w:tcBorders>
              <w:top w:val="outset" w:sz="6" w:space="0" w:color="auto"/>
              <w:left w:val="outset" w:sz="6" w:space="0" w:color="auto"/>
              <w:bottom w:val="outset" w:sz="6" w:space="0" w:color="auto"/>
              <w:right w:val="outset" w:sz="6" w:space="0" w:color="auto"/>
            </w:tcBorders>
          </w:tcPr>
          <w:p w14:paraId="3E4F0D2A" w14:textId="5D1FB489" w:rsidR="00AB75F5" w:rsidRPr="003B6D43" w:rsidRDefault="00AB75F5"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Portfolio part 1 due Sunday 2 March 2025 at 23:59 PM.</w:t>
            </w:r>
          </w:p>
        </w:tc>
      </w:tr>
      <w:tr w:rsidR="00AB75F5" w:rsidRPr="003B6D43" w14:paraId="083EE439" w14:textId="79B8E31D"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54D4B8EA" w14:textId="055162E7"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5 March 2025</w:t>
            </w:r>
          </w:p>
        </w:tc>
        <w:tc>
          <w:tcPr>
            <w:tcW w:w="4245" w:type="dxa"/>
            <w:tcBorders>
              <w:top w:val="outset" w:sz="6" w:space="0" w:color="auto"/>
              <w:left w:val="outset" w:sz="6" w:space="0" w:color="auto"/>
              <w:bottom w:val="outset" w:sz="6" w:space="0" w:color="auto"/>
              <w:right w:val="outset" w:sz="6" w:space="0" w:color="auto"/>
            </w:tcBorders>
            <w:hideMark/>
          </w:tcPr>
          <w:p w14:paraId="7FC6C9F6" w14:textId="4D6A9466"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 xml:space="preserve">Lecture 5: Ordinary killers? Holocaust perpetrators </w:t>
            </w:r>
          </w:p>
        </w:tc>
        <w:tc>
          <w:tcPr>
            <w:tcW w:w="3321" w:type="dxa"/>
            <w:tcBorders>
              <w:top w:val="outset" w:sz="6" w:space="0" w:color="auto"/>
              <w:left w:val="outset" w:sz="6" w:space="0" w:color="auto"/>
              <w:bottom w:val="outset" w:sz="6" w:space="0" w:color="auto"/>
              <w:right w:val="outset" w:sz="6" w:space="0" w:color="auto"/>
            </w:tcBorders>
          </w:tcPr>
          <w:p w14:paraId="44EDCE17" w14:textId="0CCBFA9A" w:rsidR="00AB75F5" w:rsidRPr="003B6D43" w:rsidRDefault="00962422"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6D9506CD" w14:textId="72081A40"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6FC609F0" w14:textId="0F54EDCB"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12 March 2025</w:t>
            </w:r>
          </w:p>
        </w:tc>
        <w:tc>
          <w:tcPr>
            <w:tcW w:w="4245" w:type="dxa"/>
            <w:tcBorders>
              <w:top w:val="outset" w:sz="6" w:space="0" w:color="auto"/>
              <w:left w:val="outset" w:sz="6" w:space="0" w:color="auto"/>
              <w:bottom w:val="outset" w:sz="6" w:space="0" w:color="auto"/>
              <w:right w:val="outset" w:sz="6" w:space="0" w:color="auto"/>
            </w:tcBorders>
            <w:hideMark/>
          </w:tcPr>
          <w:p w14:paraId="1B7834F9" w14:textId="3A91FAF1" w:rsidR="00AB75F5" w:rsidRPr="00962422" w:rsidRDefault="00962422" w:rsidP="00DA5851">
            <w:pPr>
              <w:spacing w:after="100" w:afterAutospacing="1" w:line="240" w:lineRule="auto"/>
              <w:ind w:left="120" w:right="120"/>
              <w:rPr>
                <w:rFonts w:eastAsia="Times New Roman" w:cs="Segoe UI"/>
                <w:color w:val="000000"/>
                <w:kern w:val="0"/>
                <w14:ligatures w14:val="none"/>
              </w:rPr>
            </w:pPr>
            <w:r w:rsidRPr="00962422">
              <w:rPr>
                <w:rFonts w:eastAsia="Times New Roman" w:cs="Segoe UI"/>
                <w:color w:val="000000"/>
                <w:kern w:val="0"/>
                <w14:ligatures w14:val="none"/>
              </w:rPr>
              <w:t xml:space="preserve">Lecture 6: Holocaust </w:t>
            </w:r>
            <w:r>
              <w:rPr>
                <w:rFonts w:eastAsia="Times New Roman" w:cs="Segoe UI"/>
                <w:color w:val="000000"/>
                <w:kern w:val="0"/>
                <w14:ligatures w14:val="none"/>
              </w:rPr>
              <w:t>remembrance</w:t>
            </w:r>
            <w:r w:rsidRPr="00962422">
              <w:rPr>
                <w:rFonts w:eastAsia="Times New Roman" w:cs="Segoe UI"/>
                <w:color w:val="000000"/>
                <w:kern w:val="0"/>
                <w14:ligatures w14:val="none"/>
              </w:rPr>
              <w:t xml:space="preserve"> and denial</w:t>
            </w:r>
            <w:r w:rsidR="00AB75F5" w:rsidRPr="00962422">
              <w:rPr>
                <w:rFonts w:eastAsia="Times New Roman" w:cs="Segoe UI"/>
                <w:color w:val="000000"/>
                <w:kern w:val="0"/>
                <w14:ligatures w14:val="none"/>
              </w:rPr>
              <w:t> </w:t>
            </w:r>
          </w:p>
        </w:tc>
        <w:tc>
          <w:tcPr>
            <w:tcW w:w="3321" w:type="dxa"/>
            <w:tcBorders>
              <w:top w:val="outset" w:sz="6" w:space="0" w:color="auto"/>
              <w:left w:val="outset" w:sz="6" w:space="0" w:color="auto"/>
              <w:bottom w:val="outset" w:sz="6" w:space="0" w:color="auto"/>
              <w:right w:val="outset" w:sz="6" w:space="0" w:color="auto"/>
            </w:tcBorders>
          </w:tcPr>
          <w:p w14:paraId="3BE3F78C" w14:textId="64A5400F" w:rsidR="00AB75F5" w:rsidRPr="00962422" w:rsidRDefault="00962422"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7C1C4E8C" w14:textId="339C77B9"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0932D838" w14:textId="572ED317"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19 March 2025</w:t>
            </w:r>
          </w:p>
        </w:tc>
        <w:tc>
          <w:tcPr>
            <w:tcW w:w="4245" w:type="dxa"/>
            <w:tcBorders>
              <w:top w:val="outset" w:sz="6" w:space="0" w:color="auto"/>
              <w:left w:val="outset" w:sz="6" w:space="0" w:color="auto"/>
              <w:bottom w:val="outset" w:sz="6" w:space="0" w:color="auto"/>
              <w:right w:val="outset" w:sz="6" w:space="0" w:color="auto"/>
            </w:tcBorders>
            <w:hideMark/>
          </w:tcPr>
          <w:p w14:paraId="3A5BFE6E" w14:textId="4391AD9A" w:rsidR="00AB75F5" w:rsidRPr="00962422" w:rsidRDefault="00962422" w:rsidP="00DA5851">
            <w:pPr>
              <w:spacing w:after="100" w:afterAutospacing="1" w:line="240" w:lineRule="auto"/>
              <w:ind w:left="120" w:right="120"/>
              <w:rPr>
                <w:rFonts w:eastAsia="Times New Roman" w:cs="Segoe UI"/>
                <w:color w:val="000000"/>
                <w:kern w:val="0"/>
                <w:lang w:val="it-IT"/>
                <w14:ligatures w14:val="none"/>
              </w:rPr>
            </w:pPr>
            <w:proofErr w:type="spellStart"/>
            <w:r w:rsidRPr="00962422">
              <w:rPr>
                <w:rFonts w:eastAsia="Times New Roman" w:cs="Segoe UI"/>
                <w:color w:val="000000"/>
                <w:kern w:val="0"/>
                <w:lang w:val="it-IT"/>
                <w14:ligatures w14:val="none"/>
              </w:rPr>
              <w:t>Lecture</w:t>
            </w:r>
            <w:proofErr w:type="spellEnd"/>
            <w:r w:rsidRPr="00962422">
              <w:rPr>
                <w:rFonts w:eastAsia="Times New Roman" w:cs="Segoe UI"/>
                <w:color w:val="000000"/>
                <w:kern w:val="0"/>
                <w:lang w:val="it-IT"/>
                <w14:ligatures w14:val="none"/>
              </w:rPr>
              <w:t xml:space="preserve"> 7: ‘Auto-genocide</w:t>
            </w:r>
            <w:r>
              <w:rPr>
                <w:rFonts w:eastAsia="Times New Roman" w:cs="Segoe UI"/>
                <w:color w:val="000000"/>
                <w:kern w:val="0"/>
                <w:lang w:val="it-IT"/>
                <w14:ligatures w14:val="none"/>
              </w:rPr>
              <w:t>’</w:t>
            </w:r>
            <w:r w:rsidRPr="00962422">
              <w:rPr>
                <w:rFonts w:eastAsia="Times New Roman" w:cs="Segoe UI"/>
                <w:color w:val="000000"/>
                <w:kern w:val="0"/>
                <w:lang w:val="it-IT"/>
                <w14:ligatures w14:val="none"/>
              </w:rPr>
              <w:t xml:space="preserve"> in C</w:t>
            </w:r>
            <w:r>
              <w:rPr>
                <w:rFonts w:eastAsia="Times New Roman" w:cs="Segoe UI"/>
                <w:color w:val="000000"/>
                <w:kern w:val="0"/>
                <w:lang w:val="it-IT"/>
                <w14:ligatures w14:val="none"/>
              </w:rPr>
              <w:t>ambodia</w:t>
            </w:r>
          </w:p>
          <w:p w14:paraId="7E9D85A0" w14:textId="39C72EB9" w:rsidR="00962422"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Assignment workshop</w:t>
            </w:r>
          </w:p>
        </w:tc>
        <w:tc>
          <w:tcPr>
            <w:tcW w:w="3321" w:type="dxa"/>
            <w:tcBorders>
              <w:top w:val="outset" w:sz="6" w:space="0" w:color="auto"/>
              <w:left w:val="outset" w:sz="6" w:space="0" w:color="auto"/>
              <w:bottom w:val="outset" w:sz="6" w:space="0" w:color="auto"/>
              <w:right w:val="outset" w:sz="6" w:space="0" w:color="auto"/>
            </w:tcBorders>
          </w:tcPr>
          <w:p w14:paraId="14A9C116" w14:textId="485BA2B4" w:rsidR="00AB75F5" w:rsidRPr="003B6D43" w:rsidRDefault="00962422"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AB75F5" w:rsidRPr="003B6D43" w14:paraId="4E31809C" w14:textId="4F612A67" w:rsidTr="00AB75F5">
        <w:trPr>
          <w:jc w:val="center"/>
        </w:trPr>
        <w:tc>
          <w:tcPr>
            <w:tcW w:w="1476" w:type="dxa"/>
            <w:tcBorders>
              <w:top w:val="outset" w:sz="6" w:space="0" w:color="auto"/>
              <w:left w:val="outset" w:sz="6" w:space="0" w:color="auto"/>
              <w:bottom w:val="outset" w:sz="6" w:space="0" w:color="auto"/>
              <w:right w:val="outset" w:sz="6" w:space="0" w:color="auto"/>
            </w:tcBorders>
            <w:hideMark/>
          </w:tcPr>
          <w:p w14:paraId="64FE41C6" w14:textId="1E2B0AC4"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SPRING VACATION</w:t>
            </w:r>
          </w:p>
        </w:tc>
        <w:tc>
          <w:tcPr>
            <w:tcW w:w="4245" w:type="dxa"/>
            <w:tcBorders>
              <w:top w:val="outset" w:sz="6" w:space="0" w:color="auto"/>
              <w:left w:val="outset" w:sz="6" w:space="0" w:color="auto"/>
              <w:bottom w:val="outset" w:sz="6" w:space="0" w:color="auto"/>
              <w:right w:val="outset" w:sz="6" w:space="0" w:color="auto"/>
            </w:tcBorders>
            <w:hideMark/>
          </w:tcPr>
          <w:p w14:paraId="092E3EF2" w14:textId="7F3AF977" w:rsidR="00AB75F5" w:rsidRPr="003B6D43" w:rsidRDefault="00962422" w:rsidP="00DA5851">
            <w:pPr>
              <w:spacing w:after="100" w:afterAutospacing="1" w:line="240" w:lineRule="auto"/>
              <w:ind w:left="120" w:right="120"/>
              <w:rPr>
                <w:rFonts w:eastAsia="Times New Roman" w:cs="Segoe UI"/>
                <w:b/>
                <w:bCs/>
                <w:color w:val="000000"/>
                <w:kern w:val="0"/>
                <w14:ligatures w14:val="none"/>
              </w:rPr>
            </w:pPr>
            <w:r>
              <w:rPr>
                <w:rFonts w:eastAsia="Times New Roman" w:cs="Segoe UI"/>
                <w:color w:val="000000"/>
                <w:kern w:val="0"/>
                <w14:ligatures w14:val="none"/>
              </w:rPr>
              <w:t>No class</w:t>
            </w:r>
          </w:p>
        </w:tc>
        <w:tc>
          <w:tcPr>
            <w:tcW w:w="3321" w:type="dxa"/>
            <w:tcBorders>
              <w:top w:val="outset" w:sz="6" w:space="0" w:color="auto"/>
              <w:left w:val="outset" w:sz="6" w:space="0" w:color="auto"/>
              <w:bottom w:val="outset" w:sz="6" w:space="0" w:color="auto"/>
              <w:right w:val="outset" w:sz="6" w:space="0" w:color="auto"/>
            </w:tcBorders>
          </w:tcPr>
          <w:p w14:paraId="5DA4A136" w14:textId="7FF96A70" w:rsidR="00AB75F5" w:rsidRPr="003B6D43"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Portfolio Part 2 due Sunday 6 April 2025 at 23:59 PM.</w:t>
            </w:r>
          </w:p>
        </w:tc>
      </w:tr>
      <w:tr w:rsidR="00962422" w:rsidRPr="00962422" w14:paraId="77EFC0BA" w14:textId="77777777" w:rsidTr="00AB75F5">
        <w:trPr>
          <w:jc w:val="center"/>
        </w:trPr>
        <w:tc>
          <w:tcPr>
            <w:tcW w:w="1476" w:type="dxa"/>
            <w:tcBorders>
              <w:top w:val="outset" w:sz="6" w:space="0" w:color="auto"/>
              <w:left w:val="outset" w:sz="6" w:space="0" w:color="auto"/>
              <w:bottom w:val="outset" w:sz="6" w:space="0" w:color="auto"/>
              <w:right w:val="outset" w:sz="6" w:space="0" w:color="auto"/>
            </w:tcBorders>
          </w:tcPr>
          <w:p w14:paraId="4342B064" w14:textId="025E9739" w:rsid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9 April 2025</w:t>
            </w:r>
          </w:p>
        </w:tc>
        <w:tc>
          <w:tcPr>
            <w:tcW w:w="4245" w:type="dxa"/>
            <w:tcBorders>
              <w:top w:val="outset" w:sz="6" w:space="0" w:color="auto"/>
              <w:left w:val="outset" w:sz="6" w:space="0" w:color="auto"/>
              <w:bottom w:val="outset" w:sz="6" w:space="0" w:color="auto"/>
              <w:right w:val="outset" w:sz="6" w:space="0" w:color="auto"/>
            </w:tcBorders>
          </w:tcPr>
          <w:p w14:paraId="7075C56A" w14:textId="586F5996" w:rsidR="00962422" w:rsidRPr="00962422" w:rsidRDefault="00962422" w:rsidP="00DA5851">
            <w:pPr>
              <w:spacing w:after="100" w:afterAutospacing="1" w:line="240" w:lineRule="auto"/>
              <w:ind w:left="120" w:right="120"/>
              <w:rPr>
                <w:rFonts w:eastAsia="Times New Roman" w:cs="Segoe UI"/>
                <w:color w:val="000000"/>
                <w:kern w:val="0"/>
                <w14:ligatures w14:val="none"/>
              </w:rPr>
            </w:pPr>
            <w:r w:rsidRPr="00962422">
              <w:rPr>
                <w:rFonts w:eastAsia="Times New Roman" w:cs="Segoe UI"/>
                <w:color w:val="000000"/>
                <w:kern w:val="0"/>
                <w14:ligatures w14:val="none"/>
              </w:rPr>
              <w:t>Lecture 8: Darfur and South S</w:t>
            </w:r>
            <w:r>
              <w:rPr>
                <w:rFonts w:eastAsia="Times New Roman" w:cs="Segoe UI"/>
                <w:color w:val="000000"/>
                <w:kern w:val="0"/>
                <w14:ligatures w14:val="none"/>
              </w:rPr>
              <w:t>udan</w:t>
            </w:r>
          </w:p>
        </w:tc>
        <w:tc>
          <w:tcPr>
            <w:tcW w:w="3321" w:type="dxa"/>
            <w:tcBorders>
              <w:top w:val="outset" w:sz="6" w:space="0" w:color="auto"/>
              <w:left w:val="outset" w:sz="6" w:space="0" w:color="auto"/>
              <w:bottom w:val="outset" w:sz="6" w:space="0" w:color="auto"/>
              <w:right w:val="outset" w:sz="6" w:space="0" w:color="auto"/>
            </w:tcBorders>
          </w:tcPr>
          <w:p w14:paraId="71237295" w14:textId="25A0A9B8" w:rsidR="00962422" w:rsidRPr="00962422" w:rsidRDefault="00962422" w:rsidP="00962422">
            <w:pPr>
              <w:spacing w:after="100" w:afterAutospacing="1" w:line="240" w:lineRule="auto"/>
              <w:ind w:left="120" w:right="120"/>
              <w:jc w:val="center"/>
              <w:rPr>
                <w:rFonts w:eastAsia="Times New Roman" w:cs="Segoe UI"/>
                <w:color w:val="000000"/>
                <w:kern w:val="0"/>
                <w:lang w:val="it-IT"/>
                <w14:ligatures w14:val="none"/>
              </w:rPr>
            </w:pPr>
            <w:r>
              <w:rPr>
                <w:rFonts w:eastAsia="Times New Roman" w:cs="Segoe UI"/>
                <w:color w:val="000000"/>
                <w:kern w:val="0"/>
                <w:lang w:val="it-IT"/>
                <w14:ligatures w14:val="none"/>
              </w:rPr>
              <w:t>-</w:t>
            </w:r>
          </w:p>
        </w:tc>
      </w:tr>
      <w:tr w:rsidR="00962422" w:rsidRPr="00962422" w14:paraId="6A65D778" w14:textId="77777777" w:rsidTr="00AB75F5">
        <w:trPr>
          <w:jc w:val="center"/>
        </w:trPr>
        <w:tc>
          <w:tcPr>
            <w:tcW w:w="1476" w:type="dxa"/>
            <w:tcBorders>
              <w:top w:val="outset" w:sz="6" w:space="0" w:color="auto"/>
              <w:left w:val="outset" w:sz="6" w:space="0" w:color="auto"/>
              <w:bottom w:val="outset" w:sz="6" w:space="0" w:color="auto"/>
              <w:right w:val="outset" w:sz="6" w:space="0" w:color="auto"/>
            </w:tcBorders>
          </w:tcPr>
          <w:p w14:paraId="533F6EC8" w14:textId="6C203BA4" w:rsid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16 April 2025</w:t>
            </w:r>
          </w:p>
        </w:tc>
        <w:tc>
          <w:tcPr>
            <w:tcW w:w="4245" w:type="dxa"/>
            <w:tcBorders>
              <w:top w:val="outset" w:sz="6" w:space="0" w:color="auto"/>
              <w:left w:val="outset" w:sz="6" w:space="0" w:color="auto"/>
              <w:bottom w:val="outset" w:sz="6" w:space="0" w:color="auto"/>
              <w:right w:val="outset" w:sz="6" w:space="0" w:color="auto"/>
            </w:tcBorders>
          </w:tcPr>
          <w:p w14:paraId="1260C5C6" w14:textId="77777777" w:rsidR="00962422" w:rsidRDefault="00962422" w:rsidP="00DA5851">
            <w:pPr>
              <w:spacing w:after="100" w:afterAutospacing="1" w:line="240" w:lineRule="auto"/>
              <w:ind w:left="120" w:right="120"/>
              <w:rPr>
                <w:rFonts w:eastAsia="Times New Roman" w:cs="Segoe UI"/>
                <w:color w:val="000000"/>
                <w:kern w:val="0"/>
                <w14:ligatures w14:val="none"/>
              </w:rPr>
            </w:pPr>
            <w:r w:rsidRPr="00962422">
              <w:rPr>
                <w:rFonts w:eastAsia="Times New Roman" w:cs="Segoe UI"/>
                <w:color w:val="000000"/>
                <w:kern w:val="0"/>
                <w14:ligatures w14:val="none"/>
              </w:rPr>
              <w:t>Lecture 9: The fall of Y</w:t>
            </w:r>
            <w:r>
              <w:rPr>
                <w:rFonts w:eastAsia="Times New Roman" w:cs="Segoe UI"/>
                <w:color w:val="000000"/>
                <w:kern w:val="0"/>
                <w14:ligatures w14:val="none"/>
              </w:rPr>
              <w:t>ugoslavia and genocide in Bosnia</w:t>
            </w:r>
          </w:p>
          <w:p w14:paraId="4389D648" w14:textId="553C8A2C" w:rsidR="00962422" w:rsidRP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Assignment workshop</w:t>
            </w:r>
          </w:p>
        </w:tc>
        <w:tc>
          <w:tcPr>
            <w:tcW w:w="3321" w:type="dxa"/>
            <w:tcBorders>
              <w:top w:val="outset" w:sz="6" w:space="0" w:color="auto"/>
              <w:left w:val="outset" w:sz="6" w:space="0" w:color="auto"/>
              <w:bottom w:val="outset" w:sz="6" w:space="0" w:color="auto"/>
              <w:right w:val="outset" w:sz="6" w:space="0" w:color="auto"/>
            </w:tcBorders>
          </w:tcPr>
          <w:p w14:paraId="19EE6A04" w14:textId="4F18DB55" w:rsidR="00962422" w:rsidRPr="00962422" w:rsidRDefault="00962422" w:rsidP="00962422">
            <w:pPr>
              <w:spacing w:after="100" w:afterAutospacing="1" w:line="240" w:lineRule="auto"/>
              <w:ind w:left="120" w:right="120"/>
              <w:jc w:val="center"/>
              <w:rPr>
                <w:rFonts w:eastAsia="Times New Roman" w:cs="Segoe UI"/>
                <w:color w:val="000000"/>
                <w:kern w:val="0"/>
                <w14:ligatures w14:val="none"/>
              </w:rPr>
            </w:pPr>
            <w:r>
              <w:rPr>
                <w:rFonts w:eastAsia="Times New Roman" w:cs="Segoe UI"/>
                <w:color w:val="000000"/>
                <w:kern w:val="0"/>
                <w14:ligatures w14:val="none"/>
              </w:rPr>
              <w:t>-</w:t>
            </w:r>
          </w:p>
        </w:tc>
      </w:tr>
      <w:tr w:rsidR="00962422" w:rsidRPr="00962422" w14:paraId="414A8AD5" w14:textId="77777777" w:rsidTr="00AB75F5">
        <w:trPr>
          <w:jc w:val="center"/>
        </w:trPr>
        <w:tc>
          <w:tcPr>
            <w:tcW w:w="1476" w:type="dxa"/>
            <w:tcBorders>
              <w:top w:val="outset" w:sz="6" w:space="0" w:color="auto"/>
              <w:left w:val="outset" w:sz="6" w:space="0" w:color="auto"/>
              <w:bottom w:val="outset" w:sz="6" w:space="0" w:color="auto"/>
              <w:right w:val="outset" w:sz="6" w:space="0" w:color="auto"/>
            </w:tcBorders>
          </w:tcPr>
          <w:p w14:paraId="4B5881F2" w14:textId="0AB6878A" w:rsid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Wednesday 23 April 2025</w:t>
            </w:r>
          </w:p>
        </w:tc>
        <w:tc>
          <w:tcPr>
            <w:tcW w:w="4245" w:type="dxa"/>
            <w:tcBorders>
              <w:top w:val="outset" w:sz="6" w:space="0" w:color="auto"/>
              <w:left w:val="outset" w:sz="6" w:space="0" w:color="auto"/>
              <w:bottom w:val="outset" w:sz="6" w:space="0" w:color="auto"/>
              <w:right w:val="outset" w:sz="6" w:space="0" w:color="auto"/>
            </w:tcBorders>
          </w:tcPr>
          <w:p w14:paraId="1D7DF9C8" w14:textId="6E09F056" w:rsidR="00962422" w:rsidRP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Lecture 10: Gender and genocide in Rwanda</w:t>
            </w:r>
          </w:p>
        </w:tc>
        <w:tc>
          <w:tcPr>
            <w:tcW w:w="3321" w:type="dxa"/>
            <w:tcBorders>
              <w:top w:val="outset" w:sz="6" w:space="0" w:color="auto"/>
              <w:left w:val="outset" w:sz="6" w:space="0" w:color="auto"/>
              <w:bottom w:val="outset" w:sz="6" w:space="0" w:color="auto"/>
              <w:right w:val="outset" w:sz="6" w:space="0" w:color="auto"/>
            </w:tcBorders>
          </w:tcPr>
          <w:p w14:paraId="04E43178" w14:textId="7AF97603" w:rsidR="00962422" w:rsidRDefault="00962422" w:rsidP="00DA5851">
            <w:pPr>
              <w:spacing w:after="100" w:afterAutospacing="1" w:line="240" w:lineRule="auto"/>
              <w:ind w:left="120" w:right="120"/>
              <w:rPr>
                <w:rFonts w:eastAsia="Times New Roman" w:cs="Segoe UI"/>
                <w:color w:val="000000"/>
                <w:kern w:val="0"/>
                <w14:ligatures w14:val="none"/>
              </w:rPr>
            </w:pPr>
            <w:r>
              <w:rPr>
                <w:rFonts w:eastAsia="Times New Roman" w:cs="Segoe UI"/>
                <w:color w:val="000000"/>
                <w:kern w:val="0"/>
                <w14:ligatures w14:val="none"/>
              </w:rPr>
              <w:t>Essay due Sunday 27 April at 23:59 PM.</w:t>
            </w:r>
          </w:p>
        </w:tc>
      </w:tr>
    </w:tbl>
    <w:p w14:paraId="425CF0F9" w14:textId="77777777" w:rsidR="003B6D43" w:rsidRDefault="003B6D43"/>
    <w:p w14:paraId="75793582" w14:textId="77777777" w:rsidR="00131066" w:rsidRDefault="00131066" w:rsidP="00131066">
      <w:r>
        <w:t>If for any reason you are unable to attend a class, please advise me by email, ideally well in advance. Absences without notice will be marked as unauthorised, and attendance records are submitted to the Faculty Office.</w:t>
      </w:r>
    </w:p>
    <w:p w14:paraId="20B8312A" w14:textId="26737BC5" w:rsidR="00131066" w:rsidRDefault="00EE7BED" w:rsidP="00131066">
      <w:pPr>
        <w:pStyle w:val="Heading2"/>
      </w:pPr>
      <w:r>
        <w:lastRenderedPageBreak/>
        <w:t>Preparing for class</w:t>
      </w:r>
    </w:p>
    <w:p w14:paraId="5542D626" w14:textId="5D8EE95F" w:rsidR="00131066" w:rsidRDefault="00131066" w:rsidP="00131066">
      <w:r>
        <w:t>You are expected to engage with the reading set for each class. Please be aware that the listed contact (in-class) hours are only a small amount of the time you are expected to be working on this module. This means reading, preparing for class, and working on your assignments. The set reading for each class is listed on Moodle. Please bring notes on your reading to class, focusing on the questions raised by what you’ve read, and the arguments set forth in the work, as you will be expected to draw upon your reading in class exercises.</w:t>
      </w:r>
    </w:p>
    <w:p w14:paraId="001E4AFF" w14:textId="4E9BDB58" w:rsidR="00131066" w:rsidRDefault="00131066" w:rsidP="00131066">
      <w:r>
        <w:t xml:space="preserve"> To expedite your reading, the material will be available in e-book format through the UWTSD library catalogue, or as online journal articles. I hope that you will find the set material stimulating. A fuller reading list is provided at the end of this handbook, to help you to research your assignments. The reading lists are not </w:t>
      </w:r>
      <w:proofErr w:type="gramStart"/>
      <w:r>
        <w:t>exhaustive</w:t>
      </w:r>
      <w:proofErr w:type="gramEnd"/>
      <w:r>
        <w:t xml:space="preserve"> and you are encouraged to research supplementary materials for your assignments.</w:t>
      </w:r>
    </w:p>
    <w:p w14:paraId="4814B16B" w14:textId="33631698" w:rsidR="003B6D43" w:rsidRDefault="003B6D43" w:rsidP="003B6D43">
      <w:pPr>
        <w:pStyle w:val="Heading2"/>
      </w:pPr>
      <w:proofErr w:type="spellStart"/>
      <w:r>
        <w:t>Asssessment</w:t>
      </w:r>
      <w:proofErr w:type="spellEnd"/>
      <w:r>
        <w:t xml:space="preserve"> for this module</w:t>
      </w:r>
    </w:p>
    <w:p w14:paraId="2C7FEAE0" w14:textId="69C0B279" w:rsidR="003B6D43" w:rsidRDefault="003B6D43" w:rsidP="003B6D43">
      <w:r>
        <w:t xml:space="preserve">You’ll be focusing on one genocide as a case study for </w:t>
      </w:r>
      <w:r w:rsidR="00E936BB">
        <w:t>all</w:t>
      </w:r>
      <w:r>
        <w:t xml:space="preserve"> this module’s assignments. Please choose from:</w:t>
      </w:r>
    </w:p>
    <w:p w14:paraId="7AC72E9C" w14:textId="4EC62880" w:rsidR="003B6D43" w:rsidRDefault="003B6D43" w:rsidP="003B6D43">
      <w:pPr>
        <w:pStyle w:val="ListParagraph"/>
        <w:numPr>
          <w:ilvl w:val="0"/>
          <w:numId w:val="6"/>
        </w:numPr>
      </w:pPr>
      <w:r>
        <w:t>The Herero Genocide</w:t>
      </w:r>
    </w:p>
    <w:p w14:paraId="67710C33" w14:textId="159B51E4" w:rsidR="003B6D43" w:rsidRDefault="003B6D43" w:rsidP="00962422">
      <w:pPr>
        <w:pStyle w:val="ListParagraph"/>
        <w:numPr>
          <w:ilvl w:val="0"/>
          <w:numId w:val="6"/>
        </w:numPr>
      </w:pPr>
      <w:r>
        <w:t>The Holocaust</w:t>
      </w:r>
    </w:p>
    <w:p w14:paraId="4B8E19CF" w14:textId="744CD5EA" w:rsidR="003B6D43" w:rsidRDefault="003B6D43" w:rsidP="003B6D43">
      <w:pPr>
        <w:pStyle w:val="ListParagraph"/>
        <w:numPr>
          <w:ilvl w:val="0"/>
          <w:numId w:val="6"/>
        </w:numPr>
      </w:pPr>
      <w:r>
        <w:t>The Cambodian Auto-Genocide</w:t>
      </w:r>
    </w:p>
    <w:p w14:paraId="136BAA5E" w14:textId="4D59C536" w:rsidR="003B6D43" w:rsidRDefault="003B6D43" w:rsidP="003B6D43">
      <w:pPr>
        <w:pStyle w:val="ListParagraph"/>
        <w:numPr>
          <w:ilvl w:val="0"/>
          <w:numId w:val="6"/>
        </w:numPr>
      </w:pPr>
      <w:r>
        <w:t>The Bosnian Genocide</w:t>
      </w:r>
    </w:p>
    <w:p w14:paraId="0A1937EE" w14:textId="0DE1CA5A" w:rsidR="003B6D43" w:rsidRDefault="003B6D43" w:rsidP="003B6D43">
      <w:pPr>
        <w:pStyle w:val="ListParagraph"/>
        <w:numPr>
          <w:ilvl w:val="0"/>
          <w:numId w:val="6"/>
        </w:numPr>
      </w:pPr>
      <w:r>
        <w:t>The Rwandan Genocide</w:t>
      </w:r>
    </w:p>
    <w:p w14:paraId="0031C841" w14:textId="02363F67" w:rsidR="00962422" w:rsidRPr="003B6D43" w:rsidRDefault="00962422" w:rsidP="003B6D43">
      <w:pPr>
        <w:pStyle w:val="ListParagraph"/>
        <w:numPr>
          <w:ilvl w:val="0"/>
          <w:numId w:val="6"/>
        </w:numPr>
      </w:pPr>
      <w:r>
        <w:t>Darfur</w:t>
      </w:r>
    </w:p>
    <w:p w14:paraId="29B78586" w14:textId="77777777" w:rsidR="00E936BB" w:rsidRDefault="003B6D43" w:rsidP="003B6D43">
      <w:p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t xml:space="preserve">The assessment is split into two: </w:t>
      </w:r>
    </w:p>
    <w:p w14:paraId="6EAB3ECA" w14:textId="77777777" w:rsidR="00E936BB" w:rsidRPr="00E936BB" w:rsidRDefault="00E936BB" w:rsidP="00E936BB">
      <w:pPr>
        <w:pStyle w:val="ListParagraph"/>
        <w:numPr>
          <w:ilvl w:val="0"/>
          <w:numId w:val="15"/>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E936BB">
        <w:rPr>
          <w:rFonts w:ascii="Segoe UI" w:eastAsia="Times New Roman" w:hAnsi="Segoe UI" w:cs="Segoe UI"/>
          <w:color w:val="1D2125"/>
          <w:kern w:val="0"/>
          <w:sz w:val="23"/>
          <w:szCs w:val="23"/>
          <w14:ligatures w14:val="none"/>
        </w:rPr>
        <w:t>Portfolio (submitted in two parts, making up 50% of your final mark).</w:t>
      </w:r>
    </w:p>
    <w:p w14:paraId="1FBC94CA" w14:textId="77777777" w:rsidR="00E936BB" w:rsidRPr="00E936BB" w:rsidRDefault="00E936BB" w:rsidP="00E936BB">
      <w:pPr>
        <w:pStyle w:val="ListParagraph"/>
        <w:numPr>
          <w:ilvl w:val="0"/>
          <w:numId w:val="15"/>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E936BB">
        <w:rPr>
          <w:rFonts w:ascii="Segoe UI" w:eastAsia="Times New Roman" w:hAnsi="Segoe UI" w:cs="Segoe UI"/>
          <w:color w:val="1D2125"/>
          <w:kern w:val="0"/>
          <w:sz w:val="23"/>
          <w:szCs w:val="23"/>
          <w14:ligatures w14:val="none"/>
        </w:rPr>
        <w:t>Essay (50% of your mark).</w:t>
      </w:r>
    </w:p>
    <w:p w14:paraId="6AD81A99" w14:textId="30DEE124" w:rsidR="00131066" w:rsidRDefault="00131066" w:rsidP="003B6D43">
      <w:p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t>Deadlines are:</w:t>
      </w:r>
    </w:p>
    <w:p w14:paraId="3C776F1B" w14:textId="4E1114B1" w:rsidR="00131066" w:rsidRPr="00E936BB" w:rsidRDefault="00131066" w:rsidP="00E936BB">
      <w:pPr>
        <w:pStyle w:val="ListParagraph"/>
        <w:numPr>
          <w:ilvl w:val="0"/>
          <w:numId w:val="16"/>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E936BB">
        <w:rPr>
          <w:rFonts w:ascii="Segoe UI" w:eastAsia="Times New Roman" w:hAnsi="Segoe UI" w:cs="Segoe UI"/>
          <w:color w:val="1D2125"/>
          <w:kern w:val="0"/>
          <w:sz w:val="23"/>
          <w:szCs w:val="23"/>
          <w14:ligatures w14:val="none"/>
        </w:rPr>
        <w:t>Portfolio part 1: Sunday 2 March 2025 at 23:59 PM.</w:t>
      </w:r>
    </w:p>
    <w:p w14:paraId="262B4F77" w14:textId="3E81C73C" w:rsidR="00131066" w:rsidRPr="00E936BB" w:rsidRDefault="00131066" w:rsidP="00E936BB">
      <w:pPr>
        <w:pStyle w:val="ListParagraph"/>
        <w:numPr>
          <w:ilvl w:val="0"/>
          <w:numId w:val="16"/>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E936BB">
        <w:rPr>
          <w:rFonts w:ascii="Segoe UI" w:eastAsia="Times New Roman" w:hAnsi="Segoe UI" w:cs="Segoe UI"/>
          <w:color w:val="1D2125"/>
          <w:kern w:val="0"/>
          <w:sz w:val="23"/>
          <w:szCs w:val="23"/>
          <w14:ligatures w14:val="none"/>
        </w:rPr>
        <w:t>Portfolio part 2: Sunday 6 April 2025 at 23:59 PM.</w:t>
      </w:r>
    </w:p>
    <w:p w14:paraId="709612BD" w14:textId="5FFAAC67" w:rsidR="00131066" w:rsidRDefault="00131066" w:rsidP="00E936BB">
      <w:pPr>
        <w:pStyle w:val="ListParagraph"/>
        <w:numPr>
          <w:ilvl w:val="0"/>
          <w:numId w:val="16"/>
        </w:numPr>
        <w:shd w:val="clear" w:color="auto" w:fill="FFFFFF"/>
        <w:spacing w:after="100" w:afterAutospacing="1" w:line="240" w:lineRule="auto"/>
        <w:rPr>
          <w:rFonts w:ascii="Segoe UI" w:eastAsia="Times New Roman" w:hAnsi="Segoe UI" w:cs="Segoe UI"/>
          <w:color w:val="1D2125"/>
          <w:kern w:val="0"/>
          <w:sz w:val="23"/>
          <w:szCs w:val="23"/>
          <w14:ligatures w14:val="none"/>
        </w:rPr>
      </w:pPr>
      <w:r w:rsidRPr="00E936BB">
        <w:rPr>
          <w:rFonts w:ascii="Segoe UI" w:eastAsia="Times New Roman" w:hAnsi="Segoe UI" w:cs="Segoe UI"/>
          <w:color w:val="1D2125"/>
          <w:kern w:val="0"/>
          <w:sz w:val="23"/>
          <w:szCs w:val="23"/>
          <w14:ligatures w14:val="none"/>
        </w:rPr>
        <w:t>Essay: Sunday 27 April 2025 at 23:59 PM.</w:t>
      </w:r>
      <w:r w:rsidR="00E936BB" w:rsidRPr="00E936BB">
        <w:rPr>
          <w:rFonts w:ascii="Segoe UI" w:eastAsia="Times New Roman" w:hAnsi="Segoe UI" w:cs="Segoe UI"/>
          <w:color w:val="1D2125"/>
          <w:kern w:val="0"/>
          <w:sz w:val="23"/>
          <w:szCs w:val="23"/>
          <w14:ligatures w14:val="none"/>
        </w:rPr>
        <w:t xml:space="preserve"> </w:t>
      </w:r>
    </w:p>
    <w:p w14:paraId="342E4BD5" w14:textId="079766C1" w:rsidR="00131066" w:rsidRDefault="00E936BB" w:rsidP="00E936BB">
      <w:pPr>
        <w:shd w:val="clear" w:color="auto" w:fill="FFFFFF"/>
        <w:spacing w:after="100" w:afterAutospacing="1" w:line="240" w:lineRule="auto"/>
      </w:pPr>
      <w:r>
        <w:rPr>
          <w:rFonts w:ascii="Segoe UI" w:eastAsia="Times New Roman" w:hAnsi="Segoe UI" w:cs="Segoe UI"/>
          <w:color w:val="1D2125"/>
          <w:kern w:val="0"/>
          <w:sz w:val="23"/>
          <w:szCs w:val="23"/>
          <w14:ligatures w14:val="none"/>
        </w:rPr>
        <w:t xml:space="preserve">All assessment is by written </w:t>
      </w:r>
      <w:r w:rsidR="00131066">
        <w:t xml:space="preserve">assignments submitted via Moodle, and grades will be returned on Moodle. When the marks are available, I will email you to inform you, and you will be able to read your feedback on Moodle. I aim to make the feedback constructive and helpful. It may comment on your understanding of the issues raised, the organisation of your work, or on how clearly you are expressing yourself, for example. Please do take the time to read the comments carefully and consider them. If anything is unclear, please do ask. With that in mind, you are very welcome to make an </w:t>
      </w:r>
      <w:r w:rsidR="00131066">
        <w:lastRenderedPageBreak/>
        <w:t>appointment with me to discuss your feedback. I’m here to help and want to support you to do the best you can.</w:t>
      </w:r>
    </w:p>
    <w:p w14:paraId="7FACCD22" w14:textId="2BBFCF51" w:rsidR="00E936BB" w:rsidRDefault="001B6FD1" w:rsidP="001B6FD1">
      <w:pPr>
        <w:pStyle w:val="Heading3"/>
      </w:pPr>
      <w:r>
        <w:t>2000-word P</w:t>
      </w:r>
      <w:r w:rsidR="00E936BB">
        <w:t>ortfolio (50%)</w:t>
      </w:r>
    </w:p>
    <w:p w14:paraId="7473FD9B" w14:textId="091B2318" w:rsidR="00E936BB" w:rsidRDefault="00E936BB" w:rsidP="00E936BB">
      <w:r>
        <w:t>Made up of two equal parts</w:t>
      </w:r>
      <w:r w:rsidR="001B6FD1">
        <w:t xml:space="preserve"> (25% each):</w:t>
      </w:r>
      <w:r>
        <w:t xml:space="preserve"> a 1000-word literature review and a 1000-word primary source analysis.</w:t>
      </w:r>
    </w:p>
    <w:p w14:paraId="0AFF7181" w14:textId="285DEED9" w:rsidR="00E936BB" w:rsidRDefault="00E936BB" w:rsidP="001B6FD1">
      <w:pPr>
        <w:pStyle w:val="Heading4"/>
      </w:pPr>
      <w:r>
        <w:t>Literature Review (1000 words)</w:t>
      </w:r>
    </w:p>
    <w:p w14:paraId="4DCA58AE" w14:textId="1F5ECD01" w:rsidR="00E936BB" w:rsidRDefault="001B6FD1" w:rsidP="00E936BB">
      <w:r>
        <w:t>For your chosen case study, identify</w:t>
      </w:r>
      <w:r w:rsidR="00E936BB">
        <w:t xml:space="preserve"> 4 scholarly texts (</w:t>
      </w:r>
      <w:r>
        <w:t xml:space="preserve">these must be </w:t>
      </w:r>
      <w:r w:rsidR="00E936BB">
        <w:t xml:space="preserve">articles from peer-reviewed academic journals, chapters from edited collections, </w:t>
      </w:r>
      <w:r>
        <w:t xml:space="preserve">or </w:t>
      </w:r>
      <w:r w:rsidR="00E936BB">
        <w:t xml:space="preserve">monographs) </w:t>
      </w:r>
      <w:r>
        <w:t>W</w:t>
      </w:r>
      <w:r w:rsidR="00E936BB">
        <w:t>rite 250 words about each of these texts</w:t>
      </w:r>
      <w:r>
        <w:t>, focusing on:</w:t>
      </w:r>
    </w:p>
    <w:p w14:paraId="6C2B8D5D" w14:textId="6A4FF32B" w:rsidR="001B6FD1" w:rsidRDefault="001B6FD1" w:rsidP="001B6FD1">
      <w:pPr>
        <w:pStyle w:val="ListParagraph"/>
        <w:numPr>
          <w:ilvl w:val="0"/>
          <w:numId w:val="32"/>
        </w:numPr>
      </w:pPr>
      <w:r>
        <w:t>The main argument of the text</w:t>
      </w:r>
    </w:p>
    <w:p w14:paraId="1E6C13A2" w14:textId="3D2393B2" w:rsidR="001B6FD1" w:rsidRDefault="001B6FD1" w:rsidP="001B6FD1">
      <w:pPr>
        <w:pStyle w:val="ListParagraph"/>
        <w:numPr>
          <w:ilvl w:val="0"/>
          <w:numId w:val="32"/>
        </w:numPr>
      </w:pPr>
      <w:r>
        <w:t>The strengths and weaknesses of the argument</w:t>
      </w:r>
    </w:p>
    <w:p w14:paraId="459F1004" w14:textId="4CC4DA56" w:rsidR="001B6FD1" w:rsidRDefault="001B6FD1" w:rsidP="001B6FD1">
      <w:pPr>
        <w:pStyle w:val="ListParagraph"/>
        <w:numPr>
          <w:ilvl w:val="0"/>
          <w:numId w:val="32"/>
        </w:numPr>
      </w:pPr>
      <w:r>
        <w:t>How it relates to the other literature you have read</w:t>
      </w:r>
    </w:p>
    <w:p w14:paraId="0912521F" w14:textId="1EE47EA8" w:rsidR="001B6FD1" w:rsidRDefault="001B6FD1" w:rsidP="001B6FD1">
      <w:pPr>
        <w:pStyle w:val="ListParagraph"/>
        <w:numPr>
          <w:ilvl w:val="0"/>
          <w:numId w:val="32"/>
        </w:numPr>
      </w:pPr>
      <w:r>
        <w:t>How it is useful for your understanding of your chosen case study.</w:t>
      </w:r>
    </w:p>
    <w:p w14:paraId="0A067381" w14:textId="733EE7C9" w:rsidR="001B6FD1" w:rsidRDefault="00E936BB" w:rsidP="001B6FD1">
      <w:r>
        <w:t xml:space="preserve">You can choose texts from the reading list for your case </w:t>
      </w:r>
      <w:r w:rsidR="001B6FD1">
        <w:t>study or</w:t>
      </w:r>
      <w:r>
        <w:t xml:space="preserve"> research your own. You are welcome to contact me to check that the items you have chosen are suitable secondary sources.</w:t>
      </w:r>
      <w:r w:rsidR="00825947">
        <w:t xml:space="preserve"> Your work should include references and a bibliography.</w:t>
      </w:r>
    </w:p>
    <w:p w14:paraId="5090DCF4" w14:textId="16D1BD9F" w:rsidR="00E936BB" w:rsidRPr="00E936BB" w:rsidRDefault="00E936BB" w:rsidP="00E936BB">
      <w:pPr>
        <w:rPr>
          <w:b/>
          <w:bCs/>
        </w:rPr>
      </w:pPr>
      <w:r w:rsidRPr="00E936BB">
        <w:rPr>
          <w:b/>
          <w:bCs/>
        </w:rPr>
        <w:t>Questions your review might consider (you probably won’t have space for them all):</w:t>
      </w:r>
    </w:p>
    <w:p w14:paraId="04946EEE" w14:textId="77777777" w:rsidR="00E936BB" w:rsidRDefault="00E936BB" w:rsidP="00E936BB">
      <w:pPr>
        <w:pStyle w:val="ListParagraph"/>
        <w:numPr>
          <w:ilvl w:val="0"/>
          <w:numId w:val="25"/>
        </w:numPr>
      </w:pPr>
      <w:r>
        <w:t xml:space="preserve">Who is the author? When are they writing (in what social/historical context)? </w:t>
      </w:r>
    </w:p>
    <w:p w14:paraId="527E16E6" w14:textId="131415C9" w:rsidR="00E936BB" w:rsidRDefault="00E936BB" w:rsidP="00E936BB">
      <w:pPr>
        <w:pStyle w:val="ListParagraph"/>
        <w:numPr>
          <w:ilvl w:val="0"/>
          <w:numId w:val="25"/>
        </w:numPr>
      </w:pPr>
      <w:r>
        <w:t>What kind of work is it?</w:t>
      </w:r>
    </w:p>
    <w:p w14:paraId="5B082702" w14:textId="7C75C0E6" w:rsidR="00E936BB" w:rsidRDefault="00E936BB" w:rsidP="00E936BB">
      <w:pPr>
        <w:pStyle w:val="ListParagraph"/>
        <w:numPr>
          <w:ilvl w:val="0"/>
          <w:numId w:val="25"/>
        </w:numPr>
      </w:pPr>
      <w:r>
        <w:t>What is the text about? What are the author’s main arguments?</w:t>
      </w:r>
    </w:p>
    <w:p w14:paraId="7028C97E" w14:textId="45AEFA67" w:rsidR="00E936BB" w:rsidRDefault="00E936BB" w:rsidP="00E936BB">
      <w:pPr>
        <w:pStyle w:val="ListParagraph"/>
        <w:numPr>
          <w:ilvl w:val="0"/>
          <w:numId w:val="25"/>
        </w:numPr>
      </w:pPr>
      <w:r>
        <w:t>Does the author have a particular theoretical perspective?</w:t>
      </w:r>
    </w:p>
    <w:p w14:paraId="10C5F48F" w14:textId="2A3BE921" w:rsidR="00E936BB" w:rsidRDefault="00E936BB" w:rsidP="00E936BB">
      <w:pPr>
        <w:pStyle w:val="ListParagraph"/>
        <w:numPr>
          <w:ilvl w:val="0"/>
          <w:numId w:val="25"/>
        </w:numPr>
      </w:pPr>
      <w:r>
        <w:t>What sources is the text based upon?</w:t>
      </w:r>
    </w:p>
    <w:p w14:paraId="67A1C342" w14:textId="531B5702" w:rsidR="00E936BB" w:rsidRDefault="00E936BB" w:rsidP="00E936BB">
      <w:pPr>
        <w:pStyle w:val="ListParagraph"/>
        <w:numPr>
          <w:ilvl w:val="0"/>
          <w:numId w:val="25"/>
        </w:numPr>
      </w:pPr>
      <w:r>
        <w:t>What are the strengths and weaknesses of the argument and approach?</w:t>
      </w:r>
    </w:p>
    <w:p w14:paraId="3EB7E163" w14:textId="0F8327BD" w:rsidR="00E936BB" w:rsidRDefault="00E936BB" w:rsidP="00E936BB">
      <w:pPr>
        <w:pStyle w:val="ListParagraph"/>
        <w:numPr>
          <w:ilvl w:val="0"/>
          <w:numId w:val="25"/>
        </w:numPr>
      </w:pPr>
      <w:r>
        <w:t>How does it relate to other things you have read on the topic? Does it contradict or support them?</w:t>
      </w:r>
    </w:p>
    <w:p w14:paraId="2ABBC7BA" w14:textId="26568702" w:rsidR="00E936BB" w:rsidRDefault="00E936BB" w:rsidP="00E936BB">
      <w:pPr>
        <w:pStyle w:val="ListParagraph"/>
        <w:numPr>
          <w:ilvl w:val="0"/>
          <w:numId w:val="25"/>
        </w:numPr>
      </w:pPr>
      <w:r>
        <w:t>How is it useful for your own research?</w:t>
      </w:r>
    </w:p>
    <w:p w14:paraId="4B107F2E" w14:textId="7259428F" w:rsidR="00E936BB" w:rsidRDefault="00E936BB" w:rsidP="001B6FD1">
      <w:pPr>
        <w:pStyle w:val="Heading4"/>
      </w:pPr>
      <w:r>
        <w:t>Primary Source Analysis (1000 words)</w:t>
      </w:r>
    </w:p>
    <w:p w14:paraId="7F8C2857" w14:textId="3159CA6C" w:rsidR="00E936BB" w:rsidRDefault="001B6FD1" w:rsidP="00E936BB">
      <w:r>
        <w:t>For your chosen case study, c</w:t>
      </w:r>
      <w:r w:rsidR="00E936BB">
        <w:t xml:space="preserve">hoose one primary source and analyse it to answer the question “What does [your primary source] </w:t>
      </w:r>
      <w:r>
        <w:t>reveal about</w:t>
      </w:r>
      <w:r w:rsidR="00E936BB">
        <w:t xml:space="preserve"> [your chosen case study]?”</w:t>
      </w:r>
    </w:p>
    <w:p w14:paraId="4ABFF600" w14:textId="75EC0F2B" w:rsidR="001B6FD1" w:rsidRDefault="001B6FD1" w:rsidP="00E936BB">
      <w:r>
        <w:t xml:space="preserve">I have provided a selection of primary source documents for each of the case studies we will examine during the course. You are welcome to select your own primary source as an </w:t>
      </w:r>
      <w:proofErr w:type="gramStart"/>
      <w:r>
        <w:t>alternative</w:t>
      </w:r>
      <w:proofErr w:type="gramEnd"/>
      <w:r>
        <w:t xml:space="preserve"> but </w:t>
      </w:r>
      <w:r w:rsidRPr="001B6FD1">
        <w:rPr>
          <w:b/>
          <w:bCs/>
        </w:rPr>
        <w:t>we will need to discuss this</w:t>
      </w:r>
      <w:r>
        <w:t xml:space="preserve"> to ensure it’s a viable and suitable source.</w:t>
      </w:r>
    </w:p>
    <w:p w14:paraId="41F3BE7F" w14:textId="6F4966E9" w:rsidR="001B6FD1" w:rsidRPr="001B6FD1" w:rsidRDefault="00E936BB" w:rsidP="001B6FD1">
      <w:r>
        <w:t xml:space="preserve">For this part of the portfolio, you should focus on what the primary source tells </w:t>
      </w:r>
      <w:proofErr w:type="gramStart"/>
      <w:r>
        <w:t>you, and</w:t>
      </w:r>
      <w:proofErr w:type="gramEnd"/>
      <w:r>
        <w:t xml:space="preserve"> keep references to the scholarship minimal.</w:t>
      </w:r>
      <w:r w:rsidR="001B6FD1" w:rsidRPr="001B6FD1">
        <w:t> </w:t>
      </w:r>
    </w:p>
    <w:p w14:paraId="3EDFE521" w14:textId="77777777" w:rsidR="001B6FD1" w:rsidRPr="001B6FD1" w:rsidRDefault="001B6FD1" w:rsidP="001B6FD1">
      <w:r w:rsidRPr="001B6FD1">
        <w:lastRenderedPageBreak/>
        <w:t>A primary source is a document from the period under examination. This could be (not an exhaustive list!): </w:t>
      </w:r>
    </w:p>
    <w:p w14:paraId="2E65F868" w14:textId="77777777" w:rsidR="001B6FD1" w:rsidRPr="001B6FD1" w:rsidRDefault="001B6FD1" w:rsidP="001B6FD1">
      <w:pPr>
        <w:numPr>
          <w:ilvl w:val="0"/>
          <w:numId w:val="33"/>
        </w:numPr>
        <w:spacing w:after="0" w:line="240" w:lineRule="auto"/>
      </w:pPr>
      <w:r w:rsidRPr="001B6FD1">
        <w:t>A newspaper/magazine </w:t>
      </w:r>
    </w:p>
    <w:p w14:paraId="18F78A52" w14:textId="77777777" w:rsidR="001B6FD1" w:rsidRPr="001B6FD1" w:rsidRDefault="001B6FD1" w:rsidP="001B6FD1">
      <w:pPr>
        <w:numPr>
          <w:ilvl w:val="0"/>
          <w:numId w:val="34"/>
        </w:numPr>
        <w:spacing w:after="0" w:line="240" w:lineRule="auto"/>
      </w:pPr>
      <w:r w:rsidRPr="001B6FD1">
        <w:t>Government sources </w:t>
      </w:r>
    </w:p>
    <w:p w14:paraId="6B822BC7" w14:textId="77777777" w:rsidR="001B6FD1" w:rsidRPr="001B6FD1" w:rsidRDefault="001B6FD1" w:rsidP="001B6FD1">
      <w:pPr>
        <w:numPr>
          <w:ilvl w:val="0"/>
          <w:numId w:val="35"/>
        </w:numPr>
        <w:spacing w:after="0" w:line="240" w:lineRule="auto"/>
        <w:rPr>
          <w:lang w:val="fr-FR"/>
        </w:rPr>
      </w:pPr>
      <w:r w:rsidRPr="001B6FD1">
        <w:rPr>
          <w:lang w:val="fr-FR"/>
        </w:rPr>
        <w:t xml:space="preserve">Propaganda e.g. posters, radio </w:t>
      </w:r>
      <w:proofErr w:type="spellStart"/>
      <w:r w:rsidRPr="001B6FD1">
        <w:rPr>
          <w:lang w:val="fr-FR"/>
        </w:rPr>
        <w:t>transcripts</w:t>
      </w:r>
      <w:proofErr w:type="spellEnd"/>
      <w:r w:rsidRPr="001B6FD1">
        <w:rPr>
          <w:lang w:val="fr-FR"/>
        </w:rPr>
        <w:t>, film sources </w:t>
      </w:r>
    </w:p>
    <w:p w14:paraId="7BD64FC6" w14:textId="77777777" w:rsidR="001B6FD1" w:rsidRPr="001B6FD1" w:rsidRDefault="001B6FD1" w:rsidP="001B6FD1">
      <w:pPr>
        <w:numPr>
          <w:ilvl w:val="0"/>
          <w:numId w:val="36"/>
        </w:numPr>
        <w:spacing w:after="0" w:line="240" w:lineRule="auto"/>
      </w:pPr>
      <w:proofErr w:type="spellStart"/>
      <w:r w:rsidRPr="001B6FD1">
        <w:rPr>
          <w:lang w:val="fr-FR"/>
        </w:rPr>
        <w:t>Photographs</w:t>
      </w:r>
      <w:proofErr w:type="spellEnd"/>
      <w:r w:rsidRPr="001B6FD1">
        <w:t> </w:t>
      </w:r>
    </w:p>
    <w:p w14:paraId="67BF6114" w14:textId="77777777" w:rsidR="001B6FD1" w:rsidRPr="001B6FD1" w:rsidRDefault="001B6FD1" w:rsidP="001B6FD1">
      <w:pPr>
        <w:numPr>
          <w:ilvl w:val="0"/>
          <w:numId w:val="37"/>
        </w:numPr>
        <w:spacing w:after="0" w:line="240" w:lineRule="auto"/>
      </w:pPr>
      <w:r w:rsidRPr="001B6FD1">
        <w:rPr>
          <w:lang w:val="fr-FR"/>
        </w:rPr>
        <w:t xml:space="preserve">Survivor </w:t>
      </w:r>
      <w:proofErr w:type="spellStart"/>
      <w:r w:rsidRPr="001B6FD1">
        <w:rPr>
          <w:lang w:val="fr-FR"/>
        </w:rPr>
        <w:t>testimonies</w:t>
      </w:r>
      <w:proofErr w:type="spellEnd"/>
      <w:r w:rsidRPr="001B6FD1">
        <w:t> </w:t>
      </w:r>
    </w:p>
    <w:p w14:paraId="33FC29BD" w14:textId="77777777" w:rsidR="001B6FD1" w:rsidRPr="001B6FD1" w:rsidRDefault="001B6FD1" w:rsidP="001B6FD1">
      <w:pPr>
        <w:numPr>
          <w:ilvl w:val="0"/>
          <w:numId w:val="38"/>
        </w:numPr>
        <w:spacing w:after="0" w:line="240" w:lineRule="auto"/>
      </w:pPr>
      <w:r w:rsidRPr="001B6FD1">
        <w:t>Court transcripts </w:t>
      </w:r>
    </w:p>
    <w:p w14:paraId="6BD9F998" w14:textId="77777777" w:rsidR="001B6FD1" w:rsidRPr="001B6FD1" w:rsidRDefault="001B6FD1" w:rsidP="001B6FD1">
      <w:pPr>
        <w:numPr>
          <w:ilvl w:val="0"/>
          <w:numId w:val="39"/>
        </w:numPr>
        <w:spacing w:after="0" w:line="240" w:lineRule="auto"/>
      </w:pPr>
      <w:r w:rsidRPr="001B6FD1">
        <w:t>Legal judgements </w:t>
      </w:r>
    </w:p>
    <w:p w14:paraId="0BBB99B2" w14:textId="77777777" w:rsidR="001B6FD1" w:rsidRDefault="001B6FD1" w:rsidP="001B6FD1">
      <w:pPr>
        <w:spacing w:after="0" w:line="240" w:lineRule="auto"/>
      </w:pPr>
    </w:p>
    <w:p w14:paraId="6F9B0D8B" w14:textId="7881197C" w:rsidR="00E936BB" w:rsidRPr="00022CF9" w:rsidRDefault="00E936BB" w:rsidP="001B6FD1">
      <w:pPr>
        <w:spacing w:after="0" w:line="240" w:lineRule="auto"/>
      </w:pPr>
      <w:r w:rsidRPr="00022CF9">
        <w:t xml:space="preserve">Questions you </w:t>
      </w:r>
      <w:r w:rsidR="001B6FD1">
        <w:t>might want to consider</w:t>
      </w:r>
      <w:r w:rsidRPr="00022CF9">
        <w:t xml:space="preserve"> in your analysis: </w:t>
      </w:r>
    </w:p>
    <w:p w14:paraId="2A639053" w14:textId="77777777" w:rsidR="00E936BB" w:rsidRPr="00022CF9" w:rsidRDefault="00E936BB" w:rsidP="001B6FD1">
      <w:pPr>
        <w:numPr>
          <w:ilvl w:val="0"/>
          <w:numId w:val="26"/>
        </w:numPr>
        <w:spacing w:after="0" w:line="240" w:lineRule="auto"/>
      </w:pPr>
      <w:r w:rsidRPr="00022CF9">
        <w:t>Background about the document itself e.g. who was the author/photographer/artist etc? What do you know about them? </w:t>
      </w:r>
    </w:p>
    <w:p w14:paraId="48A47953" w14:textId="77777777" w:rsidR="00E936BB" w:rsidRPr="00022CF9" w:rsidRDefault="00E936BB" w:rsidP="001B6FD1">
      <w:pPr>
        <w:numPr>
          <w:ilvl w:val="0"/>
          <w:numId w:val="27"/>
        </w:numPr>
        <w:spacing w:after="0" w:line="240" w:lineRule="auto"/>
      </w:pPr>
      <w:r w:rsidRPr="00022CF9">
        <w:t>When was it produced? What is the significance of the context? </w:t>
      </w:r>
    </w:p>
    <w:p w14:paraId="68CF2F54" w14:textId="77777777" w:rsidR="00E936BB" w:rsidRPr="00022CF9" w:rsidRDefault="00E936BB" w:rsidP="001B6FD1">
      <w:pPr>
        <w:numPr>
          <w:ilvl w:val="0"/>
          <w:numId w:val="28"/>
        </w:numPr>
        <w:spacing w:after="0" w:line="240" w:lineRule="auto"/>
      </w:pPr>
      <w:r w:rsidRPr="00022CF9">
        <w:t>Where did it appear? Who were the intended audience? Who might have had access to it? What kind of response might its audience have had? Did the author intend to provoke a particular response? How successful were they in doing so? </w:t>
      </w:r>
    </w:p>
    <w:p w14:paraId="6F57A2F9" w14:textId="77777777" w:rsidR="00E936BB" w:rsidRPr="00022CF9" w:rsidRDefault="00E936BB" w:rsidP="001B6FD1">
      <w:pPr>
        <w:numPr>
          <w:ilvl w:val="0"/>
          <w:numId w:val="29"/>
        </w:numPr>
        <w:spacing w:after="0" w:line="240" w:lineRule="auto"/>
      </w:pPr>
      <w:r w:rsidRPr="00022CF9">
        <w:t>Analysis of the content: what are the key themes and ideas in the source? What kind of language or imagery is used? What does the source not address – what does it leave out? </w:t>
      </w:r>
    </w:p>
    <w:p w14:paraId="10141528" w14:textId="77777777" w:rsidR="00E936BB" w:rsidRDefault="00E936BB" w:rsidP="001B6FD1">
      <w:pPr>
        <w:numPr>
          <w:ilvl w:val="0"/>
          <w:numId w:val="30"/>
        </w:numPr>
        <w:spacing w:after="0" w:line="240" w:lineRule="auto"/>
      </w:pPr>
      <w:r>
        <w:t>Does it belong to a particular genre – e.g. diary, memoir, official report? What are the implications for interpreting it?</w:t>
      </w:r>
    </w:p>
    <w:p w14:paraId="6D7C6C2E" w14:textId="77777777" w:rsidR="00E936BB" w:rsidRPr="00022CF9" w:rsidRDefault="00E936BB" w:rsidP="001B6FD1">
      <w:pPr>
        <w:numPr>
          <w:ilvl w:val="0"/>
          <w:numId w:val="30"/>
        </w:numPr>
        <w:spacing w:after="0" w:line="240" w:lineRule="auto"/>
      </w:pPr>
      <w:r w:rsidRPr="00022CF9">
        <w:t>What are the strengths and potential weaknesses of this kind of source material? Are there problems with using it as an historical source? </w:t>
      </w:r>
    </w:p>
    <w:p w14:paraId="594F19F2" w14:textId="77777777" w:rsidR="00E936BB" w:rsidRDefault="00E936BB" w:rsidP="001B6FD1">
      <w:pPr>
        <w:numPr>
          <w:ilvl w:val="0"/>
          <w:numId w:val="31"/>
        </w:numPr>
        <w:spacing w:after="0" w:line="240" w:lineRule="auto"/>
      </w:pPr>
      <w:r w:rsidRPr="00022CF9">
        <w:t>What does it tell us about the subject being studied? Do the insights from the source support or contradict historians’ conclusions about the subject?</w:t>
      </w:r>
    </w:p>
    <w:p w14:paraId="4AA32EDB" w14:textId="77777777" w:rsidR="00E936BB" w:rsidRDefault="00E936BB" w:rsidP="00825947">
      <w:pPr>
        <w:spacing w:after="0" w:line="240" w:lineRule="auto"/>
      </w:pPr>
    </w:p>
    <w:p w14:paraId="71496E82" w14:textId="576F91DD" w:rsidR="00E936BB" w:rsidRDefault="00E936BB" w:rsidP="00825947">
      <w:pPr>
        <w:spacing w:after="0" w:line="240" w:lineRule="auto"/>
      </w:pPr>
      <w:r>
        <w:t>Please present your work in continuous prose rather than as a list of bullet points.</w:t>
      </w:r>
      <w:r w:rsidR="00825947">
        <w:t xml:space="preserve"> Your work should correctly reference the primary source you have chosen.</w:t>
      </w:r>
    </w:p>
    <w:p w14:paraId="732C17BD" w14:textId="4D0020E5" w:rsidR="001B6FD1" w:rsidRPr="00022CF9" w:rsidRDefault="001B6FD1" w:rsidP="001B6FD1">
      <w:pPr>
        <w:pStyle w:val="Heading3"/>
      </w:pPr>
      <w:r>
        <w:t>2000-word Essay (50%)</w:t>
      </w:r>
    </w:p>
    <w:p w14:paraId="19824E5F" w14:textId="77777777" w:rsidR="00825947" w:rsidRDefault="00825947" w:rsidP="00825947">
      <w:p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Your essay must focus on the same genocide case study (Namibia, the Holocaust, Cambodia, Bosnia, Rwanda, Darfur) that you covered in your portfolio. </w:t>
      </w:r>
    </w:p>
    <w:p w14:paraId="6E706F59" w14:textId="77777777" w:rsidR="00825947" w:rsidRPr="00825947" w:rsidRDefault="00825947" w:rsidP="00825947">
      <w:pPr>
        <w:shd w:val="clear" w:color="auto" w:fill="FFFFFF"/>
        <w:spacing w:after="0" w:line="240" w:lineRule="auto"/>
        <w:rPr>
          <w:rFonts w:eastAsia="Times New Roman" w:cs="Segoe UI"/>
          <w:color w:val="1D2125"/>
          <w:kern w:val="0"/>
          <w14:ligatures w14:val="none"/>
        </w:rPr>
      </w:pPr>
    </w:p>
    <w:p w14:paraId="370543E4" w14:textId="77777777" w:rsidR="00825947" w:rsidRDefault="00825947" w:rsidP="00825947">
      <w:p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Choose a different primary source (either one provided by the tutor or one you have chosen yourself which has been verified as appropriate by the tutor). </w:t>
      </w:r>
    </w:p>
    <w:p w14:paraId="615B306F" w14:textId="77777777" w:rsidR="00825947" w:rsidRPr="00825947" w:rsidRDefault="00825947" w:rsidP="00825947">
      <w:pPr>
        <w:shd w:val="clear" w:color="auto" w:fill="FFFFFF"/>
        <w:spacing w:after="0" w:line="240" w:lineRule="auto"/>
        <w:rPr>
          <w:rFonts w:eastAsia="Times New Roman" w:cs="Segoe UI"/>
          <w:color w:val="1D2125"/>
          <w:kern w:val="0"/>
          <w14:ligatures w14:val="none"/>
        </w:rPr>
      </w:pPr>
    </w:p>
    <w:p w14:paraId="600A5034" w14:textId="025E0485" w:rsidR="00825947" w:rsidRDefault="00825947" w:rsidP="00825947">
      <w:p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Answer the question: “What does [chosen primary source] tell us about [chosen genocide case study]?</w:t>
      </w:r>
    </w:p>
    <w:p w14:paraId="0DA86A52" w14:textId="77777777" w:rsidR="00825947" w:rsidRDefault="00825947" w:rsidP="00825947">
      <w:pPr>
        <w:shd w:val="clear" w:color="auto" w:fill="FFFFFF"/>
        <w:spacing w:after="0" w:line="240" w:lineRule="auto"/>
        <w:rPr>
          <w:rFonts w:eastAsia="Times New Roman" w:cs="Segoe UI"/>
          <w:color w:val="1D2125"/>
          <w:kern w:val="0"/>
          <w14:ligatures w14:val="none"/>
        </w:rPr>
      </w:pPr>
    </w:p>
    <w:p w14:paraId="06B3B495" w14:textId="424F4793" w:rsidR="00825947" w:rsidRDefault="00825947" w:rsidP="00825947">
      <w:pPr>
        <w:shd w:val="clear" w:color="auto" w:fill="FFFFFF"/>
        <w:spacing w:after="0" w:line="240" w:lineRule="auto"/>
        <w:rPr>
          <w:rFonts w:eastAsia="Times New Roman" w:cs="Segoe UI"/>
          <w:color w:val="1D2125"/>
          <w:kern w:val="0"/>
          <w14:ligatures w14:val="none"/>
        </w:rPr>
      </w:pPr>
      <w:r>
        <w:rPr>
          <w:rFonts w:eastAsia="Times New Roman" w:cs="Segoe UI"/>
          <w:color w:val="1D2125"/>
          <w:kern w:val="0"/>
          <w14:ligatures w14:val="none"/>
        </w:rPr>
        <w:t xml:space="preserve">For this assignment, you’re bringing together your literature and primary source analysis skills. You will need to contextualise </w:t>
      </w:r>
      <w:r w:rsidRPr="00825947">
        <w:rPr>
          <w:rFonts w:eastAsia="Times New Roman" w:cs="Segoe UI"/>
          <w:color w:val="1D2125"/>
          <w:kern w:val="0"/>
          <w14:ligatures w14:val="none"/>
        </w:rPr>
        <w:t>the primary source within the secondary literature (scholarly sources), aiming to enter a conversation with other authors writing about this genocide. </w:t>
      </w:r>
    </w:p>
    <w:p w14:paraId="36EDFFE2" w14:textId="77777777" w:rsidR="00825947" w:rsidRPr="00825947" w:rsidRDefault="00825947" w:rsidP="00825947">
      <w:pPr>
        <w:shd w:val="clear" w:color="auto" w:fill="FFFFFF"/>
        <w:spacing w:after="0" w:line="240" w:lineRule="auto"/>
        <w:rPr>
          <w:rFonts w:eastAsia="Times New Roman" w:cs="Segoe UI"/>
          <w:color w:val="1D2125"/>
          <w:kern w:val="0"/>
          <w14:ligatures w14:val="none"/>
        </w:rPr>
      </w:pPr>
    </w:p>
    <w:p w14:paraId="37237BDD" w14:textId="77777777" w:rsidR="00825947" w:rsidRPr="00825947" w:rsidRDefault="00825947" w:rsidP="00825947">
      <w:p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You will need to </w:t>
      </w:r>
    </w:p>
    <w:p w14:paraId="6753AEEA" w14:textId="77777777" w:rsidR="00825947" w:rsidRPr="00825947" w:rsidRDefault="00825947" w:rsidP="00825947">
      <w:pPr>
        <w:numPr>
          <w:ilvl w:val="0"/>
          <w:numId w:val="46"/>
        </w:num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lastRenderedPageBreak/>
        <w:t>Establish the state of the field (literature review) </w:t>
      </w:r>
    </w:p>
    <w:p w14:paraId="106A3ADA" w14:textId="77777777" w:rsidR="00825947" w:rsidRPr="00825947" w:rsidRDefault="00825947" w:rsidP="00825947">
      <w:pPr>
        <w:numPr>
          <w:ilvl w:val="0"/>
          <w:numId w:val="47"/>
        </w:num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Analyse your primary source </w:t>
      </w:r>
    </w:p>
    <w:p w14:paraId="566069A0" w14:textId="4F05EC34" w:rsidR="00825947" w:rsidRDefault="00825947" w:rsidP="00825947">
      <w:pPr>
        <w:numPr>
          <w:ilvl w:val="0"/>
          <w:numId w:val="48"/>
        </w:numPr>
        <w:shd w:val="clear" w:color="auto" w:fill="FFFFFF"/>
        <w:spacing w:after="0" w:line="240" w:lineRule="auto"/>
        <w:rPr>
          <w:rFonts w:eastAsia="Times New Roman" w:cs="Segoe UI"/>
          <w:color w:val="1D2125"/>
          <w:kern w:val="0"/>
          <w14:ligatures w14:val="none"/>
        </w:rPr>
      </w:pPr>
      <w:r w:rsidRPr="00825947">
        <w:rPr>
          <w:rFonts w:eastAsia="Times New Roman" w:cs="Segoe UI"/>
          <w:color w:val="1D2125"/>
          <w:kern w:val="0"/>
          <w14:ligatures w14:val="none"/>
        </w:rPr>
        <w:t>Explain how your interpretation relates to the existing literature</w:t>
      </w:r>
      <w:r>
        <w:rPr>
          <w:rFonts w:eastAsia="Times New Roman" w:cs="Segoe UI"/>
          <w:color w:val="1D2125"/>
          <w:kern w:val="0"/>
          <w14:ligatures w14:val="none"/>
        </w:rPr>
        <w:t xml:space="preserve"> – does it support/contradict/nuance scholarly consensus?</w:t>
      </w:r>
    </w:p>
    <w:p w14:paraId="024EF031" w14:textId="77777777" w:rsidR="00825947" w:rsidRPr="00825947" w:rsidRDefault="00825947" w:rsidP="00825947">
      <w:pPr>
        <w:shd w:val="clear" w:color="auto" w:fill="FFFFFF"/>
        <w:spacing w:after="0" w:line="240" w:lineRule="auto"/>
        <w:rPr>
          <w:rFonts w:eastAsia="Times New Roman" w:cs="Segoe UI"/>
          <w:color w:val="1D2125"/>
          <w:kern w:val="0"/>
          <w14:ligatures w14:val="none"/>
        </w:rPr>
      </w:pPr>
    </w:p>
    <w:p w14:paraId="11529114" w14:textId="12CB54F6" w:rsidR="003B6D43" w:rsidRPr="00825947" w:rsidRDefault="00825947" w:rsidP="00825947">
      <w:pPr>
        <w:shd w:val="clear" w:color="auto" w:fill="FFFFFF"/>
        <w:spacing w:after="100" w:afterAutospacing="1" w:line="240" w:lineRule="auto"/>
        <w:rPr>
          <w:rFonts w:eastAsia="Times New Roman" w:cs="Segoe UI"/>
          <w:color w:val="1D2125"/>
          <w:kern w:val="0"/>
          <w14:ligatures w14:val="none"/>
        </w:rPr>
      </w:pPr>
      <w:r>
        <w:rPr>
          <w:rFonts w:eastAsia="Times New Roman" w:cs="Segoe UI"/>
          <w:color w:val="1D2125"/>
          <w:kern w:val="0"/>
          <w14:ligatures w14:val="none"/>
        </w:rPr>
        <w:t>Your essay should have references and a bibliography.</w:t>
      </w:r>
    </w:p>
    <w:p w14:paraId="31C851BB" w14:textId="77777777" w:rsidR="00825947" w:rsidRDefault="00825947" w:rsidP="00825947">
      <w:pPr>
        <w:pStyle w:val="Heading3"/>
      </w:pPr>
      <w:r>
        <w:t>Guidance for essays:</w:t>
      </w:r>
    </w:p>
    <w:p w14:paraId="6CF43398" w14:textId="77777777" w:rsidR="00825947" w:rsidRDefault="00825947" w:rsidP="00825947">
      <w:r>
        <w:t>An excellent essay will be strong in the following areas:</w:t>
      </w:r>
    </w:p>
    <w:p w14:paraId="6F6C450D" w14:textId="77777777" w:rsidR="00825947" w:rsidRDefault="00825947" w:rsidP="00825947">
      <w:r w:rsidRPr="00811AC1">
        <w:rPr>
          <w:b/>
          <w:bCs/>
        </w:rPr>
        <w:t>Context</w:t>
      </w:r>
      <w:r>
        <w:rPr>
          <w:b/>
          <w:bCs/>
        </w:rPr>
        <w:t>, k</w:t>
      </w:r>
      <w:r w:rsidRPr="00811AC1">
        <w:rPr>
          <w:b/>
          <w:bCs/>
        </w:rPr>
        <w:t>nowledge and coverage of the material</w:t>
      </w:r>
      <w:r>
        <w:rPr>
          <w:b/>
          <w:bCs/>
        </w:rPr>
        <w:t xml:space="preserve">: </w:t>
      </w:r>
      <w:r>
        <w:t>The essay will contain arguments based on specific examples from your reading. It will demonstrate a good understanding of all the issues and good coverage of the relevant material. It will demonstrate that you have researched the topic in adequate depth and drawn upon appropriate academic sources.</w:t>
      </w:r>
    </w:p>
    <w:p w14:paraId="27A20739" w14:textId="77777777" w:rsidR="00825947" w:rsidRDefault="00825947" w:rsidP="00825947">
      <w:r>
        <w:rPr>
          <w:b/>
          <w:bCs/>
        </w:rPr>
        <w:t xml:space="preserve">Structure and argument: </w:t>
      </w:r>
      <w:r>
        <w:t>Your essay should be clearly structured and argued. This will include a clearly stated thesis statement in the introduction. This statement of the argument will then be systematically developed throughout the essay, with use of evidence to support your analysis, and summarised in a concluding paragraph.</w:t>
      </w:r>
    </w:p>
    <w:p w14:paraId="0DFBE728" w14:textId="77777777" w:rsidR="00825947" w:rsidRDefault="00825947" w:rsidP="00825947">
      <w:r>
        <w:rPr>
          <w:b/>
          <w:bCs/>
        </w:rPr>
        <w:t xml:space="preserve">Critical technique: </w:t>
      </w:r>
      <w:r>
        <w:t xml:space="preserve">Your essay will show an awareness of the historiography, and how scholars have debated your topic. It will also demonstrate an awareness of the problems and biases of </w:t>
      </w:r>
      <w:proofErr w:type="gramStart"/>
      <w:r>
        <w:t>particular source</w:t>
      </w:r>
      <w:proofErr w:type="gramEnd"/>
      <w:r>
        <w:t xml:space="preserve"> materials.</w:t>
      </w:r>
    </w:p>
    <w:p w14:paraId="13DFAE05" w14:textId="77777777" w:rsidR="00825947" w:rsidRDefault="00825947" w:rsidP="00825947">
      <w:r>
        <w:rPr>
          <w:b/>
          <w:bCs/>
        </w:rPr>
        <w:t xml:space="preserve">Analysis: </w:t>
      </w:r>
      <w:r>
        <w:t>Your essay will not simply explain events, nor restate the evidence and argument from other texts, but rather will appraise the validity of the evidence and closely analyse the topic or question under consideration.</w:t>
      </w:r>
    </w:p>
    <w:p w14:paraId="0723AA0C" w14:textId="77777777" w:rsidR="00825947" w:rsidRDefault="00825947" w:rsidP="00825947">
      <w:r>
        <w:rPr>
          <w:b/>
          <w:bCs/>
        </w:rPr>
        <w:t xml:space="preserve">Originality: </w:t>
      </w:r>
      <w:r>
        <w:t>It will display original ideas and be thought-provoking – you are encouraged to express your own position on a debate, supporting it with evidence.</w:t>
      </w:r>
    </w:p>
    <w:p w14:paraId="7E3F329F" w14:textId="77777777" w:rsidR="00825947" w:rsidRDefault="00825947" w:rsidP="00825947">
      <w:r>
        <w:rPr>
          <w:b/>
          <w:bCs/>
        </w:rPr>
        <w:t xml:space="preserve">Style and presentation: </w:t>
      </w:r>
      <w:r>
        <w:t xml:space="preserve">Your work will have a good standard of grammar and syntax. It will preferably use the active </w:t>
      </w:r>
      <w:proofErr w:type="gramStart"/>
      <w:r>
        <w:t>voice, and</w:t>
      </w:r>
      <w:proofErr w:type="gramEnd"/>
      <w:r>
        <w:t xml:space="preserve"> will avoid contractions and informal language. All references will be correctly cited according to either MHRA or Harvard style.</w:t>
      </w:r>
    </w:p>
    <w:p w14:paraId="5985FAAA" w14:textId="77777777" w:rsidR="00825947" w:rsidRPr="00957D0E" w:rsidRDefault="00825947" w:rsidP="00825947">
      <w:pPr>
        <w:rPr>
          <w:b/>
          <w:bCs/>
        </w:rPr>
      </w:pPr>
      <w:r w:rsidRPr="00957D0E">
        <w:rPr>
          <w:b/>
          <w:bCs/>
        </w:rPr>
        <w:t>Approaching essay questions:</w:t>
      </w:r>
    </w:p>
    <w:p w14:paraId="03EE442C" w14:textId="77777777" w:rsidR="00825947" w:rsidRDefault="00825947" w:rsidP="00825947">
      <w:pPr>
        <w:pStyle w:val="ListParagraph"/>
        <w:numPr>
          <w:ilvl w:val="0"/>
          <w:numId w:val="51"/>
        </w:numPr>
      </w:pPr>
      <w:r>
        <w:t>Unpack the question: make sure you’re answering every clause or aspect of the question?</w:t>
      </w:r>
    </w:p>
    <w:p w14:paraId="66B9FB7D" w14:textId="77777777" w:rsidR="00825947" w:rsidRDefault="00825947" w:rsidP="00825947">
      <w:pPr>
        <w:pStyle w:val="ListParagraph"/>
        <w:numPr>
          <w:ilvl w:val="0"/>
          <w:numId w:val="51"/>
        </w:numPr>
      </w:pPr>
      <w:r>
        <w:t>Think behind the question: why is it being asked? What larger themes does it address?</w:t>
      </w:r>
    </w:p>
    <w:p w14:paraId="07F1CA66" w14:textId="77777777" w:rsidR="00825947" w:rsidRPr="00C329F4" w:rsidRDefault="00825947" w:rsidP="00825947">
      <w:pPr>
        <w:pStyle w:val="ListParagraph"/>
        <w:numPr>
          <w:ilvl w:val="0"/>
          <w:numId w:val="51"/>
        </w:numPr>
      </w:pPr>
      <w:r>
        <w:t>Think about the evidence you are using: what are its strengths and weaknesses?</w:t>
      </w:r>
    </w:p>
    <w:p w14:paraId="61EE5251" w14:textId="77777777" w:rsidR="00825947" w:rsidRDefault="00825947" w:rsidP="00825947">
      <w:r>
        <w:t>Please check the relevant assessment criteria:</w:t>
      </w:r>
    </w:p>
    <w:p w14:paraId="0ED8CE29" w14:textId="77777777" w:rsidR="00825947" w:rsidRPr="00B978D3" w:rsidRDefault="00825947" w:rsidP="00825947">
      <w:pPr>
        <w:rPr>
          <w:highlight w:val="yellow"/>
        </w:rPr>
      </w:pPr>
      <w:hyperlink r:id="rId13" w:history="1">
        <w:r w:rsidRPr="001B26F3">
          <w:rPr>
            <w:rStyle w:val="Hyperlink"/>
          </w:rPr>
          <w:t>Assessment Criteria</w:t>
        </w:r>
      </w:hyperlink>
    </w:p>
    <w:p w14:paraId="2E69C17A" w14:textId="77777777" w:rsidR="00825947" w:rsidRDefault="00825947" w:rsidP="00825947">
      <w:pPr>
        <w:pStyle w:val="Heading3"/>
      </w:pPr>
      <w:r>
        <w:lastRenderedPageBreak/>
        <w:t>Referencing</w:t>
      </w:r>
    </w:p>
    <w:p w14:paraId="2A304335" w14:textId="77777777" w:rsidR="00825947" w:rsidRDefault="00825947" w:rsidP="00825947">
      <w:r>
        <w:t>For this module, you may use either MHRA or Harvard referencing styles. It is important that you reference properly and accurately, and I recommend that you refer carefully to the referencing handbook for your chosen style when you’re proofreading your references before submitting. Referencing handbooks can be consulted on the UWTSD intranet here:</w:t>
      </w:r>
    </w:p>
    <w:p w14:paraId="188F1296" w14:textId="77777777" w:rsidR="00825947" w:rsidRPr="006F6EB7" w:rsidRDefault="00825947" w:rsidP="00825947">
      <w:hyperlink r:id="rId14" w:history="1">
        <w:r w:rsidRPr="00340489">
          <w:rPr>
            <w:rStyle w:val="Hyperlink"/>
          </w:rPr>
          <w:t>Referencing handbooks | UWTSD Intranet</w:t>
        </w:r>
      </w:hyperlink>
    </w:p>
    <w:p w14:paraId="43C8BF29" w14:textId="77777777" w:rsidR="00825947" w:rsidRDefault="00825947" w:rsidP="00825947">
      <w:pPr>
        <w:pStyle w:val="Heading3"/>
      </w:pPr>
      <w:r>
        <w:t>Use of AI</w:t>
      </w:r>
    </w:p>
    <w:p w14:paraId="075A6A5B" w14:textId="77777777" w:rsidR="00825947" w:rsidRDefault="00825947" w:rsidP="00825947">
      <w:r>
        <w:t xml:space="preserve">For this module, </w:t>
      </w:r>
      <w:r w:rsidRPr="006006C9">
        <w:rPr>
          <w:b/>
          <w:bCs/>
        </w:rPr>
        <w:t>the only permitted use of AI is for proofreading</w:t>
      </w:r>
      <w:r>
        <w:t>. Y</w:t>
      </w:r>
      <w:r w:rsidRPr="0085547C">
        <w:t>ou can use Generative AI to check your own text/creation for grammatical and syntactical mistakes, including rephrasing of your own work within specific standards. </w:t>
      </w:r>
    </w:p>
    <w:p w14:paraId="32AECC19" w14:textId="77777777" w:rsidR="00825947" w:rsidRDefault="00825947" w:rsidP="00825947">
      <w:r>
        <w:t>You are expected to keep drafts of your work, including notes, etc. before and after the use of any AI tool. You will be expected to produce these drafts and materials as necessary.</w:t>
      </w:r>
    </w:p>
    <w:p w14:paraId="76D8A6E8" w14:textId="77777777" w:rsidR="00825947" w:rsidRPr="00D034E2" w:rsidRDefault="00825947" w:rsidP="00825947">
      <w:r>
        <w:t>You must acknowledge any use of AI in a separate page at the beginning of your submission, following this format:</w:t>
      </w:r>
    </w:p>
    <w:p w14:paraId="70880B96" w14:textId="77777777" w:rsidR="00825947" w:rsidRPr="004679F8" w:rsidRDefault="00825947" w:rsidP="00825947">
      <w:r w:rsidRPr="004679F8">
        <w:t xml:space="preserve">I acknowledge the use of [AI Tool] [(AI Tool </w:t>
      </w:r>
      <w:proofErr w:type="spellStart"/>
      <w:r w:rsidRPr="004679F8">
        <w:t>url</w:t>
      </w:r>
      <w:proofErr w:type="spellEnd"/>
      <w:r w:rsidRPr="004679F8">
        <w:t xml:space="preserve">)] on [Date] to [Purpose my work]. </w:t>
      </w:r>
    </w:p>
    <w:p w14:paraId="2E317CB1" w14:textId="77777777" w:rsidR="00825947" w:rsidRPr="004679F8" w:rsidRDefault="00825947" w:rsidP="00825947">
      <w:r w:rsidRPr="004679F8">
        <w:t xml:space="preserve">I used the prompt(s): </w:t>
      </w:r>
    </w:p>
    <w:p w14:paraId="3B896E3D" w14:textId="77777777" w:rsidR="00825947" w:rsidRPr="004679F8" w:rsidRDefault="00825947" w:rsidP="00825947">
      <w:r w:rsidRPr="004679F8">
        <w:t xml:space="preserve">1. [Prompt] </w:t>
      </w:r>
    </w:p>
    <w:p w14:paraId="2256EF22" w14:textId="77777777" w:rsidR="00825947" w:rsidRPr="004679F8" w:rsidRDefault="00825947" w:rsidP="00825947">
      <w:r w:rsidRPr="004679F8">
        <w:t xml:space="preserve">2. [Prompt] </w:t>
      </w:r>
    </w:p>
    <w:p w14:paraId="7C209E13" w14:textId="77777777" w:rsidR="00825947" w:rsidRPr="004679F8" w:rsidRDefault="00825947" w:rsidP="00825947">
      <w:r w:rsidRPr="004679F8">
        <w:t>3. [Prompt]</w:t>
      </w:r>
    </w:p>
    <w:p w14:paraId="0A5D3DFC" w14:textId="77777777" w:rsidR="00825947" w:rsidRDefault="00825947" w:rsidP="00825947">
      <w:r w:rsidRPr="004679F8">
        <w:t xml:space="preserve"> I confirm that I have not presented any AI generated text as my own work. I confirm I have copies of my drafts, notes, and other resources I used before, and after the use of AI tools which I may be asked to provide in evidence.</w:t>
      </w:r>
    </w:p>
    <w:p w14:paraId="361FA26C" w14:textId="77777777" w:rsidR="00825947" w:rsidRDefault="00825947" w:rsidP="00825947">
      <w:r>
        <w:t>For example:</w:t>
      </w:r>
    </w:p>
    <w:p w14:paraId="76A6D3B6" w14:textId="77777777" w:rsidR="00825947" w:rsidRDefault="00825947" w:rsidP="00825947">
      <w:r w:rsidRPr="004679F8">
        <w:t>I acknowledge the use of Grammarly (https://www.grammarly.com/) on 10 February 2024 to check my work using the prompt(s):</w:t>
      </w:r>
    </w:p>
    <w:p w14:paraId="7914DC15" w14:textId="77777777" w:rsidR="00825947" w:rsidRDefault="00825947" w:rsidP="00825947">
      <w:pPr>
        <w:pStyle w:val="ListParagraph"/>
        <w:numPr>
          <w:ilvl w:val="1"/>
          <w:numId w:val="30"/>
        </w:numPr>
      </w:pPr>
      <w:r w:rsidRPr="004679F8">
        <w:t>Please check the following text for readability, grammar and syntax.</w:t>
      </w:r>
    </w:p>
    <w:p w14:paraId="304C1248" w14:textId="77777777" w:rsidR="00825947" w:rsidRDefault="00825947" w:rsidP="00825947">
      <w:r w:rsidRPr="004679F8">
        <w:t xml:space="preserve"> I confirm that I have not presented any AI generated text as my own work. I confirm I have copies of my drafts, notes, and other resources I used before, and after the use of AI tools which I may be asked to provide in evidence</w:t>
      </w:r>
      <w:r>
        <w:t>.</w:t>
      </w:r>
    </w:p>
    <w:p w14:paraId="71662959" w14:textId="77777777" w:rsidR="00825947" w:rsidRDefault="00825947" w:rsidP="00825947">
      <w:r>
        <w:t>If you have not used AI, you must also acknowledge this, using the following declaration:</w:t>
      </w:r>
    </w:p>
    <w:p w14:paraId="774D2953" w14:textId="77777777" w:rsidR="00825947" w:rsidRDefault="00825947" w:rsidP="00825947">
      <w:r w:rsidRPr="007E3144">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63747DE" w14:textId="77777777" w:rsidR="00825947" w:rsidRDefault="00825947" w:rsidP="00825947">
      <w:pPr>
        <w:pStyle w:val="Heading2"/>
      </w:pPr>
      <w:r>
        <w:t>Seminar outlines</w:t>
      </w:r>
    </w:p>
    <w:p w14:paraId="71CCED15" w14:textId="77777777" w:rsidR="00825947" w:rsidRDefault="00825947" w:rsidP="00825947">
      <w:pPr>
        <w:pStyle w:val="Heading3"/>
      </w:pPr>
      <w:r>
        <w:t>Session 1: Introduction to the module</w:t>
      </w:r>
    </w:p>
    <w:p w14:paraId="5DB02BDF" w14:textId="77777777" w:rsidR="00825947" w:rsidRDefault="00825947" w:rsidP="00825947">
      <w:r w:rsidRPr="00846261">
        <w:t>This session will be a gentle introduction to the module. We'll talk about what we'll cover together in the sessions, as well as strategies for approaching the assignments. As you might expect, the module will cover some difficult material, and we'll talk about ways of looking after ourselves while studying this important but challenging topic.</w:t>
      </w:r>
    </w:p>
    <w:p w14:paraId="4A9003EB" w14:textId="77777777" w:rsidR="00825947" w:rsidRDefault="00825947" w:rsidP="00825947">
      <w:r>
        <w:t>In preparation for this class, please familiarise yourself with the contents of this handbook.</w:t>
      </w:r>
    </w:p>
    <w:p w14:paraId="11F33C85" w14:textId="77777777" w:rsidR="00825947" w:rsidRDefault="00825947" w:rsidP="00825947">
      <w:pPr>
        <w:pStyle w:val="Heading3"/>
      </w:pPr>
      <w:r>
        <w:t>Session 2: What is genocide?</w:t>
      </w:r>
    </w:p>
    <w:p w14:paraId="3B656E3E" w14:textId="77777777" w:rsidR="00825947" w:rsidRDefault="00825947" w:rsidP="00825947">
      <w:r w:rsidRPr="00E55B21">
        <w:t>In this session, we'll be thinking about the concept of genocide</w:t>
      </w:r>
      <w:r>
        <w:t>, how it has been conceptualised and framed</w:t>
      </w:r>
      <w:r w:rsidRPr="00E55B21">
        <w:t xml:space="preserve">. </w:t>
      </w:r>
    </w:p>
    <w:p w14:paraId="3D4315A4" w14:textId="7757D1F2" w:rsidR="00825947" w:rsidRPr="00D45CB1" w:rsidRDefault="00825947" w:rsidP="00825947">
      <w:pPr>
        <w:rPr>
          <w:b/>
          <w:bCs/>
        </w:rPr>
      </w:pPr>
      <w:r w:rsidRPr="00D45CB1">
        <w:rPr>
          <w:b/>
          <w:bCs/>
        </w:rPr>
        <w:t xml:space="preserve">Questions </w:t>
      </w:r>
      <w:r w:rsidR="00962811">
        <w:rPr>
          <w:b/>
          <w:bCs/>
        </w:rPr>
        <w:t>to consider</w:t>
      </w:r>
      <w:r w:rsidRPr="00D45CB1">
        <w:rPr>
          <w:b/>
          <w:bCs/>
        </w:rPr>
        <w:t>:</w:t>
      </w:r>
    </w:p>
    <w:p w14:paraId="51A21B9B" w14:textId="77777777" w:rsidR="00825947" w:rsidRDefault="00825947" w:rsidP="00825947">
      <w:pPr>
        <w:pStyle w:val="ListParagraph"/>
        <w:numPr>
          <w:ilvl w:val="0"/>
          <w:numId w:val="50"/>
        </w:numPr>
      </w:pPr>
      <w:r>
        <w:t>What is genocide?</w:t>
      </w:r>
    </w:p>
    <w:p w14:paraId="5309D9C8" w14:textId="77777777" w:rsidR="00825947" w:rsidRDefault="00825947" w:rsidP="00825947">
      <w:pPr>
        <w:pStyle w:val="ListParagraph"/>
        <w:numPr>
          <w:ilvl w:val="0"/>
          <w:numId w:val="50"/>
        </w:numPr>
      </w:pPr>
      <w:r>
        <w:t>When was it defined?</w:t>
      </w:r>
    </w:p>
    <w:p w14:paraId="3BF4AAA5" w14:textId="77777777" w:rsidR="00825947" w:rsidRPr="00E55B21" w:rsidRDefault="00825947" w:rsidP="00825947">
      <w:pPr>
        <w:pStyle w:val="ListParagraph"/>
        <w:numPr>
          <w:ilvl w:val="0"/>
          <w:numId w:val="50"/>
        </w:numPr>
      </w:pPr>
      <w:r>
        <w:t>What separates ‘genocide’ from other forms of mass killing?</w:t>
      </w:r>
    </w:p>
    <w:p w14:paraId="50626DEE" w14:textId="77777777" w:rsidR="00962811" w:rsidRDefault="00962811" w:rsidP="00825947">
      <w:pPr>
        <w:rPr>
          <w:b/>
          <w:bCs/>
        </w:rPr>
      </w:pPr>
      <w:r>
        <w:rPr>
          <w:b/>
          <w:bCs/>
        </w:rPr>
        <w:t>To prepare for class:</w:t>
      </w:r>
    </w:p>
    <w:p w14:paraId="03830771" w14:textId="12CDFB2D" w:rsidR="00962811" w:rsidRDefault="00962811" w:rsidP="00962811">
      <w:pPr>
        <w:pStyle w:val="ListParagraph"/>
        <w:numPr>
          <w:ilvl w:val="0"/>
          <w:numId w:val="52"/>
        </w:numPr>
      </w:pPr>
      <w:r>
        <w:t>P</w:t>
      </w:r>
      <w:r w:rsidR="00825947" w:rsidRPr="00E55B21">
        <w:t xml:space="preserve">lease read the </w:t>
      </w:r>
      <w:r>
        <w:t xml:space="preserve">short </w:t>
      </w:r>
      <w:r w:rsidR="00825947" w:rsidRPr="00E55B21">
        <w:t>key reading and the primary source for the seminar</w:t>
      </w:r>
      <w:r w:rsidR="00825947">
        <w:t>.</w:t>
      </w:r>
      <w:r>
        <w:t xml:space="preserve"> Please also read through the scholarly definitions document provided on Moodle.</w:t>
      </w:r>
    </w:p>
    <w:p w14:paraId="700F83B3" w14:textId="54C136AB" w:rsidR="00825947" w:rsidRDefault="00825947" w:rsidP="00962811">
      <w:pPr>
        <w:pStyle w:val="ListParagraph"/>
        <w:numPr>
          <w:ilvl w:val="0"/>
          <w:numId w:val="52"/>
        </w:numPr>
      </w:pPr>
      <w:r>
        <w:t xml:space="preserve">If you have time, you might want to explore some of the further reading listed below. Bring your notes to class – you will be expected to draw on your reading in class exercises. </w:t>
      </w:r>
    </w:p>
    <w:p w14:paraId="12E33200" w14:textId="77777777" w:rsidR="00825947" w:rsidRPr="00E55B21" w:rsidRDefault="00825947" w:rsidP="00825947">
      <w:r w:rsidRPr="00E55B21">
        <w:rPr>
          <w:b/>
          <w:bCs/>
        </w:rPr>
        <w:t>Key reading:</w:t>
      </w:r>
    </w:p>
    <w:p w14:paraId="3101E199" w14:textId="77777777" w:rsidR="00825947" w:rsidRPr="00E55B21" w:rsidRDefault="00825947" w:rsidP="00825947">
      <w:pPr>
        <w:pStyle w:val="ListParagraph"/>
        <w:numPr>
          <w:ilvl w:val="0"/>
          <w:numId w:val="49"/>
        </w:numPr>
      </w:pPr>
      <w:r w:rsidRPr="00E55B21">
        <w:t>Martha Minow, ‘Naming Horror: Legal and Political Words for Mass Atrocities’, </w:t>
      </w:r>
      <w:r w:rsidRPr="00E55B21">
        <w:rPr>
          <w:i/>
          <w:iCs/>
        </w:rPr>
        <w:t>Genocide Studies and Prevention </w:t>
      </w:r>
      <w:r w:rsidRPr="00E55B21">
        <w:t>2:1 (2007).</w:t>
      </w:r>
    </w:p>
    <w:p w14:paraId="30387BE1" w14:textId="77777777" w:rsidR="00825947" w:rsidRPr="00E55B21" w:rsidRDefault="00825947" w:rsidP="00825947">
      <w:r w:rsidRPr="00E55B21">
        <w:rPr>
          <w:b/>
          <w:bCs/>
        </w:rPr>
        <w:t>Primary source:</w:t>
      </w:r>
    </w:p>
    <w:p w14:paraId="01F543A7" w14:textId="77777777" w:rsidR="00825947" w:rsidRPr="00E55B21" w:rsidRDefault="00825947" w:rsidP="00825947">
      <w:pPr>
        <w:pStyle w:val="ListParagraph"/>
        <w:numPr>
          <w:ilvl w:val="0"/>
          <w:numId w:val="49"/>
        </w:numPr>
      </w:pPr>
      <w:hyperlink r:id="rId15" w:history="1">
        <w:r w:rsidRPr="00E55B21">
          <w:rPr>
            <w:rStyle w:val="Hyperlink"/>
          </w:rPr>
          <w:t>UN Genocide Convention 1948</w:t>
        </w:r>
      </w:hyperlink>
    </w:p>
    <w:p w14:paraId="39311A23" w14:textId="77777777" w:rsidR="00825947" w:rsidRPr="00E55B21" w:rsidRDefault="00825947" w:rsidP="00825947">
      <w:r w:rsidRPr="00E55B21">
        <w:rPr>
          <w:b/>
          <w:bCs/>
        </w:rPr>
        <w:t>Further reading:</w:t>
      </w:r>
    </w:p>
    <w:p w14:paraId="2BC47A99" w14:textId="77777777" w:rsidR="00825947" w:rsidRDefault="00825947" w:rsidP="00825947">
      <w:pPr>
        <w:pStyle w:val="ListParagraph"/>
        <w:numPr>
          <w:ilvl w:val="0"/>
          <w:numId w:val="49"/>
        </w:numPr>
      </w:pPr>
      <w:r>
        <w:t xml:space="preserve">Anthony Court, ‘Do we need an alternative to the concept of genocide?’, </w:t>
      </w:r>
      <w:r>
        <w:rPr>
          <w:i/>
          <w:iCs/>
        </w:rPr>
        <w:t xml:space="preserve">Development Dialogue </w:t>
      </w:r>
      <w:r>
        <w:t>50 (2008), 125-154.</w:t>
      </w:r>
    </w:p>
    <w:p w14:paraId="2BA00DCF" w14:textId="77777777" w:rsidR="00825947" w:rsidRPr="00E55B21" w:rsidRDefault="00825947" w:rsidP="00825947">
      <w:pPr>
        <w:pStyle w:val="ListParagraph"/>
        <w:numPr>
          <w:ilvl w:val="0"/>
          <w:numId w:val="49"/>
        </w:numPr>
      </w:pPr>
      <w:r w:rsidRPr="00E55B21">
        <w:lastRenderedPageBreak/>
        <w:t>Adam Jones, </w:t>
      </w:r>
      <w:r w:rsidRPr="00E55B21">
        <w:rPr>
          <w:i/>
          <w:iCs/>
        </w:rPr>
        <w:t>Genocide: A Comprehensive Introduction </w:t>
      </w:r>
      <w:r w:rsidRPr="00E55B21">
        <w:t>(2nd. ed.) </w:t>
      </w:r>
      <w:r w:rsidRPr="00E55B21">
        <w:rPr>
          <w:i/>
          <w:iCs/>
        </w:rPr>
        <w:t> </w:t>
      </w:r>
      <w:r w:rsidRPr="00E55B21">
        <w:t>(Abingdon, 2011), Chapter 1.</w:t>
      </w:r>
    </w:p>
    <w:p w14:paraId="363E89F4" w14:textId="77777777" w:rsidR="00825947" w:rsidRDefault="00825947" w:rsidP="00825947">
      <w:pPr>
        <w:pStyle w:val="ListParagraph"/>
        <w:numPr>
          <w:ilvl w:val="0"/>
          <w:numId w:val="49"/>
        </w:numPr>
      </w:pPr>
      <w:r w:rsidRPr="00E55B21">
        <w:t xml:space="preserve">Robert </w:t>
      </w:r>
      <w:proofErr w:type="spellStart"/>
      <w:r w:rsidRPr="00E55B21">
        <w:t>Gellately</w:t>
      </w:r>
      <w:proofErr w:type="spellEnd"/>
      <w:r w:rsidRPr="00E55B21">
        <w:t xml:space="preserve"> and Ben Kiernan, ‘The Study of Mass Murder and Genocide’ in Robert </w:t>
      </w:r>
      <w:proofErr w:type="spellStart"/>
      <w:r w:rsidRPr="00E55B21">
        <w:t>Gellately</w:t>
      </w:r>
      <w:proofErr w:type="spellEnd"/>
      <w:r w:rsidRPr="00E55B21">
        <w:t xml:space="preserve"> and Ben Kiernan (eds.), </w:t>
      </w:r>
      <w:r w:rsidRPr="00E55B21">
        <w:rPr>
          <w:i/>
          <w:iCs/>
        </w:rPr>
        <w:t>The Specter of Genocide: Mass Murder in Historical Perspective </w:t>
      </w:r>
      <w:r w:rsidRPr="00E55B21">
        <w:t>(Cambridge, 2003), pp. 3-26.</w:t>
      </w:r>
    </w:p>
    <w:p w14:paraId="183F219F" w14:textId="77777777" w:rsidR="00825947" w:rsidRPr="00C02230" w:rsidRDefault="00825947" w:rsidP="00825947">
      <w:pPr>
        <w:pStyle w:val="ListParagraph"/>
        <w:numPr>
          <w:ilvl w:val="0"/>
          <w:numId w:val="49"/>
        </w:numPr>
      </w:pPr>
      <w:r w:rsidRPr="00C02230">
        <w:t>Luke Glanville, ‘Is “Genocide” still a</w:t>
      </w:r>
      <w:r>
        <w:t xml:space="preserve"> powerful word?’, </w:t>
      </w:r>
      <w:r>
        <w:rPr>
          <w:i/>
          <w:iCs/>
        </w:rPr>
        <w:t xml:space="preserve">Journal of Genocide Research </w:t>
      </w:r>
      <w:r>
        <w:t>11:4 (2009).</w:t>
      </w:r>
    </w:p>
    <w:p w14:paraId="48F98B48" w14:textId="77777777" w:rsidR="00825947" w:rsidRPr="00E55B21" w:rsidRDefault="00825947" w:rsidP="00825947">
      <w:pPr>
        <w:pStyle w:val="ListParagraph"/>
        <w:numPr>
          <w:ilvl w:val="0"/>
          <w:numId w:val="49"/>
        </w:numPr>
      </w:pPr>
      <w:r w:rsidRPr="00E55B21">
        <w:t xml:space="preserve">Ben Kiernan, ‘Twentieth-Century Genocides: Underlying Ideological Themes from Armenia to East Timor’ in Robert </w:t>
      </w:r>
      <w:proofErr w:type="spellStart"/>
      <w:r w:rsidRPr="00E55B21">
        <w:t>Gellately</w:t>
      </w:r>
      <w:proofErr w:type="spellEnd"/>
      <w:r w:rsidRPr="00E55B21">
        <w:t xml:space="preserve"> and Ben Kiernan (eds.), </w:t>
      </w:r>
      <w:r w:rsidRPr="00E55B21">
        <w:rPr>
          <w:i/>
          <w:iCs/>
        </w:rPr>
        <w:t>The Specter of Genocide: Mass Murder in Historical Perspective </w:t>
      </w:r>
      <w:r w:rsidRPr="00E55B21">
        <w:t>(Cambridge, 2003) pp. 29-51.</w:t>
      </w:r>
    </w:p>
    <w:p w14:paraId="28611DAD" w14:textId="77777777" w:rsidR="00825947" w:rsidRDefault="00825947" w:rsidP="00825947">
      <w:pPr>
        <w:pStyle w:val="ListParagraph"/>
        <w:numPr>
          <w:ilvl w:val="0"/>
          <w:numId w:val="49"/>
        </w:numPr>
      </w:pPr>
      <w:r w:rsidRPr="00E55B21">
        <w:t>Mark Levene, ‘Why Is the Twentieth Century the Century of Genocide?’ </w:t>
      </w:r>
      <w:r w:rsidRPr="00E55B21">
        <w:rPr>
          <w:i/>
          <w:iCs/>
        </w:rPr>
        <w:t>Journal of World History, </w:t>
      </w:r>
      <w:r w:rsidRPr="00E55B21">
        <w:t>11:2 (2000), 305-336.</w:t>
      </w:r>
    </w:p>
    <w:p w14:paraId="30BC4B7E" w14:textId="77777777" w:rsidR="00825947" w:rsidRPr="00A66CE2" w:rsidRDefault="00825947" w:rsidP="00825947">
      <w:pPr>
        <w:pStyle w:val="ListParagraph"/>
        <w:numPr>
          <w:ilvl w:val="0"/>
          <w:numId w:val="49"/>
        </w:numPr>
      </w:pPr>
      <w:r w:rsidRPr="00A66CE2">
        <w:t xml:space="preserve">Thomas W. Simon, ‘Defining genocide’, </w:t>
      </w:r>
      <w:r w:rsidRPr="00A66CE2">
        <w:rPr>
          <w:i/>
          <w:iCs/>
        </w:rPr>
        <w:t>Wisconsin Inte</w:t>
      </w:r>
      <w:r>
        <w:rPr>
          <w:i/>
          <w:iCs/>
        </w:rPr>
        <w:t xml:space="preserve">rnational Law Journal </w:t>
      </w:r>
      <w:r>
        <w:t>15:1 (1996), 243-256.</w:t>
      </w:r>
    </w:p>
    <w:p w14:paraId="42A8EBDA" w14:textId="77777777" w:rsidR="00825947" w:rsidRDefault="00825947" w:rsidP="00825947">
      <w:pPr>
        <w:pStyle w:val="ListParagraph"/>
        <w:numPr>
          <w:ilvl w:val="0"/>
          <w:numId w:val="49"/>
        </w:numPr>
      </w:pPr>
      <w:r w:rsidRPr="00E55B21">
        <w:t>Krista K. Thomason, ‘If Everything is Genocide, Nothing Is: Scepticism and the Concept of Genocide’, </w:t>
      </w:r>
      <w:r w:rsidRPr="00E55B21">
        <w:rPr>
          <w:i/>
          <w:iCs/>
        </w:rPr>
        <w:t>Journal of Genocide Research </w:t>
      </w:r>
      <w:r w:rsidRPr="00E55B21">
        <w:t>20:3 (2018), 412-416.</w:t>
      </w:r>
    </w:p>
    <w:p w14:paraId="163AD4E7" w14:textId="1BAFD9A6" w:rsidR="003B6D43" w:rsidRDefault="009E1F8E" w:rsidP="009E1F8E">
      <w:pPr>
        <w:pStyle w:val="Heading3"/>
      </w:pPr>
      <w:r>
        <w:t>Session</w:t>
      </w:r>
      <w:r w:rsidR="003B6D43">
        <w:t xml:space="preserve"> 3: </w:t>
      </w:r>
      <w:r>
        <w:t>Genocide in Namibia</w:t>
      </w:r>
      <w:r w:rsidR="003B6D43">
        <w:t>: On the Path to Auschwitz?</w:t>
      </w:r>
    </w:p>
    <w:p w14:paraId="170ACD4F" w14:textId="11B9DB5F" w:rsidR="003B6D43" w:rsidRDefault="003B6D43" w:rsidP="00227938">
      <w:r>
        <w:t>This week we will focus on the genocide of the Herero and Nama people in German Southwest Africa (present-day Namibia), which occurred between 1904 and 1908 in the context of a Herero and Nama rebellion against German colonial rule. Between 24,000 and 100,000 Herero and 10,000 Nama were killed in the genocide, which was characterised by starvation and the use of concentration camps.</w:t>
      </w:r>
    </w:p>
    <w:p w14:paraId="7BC0AE2E" w14:textId="4678AC01" w:rsidR="00227938" w:rsidRDefault="00227938" w:rsidP="00227938">
      <w:pPr>
        <w:rPr>
          <w:b/>
          <w:bCs/>
        </w:rPr>
      </w:pPr>
      <w:r>
        <w:rPr>
          <w:b/>
          <w:bCs/>
        </w:rPr>
        <w:t>Questions to consider:</w:t>
      </w:r>
    </w:p>
    <w:p w14:paraId="1C24EE16" w14:textId="77777777" w:rsidR="00227938" w:rsidRDefault="00227938" w:rsidP="00227938">
      <w:pPr>
        <w:pStyle w:val="ListParagraph"/>
        <w:numPr>
          <w:ilvl w:val="0"/>
          <w:numId w:val="4"/>
        </w:numPr>
      </w:pPr>
      <w:r>
        <w:t>What were the causes of the genocide against the Herero and Nama people?</w:t>
      </w:r>
    </w:p>
    <w:p w14:paraId="4FCE7432" w14:textId="77777777" w:rsidR="00227938" w:rsidRDefault="00227938" w:rsidP="00227938">
      <w:pPr>
        <w:pStyle w:val="ListParagraph"/>
        <w:numPr>
          <w:ilvl w:val="0"/>
          <w:numId w:val="4"/>
        </w:numPr>
      </w:pPr>
      <w:r>
        <w:t>How was genocide carried out?</w:t>
      </w:r>
    </w:p>
    <w:p w14:paraId="3E4C7077" w14:textId="77777777" w:rsidR="00227938" w:rsidRDefault="00227938" w:rsidP="00227938">
      <w:pPr>
        <w:pStyle w:val="ListParagraph"/>
        <w:numPr>
          <w:ilvl w:val="0"/>
          <w:numId w:val="4"/>
        </w:numPr>
      </w:pPr>
      <w:r>
        <w:t>Is it useful to link the genocide against the Herero and Nama people to the Holocaust? What do we gain and lose from this framing?</w:t>
      </w:r>
    </w:p>
    <w:p w14:paraId="158357F4" w14:textId="77777777" w:rsidR="00227938" w:rsidRPr="00046D1D" w:rsidRDefault="00227938" w:rsidP="00227938">
      <w:pPr>
        <w:pStyle w:val="ListParagraph"/>
        <w:numPr>
          <w:ilvl w:val="0"/>
          <w:numId w:val="4"/>
        </w:numPr>
      </w:pPr>
      <w:r>
        <w:t>What are the legacies of the genocide? How has it been remembered?</w:t>
      </w:r>
    </w:p>
    <w:p w14:paraId="34DF5AD7" w14:textId="77777777" w:rsidR="00227938" w:rsidRPr="00227938" w:rsidRDefault="00227938" w:rsidP="00227938">
      <w:pPr>
        <w:rPr>
          <w:b/>
          <w:bCs/>
        </w:rPr>
      </w:pPr>
      <w:r w:rsidRPr="00227938">
        <w:rPr>
          <w:b/>
          <w:bCs/>
        </w:rPr>
        <w:t>To prepare for class:</w:t>
      </w:r>
    </w:p>
    <w:p w14:paraId="77ACBC73" w14:textId="77CC7B26" w:rsidR="00227938" w:rsidRPr="00227938" w:rsidRDefault="00227938" w:rsidP="00227938">
      <w:pPr>
        <w:numPr>
          <w:ilvl w:val="0"/>
          <w:numId w:val="53"/>
        </w:numPr>
        <w:spacing w:after="0" w:line="240" w:lineRule="auto"/>
      </w:pPr>
      <w:r w:rsidRPr="00227938">
        <w:t>Read the key reading</w:t>
      </w:r>
      <w:r>
        <w:t>.</w:t>
      </w:r>
    </w:p>
    <w:p w14:paraId="38C67985" w14:textId="01AF73B9" w:rsidR="00227938" w:rsidRPr="00227938" w:rsidRDefault="00227938" w:rsidP="00227938">
      <w:pPr>
        <w:numPr>
          <w:ilvl w:val="0"/>
          <w:numId w:val="53"/>
        </w:numPr>
        <w:spacing w:after="0" w:line="240" w:lineRule="auto"/>
      </w:pPr>
      <w:r w:rsidRPr="00227938">
        <w:t>Complete the asynchronous task for assignment preparation</w:t>
      </w:r>
      <w:r>
        <w:t>: Pick the 4 texts you plan to use for your literature review. Write a reference and a bibliographical entry for each of them.</w:t>
      </w:r>
    </w:p>
    <w:p w14:paraId="3130B2F7" w14:textId="77777777" w:rsidR="00227938" w:rsidRPr="00227938" w:rsidRDefault="00227938" w:rsidP="00227938">
      <w:pPr>
        <w:numPr>
          <w:ilvl w:val="0"/>
          <w:numId w:val="53"/>
        </w:numPr>
        <w:spacing w:after="0" w:line="240" w:lineRule="auto"/>
      </w:pPr>
      <w:r w:rsidRPr="00227938">
        <w:t>Choose one survivor narrative in the linked primary source. What does it tell you about the genocide in Namibia?</w:t>
      </w:r>
    </w:p>
    <w:p w14:paraId="344E8ACB" w14:textId="1F2BE6A1" w:rsidR="00227938" w:rsidRDefault="00227938" w:rsidP="00227938">
      <w:pPr>
        <w:numPr>
          <w:ilvl w:val="0"/>
          <w:numId w:val="53"/>
        </w:numPr>
        <w:spacing w:after="0" w:line="240" w:lineRule="auto"/>
      </w:pPr>
      <w:r w:rsidRPr="00227938">
        <w:t>If you have time, you might want to explore some of the listed further reading, watch the BBC documentary </w:t>
      </w:r>
      <w:r w:rsidRPr="00227938">
        <w:rPr>
          <w:i/>
          <w:iCs/>
        </w:rPr>
        <w:t>Namibia: Genocide and the Second Reich </w:t>
      </w:r>
      <w:r w:rsidRPr="00227938">
        <w:t xml:space="preserve">(2005), </w:t>
      </w:r>
      <w:r>
        <w:t>or explore some of the other resources provided on Moodle.</w:t>
      </w:r>
    </w:p>
    <w:p w14:paraId="007A541B" w14:textId="77777777" w:rsidR="00227938" w:rsidRDefault="00227938" w:rsidP="00227938">
      <w:pPr>
        <w:spacing w:after="0" w:line="240" w:lineRule="auto"/>
        <w:rPr>
          <w:b/>
          <w:bCs/>
        </w:rPr>
      </w:pPr>
    </w:p>
    <w:p w14:paraId="3FC15CDB" w14:textId="7A9D52B1" w:rsidR="00227938" w:rsidRPr="00227938" w:rsidRDefault="00227938" w:rsidP="00227938">
      <w:pPr>
        <w:spacing w:after="0" w:line="240" w:lineRule="auto"/>
        <w:rPr>
          <w:b/>
          <w:bCs/>
        </w:rPr>
      </w:pPr>
      <w:r>
        <w:rPr>
          <w:b/>
          <w:bCs/>
        </w:rPr>
        <w:t>Key reading:</w:t>
      </w:r>
    </w:p>
    <w:p w14:paraId="26828F6F" w14:textId="3B528E1B" w:rsidR="003B6D43" w:rsidRDefault="003B6D43" w:rsidP="00227938">
      <w:pPr>
        <w:pStyle w:val="ListParagraph"/>
        <w:numPr>
          <w:ilvl w:val="0"/>
          <w:numId w:val="4"/>
        </w:numPr>
      </w:pPr>
      <w:r>
        <w:t xml:space="preserve">Jon Bridgman and Leslie J. Worley, ‘Genocide of the Hereros’ in Samuel Totten and William S. Parsons (eds.), </w:t>
      </w:r>
      <w:r w:rsidRPr="00227938">
        <w:rPr>
          <w:i/>
          <w:iCs/>
        </w:rPr>
        <w:t xml:space="preserve">Century of Genocide: Critical Essays and Eyewitness Accounts, </w:t>
      </w:r>
      <w:r>
        <w:t>(New York, 2009), pp. 14-42.</w:t>
      </w:r>
    </w:p>
    <w:p w14:paraId="45C2B9C8" w14:textId="0224892F" w:rsidR="00227938" w:rsidRDefault="00227938" w:rsidP="00227938">
      <w:pPr>
        <w:rPr>
          <w:b/>
          <w:bCs/>
        </w:rPr>
      </w:pPr>
      <w:r>
        <w:rPr>
          <w:b/>
          <w:bCs/>
        </w:rPr>
        <w:t>Primary source:</w:t>
      </w:r>
    </w:p>
    <w:p w14:paraId="1EE7ECFE" w14:textId="77777777" w:rsidR="00227938" w:rsidRDefault="00227938" w:rsidP="00227938">
      <w:hyperlink r:id="rId16" w:history="1">
        <w:r>
          <w:rPr>
            <w:rStyle w:val="Hyperlink"/>
          </w:rPr>
          <w:t xml:space="preserve">Report on the natives of South-west Africa and their treatment by Germany / prepared in the Administrator's Office, </w:t>
        </w:r>
        <w:proofErr w:type="spellStart"/>
        <w:r>
          <w:rPr>
            <w:rStyle w:val="Hyperlink"/>
          </w:rPr>
          <w:t>Windhuk</w:t>
        </w:r>
        <w:proofErr w:type="spellEnd"/>
        <w:r>
          <w:rPr>
            <w:rStyle w:val="Hyperlink"/>
          </w:rPr>
          <w:t xml:space="preserve">, South-West Africa, January 1918. | </w:t>
        </w:r>
        <w:proofErr w:type="spellStart"/>
        <w:r>
          <w:rPr>
            <w:rStyle w:val="Hyperlink"/>
          </w:rPr>
          <w:t>Wellcome</w:t>
        </w:r>
        <w:proofErr w:type="spellEnd"/>
        <w:r>
          <w:rPr>
            <w:rStyle w:val="Hyperlink"/>
          </w:rPr>
          <w:t xml:space="preserve"> Collection</w:t>
        </w:r>
      </w:hyperlink>
    </w:p>
    <w:p w14:paraId="427B8931" w14:textId="77777777" w:rsidR="00227938" w:rsidRPr="003B6D43" w:rsidRDefault="00227938" w:rsidP="00227938">
      <w:r>
        <w:t xml:space="preserve">(See also Jeremy Silvester and Jan-Bart </w:t>
      </w:r>
      <w:proofErr w:type="spellStart"/>
      <w:r>
        <w:t>Gewald</w:t>
      </w:r>
      <w:proofErr w:type="spellEnd"/>
      <w:r>
        <w:t xml:space="preserve">, </w:t>
      </w:r>
      <w:r>
        <w:rPr>
          <w:i/>
          <w:iCs/>
        </w:rPr>
        <w:t xml:space="preserve">Words Cannot Be Found: German Colonial Rule in Namibia: An Annotated Reprint of the 1918 Blue Book </w:t>
      </w:r>
      <w:r>
        <w:t>(Leiden, 2003), which contains a reprint of the above Report with some commentary).</w:t>
      </w:r>
    </w:p>
    <w:p w14:paraId="3E174CBE" w14:textId="51AAE1FC" w:rsidR="00227938" w:rsidRDefault="00227938" w:rsidP="00227938">
      <w:pPr>
        <w:rPr>
          <w:b/>
          <w:bCs/>
        </w:rPr>
      </w:pPr>
      <w:r>
        <w:rPr>
          <w:b/>
          <w:bCs/>
        </w:rPr>
        <w:t>Further reading:</w:t>
      </w:r>
    </w:p>
    <w:p w14:paraId="01864B50" w14:textId="77777777" w:rsidR="00227938" w:rsidRPr="00046D1D" w:rsidRDefault="00227938" w:rsidP="009E1F8E">
      <w:pPr>
        <w:pStyle w:val="ListParagraph"/>
        <w:numPr>
          <w:ilvl w:val="0"/>
          <w:numId w:val="4"/>
        </w:numPr>
      </w:pPr>
      <w:r w:rsidRPr="00046D1D">
        <w:t xml:space="preserve">Isabel V. Hull, ‘Military Culture and the Production of “Final Solutions” in the Colonies: The Example of </w:t>
      </w:r>
      <w:proofErr w:type="spellStart"/>
      <w:r w:rsidRPr="00046D1D">
        <w:t>Wilhelminian</w:t>
      </w:r>
      <w:proofErr w:type="spellEnd"/>
      <w:r w:rsidRPr="00046D1D">
        <w:t xml:space="preserve"> Germany’ in Robert </w:t>
      </w:r>
      <w:proofErr w:type="spellStart"/>
      <w:r w:rsidRPr="00046D1D">
        <w:t>Gellately</w:t>
      </w:r>
      <w:proofErr w:type="spellEnd"/>
      <w:r w:rsidRPr="00046D1D">
        <w:t xml:space="preserve"> and Ben Kiernan (eds.), </w:t>
      </w:r>
      <w:proofErr w:type="gramStart"/>
      <w:r w:rsidRPr="00046D1D">
        <w:t>‘ </w:t>
      </w:r>
      <w:r w:rsidRPr="009E1F8E">
        <w:rPr>
          <w:i/>
          <w:iCs/>
        </w:rPr>
        <w:t>The</w:t>
      </w:r>
      <w:proofErr w:type="gramEnd"/>
      <w:r w:rsidRPr="009E1F8E">
        <w:rPr>
          <w:i/>
          <w:iCs/>
        </w:rPr>
        <w:t xml:space="preserve"> Specter of Genocide: Mass Murder in Historical Perspective </w:t>
      </w:r>
      <w:r w:rsidRPr="00046D1D">
        <w:t>(Cambridge, 2003), pp. 141-162.</w:t>
      </w:r>
    </w:p>
    <w:p w14:paraId="1803EBCB" w14:textId="77777777" w:rsidR="00227938" w:rsidRPr="00046D1D" w:rsidRDefault="00227938" w:rsidP="009E1F8E">
      <w:pPr>
        <w:pStyle w:val="ListParagraph"/>
        <w:numPr>
          <w:ilvl w:val="0"/>
          <w:numId w:val="4"/>
        </w:numPr>
      </w:pPr>
      <w:r w:rsidRPr="00046D1D">
        <w:t>Birthe Kundrus, ‘From the Herero to the Holocaust? Some Remarks on the Current Debate’, </w:t>
      </w:r>
      <w:r w:rsidRPr="009E1F8E">
        <w:rPr>
          <w:i/>
          <w:iCs/>
        </w:rPr>
        <w:t>Afrika Spectrum </w:t>
      </w:r>
      <w:r w:rsidRPr="00046D1D">
        <w:t>40:2 (2005), pp.299-308, available open access here: </w:t>
      </w:r>
      <w:hyperlink r:id="rId17" w:history="1">
        <w:r w:rsidRPr="00046D1D">
          <w:rPr>
            <w:rStyle w:val="Hyperlink"/>
          </w:rPr>
          <w:t>KundrusLast.PDF (ssoar.info)</w:t>
        </w:r>
      </w:hyperlink>
    </w:p>
    <w:p w14:paraId="69799945" w14:textId="77777777" w:rsidR="00227938" w:rsidRPr="00046D1D" w:rsidRDefault="00227938" w:rsidP="009E1F8E">
      <w:pPr>
        <w:pStyle w:val="ListParagraph"/>
        <w:numPr>
          <w:ilvl w:val="0"/>
          <w:numId w:val="4"/>
        </w:numPr>
      </w:pPr>
      <w:r w:rsidRPr="00046D1D">
        <w:t>Janne Lahti, ‘</w:t>
      </w:r>
      <w:proofErr w:type="spellStart"/>
      <w:r w:rsidRPr="009E1F8E">
        <w:rPr>
          <w:i/>
          <w:iCs/>
        </w:rPr>
        <w:t>Südwester</w:t>
      </w:r>
      <w:proofErr w:type="spellEnd"/>
      <w:r w:rsidRPr="009E1F8E">
        <w:rPr>
          <w:i/>
          <w:iCs/>
        </w:rPr>
        <w:t xml:space="preserve"> Reiter: </w:t>
      </w:r>
      <w:r w:rsidRPr="00046D1D">
        <w:t>Fear, Belonging, and Settler Colonial Violence in Namibia’, </w:t>
      </w:r>
      <w:r w:rsidRPr="009E1F8E">
        <w:rPr>
          <w:i/>
          <w:iCs/>
        </w:rPr>
        <w:t>Journal of Genocide Research </w:t>
      </w:r>
      <w:r w:rsidRPr="00046D1D">
        <w:t>24:4 (2022), 529-548.</w:t>
      </w:r>
    </w:p>
    <w:p w14:paraId="78F9DF31" w14:textId="77777777" w:rsidR="00227938" w:rsidRPr="00046D1D" w:rsidRDefault="00227938" w:rsidP="009E1F8E">
      <w:pPr>
        <w:pStyle w:val="ListParagraph"/>
        <w:numPr>
          <w:ilvl w:val="0"/>
          <w:numId w:val="4"/>
        </w:numPr>
      </w:pPr>
      <w:r w:rsidRPr="00046D1D">
        <w:t xml:space="preserve">Benjamin Madley, ‘From Africa to Auschwitz: How German </w:t>
      </w:r>
      <w:proofErr w:type="gramStart"/>
      <w:r w:rsidRPr="00046D1D">
        <w:t>South West</w:t>
      </w:r>
      <w:proofErr w:type="gramEnd"/>
      <w:r w:rsidRPr="00046D1D">
        <w:t xml:space="preserve"> Africa Incubated Ideas and Methods Adopted and Developed by the Nazis in Eastern Europe’, </w:t>
      </w:r>
      <w:r w:rsidRPr="009E1F8E">
        <w:rPr>
          <w:i/>
          <w:iCs/>
        </w:rPr>
        <w:t>European History Quarterly, </w:t>
      </w:r>
      <w:r w:rsidRPr="00046D1D">
        <w:t>35:3 (2005), 429-464.</w:t>
      </w:r>
    </w:p>
    <w:p w14:paraId="71249E2F" w14:textId="0664F536" w:rsidR="00227938" w:rsidRDefault="00227938" w:rsidP="009E1F8E">
      <w:pPr>
        <w:pStyle w:val="ListParagraph"/>
        <w:numPr>
          <w:ilvl w:val="0"/>
          <w:numId w:val="4"/>
        </w:numPr>
      </w:pPr>
      <w:r w:rsidRPr="00046D1D">
        <w:t>Dominik J. Schaller, ‘“Every Herero Will Be Shot”: Genocide, Concentration Camps and Slave Labour in German South-West Africa” in René Lemarchand (ed.), </w:t>
      </w:r>
      <w:r w:rsidRPr="009E1F8E">
        <w:rPr>
          <w:i/>
          <w:iCs/>
        </w:rPr>
        <w:t>Forgotten Genocides: Oblivion, Denial, and Memory </w:t>
      </w:r>
      <w:r w:rsidRPr="00046D1D">
        <w:t>(</w:t>
      </w:r>
      <w:r>
        <w:t>Philadelphia,</w:t>
      </w:r>
      <w:r w:rsidRPr="00046D1D">
        <w:t xml:space="preserve"> 2011), pp. 37-50.</w:t>
      </w:r>
    </w:p>
    <w:p w14:paraId="60309E50" w14:textId="051B58CB" w:rsidR="003B6D43" w:rsidRDefault="00105654" w:rsidP="00105654">
      <w:pPr>
        <w:pStyle w:val="Heading3"/>
      </w:pPr>
      <w:r>
        <w:t>Session</w:t>
      </w:r>
      <w:r w:rsidR="003B6D43">
        <w:t xml:space="preserve"> 4: Plan or a Gruesome Accident? Origins of the Holocaust</w:t>
      </w:r>
    </w:p>
    <w:p w14:paraId="21A069C7" w14:textId="40D8FCB7" w:rsidR="00DC66E2" w:rsidRDefault="003B6D43" w:rsidP="003B6D43">
      <w:r>
        <w:t xml:space="preserve">The Holocaust, perpetrated under Hitler’s National Socialists, is one of the most-researched topics by historians. Yet, there are areas of contentious debate. The </w:t>
      </w:r>
      <w:proofErr w:type="gramStart"/>
      <w:r>
        <w:t>origins</w:t>
      </w:r>
      <w:proofErr w:type="gramEnd"/>
      <w:r>
        <w:t xml:space="preserve"> of the genocide is just one of those areas. We will examine these debates in this session.</w:t>
      </w:r>
    </w:p>
    <w:p w14:paraId="14E2C5D8" w14:textId="1E05876C" w:rsidR="003B6D43" w:rsidRPr="009E1F8E" w:rsidRDefault="009E1F8E" w:rsidP="003B6D43">
      <w:pPr>
        <w:rPr>
          <w:b/>
          <w:bCs/>
        </w:rPr>
      </w:pPr>
      <w:r>
        <w:rPr>
          <w:b/>
          <w:bCs/>
        </w:rPr>
        <w:t>Questions to consider:</w:t>
      </w:r>
    </w:p>
    <w:p w14:paraId="05756DC8" w14:textId="154B7ECD" w:rsidR="003B6D43" w:rsidRDefault="003B6D43" w:rsidP="003B6D43">
      <w:pPr>
        <w:pStyle w:val="ListParagraph"/>
        <w:numPr>
          <w:ilvl w:val="0"/>
          <w:numId w:val="4"/>
        </w:numPr>
      </w:pPr>
      <w:r>
        <w:t>Was the Holocaust meticulously planned by Hitler years in advance? Or an unforeseen outcome of military planning?</w:t>
      </w:r>
    </w:p>
    <w:p w14:paraId="1F4B043F" w14:textId="0BFA0B78" w:rsidR="009E1F8E" w:rsidRDefault="009E1F8E" w:rsidP="009E1F8E">
      <w:pPr>
        <w:rPr>
          <w:b/>
          <w:bCs/>
        </w:rPr>
      </w:pPr>
      <w:r>
        <w:rPr>
          <w:b/>
          <w:bCs/>
        </w:rPr>
        <w:lastRenderedPageBreak/>
        <w:t>To prepare for class:</w:t>
      </w:r>
    </w:p>
    <w:p w14:paraId="394D5DF6" w14:textId="06883E4D" w:rsidR="009E1F8E" w:rsidRDefault="009E1F8E" w:rsidP="00105654">
      <w:pPr>
        <w:pStyle w:val="ListParagraph"/>
        <w:numPr>
          <w:ilvl w:val="0"/>
          <w:numId w:val="4"/>
        </w:numPr>
      </w:pPr>
      <w:r>
        <w:t>Read the key reading</w:t>
      </w:r>
    </w:p>
    <w:p w14:paraId="077644E6" w14:textId="0B98F75C" w:rsidR="009E1F8E" w:rsidRDefault="009E1F8E" w:rsidP="00105654">
      <w:pPr>
        <w:pStyle w:val="ListParagraph"/>
        <w:numPr>
          <w:ilvl w:val="0"/>
          <w:numId w:val="4"/>
        </w:numPr>
      </w:pPr>
      <w:r>
        <w:t xml:space="preserve">Read the primary source (Nuremberg Laws 1935) </w:t>
      </w:r>
      <w:r w:rsidR="00105654">
        <w:t>–</w:t>
      </w:r>
      <w:r>
        <w:t xml:space="preserve"> </w:t>
      </w:r>
      <w:r w:rsidR="00105654">
        <w:t>this is available on Moodle.</w:t>
      </w:r>
    </w:p>
    <w:p w14:paraId="290B977D" w14:textId="73610804" w:rsidR="003B6D43" w:rsidRPr="00105654" w:rsidRDefault="00105654" w:rsidP="00105654">
      <w:pPr>
        <w:pStyle w:val="ListParagraph"/>
        <w:numPr>
          <w:ilvl w:val="0"/>
          <w:numId w:val="4"/>
        </w:numPr>
        <w:rPr>
          <w:rFonts w:cs="Segoe UI"/>
          <w:color w:val="1D2125"/>
          <w:shd w:val="clear" w:color="auto" w:fill="FFFFFF"/>
        </w:rPr>
      </w:pPr>
      <w:r>
        <w:t>Complete the asynchronous task for assignment preparation: d</w:t>
      </w:r>
      <w:r w:rsidR="003B6D43" w:rsidRPr="00105654">
        <w:rPr>
          <w:rFonts w:cs="Segoe UI"/>
          <w:color w:val="1D2125"/>
          <w:shd w:val="clear" w:color="auto" w:fill="FFFFFF"/>
        </w:rPr>
        <w:t>raft one paragraph of a literature review for one of your chosen texts.</w:t>
      </w:r>
    </w:p>
    <w:p w14:paraId="23D013C8" w14:textId="33E9A0A7" w:rsidR="00105654" w:rsidRPr="00105654" w:rsidRDefault="00105654" w:rsidP="00105654">
      <w:pPr>
        <w:pStyle w:val="ListParagraph"/>
        <w:numPr>
          <w:ilvl w:val="0"/>
          <w:numId w:val="4"/>
        </w:numPr>
      </w:pPr>
      <w:r w:rsidRPr="00105654">
        <w:rPr>
          <w:rFonts w:cs="Segoe UI"/>
          <w:color w:val="1D2125"/>
          <w:shd w:val="clear" w:color="auto" w:fill="FFFFFF"/>
        </w:rPr>
        <w:t>If you have time, you might want to explore some of the further reading, or the other resources available on Moodle.</w:t>
      </w:r>
    </w:p>
    <w:p w14:paraId="53DB76E7" w14:textId="5D08A94A" w:rsidR="003B6D43" w:rsidRDefault="00105654" w:rsidP="00105654">
      <w:r>
        <w:rPr>
          <w:b/>
          <w:bCs/>
        </w:rPr>
        <w:t>Key reading:</w:t>
      </w:r>
    </w:p>
    <w:p w14:paraId="29DCC2D5" w14:textId="7EE65988" w:rsidR="003B6D43" w:rsidRDefault="003B6D43" w:rsidP="00105654">
      <w:pPr>
        <w:pStyle w:val="ListParagraph"/>
        <w:numPr>
          <w:ilvl w:val="0"/>
          <w:numId w:val="56"/>
        </w:numPr>
      </w:pPr>
      <w:r>
        <w:t xml:space="preserve">Christopher R. Browning, </w:t>
      </w:r>
      <w:r w:rsidRPr="00105654">
        <w:rPr>
          <w:i/>
          <w:iCs/>
        </w:rPr>
        <w:t>The Path to Genocide: Essays on Launching the Final Solution</w:t>
      </w:r>
      <w:r>
        <w:t xml:space="preserve"> (Cambridge, 1992), Chapter 1.</w:t>
      </w:r>
    </w:p>
    <w:p w14:paraId="0E607571" w14:textId="518780B1" w:rsidR="00105654" w:rsidRDefault="00105654" w:rsidP="00105654">
      <w:pPr>
        <w:rPr>
          <w:b/>
          <w:bCs/>
        </w:rPr>
      </w:pPr>
      <w:r>
        <w:rPr>
          <w:b/>
          <w:bCs/>
        </w:rPr>
        <w:t>Further reading:</w:t>
      </w:r>
    </w:p>
    <w:p w14:paraId="68D621C4" w14:textId="77777777" w:rsidR="00105654" w:rsidRDefault="00105654" w:rsidP="00105654">
      <w:pPr>
        <w:pStyle w:val="ListParagraph"/>
        <w:numPr>
          <w:ilvl w:val="0"/>
          <w:numId w:val="56"/>
        </w:numPr>
      </w:pPr>
      <w:r>
        <w:t xml:space="preserve">Robert </w:t>
      </w:r>
      <w:proofErr w:type="spellStart"/>
      <w:r>
        <w:t>Gellately</w:t>
      </w:r>
      <w:proofErr w:type="spellEnd"/>
      <w:r>
        <w:t xml:space="preserve">, ‘The Third Reich, the Holocaust, and Visions of Serial Genocide’ in Robert </w:t>
      </w:r>
      <w:proofErr w:type="spellStart"/>
      <w:r>
        <w:t>Gellately</w:t>
      </w:r>
      <w:proofErr w:type="spellEnd"/>
      <w:r>
        <w:t xml:space="preserve"> and Ben Kiernan (eds.), </w:t>
      </w:r>
      <w:r w:rsidRPr="00105654">
        <w:rPr>
          <w:i/>
          <w:iCs/>
        </w:rPr>
        <w:t xml:space="preserve">The Specter of Genocide: Mass Murder in Historical Perspective </w:t>
      </w:r>
      <w:r>
        <w:t>(Cambridge, 2003), pp. 241-263.</w:t>
      </w:r>
    </w:p>
    <w:p w14:paraId="79DA5163" w14:textId="77777777" w:rsidR="00105654" w:rsidRPr="003B6D43" w:rsidRDefault="00105654" w:rsidP="00105654">
      <w:pPr>
        <w:pStyle w:val="ListParagraph"/>
        <w:numPr>
          <w:ilvl w:val="0"/>
          <w:numId w:val="56"/>
        </w:numPr>
      </w:pPr>
      <w:r>
        <w:t xml:space="preserve">John Connelly, ‘Nazis and Slavs: From Racial Theory to Racist Practice’, </w:t>
      </w:r>
      <w:r w:rsidRPr="00105654">
        <w:rPr>
          <w:i/>
          <w:iCs/>
        </w:rPr>
        <w:t xml:space="preserve">Central European History, </w:t>
      </w:r>
      <w:r>
        <w:t>32:1 (1999), 1-33.</w:t>
      </w:r>
    </w:p>
    <w:p w14:paraId="47714677" w14:textId="77777777" w:rsidR="00105654" w:rsidRDefault="00105654" w:rsidP="00105654">
      <w:pPr>
        <w:pStyle w:val="ListParagraph"/>
        <w:numPr>
          <w:ilvl w:val="0"/>
          <w:numId w:val="56"/>
        </w:numPr>
      </w:pPr>
      <w:r>
        <w:t xml:space="preserve">Christian Gerlach, ‘The Wannsee Conference, the Fate of German Jews, and Hitler’s Decision in Principle to Exterminate All European Jews’, </w:t>
      </w:r>
      <w:r w:rsidRPr="00105654">
        <w:rPr>
          <w:i/>
          <w:iCs/>
        </w:rPr>
        <w:t xml:space="preserve">Journal of Modern History </w:t>
      </w:r>
      <w:r>
        <w:t>7:4 (1998), 759-812.</w:t>
      </w:r>
    </w:p>
    <w:p w14:paraId="5FA914AD" w14:textId="77777777" w:rsidR="00105654" w:rsidRDefault="00105654" w:rsidP="00105654">
      <w:pPr>
        <w:pStyle w:val="ListParagraph"/>
        <w:numPr>
          <w:ilvl w:val="0"/>
          <w:numId w:val="56"/>
        </w:numPr>
      </w:pPr>
      <w:r>
        <w:t xml:space="preserve">Timothy Snyder, ‘The Causes of the Holocaust’, </w:t>
      </w:r>
      <w:r w:rsidRPr="00105654">
        <w:rPr>
          <w:i/>
          <w:iCs/>
        </w:rPr>
        <w:t xml:space="preserve">Contemporary European History, </w:t>
      </w:r>
      <w:r>
        <w:t xml:space="preserve">21:2 (2012), 149-168. </w:t>
      </w:r>
    </w:p>
    <w:p w14:paraId="748B1BB1" w14:textId="77777777" w:rsidR="00105654" w:rsidRDefault="00105654" w:rsidP="00105654">
      <w:pPr>
        <w:pStyle w:val="ListParagraph"/>
        <w:numPr>
          <w:ilvl w:val="0"/>
          <w:numId w:val="56"/>
        </w:numPr>
      </w:pPr>
      <w:r>
        <w:t xml:space="preserve">Tom Lawson, </w:t>
      </w:r>
      <w:r w:rsidRPr="00105654">
        <w:rPr>
          <w:i/>
          <w:iCs/>
        </w:rPr>
        <w:t xml:space="preserve">Debates on the Holocaust </w:t>
      </w:r>
      <w:r>
        <w:t>(Manchester, 2010), Chapter 4.</w:t>
      </w:r>
    </w:p>
    <w:p w14:paraId="39267F41" w14:textId="16522792" w:rsidR="003B6D43" w:rsidRDefault="00105654" w:rsidP="00105654">
      <w:pPr>
        <w:pStyle w:val="Heading3"/>
      </w:pPr>
      <w:r>
        <w:t>Session</w:t>
      </w:r>
      <w:r w:rsidR="003B6D43">
        <w:t xml:space="preserve"> 5: Ordinary Killers? Holocaust Perpetrators</w:t>
      </w:r>
    </w:p>
    <w:p w14:paraId="2D4D23D6" w14:textId="6A68E559" w:rsidR="003B6D43" w:rsidRDefault="003B6D43" w:rsidP="003B6D43">
      <w:r>
        <w:t>We will now turn from examining the mechanisms, ideologies, power structures and decision-making processes that underpin genocides, to the thorny issue of genocide perpetration. This class will examine the motivations of individual killers, exploring the question of what turns ordinary people into genocidal murderers?</w:t>
      </w:r>
    </w:p>
    <w:p w14:paraId="2435E279" w14:textId="319E38E3" w:rsidR="00105654" w:rsidRDefault="00105654" w:rsidP="003B6D43">
      <w:pPr>
        <w:rPr>
          <w:b/>
          <w:bCs/>
        </w:rPr>
      </w:pPr>
      <w:r>
        <w:rPr>
          <w:b/>
          <w:bCs/>
        </w:rPr>
        <w:t>Questions to consider:</w:t>
      </w:r>
    </w:p>
    <w:p w14:paraId="3122D3A5" w14:textId="77777777" w:rsidR="00105654" w:rsidRPr="00105654" w:rsidRDefault="00105654" w:rsidP="00105654">
      <w:pPr>
        <w:pStyle w:val="ListParagraph"/>
        <w:numPr>
          <w:ilvl w:val="0"/>
          <w:numId w:val="57"/>
        </w:numPr>
        <w:rPr>
          <w:b/>
          <w:bCs/>
        </w:rPr>
      </w:pPr>
      <w:r>
        <w:t>Why do we study perpetrators? Why is this potentially controversial?</w:t>
      </w:r>
    </w:p>
    <w:p w14:paraId="790789A6" w14:textId="22339D36" w:rsidR="00105654" w:rsidRPr="00105654" w:rsidRDefault="00105654" w:rsidP="00105654">
      <w:pPr>
        <w:pStyle w:val="ListParagraph"/>
        <w:numPr>
          <w:ilvl w:val="0"/>
          <w:numId w:val="57"/>
        </w:numPr>
        <w:rPr>
          <w:b/>
          <w:bCs/>
        </w:rPr>
      </w:pPr>
      <w:r>
        <w:t>What makes ordinary people commit genocide?</w:t>
      </w:r>
    </w:p>
    <w:p w14:paraId="41045060" w14:textId="3B58A2DD" w:rsidR="00105654" w:rsidRDefault="00105654" w:rsidP="00105654">
      <w:pPr>
        <w:rPr>
          <w:b/>
          <w:bCs/>
        </w:rPr>
      </w:pPr>
      <w:r>
        <w:rPr>
          <w:b/>
          <w:bCs/>
        </w:rPr>
        <w:t>To prepare for class:</w:t>
      </w:r>
    </w:p>
    <w:p w14:paraId="3159033C" w14:textId="671703DC" w:rsidR="00105654" w:rsidRDefault="00105654" w:rsidP="00105654">
      <w:pPr>
        <w:pStyle w:val="ListParagraph"/>
        <w:numPr>
          <w:ilvl w:val="0"/>
          <w:numId w:val="58"/>
        </w:numPr>
      </w:pPr>
      <w:r>
        <w:t>Read the key reading</w:t>
      </w:r>
    </w:p>
    <w:p w14:paraId="744434BF" w14:textId="77777777" w:rsidR="00105654" w:rsidRPr="00105654" w:rsidRDefault="00105654" w:rsidP="00105654">
      <w:pPr>
        <w:pStyle w:val="ListParagraph"/>
        <w:numPr>
          <w:ilvl w:val="0"/>
          <w:numId w:val="58"/>
        </w:numPr>
        <w:rPr>
          <w:rFonts w:cs="Segoe UI"/>
          <w:color w:val="1D2125"/>
          <w:shd w:val="clear" w:color="auto" w:fill="FFFFFF"/>
        </w:rPr>
      </w:pPr>
      <w:r w:rsidRPr="00105654">
        <w:t xml:space="preserve">Complete the asynchronous task for assignment preparation: </w:t>
      </w:r>
      <w:r w:rsidRPr="00105654">
        <w:rPr>
          <w:rFonts w:cs="Segoe UI"/>
          <w:color w:val="1D2125"/>
          <w:shd w:val="clear" w:color="auto" w:fill="FFFFFF"/>
        </w:rPr>
        <w:t xml:space="preserve">Pick a primary source. Share as much information about it as you can find. Who is the author? When was it created (during or after the event)? What is the format/material of </w:t>
      </w:r>
      <w:r w:rsidRPr="00105654">
        <w:rPr>
          <w:rFonts w:cs="Segoe UI"/>
          <w:color w:val="1D2125"/>
          <w:shd w:val="clear" w:color="auto" w:fill="FFFFFF"/>
        </w:rPr>
        <w:lastRenderedPageBreak/>
        <w:t>the primary sources? Where is it stored/how did you access it? Was it edited/altered? Was it translated?</w:t>
      </w:r>
    </w:p>
    <w:p w14:paraId="4968DB6C" w14:textId="1BF15C4F" w:rsidR="00105654" w:rsidRPr="00105654" w:rsidRDefault="00105654" w:rsidP="00105654">
      <w:pPr>
        <w:pStyle w:val="ListParagraph"/>
        <w:numPr>
          <w:ilvl w:val="0"/>
          <w:numId w:val="58"/>
        </w:numPr>
        <w:rPr>
          <w:rFonts w:cs="Segoe UI"/>
          <w:color w:val="1D2125"/>
          <w:shd w:val="clear" w:color="auto" w:fill="FFFFFF"/>
        </w:rPr>
      </w:pPr>
      <w:r w:rsidRPr="00105654">
        <w:rPr>
          <w:rFonts w:cs="Segoe UI"/>
          <w:color w:val="1D2125"/>
          <w:shd w:val="clear" w:color="auto" w:fill="FFFFFF"/>
        </w:rPr>
        <w:t>If you have time, you might want to explore some of the further reading, or the other resources on Moodle.</w:t>
      </w:r>
    </w:p>
    <w:p w14:paraId="6A452E24" w14:textId="56830E03" w:rsidR="00105654" w:rsidRPr="00105654" w:rsidRDefault="00105654" w:rsidP="003B6D43">
      <w:pPr>
        <w:rPr>
          <w:b/>
          <w:bCs/>
        </w:rPr>
      </w:pPr>
      <w:r>
        <w:rPr>
          <w:b/>
          <w:bCs/>
        </w:rPr>
        <w:t>Key reading:</w:t>
      </w:r>
    </w:p>
    <w:p w14:paraId="76133709" w14:textId="77777777" w:rsidR="00105654" w:rsidRDefault="00105654" w:rsidP="00105654">
      <w:r>
        <w:t xml:space="preserve">Christopher R. Browning, </w:t>
      </w:r>
      <w:r>
        <w:rPr>
          <w:i/>
          <w:iCs/>
        </w:rPr>
        <w:t xml:space="preserve">Ordinary Men: Reserve Police Battalion 101 and the Final Solution in Poland </w:t>
      </w:r>
      <w:r>
        <w:t>(New York, 1992).</w:t>
      </w:r>
    </w:p>
    <w:p w14:paraId="7C09110C" w14:textId="77777777" w:rsidR="00105654" w:rsidRPr="00D2275A" w:rsidRDefault="00105654" w:rsidP="00105654">
      <w:pPr>
        <w:rPr>
          <w:b/>
          <w:bCs/>
        </w:rPr>
      </w:pPr>
      <w:r>
        <w:rPr>
          <w:b/>
          <w:bCs/>
        </w:rPr>
        <w:t>Further reading:</w:t>
      </w:r>
    </w:p>
    <w:p w14:paraId="02E0022F" w14:textId="77777777" w:rsidR="00105654" w:rsidRDefault="00105654" w:rsidP="00105654">
      <w:r w:rsidRPr="003B6D43">
        <w:t xml:space="preserve">Natalia </w:t>
      </w:r>
      <w:proofErr w:type="spellStart"/>
      <w:r w:rsidRPr="003B6D43">
        <w:t>Aleksiun</w:t>
      </w:r>
      <w:proofErr w:type="spellEnd"/>
      <w:r w:rsidRPr="003B6D43">
        <w:t>, ‘On Humanizing Victims a</w:t>
      </w:r>
      <w:r>
        <w:t xml:space="preserve">nd Perpetrators of the Holocaust in Eastern Europe’, </w:t>
      </w:r>
      <w:r>
        <w:rPr>
          <w:i/>
          <w:iCs/>
        </w:rPr>
        <w:t xml:space="preserve">Journal of Genocide Research, </w:t>
      </w:r>
      <w:r>
        <w:t>20:4 (2018).</w:t>
      </w:r>
    </w:p>
    <w:p w14:paraId="3ABB3909" w14:textId="65200B87" w:rsidR="00105654" w:rsidRDefault="00105654" w:rsidP="00105654">
      <w:r>
        <w:t xml:space="preserve">Tom Lawson, </w:t>
      </w:r>
      <w:r>
        <w:rPr>
          <w:i/>
          <w:iCs/>
        </w:rPr>
        <w:t xml:space="preserve">Debates on the Holocaust </w:t>
      </w:r>
      <w:r>
        <w:t>(Manchester, 2010), Chapter 6.</w:t>
      </w:r>
    </w:p>
    <w:p w14:paraId="66C06C42" w14:textId="77777777" w:rsidR="00105654" w:rsidRPr="003E1128" w:rsidRDefault="00105654" w:rsidP="00105654">
      <w:r>
        <w:t xml:space="preserve">Michael Mann, ‘Were the Perpetrators of Genocide “Ordinary Men” or “Real Nazis”? Results from Fifteen Hundred Biographies’, </w:t>
      </w:r>
      <w:r>
        <w:rPr>
          <w:i/>
          <w:iCs/>
        </w:rPr>
        <w:t xml:space="preserve">Holocaust and Genocide Studies </w:t>
      </w:r>
      <w:r>
        <w:t>14:3 (2000), 331-366.</w:t>
      </w:r>
    </w:p>
    <w:p w14:paraId="7F06201A" w14:textId="77777777" w:rsidR="00105654" w:rsidRDefault="00105654" w:rsidP="00105654">
      <w:r>
        <w:t xml:space="preserve">Ervin Staub, ‘The Psychology of Bystanders, Perpetrators, and Heroic Helpers’ in Jennifer Heath and Ashraf Zahedi (eds.), </w:t>
      </w:r>
      <w:r>
        <w:rPr>
          <w:i/>
          <w:iCs/>
        </w:rPr>
        <w:t xml:space="preserve">Book of the Disappeared: The Quest for Transnational Justice </w:t>
      </w:r>
      <w:r>
        <w:t>(Ann Arbor, 2023), pp. 306-326.</w:t>
      </w:r>
    </w:p>
    <w:p w14:paraId="35AB7692" w14:textId="2040E586" w:rsidR="003B6D43" w:rsidRDefault="00105654" w:rsidP="00105654">
      <w:pPr>
        <w:pStyle w:val="Heading3"/>
      </w:pPr>
      <w:r>
        <w:t>Session</w:t>
      </w:r>
      <w:r w:rsidR="003B6D43">
        <w:t xml:space="preserve"> 6: Holocaust Remembrance and Denial</w:t>
      </w:r>
    </w:p>
    <w:p w14:paraId="232634FF" w14:textId="77777777" w:rsidR="003B6D43" w:rsidRDefault="003B6D43" w:rsidP="003B6D43">
      <w:r>
        <w:t>Dan Stone, one of the leading historians of the Holocaust, refers to it as an ‘unfinished history’. The legacies of the Holocaust have reverberated across Europe, and the world, since the end of the Second World War. This seminar will examine the uses of Holocaust memory and its political meanings. It will also examine the politics of genocide denial.</w:t>
      </w:r>
    </w:p>
    <w:p w14:paraId="77B4DF2C" w14:textId="0C5459DB" w:rsidR="003B6D43" w:rsidRPr="00105654" w:rsidRDefault="00105654" w:rsidP="003B6D43">
      <w:pPr>
        <w:rPr>
          <w:b/>
          <w:bCs/>
        </w:rPr>
      </w:pPr>
      <w:r>
        <w:rPr>
          <w:b/>
          <w:bCs/>
        </w:rPr>
        <w:t>Questions to consider:</w:t>
      </w:r>
    </w:p>
    <w:p w14:paraId="2AC63728" w14:textId="40FE0876" w:rsidR="003B6D43" w:rsidRDefault="003B6D43" w:rsidP="002D7BA2">
      <w:pPr>
        <w:pStyle w:val="ListParagraph"/>
        <w:numPr>
          <w:ilvl w:val="0"/>
          <w:numId w:val="4"/>
        </w:numPr>
      </w:pPr>
      <w:r>
        <w:t xml:space="preserve">Do we still (need to) remember the Holocaust today? </w:t>
      </w:r>
    </w:p>
    <w:p w14:paraId="61D17471" w14:textId="6C7DFFE2" w:rsidR="003B6D43" w:rsidRDefault="003B6D43" w:rsidP="002D7BA2">
      <w:pPr>
        <w:pStyle w:val="ListParagraph"/>
        <w:numPr>
          <w:ilvl w:val="0"/>
          <w:numId w:val="4"/>
        </w:numPr>
      </w:pPr>
      <w:r>
        <w:t>How has the memory of the Holocaust been maintained and used since the Second World War?</w:t>
      </w:r>
    </w:p>
    <w:p w14:paraId="65715D03" w14:textId="1C384380" w:rsidR="003B6D43" w:rsidRDefault="003B6D43" w:rsidP="002D7BA2">
      <w:pPr>
        <w:pStyle w:val="ListParagraph"/>
        <w:numPr>
          <w:ilvl w:val="0"/>
          <w:numId w:val="4"/>
        </w:numPr>
      </w:pPr>
      <w:r>
        <w:t xml:space="preserve">Why do some people deny that the Holocaust happened? </w:t>
      </w:r>
    </w:p>
    <w:p w14:paraId="5F692525" w14:textId="0522E754" w:rsidR="003B6D43" w:rsidRDefault="003B6D43" w:rsidP="002D7BA2">
      <w:pPr>
        <w:pStyle w:val="ListParagraph"/>
        <w:numPr>
          <w:ilvl w:val="0"/>
          <w:numId w:val="4"/>
        </w:numPr>
      </w:pPr>
      <w:r>
        <w:t>What are the dangers of the misuses of history?</w:t>
      </w:r>
    </w:p>
    <w:p w14:paraId="01FCD946" w14:textId="01AC4F7B" w:rsidR="00961A1E" w:rsidRPr="00961A1E" w:rsidRDefault="00961A1E" w:rsidP="00961A1E">
      <w:pPr>
        <w:rPr>
          <w:b/>
          <w:bCs/>
        </w:rPr>
      </w:pPr>
      <w:r w:rsidRPr="00961A1E">
        <w:rPr>
          <w:b/>
          <w:bCs/>
        </w:rPr>
        <w:t>To prepare for class:</w:t>
      </w:r>
    </w:p>
    <w:p w14:paraId="4A3C86EF" w14:textId="1CBA50EF" w:rsidR="003B6D43" w:rsidRDefault="00961A1E" w:rsidP="00961A1E">
      <w:pPr>
        <w:pStyle w:val="ListParagraph"/>
        <w:numPr>
          <w:ilvl w:val="0"/>
          <w:numId w:val="59"/>
        </w:numPr>
      </w:pPr>
      <w:r>
        <w:t>Read both key readings.</w:t>
      </w:r>
    </w:p>
    <w:p w14:paraId="5747CA18" w14:textId="02540FFD" w:rsidR="00BB6EBE" w:rsidRDefault="00BB6EBE" w:rsidP="00961A1E">
      <w:pPr>
        <w:pStyle w:val="ListParagraph"/>
        <w:numPr>
          <w:ilvl w:val="0"/>
          <w:numId w:val="59"/>
        </w:numPr>
      </w:pPr>
      <w:r>
        <w:t>Watch the first 9 minutes of the clip from the Adolf Eichmann trial (on Moodle) and analyse it.</w:t>
      </w:r>
    </w:p>
    <w:p w14:paraId="7B3E98EB" w14:textId="08E25FB2" w:rsidR="00961A1E" w:rsidRDefault="00961A1E" w:rsidP="00961A1E">
      <w:pPr>
        <w:pStyle w:val="ListParagraph"/>
        <w:numPr>
          <w:ilvl w:val="0"/>
          <w:numId w:val="59"/>
        </w:numPr>
      </w:pPr>
      <w:r>
        <w:lastRenderedPageBreak/>
        <w:t>If you have time, you might want to explore the further readings relating to your chosen case study</w:t>
      </w:r>
      <w:r w:rsidR="00BB6EBE">
        <w:t>, and/or the other resources on Moodle.</w:t>
      </w:r>
    </w:p>
    <w:p w14:paraId="1F4B7771" w14:textId="00936E07" w:rsidR="00961A1E" w:rsidRPr="00961A1E" w:rsidRDefault="00961A1E" w:rsidP="00961A1E">
      <w:pPr>
        <w:rPr>
          <w:b/>
          <w:bCs/>
        </w:rPr>
      </w:pPr>
      <w:r>
        <w:rPr>
          <w:b/>
          <w:bCs/>
        </w:rPr>
        <w:t>Key reading:</w:t>
      </w:r>
    </w:p>
    <w:p w14:paraId="5B2CE8F2" w14:textId="77777777" w:rsidR="00961A1E" w:rsidRDefault="00961A1E" w:rsidP="00961A1E">
      <w:r>
        <w:t xml:space="preserve">Rebecca Jinks, ‘Thinking comparatively about genocide memorialisation’, </w:t>
      </w:r>
      <w:r>
        <w:rPr>
          <w:i/>
          <w:iCs/>
        </w:rPr>
        <w:t xml:space="preserve">Journal of Genocide Research </w:t>
      </w:r>
      <w:r>
        <w:t>16:4 (2014), 423-40.</w:t>
      </w:r>
    </w:p>
    <w:p w14:paraId="64F17E07" w14:textId="53448CCD" w:rsidR="00961A1E" w:rsidRDefault="00961A1E" w:rsidP="00961A1E">
      <w:r w:rsidRPr="00961A1E">
        <w:t xml:space="preserve">I.W. </w:t>
      </w:r>
      <w:r w:rsidRPr="00961A1E">
        <w:t xml:space="preserve">Charny, </w:t>
      </w:r>
      <w:r w:rsidRPr="00961A1E">
        <w:t>‘</w:t>
      </w:r>
      <w:r w:rsidRPr="003E610F">
        <w:t xml:space="preserve">A classification of denials of the Holocaust and other </w:t>
      </w:r>
      <w:proofErr w:type="gramStart"/>
      <w:r w:rsidRPr="003E610F">
        <w:t>genocides</w:t>
      </w:r>
      <w:r>
        <w:t>’</w:t>
      </w:r>
      <w:proofErr w:type="gramEnd"/>
      <w:r w:rsidRPr="003E610F">
        <w:t>. </w:t>
      </w:r>
      <w:r w:rsidRPr="003E610F">
        <w:rPr>
          <w:i/>
          <w:iCs/>
        </w:rPr>
        <w:t>Journal of Genocide Research</w:t>
      </w:r>
      <w:r w:rsidRPr="003E610F">
        <w:t>, </w:t>
      </w:r>
      <w:r>
        <w:t xml:space="preserve">5:1 (2003), </w:t>
      </w:r>
      <w:r w:rsidRPr="003E610F">
        <w:t xml:space="preserve">11–34. </w:t>
      </w:r>
    </w:p>
    <w:p w14:paraId="629D9CC0" w14:textId="6D327DB3" w:rsidR="00961A1E" w:rsidRDefault="00961A1E" w:rsidP="00961A1E">
      <w:pPr>
        <w:rPr>
          <w:b/>
          <w:bCs/>
        </w:rPr>
      </w:pPr>
      <w:r>
        <w:rPr>
          <w:b/>
          <w:bCs/>
        </w:rPr>
        <w:t>Further reading:</w:t>
      </w:r>
    </w:p>
    <w:p w14:paraId="2414FFEA" w14:textId="4BF8D0A3" w:rsidR="00961A1E" w:rsidRDefault="00961A1E" w:rsidP="00961A1E">
      <w:pPr>
        <w:rPr>
          <w:u w:val="single"/>
        </w:rPr>
      </w:pPr>
      <w:r>
        <w:rPr>
          <w:u w:val="single"/>
        </w:rPr>
        <w:t>General</w:t>
      </w:r>
    </w:p>
    <w:p w14:paraId="33B21200" w14:textId="77777777" w:rsidR="00961A1E" w:rsidRDefault="00961A1E" w:rsidP="00961A1E">
      <w:r w:rsidRPr="00FA7068">
        <w:t>Sarah Kenyon Lischer, ‘Narrating atroc</w:t>
      </w:r>
      <w:r>
        <w:t xml:space="preserve">ity: Genocide memorials, dark tourism and the politics of memory’, </w:t>
      </w:r>
      <w:r>
        <w:rPr>
          <w:i/>
          <w:iCs/>
        </w:rPr>
        <w:t xml:space="preserve">Review of International Studies </w:t>
      </w:r>
      <w:r>
        <w:t>45:5 (2019), 805-827.</w:t>
      </w:r>
    </w:p>
    <w:p w14:paraId="51694B7D" w14:textId="7BF9EFFF" w:rsidR="00961A1E" w:rsidRDefault="00961A1E" w:rsidP="00961A1E">
      <w:r w:rsidRPr="007D4738">
        <w:t xml:space="preserve">Johanna Mannergren, Annika </w:t>
      </w:r>
      <w:proofErr w:type="spellStart"/>
      <w:r w:rsidRPr="007D4738">
        <w:t>Bjorkdahl</w:t>
      </w:r>
      <w:proofErr w:type="spellEnd"/>
      <w:r w:rsidRPr="007D4738">
        <w:t>, Susanne Bu</w:t>
      </w:r>
      <w:r>
        <w:t>ckley-</w:t>
      </w:r>
      <w:proofErr w:type="spellStart"/>
      <w:r>
        <w:t>Zistel</w:t>
      </w:r>
      <w:proofErr w:type="spellEnd"/>
      <w:r>
        <w:t>, Stefanie Kappler and Timothy Williams,</w:t>
      </w:r>
      <w:r>
        <w:t xml:space="preserve"> </w:t>
      </w:r>
      <w:r>
        <w:rPr>
          <w:i/>
          <w:iCs/>
        </w:rPr>
        <w:t xml:space="preserve">Peace and the politics of memory </w:t>
      </w:r>
      <w:r>
        <w:t>(Manchester, 2024).</w:t>
      </w:r>
    </w:p>
    <w:p w14:paraId="4F81CACF" w14:textId="7B7B71A2" w:rsidR="00961A1E" w:rsidRPr="00961A1E" w:rsidRDefault="00961A1E" w:rsidP="00961A1E">
      <w:pPr>
        <w:rPr>
          <w:u w:val="single"/>
        </w:rPr>
      </w:pPr>
      <w:r>
        <w:rPr>
          <w:u w:val="single"/>
        </w:rPr>
        <w:t>Namibia</w:t>
      </w:r>
    </w:p>
    <w:p w14:paraId="414E3D38" w14:textId="77777777" w:rsidR="00961A1E" w:rsidRDefault="00961A1E" w:rsidP="00961A1E">
      <w:r>
        <w:t xml:space="preserve">David </w:t>
      </w:r>
      <w:proofErr w:type="spellStart"/>
      <w:r>
        <w:t>Bargueno</w:t>
      </w:r>
      <w:proofErr w:type="spellEnd"/>
      <w:r>
        <w:t xml:space="preserve">, ‘Cash for Genocide? The Politics of Memory in the Herero Case for Reparations’, </w:t>
      </w:r>
      <w:r>
        <w:rPr>
          <w:i/>
          <w:iCs/>
        </w:rPr>
        <w:t xml:space="preserve">Holocaust and Genocide Studies, </w:t>
      </w:r>
      <w:r>
        <w:t>26:3 (2012), 394-424.</w:t>
      </w:r>
    </w:p>
    <w:p w14:paraId="798B02D0" w14:textId="77777777" w:rsidR="00961A1E" w:rsidRDefault="00961A1E" w:rsidP="00961A1E">
      <w:r w:rsidRPr="0023168A">
        <w:t xml:space="preserve">Fabian Krautwald, ‘Genocide and the </w:t>
      </w:r>
      <w:r>
        <w:t xml:space="preserve">politics of memory in the decolonisation of Namibia’, </w:t>
      </w:r>
      <w:r>
        <w:rPr>
          <w:i/>
          <w:iCs/>
        </w:rPr>
        <w:t xml:space="preserve">Journal of Southern African Studies </w:t>
      </w:r>
      <w:r>
        <w:t>48:5 (2022), 805-823.</w:t>
      </w:r>
    </w:p>
    <w:p w14:paraId="63FE201B" w14:textId="29DB2BAA" w:rsidR="00961A1E" w:rsidRPr="00961A1E" w:rsidRDefault="00961A1E" w:rsidP="00961A1E">
      <w:pPr>
        <w:rPr>
          <w:u w:val="single"/>
        </w:rPr>
      </w:pPr>
      <w:r>
        <w:rPr>
          <w:u w:val="single"/>
        </w:rPr>
        <w:t>The Holocaust</w:t>
      </w:r>
    </w:p>
    <w:p w14:paraId="6855EE26" w14:textId="77777777" w:rsidR="00961A1E" w:rsidRDefault="00961A1E" w:rsidP="00961A1E">
      <w:r w:rsidRPr="003B6D43">
        <w:t xml:space="preserve">Janek </w:t>
      </w:r>
      <w:proofErr w:type="spellStart"/>
      <w:r w:rsidRPr="003B6D43">
        <w:t>Gryta</w:t>
      </w:r>
      <w:proofErr w:type="spellEnd"/>
      <w:r w:rsidRPr="003B6D43">
        <w:t>, ‘Generational Succession, Culture, and Pol</w:t>
      </w:r>
      <w:r>
        <w:t xml:space="preserve">itics: The Shaping of Euro-Atlantic Sites of Memory’, </w:t>
      </w:r>
      <w:r>
        <w:rPr>
          <w:i/>
          <w:iCs/>
        </w:rPr>
        <w:t xml:space="preserve">Memory Studies </w:t>
      </w:r>
      <w:r>
        <w:t>13:6 (2019), 988-1003.</w:t>
      </w:r>
    </w:p>
    <w:p w14:paraId="704F1DEE" w14:textId="77777777" w:rsidR="00961A1E" w:rsidRDefault="00961A1E" w:rsidP="00961A1E">
      <w:r>
        <w:t xml:space="preserve">Michael Shermer and Alex Grobman (eds.), </w:t>
      </w:r>
      <w:r>
        <w:rPr>
          <w:i/>
          <w:iCs/>
        </w:rPr>
        <w:t xml:space="preserve">Denying History: Who Says the Holocaust Never Happened and Why Do They Say </w:t>
      </w:r>
      <w:proofErr w:type="gramStart"/>
      <w:r>
        <w:rPr>
          <w:i/>
          <w:iCs/>
        </w:rPr>
        <w:t>It</w:t>
      </w:r>
      <w:proofErr w:type="gramEnd"/>
      <w:r>
        <w:rPr>
          <w:i/>
          <w:iCs/>
        </w:rPr>
        <w:t xml:space="preserve">? </w:t>
      </w:r>
      <w:r>
        <w:t>(University of California Press, 2009).</w:t>
      </w:r>
    </w:p>
    <w:p w14:paraId="66334BE9" w14:textId="3F6691F9" w:rsidR="00961A1E" w:rsidRPr="00961A1E" w:rsidRDefault="00961A1E" w:rsidP="00961A1E">
      <w:pPr>
        <w:rPr>
          <w:u w:val="single"/>
        </w:rPr>
      </w:pPr>
      <w:r>
        <w:rPr>
          <w:u w:val="single"/>
        </w:rPr>
        <w:t>Cambodia</w:t>
      </w:r>
    </w:p>
    <w:p w14:paraId="57915CA1" w14:textId="77777777" w:rsidR="00961A1E" w:rsidRPr="006E656C" w:rsidRDefault="00961A1E" w:rsidP="00961A1E">
      <w:r>
        <w:t xml:space="preserve">David Chandler, ‘Cambodia deals with its past: Collective memory, demonisation and induced amnesia’, </w:t>
      </w:r>
      <w:r>
        <w:rPr>
          <w:i/>
          <w:iCs/>
        </w:rPr>
        <w:t xml:space="preserve">Politics, religion and ideology </w:t>
      </w:r>
      <w:r>
        <w:t>9:2 (2008), 355-369.</w:t>
      </w:r>
    </w:p>
    <w:p w14:paraId="0DF795DE" w14:textId="77777777" w:rsidR="00961A1E" w:rsidRDefault="00961A1E" w:rsidP="00961A1E">
      <w:r>
        <w:t xml:space="preserve">Timothy Williams, ‘Remembering and silencing complexity in post-genocide memorialisation: Cambodia’s Tuol Sleng Genocide Museum’, </w:t>
      </w:r>
      <w:r>
        <w:rPr>
          <w:i/>
          <w:iCs/>
        </w:rPr>
        <w:t xml:space="preserve">Memory Studies </w:t>
      </w:r>
      <w:r>
        <w:t>15:1 (2022), 3-19.</w:t>
      </w:r>
    </w:p>
    <w:p w14:paraId="1E618D70" w14:textId="45BD40B8" w:rsidR="00961A1E" w:rsidRPr="00961A1E" w:rsidRDefault="00961A1E" w:rsidP="00961A1E">
      <w:pPr>
        <w:rPr>
          <w:u w:val="single"/>
        </w:rPr>
      </w:pPr>
      <w:r>
        <w:rPr>
          <w:u w:val="single"/>
        </w:rPr>
        <w:t>Bosnia</w:t>
      </w:r>
    </w:p>
    <w:p w14:paraId="1D659227" w14:textId="77777777" w:rsidR="00961A1E" w:rsidRDefault="00961A1E" w:rsidP="00961A1E">
      <w:r>
        <w:t xml:space="preserve">Edina Becirevic, ‘The issue of genocidal intent and denial of genocide: A case study of Bosnia and Herzegovina’, </w:t>
      </w:r>
      <w:r>
        <w:rPr>
          <w:i/>
          <w:iCs/>
        </w:rPr>
        <w:t xml:space="preserve">East European Politics and Societies </w:t>
      </w:r>
      <w:r>
        <w:t>24:4 (2010), 480-502.</w:t>
      </w:r>
    </w:p>
    <w:p w14:paraId="000AFAC5" w14:textId="77777777" w:rsidR="00961A1E" w:rsidRDefault="00961A1E" w:rsidP="00961A1E">
      <w:r w:rsidRPr="00EB24E1">
        <w:lastRenderedPageBreak/>
        <w:t xml:space="preserve">Paul B. Miller, ‘Contested Memories: </w:t>
      </w:r>
      <w:r>
        <w:t xml:space="preserve">The Bosnian Genocide in Serb and Muslim Minds’, </w:t>
      </w:r>
      <w:r>
        <w:rPr>
          <w:i/>
          <w:iCs/>
        </w:rPr>
        <w:t xml:space="preserve">Journal of Genocide Research </w:t>
      </w:r>
      <w:r>
        <w:t>(2006), 8:3, 311-324.</w:t>
      </w:r>
    </w:p>
    <w:p w14:paraId="32A44806" w14:textId="1421CC90" w:rsidR="00961A1E" w:rsidRPr="00961A1E" w:rsidRDefault="00961A1E" w:rsidP="00961A1E">
      <w:pPr>
        <w:rPr>
          <w:u w:val="single"/>
        </w:rPr>
      </w:pPr>
      <w:r>
        <w:rPr>
          <w:u w:val="single"/>
        </w:rPr>
        <w:t>Rwanda</w:t>
      </w:r>
    </w:p>
    <w:p w14:paraId="7C639D64" w14:textId="77777777" w:rsidR="00961A1E" w:rsidRPr="005C5895" w:rsidRDefault="00961A1E" w:rsidP="00961A1E">
      <w:r w:rsidRPr="008F5C74">
        <w:t xml:space="preserve">Erin Jessee, ‘Commemorating Genocide in Rwanda’ in Guy </w:t>
      </w:r>
      <w:proofErr w:type="spellStart"/>
      <w:r w:rsidRPr="008F5C74">
        <w:t>Elcheroth</w:t>
      </w:r>
      <w:proofErr w:type="spellEnd"/>
      <w:r w:rsidRPr="008F5C74">
        <w:t xml:space="preserve"> and</w:t>
      </w:r>
      <w:r>
        <w:t xml:space="preserve"> </w:t>
      </w:r>
      <w:proofErr w:type="spellStart"/>
      <w:r>
        <w:t>Neloufer</w:t>
      </w:r>
      <w:proofErr w:type="spellEnd"/>
      <w:r>
        <w:t xml:space="preserve"> de Mel (eds.), </w:t>
      </w:r>
      <w:r>
        <w:rPr>
          <w:i/>
          <w:iCs/>
        </w:rPr>
        <w:t xml:space="preserve">In the Shadow of Transitional Justice: Cross-national Perspectives on the Transformative Potential of Remembrance </w:t>
      </w:r>
      <w:r>
        <w:t>(Routledge, 2022), pp. 35-50.</w:t>
      </w:r>
    </w:p>
    <w:p w14:paraId="71AB1CFB" w14:textId="7D64D7A1" w:rsidR="00961A1E" w:rsidRDefault="00961A1E" w:rsidP="00961A1E">
      <w:r>
        <w:t xml:space="preserve">Linda Melvern, ‘Moral equivalence: The story of genocide denial in Rwanda’, </w:t>
      </w:r>
      <w:r>
        <w:rPr>
          <w:i/>
          <w:iCs/>
        </w:rPr>
        <w:t>Jou</w:t>
      </w:r>
      <w:r>
        <w:rPr>
          <w:i/>
          <w:iCs/>
        </w:rPr>
        <w:t>r</w:t>
      </w:r>
      <w:r>
        <w:rPr>
          <w:i/>
          <w:iCs/>
        </w:rPr>
        <w:t xml:space="preserve">nal of International Peacekeeping </w:t>
      </w:r>
      <w:r>
        <w:t>(2020).</w:t>
      </w:r>
    </w:p>
    <w:p w14:paraId="71027197" w14:textId="0F7EF24A" w:rsidR="002F4FEE" w:rsidRPr="002F4FEE" w:rsidRDefault="002F4FEE" w:rsidP="00961A1E">
      <w:pPr>
        <w:rPr>
          <w:u w:val="single"/>
        </w:rPr>
      </w:pPr>
      <w:r>
        <w:rPr>
          <w:u w:val="single"/>
        </w:rPr>
        <w:t>Darfur</w:t>
      </w:r>
    </w:p>
    <w:p w14:paraId="05898EBE" w14:textId="77777777" w:rsidR="00961A1E" w:rsidRDefault="00961A1E" w:rsidP="00961A1E">
      <w:r>
        <w:t xml:space="preserve">Jessica Auchter, ‘Theorising haunting and the international after genocide: The cases of Rwanda and Darfur’, </w:t>
      </w:r>
      <w:r>
        <w:rPr>
          <w:i/>
          <w:iCs/>
        </w:rPr>
        <w:t xml:space="preserve">Ethnicity Studies </w:t>
      </w:r>
      <w:r>
        <w:t>(2015), 36-56.</w:t>
      </w:r>
    </w:p>
    <w:p w14:paraId="0935D47C" w14:textId="77777777" w:rsidR="00961A1E" w:rsidRDefault="00961A1E" w:rsidP="00961A1E">
      <w:r w:rsidRPr="00035A38">
        <w:t>Lippman, Matthew. 2007. “Darfur: The Politics of Genocide Denial Syndrome.” Journal of Genocide Research 9 (2): 193–213. doi:10.1080/14623520701368594.</w:t>
      </w:r>
    </w:p>
    <w:p w14:paraId="32317DAC" w14:textId="481C8530" w:rsidR="003B6D43" w:rsidRDefault="002F4FEE" w:rsidP="002F4FEE">
      <w:pPr>
        <w:pStyle w:val="Heading3"/>
        <w:rPr>
          <w:lang w:val="it-IT"/>
        </w:rPr>
      </w:pPr>
      <w:r w:rsidRPr="002F4FEE">
        <w:rPr>
          <w:lang w:val="it-IT"/>
        </w:rPr>
        <w:t>Session</w:t>
      </w:r>
      <w:r w:rsidR="003B6D43" w:rsidRPr="002F4FEE">
        <w:rPr>
          <w:lang w:val="it-IT"/>
        </w:rPr>
        <w:t xml:space="preserve"> 7: </w:t>
      </w:r>
      <w:r w:rsidRPr="002F4FEE">
        <w:rPr>
          <w:lang w:val="it-IT"/>
        </w:rPr>
        <w:t>‘Auto-genocide’ in C</w:t>
      </w:r>
      <w:r>
        <w:rPr>
          <w:lang w:val="it-IT"/>
        </w:rPr>
        <w:t>ambodia</w:t>
      </w:r>
    </w:p>
    <w:p w14:paraId="66ADDCA0" w14:textId="77777777" w:rsidR="002F4FEE" w:rsidRPr="00D42D89" w:rsidRDefault="002F4FEE" w:rsidP="002F4FEE">
      <w:pPr>
        <w:shd w:val="clear" w:color="auto" w:fill="FFFFFF"/>
        <w:spacing w:after="100" w:afterAutospacing="1" w:line="240" w:lineRule="auto"/>
        <w:rPr>
          <w:rFonts w:eastAsia="Times New Roman" w:cs="Segoe UI"/>
          <w:color w:val="1D2125"/>
          <w:kern w:val="0"/>
          <w14:ligatures w14:val="none"/>
        </w:rPr>
      </w:pPr>
      <w:r w:rsidRPr="00D42D89">
        <w:rPr>
          <w:rFonts w:eastAsia="Times New Roman" w:cs="Segoe UI"/>
          <w:color w:val="1D2125"/>
          <w:kern w:val="0"/>
          <w14:ligatures w14:val="none"/>
        </w:rPr>
        <w:t>Violence in Cambodia, perpetrated by the Khmer Rouge regime under Pol Pot from 1975 to 1979, resulted in the deaths of 1.5 to 2 million people through forced labour, starvation, and torture.  Despite the large-scale killing, many genocide scholars believe that this period of Cambodian history do not qualify as a genocide under the UN Convention, given that most of the victims were members of the Khmer ethnic group. Some scholars have instead suggested the term 'auto-genocide'. We'll be re-examining definitions of genocide in the light of the Cambodian case and considering the issues it raises for international law. We'll also be thinking about issues of memory and justice after mass killing. </w:t>
      </w:r>
    </w:p>
    <w:p w14:paraId="36F5D266" w14:textId="39D83309" w:rsidR="002F4FEE" w:rsidRPr="002F4FEE" w:rsidRDefault="002F4FEE" w:rsidP="002F4FEE">
      <w:pPr>
        <w:shd w:val="clear" w:color="auto" w:fill="FFFFFF"/>
        <w:spacing w:after="100" w:afterAutospacing="1" w:line="240" w:lineRule="auto"/>
        <w:rPr>
          <w:rFonts w:eastAsia="Times New Roman" w:cs="Segoe UI"/>
          <w:b/>
          <w:bCs/>
          <w:color w:val="1D2125"/>
          <w:kern w:val="0"/>
          <w14:ligatures w14:val="none"/>
        </w:rPr>
      </w:pPr>
      <w:r>
        <w:rPr>
          <w:rFonts w:eastAsia="Times New Roman" w:cs="Segoe UI"/>
          <w:b/>
          <w:bCs/>
          <w:color w:val="1D2125"/>
          <w:kern w:val="0"/>
          <w14:ligatures w14:val="none"/>
        </w:rPr>
        <w:t>Questions to consider</w:t>
      </w:r>
    </w:p>
    <w:p w14:paraId="0F955897" w14:textId="77777777" w:rsidR="002F4FEE" w:rsidRPr="00A21BB8" w:rsidRDefault="002F4FEE" w:rsidP="002F4FEE">
      <w:pPr>
        <w:numPr>
          <w:ilvl w:val="0"/>
          <w:numId w:val="10"/>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Was the Cambodian violence a 'genocide'?</w:t>
      </w:r>
    </w:p>
    <w:p w14:paraId="6F7461E8" w14:textId="77777777" w:rsidR="002F4FEE" w:rsidRPr="00A21BB8" w:rsidRDefault="002F4FEE" w:rsidP="002F4FEE">
      <w:pPr>
        <w:numPr>
          <w:ilvl w:val="0"/>
          <w:numId w:val="10"/>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Is 'auto-genocide' a useful concept? </w:t>
      </w:r>
    </w:p>
    <w:p w14:paraId="5EDD054E" w14:textId="77777777" w:rsidR="002F4FEE" w:rsidRDefault="002F4FEE" w:rsidP="002F4FEE">
      <w:pPr>
        <w:numPr>
          <w:ilvl w:val="0"/>
          <w:numId w:val="10"/>
        </w:numPr>
        <w:shd w:val="clear" w:color="auto" w:fill="FFFFFF"/>
        <w:spacing w:before="100" w:beforeAutospacing="1" w:after="100" w:afterAutospacing="1" w:line="240" w:lineRule="auto"/>
        <w:rPr>
          <w:rFonts w:eastAsia="Times New Roman" w:cs="Segoe UI"/>
          <w:color w:val="1D2125"/>
          <w:kern w:val="0"/>
          <w14:ligatures w14:val="none"/>
        </w:rPr>
      </w:pPr>
      <w:r w:rsidRPr="00A21BB8">
        <w:rPr>
          <w:rFonts w:eastAsia="Times New Roman" w:cs="Segoe UI"/>
          <w:color w:val="1D2125"/>
          <w:kern w:val="0"/>
          <w14:ligatures w14:val="none"/>
        </w:rPr>
        <w:t>What legal issues were raised by the Cambodian case?</w:t>
      </w:r>
    </w:p>
    <w:p w14:paraId="2055144B" w14:textId="1429352C" w:rsidR="002F4FEE" w:rsidRDefault="002F4FEE" w:rsidP="002F4FEE">
      <w:pPr>
        <w:shd w:val="clear" w:color="auto" w:fill="FFFFFF"/>
        <w:spacing w:before="100" w:beforeAutospacing="1" w:after="100" w:afterAutospacing="1" w:line="240" w:lineRule="auto"/>
        <w:rPr>
          <w:rFonts w:eastAsia="Times New Roman" w:cs="Segoe UI"/>
          <w:b/>
          <w:bCs/>
          <w:color w:val="1D2125"/>
          <w:kern w:val="0"/>
          <w14:ligatures w14:val="none"/>
        </w:rPr>
      </w:pPr>
      <w:r>
        <w:rPr>
          <w:rFonts w:eastAsia="Times New Roman" w:cs="Segoe UI"/>
          <w:b/>
          <w:bCs/>
          <w:color w:val="1D2125"/>
          <w:kern w:val="0"/>
          <w14:ligatures w14:val="none"/>
        </w:rPr>
        <w:t>To prepare for class:</w:t>
      </w:r>
    </w:p>
    <w:p w14:paraId="1C1CE141" w14:textId="455E8DAA" w:rsidR="002F4FEE" w:rsidRPr="004F0705" w:rsidRDefault="002F4FEE" w:rsidP="002F4FEE">
      <w:pPr>
        <w:pStyle w:val="ListParagraph"/>
        <w:numPr>
          <w:ilvl w:val="0"/>
          <w:numId w:val="61"/>
        </w:numPr>
        <w:shd w:val="clear" w:color="auto" w:fill="FFFFFF"/>
        <w:spacing w:before="100" w:beforeAutospacing="1" w:after="100" w:afterAutospacing="1" w:line="240" w:lineRule="auto"/>
        <w:rPr>
          <w:rFonts w:eastAsia="Times New Roman" w:cs="Segoe UI"/>
          <w:b/>
          <w:bCs/>
          <w:color w:val="1D2125"/>
          <w:kern w:val="0"/>
          <w14:ligatures w14:val="none"/>
        </w:rPr>
      </w:pPr>
      <w:r>
        <w:rPr>
          <w:rFonts w:eastAsia="Times New Roman" w:cs="Segoe UI"/>
          <w:color w:val="1D2125"/>
          <w:kern w:val="0"/>
          <w14:ligatures w14:val="none"/>
        </w:rPr>
        <w:t>Please read the key reading</w:t>
      </w:r>
      <w:r w:rsidR="004F0705">
        <w:rPr>
          <w:rFonts w:eastAsia="Times New Roman" w:cs="Segoe UI"/>
          <w:color w:val="1D2125"/>
          <w:kern w:val="0"/>
          <w14:ligatures w14:val="none"/>
        </w:rPr>
        <w:t>.</w:t>
      </w:r>
    </w:p>
    <w:p w14:paraId="230D805B" w14:textId="2394C14E" w:rsidR="004F0705" w:rsidRPr="002F4FEE" w:rsidRDefault="004F0705" w:rsidP="002F4FEE">
      <w:pPr>
        <w:pStyle w:val="ListParagraph"/>
        <w:numPr>
          <w:ilvl w:val="0"/>
          <w:numId w:val="61"/>
        </w:numPr>
        <w:shd w:val="clear" w:color="auto" w:fill="FFFFFF"/>
        <w:spacing w:before="100" w:beforeAutospacing="1" w:after="100" w:afterAutospacing="1" w:line="240" w:lineRule="auto"/>
        <w:rPr>
          <w:rFonts w:eastAsia="Times New Roman" w:cs="Segoe UI"/>
          <w:b/>
          <w:bCs/>
          <w:color w:val="1D2125"/>
          <w:kern w:val="0"/>
          <w14:ligatures w14:val="none"/>
        </w:rPr>
      </w:pPr>
      <w:r>
        <w:rPr>
          <w:rFonts w:eastAsia="Times New Roman" w:cs="Segoe UI"/>
          <w:color w:val="1D2125"/>
          <w:kern w:val="0"/>
          <w14:ligatures w14:val="none"/>
        </w:rPr>
        <w:t xml:space="preserve">If you have time, you might want to watch the documentary </w:t>
      </w:r>
      <w:r>
        <w:rPr>
          <w:rFonts w:eastAsia="Times New Roman" w:cs="Segoe UI"/>
          <w:i/>
          <w:iCs/>
          <w:color w:val="1D2125"/>
          <w:kern w:val="0"/>
          <w14:ligatures w14:val="none"/>
        </w:rPr>
        <w:t xml:space="preserve">Survive </w:t>
      </w:r>
      <w:r>
        <w:rPr>
          <w:rFonts w:eastAsia="Times New Roman" w:cs="Segoe UI"/>
          <w:color w:val="1D2125"/>
          <w:kern w:val="0"/>
          <w14:ligatures w14:val="none"/>
        </w:rPr>
        <w:t>(2019), linked on Moodle, and/or explore the further reading list.</w:t>
      </w:r>
    </w:p>
    <w:p w14:paraId="60215D45" w14:textId="77777777" w:rsidR="002F4FEE" w:rsidRPr="005D55D1" w:rsidRDefault="002F4FEE" w:rsidP="002F4FEE">
      <w:pPr>
        <w:rPr>
          <w:b/>
          <w:bCs/>
        </w:rPr>
      </w:pPr>
      <w:r>
        <w:rPr>
          <w:b/>
          <w:bCs/>
        </w:rPr>
        <w:t>Key reading:</w:t>
      </w:r>
    </w:p>
    <w:p w14:paraId="7B041B65" w14:textId="3233206E" w:rsidR="002F4FEE" w:rsidRDefault="002F4FEE" w:rsidP="002F4FEE">
      <w:r w:rsidRPr="006F3802">
        <w:t xml:space="preserve">Ben </w:t>
      </w:r>
      <w:proofErr w:type="gramStart"/>
      <w:r w:rsidRPr="006F3802">
        <w:t>Kiernan,  ‘</w:t>
      </w:r>
      <w:proofErr w:type="gramEnd"/>
      <w:r w:rsidRPr="006F3802">
        <w:t>The Cambodian Genocide 1975</w:t>
      </w:r>
      <w:r>
        <w:t xml:space="preserve">-1979’ in Samuel Totten and William S. Parsons (eds.), </w:t>
      </w:r>
      <w:r>
        <w:rPr>
          <w:i/>
          <w:iCs/>
        </w:rPr>
        <w:t xml:space="preserve">Century of Genocide: Critical Essays and Eyewitness Accounts, </w:t>
      </w:r>
      <w:r>
        <w:t>(New York, 2009</w:t>
      </w:r>
      <w:r>
        <w:t>).</w:t>
      </w:r>
    </w:p>
    <w:p w14:paraId="679BF124" w14:textId="77777777" w:rsidR="002F4FEE" w:rsidRPr="005D55D1" w:rsidRDefault="002F4FEE" w:rsidP="002F4FEE">
      <w:pPr>
        <w:rPr>
          <w:b/>
          <w:bCs/>
        </w:rPr>
      </w:pPr>
      <w:r>
        <w:rPr>
          <w:b/>
          <w:bCs/>
        </w:rPr>
        <w:lastRenderedPageBreak/>
        <w:t>Further reading:</w:t>
      </w:r>
    </w:p>
    <w:p w14:paraId="647EF13B" w14:textId="77777777" w:rsidR="002F4FEE" w:rsidRDefault="002F4FEE" w:rsidP="002F4FEE">
      <w:r>
        <w:t xml:space="preserve">Emilie A. Caspar, ‘Understanding individual motivations and desistance: Interviews with genocide perpetrators from Rwanda and Cambodia’, </w:t>
      </w:r>
      <w:r>
        <w:rPr>
          <w:i/>
          <w:iCs/>
        </w:rPr>
        <w:t xml:space="preserve">Journal of Perpetrator Research </w:t>
      </w:r>
      <w:r>
        <w:t>6:2 (2024), 105-144.</w:t>
      </w:r>
    </w:p>
    <w:p w14:paraId="5D1BD43E" w14:textId="77777777" w:rsidR="002F4FEE" w:rsidRDefault="002F4FEE" w:rsidP="002F4FEE">
      <w:r>
        <w:t xml:space="preserve">Alexander Laban Hinton, ‘Why Did You Kill? The Cambodian Genocide and the Dark Side of Face and Honour’, </w:t>
      </w:r>
      <w:r>
        <w:rPr>
          <w:i/>
          <w:iCs/>
        </w:rPr>
        <w:t xml:space="preserve">Journal of Asian Studies </w:t>
      </w:r>
      <w:r>
        <w:t>2:57 (1998), 93-122.</w:t>
      </w:r>
    </w:p>
    <w:p w14:paraId="0E6DE2DD" w14:textId="77777777" w:rsidR="002F4FEE" w:rsidRDefault="002F4FEE" w:rsidP="002F4FEE">
      <w:r w:rsidRPr="003545B0">
        <w:t xml:space="preserve">Ben Kiernan, ‘Myth, Nationalism and Genocide’, </w:t>
      </w:r>
      <w:r w:rsidRPr="003545B0">
        <w:rPr>
          <w:i/>
          <w:iCs/>
        </w:rPr>
        <w:t>Journal of Genocide Resea</w:t>
      </w:r>
      <w:r>
        <w:rPr>
          <w:i/>
          <w:iCs/>
        </w:rPr>
        <w:t xml:space="preserve">rch </w:t>
      </w:r>
      <w:r>
        <w:t>3:2 (2001), 187-206.</w:t>
      </w:r>
    </w:p>
    <w:p w14:paraId="41514AC2" w14:textId="6E6FE2D7" w:rsidR="002F4FEE" w:rsidRPr="002F4FEE" w:rsidRDefault="002F4FEE" w:rsidP="002F4FEE">
      <w:r w:rsidRPr="000D0234">
        <w:t>Alexander Laban Hinton, ‘Genocide and th</w:t>
      </w:r>
      <w:r>
        <w:t xml:space="preserve">e Politics of Memory in Cambodia’, in Alexander Laban Hinton, Thomas La Pointe and Douglas Irvin-Erickson (eds.), </w:t>
      </w:r>
      <w:r>
        <w:rPr>
          <w:i/>
          <w:iCs/>
        </w:rPr>
        <w:t xml:space="preserve">Hidden Genocides: Power, Knowledge, Memory </w:t>
      </w:r>
      <w:r>
        <w:t>(New Brunswick, 2014), pp. 149-169.</w:t>
      </w:r>
    </w:p>
    <w:p w14:paraId="5012FE6F" w14:textId="79E0586B" w:rsidR="002F4FEE" w:rsidRPr="002F4FEE" w:rsidRDefault="002F4FEE" w:rsidP="002F4FEE">
      <w:pPr>
        <w:pStyle w:val="Heading3"/>
      </w:pPr>
      <w:r w:rsidRPr="002F4FEE">
        <w:t>Session 8: Darfur and South S</w:t>
      </w:r>
      <w:r>
        <w:t>udan</w:t>
      </w:r>
    </w:p>
    <w:p w14:paraId="7664A06D" w14:textId="78672848" w:rsidR="0058137A" w:rsidRDefault="002F4FEE" w:rsidP="0058137A">
      <w:pPr>
        <w:shd w:val="clear" w:color="auto" w:fill="FFFFFF"/>
        <w:spacing w:after="100" w:afterAutospacing="1" w:line="240" w:lineRule="auto"/>
        <w:rPr>
          <w:rFonts w:ascii="Segoe UI" w:eastAsia="Times New Roman" w:hAnsi="Segoe UI" w:cs="Segoe UI"/>
          <w:color w:val="1D2125"/>
          <w:kern w:val="0"/>
          <w:sz w:val="23"/>
          <w:szCs w:val="23"/>
          <w14:ligatures w14:val="none"/>
        </w:rPr>
      </w:pPr>
      <w:r>
        <w:rPr>
          <w:rFonts w:ascii="Segoe UI" w:eastAsia="Times New Roman" w:hAnsi="Segoe UI" w:cs="Segoe UI"/>
          <w:color w:val="1D2125"/>
          <w:kern w:val="0"/>
          <w:sz w:val="23"/>
          <w:szCs w:val="23"/>
          <w14:ligatures w14:val="none"/>
        </w:rPr>
        <w:t>This session will include a guest lecture from Dr Ryan O’Byrne, a sociocultural anthropologist whose recent research has focused on mobility and resilience among South Sudanese refugees in northern Uganda.</w:t>
      </w:r>
    </w:p>
    <w:p w14:paraId="005BF1F9" w14:textId="7E114E5A" w:rsidR="002F4FEE" w:rsidRPr="00D6710A" w:rsidRDefault="002F4FEE" w:rsidP="0058137A">
      <w:pPr>
        <w:shd w:val="clear" w:color="auto" w:fill="FFFFFF"/>
        <w:spacing w:after="100" w:afterAutospacing="1" w:line="240" w:lineRule="auto"/>
        <w:rPr>
          <w:rFonts w:eastAsia="Times New Roman" w:cs="Segoe UI"/>
          <w:b/>
          <w:bCs/>
          <w:color w:val="1D2125"/>
          <w:kern w:val="0"/>
          <w:sz w:val="23"/>
          <w:szCs w:val="23"/>
          <w14:ligatures w14:val="none"/>
        </w:rPr>
      </w:pPr>
      <w:r w:rsidRPr="00D6710A">
        <w:rPr>
          <w:rFonts w:eastAsia="Times New Roman" w:cs="Segoe UI"/>
          <w:b/>
          <w:bCs/>
          <w:color w:val="1D2125"/>
          <w:kern w:val="0"/>
          <w:sz w:val="23"/>
          <w:szCs w:val="23"/>
          <w14:ligatures w14:val="none"/>
        </w:rPr>
        <w:t>To prepare for class:</w:t>
      </w:r>
    </w:p>
    <w:p w14:paraId="567C7210" w14:textId="36B072DF" w:rsidR="002F4FEE" w:rsidRPr="00D6710A" w:rsidRDefault="002F4FEE" w:rsidP="002F4FEE">
      <w:pPr>
        <w:pStyle w:val="ListParagraph"/>
        <w:numPr>
          <w:ilvl w:val="0"/>
          <w:numId w:val="60"/>
        </w:numPr>
        <w:shd w:val="clear" w:color="auto" w:fill="FFFFFF"/>
        <w:spacing w:after="100" w:afterAutospacing="1" w:line="240" w:lineRule="auto"/>
        <w:rPr>
          <w:rFonts w:eastAsia="Times New Roman" w:cs="Segoe UI"/>
          <w:b/>
          <w:bCs/>
          <w:color w:val="1D2125"/>
          <w:kern w:val="0"/>
          <w:sz w:val="23"/>
          <w:szCs w:val="23"/>
          <w14:ligatures w14:val="none"/>
        </w:rPr>
      </w:pPr>
      <w:r w:rsidRPr="00D6710A">
        <w:rPr>
          <w:rFonts w:eastAsia="Times New Roman" w:cs="Segoe UI"/>
          <w:color w:val="1D2125"/>
          <w:kern w:val="0"/>
          <w:sz w:val="23"/>
          <w:szCs w:val="23"/>
          <w14:ligatures w14:val="none"/>
        </w:rPr>
        <w:t>Please read the key reading</w:t>
      </w:r>
    </w:p>
    <w:p w14:paraId="14F1EEA3" w14:textId="2C9434C1" w:rsidR="00D6710A" w:rsidRPr="00D6710A" w:rsidRDefault="00D6710A" w:rsidP="00D6710A">
      <w:pPr>
        <w:shd w:val="clear" w:color="auto" w:fill="FFFFFF"/>
        <w:spacing w:after="100" w:afterAutospacing="1" w:line="240" w:lineRule="auto"/>
        <w:rPr>
          <w:rFonts w:eastAsia="Times New Roman" w:cs="Segoe UI"/>
          <w:b/>
          <w:bCs/>
          <w:color w:val="1D2125"/>
          <w:kern w:val="0"/>
          <w14:ligatures w14:val="none"/>
        </w:rPr>
      </w:pPr>
      <w:r w:rsidRPr="00D6710A">
        <w:rPr>
          <w:rFonts w:eastAsia="Times New Roman" w:cs="Segoe UI"/>
          <w:b/>
          <w:bCs/>
          <w:color w:val="1D2125"/>
          <w:kern w:val="0"/>
          <w14:ligatures w14:val="none"/>
        </w:rPr>
        <w:t>Key reading:</w:t>
      </w:r>
    </w:p>
    <w:p w14:paraId="5FED2EE2" w14:textId="06983721" w:rsidR="00D6710A" w:rsidRPr="00D6710A" w:rsidRDefault="00D6710A" w:rsidP="00D6710A">
      <w:pPr>
        <w:shd w:val="clear" w:color="auto" w:fill="FFFFFF"/>
        <w:spacing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L. D.</w:t>
      </w:r>
      <w:r w:rsidRPr="00D6710A">
        <w:rPr>
          <w:rFonts w:eastAsia="Times New Roman" w:cs="Segoe UI"/>
          <w:color w:val="1D2125"/>
          <w:kern w:val="0"/>
          <w14:ligatures w14:val="none"/>
        </w:rPr>
        <w:t xml:space="preserve"> </w:t>
      </w:r>
      <w:proofErr w:type="spellStart"/>
      <w:r w:rsidRPr="00D6710A">
        <w:rPr>
          <w:rFonts w:eastAsia="Times New Roman" w:cs="Segoe UI"/>
          <w:color w:val="1D2125"/>
          <w:kern w:val="0"/>
          <w14:ligatures w14:val="none"/>
        </w:rPr>
        <w:t>Manashaw</w:t>
      </w:r>
      <w:proofErr w:type="spellEnd"/>
      <w:r w:rsidRPr="00D6710A">
        <w:rPr>
          <w:rFonts w:eastAsia="Times New Roman" w:cs="Segoe UI"/>
          <w:color w:val="1D2125"/>
          <w:kern w:val="0"/>
          <w14:ligatures w14:val="none"/>
        </w:rPr>
        <w:t>,</w:t>
      </w:r>
      <w:r w:rsidRPr="00D6710A">
        <w:rPr>
          <w:rFonts w:eastAsia="Times New Roman" w:cs="Segoe UI"/>
          <w:color w:val="1D2125"/>
          <w:kern w:val="0"/>
          <w14:ligatures w14:val="none"/>
        </w:rPr>
        <w:t xml:space="preserve"> </w:t>
      </w:r>
      <w:r w:rsidRPr="00D6710A">
        <w:rPr>
          <w:rFonts w:eastAsia="Times New Roman" w:cs="Segoe UI"/>
          <w:color w:val="1D2125"/>
          <w:kern w:val="0"/>
          <w14:ligatures w14:val="none"/>
        </w:rPr>
        <w:t>‘</w:t>
      </w:r>
      <w:r w:rsidRPr="00D6710A">
        <w:rPr>
          <w:rFonts w:eastAsia="Times New Roman" w:cs="Segoe UI"/>
          <w:color w:val="1D2125"/>
          <w:kern w:val="0"/>
          <w14:ligatures w14:val="none"/>
        </w:rPr>
        <w:t xml:space="preserve">Genocide and Ethnic Cleansing: Why the Distinction? A Discussion in the Context of Atrocities </w:t>
      </w:r>
      <w:r w:rsidRPr="00D6710A">
        <w:rPr>
          <w:rFonts w:eastAsia="Times New Roman" w:cs="Segoe UI"/>
          <w:color w:val="1D2125"/>
          <w:kern w:val="0"/>
          <w14:ligatures w14:val="none"/>
        </w:rPr>
        <w:t>O</w:t>
      </w:r>
      <w:r w:rsidRPr="00D6710A">
        <w:rPr>
          <w:rFonts w:eastAsia="Times New Roman" w:cs="Segoe UI"/>
          <w:color w:val="1D2125"/>
          <w:kern w:val="0"/>
          <w14:ligatures w14:val="none"/>
        </w:rPr>
        <w:t>ccurring in Sudan</w:t>
      </w:r>
      <w:r w:rsidRPr="00D6710A">
        <w:rPr>
          <w:rFonts w:eastAsia="Times New Roman" w:cs="Segoe UI"/>
          <w:color w:val="1D2125"/>
          <w:kern w:val="0"/>
          <w14:ligatures w14:val="none"/>
        </w:rPr>
        <w:t xml:space="preserve">’, </w:t>
      </w:r>
      <w:r w:rsidRPr="00D6710A">
        <w:rPr>
          <w:rFonts w:eastAsia="Times New Roman" w:cs="Segoe UI"/>
          <w:i/>
          <w:iCs/>
          <w:color w:val="1D2125"/>
          <w:kern w:val="0"/>
          <w14:ligatures w14:val="none"/>
        </w:rPr>
        <w:t>California Western International Law Journal,</w:t>
      </w:r>
      <w:r w:rsidRPr="00D6710A">
        <w:rPr>
          <w:rFonts w:eastAsia="Times New Roman" w:cs="Segoe UI"/>
          <w:color w:val="1D2125"/>
          <w:kern w:val="0"/>
          <w14:ligatures w14:val="none"/>
        </w:rPr>
        <w:t xml:space="preserve"> 35</w:t>
      </w:r>
      <w:r w:rsidRPr="00D6710A">
        <w:rPr>
          <w:rFonts w:eastAsia="Times New Roman" w:cs="Segoe UI"/>
          <w:color w:val="1D2125"/>
          <w:kern w:val="0"/>
          <w14:ligatures w14:val="none"/>
        </w:rPr>
        <w:t xml:space="preserve">:2 (2005), </w:t>
      </w:r>
      <w:r w:rsidRPr="00D6710A">
        <w:rPr>
          <w:rFonts w:eastAsia="Times New Roman" w:cs="Segoe UI"/>
          <w:color w:val="1D2125"/>
          <w:kern w:val="0"/>
          <w14:ligatures w14:val="none"/>
        </w:rPr>
        <w:t>303-332.</w:t>
      </w:r>
    </w:p>
    <w:p w14:paraId="3A877914" w14:textId="0863F7A8" w:rsidR="003B6D43" w:rsidRDefault="002F4FEE" w:rsidP="002F4FEE">
      <w:pPr>
        <w:pStyle w:val="Heading3"/>
      </w:pPr>
      <w:r>
        <w:t>Session</w:t>
      </w:r>
      <w:r w:rsidR="003B6D43" w:rsidRPr="002871F1">
        <w:t xml:space="preserve"> 9:</w:t>
      </w:r>
      <w:r w:rsidR="00F910C2" w:rsidRPr="002871F1">
        <w:t xml:space="preserve"> </w:t>
      </w:r>
      <w:r w:rsidR="00B36E37">
        <w:t xml:space="preserve">The Fall of Yugoslavia and the </w:t>
      </w:r>
      <w:r w:rsidR="00F910C2" w:rsidRPr="002871F1">
        <w:t>Bosnia</w:t>
      </w:r>
      <w:r w:rsidR="00B36E37">
        <w:t>n Genocide</w:t>
      </w:r>
    </w:p>
    <w:p w14:paraId="7DEB7E5B" w14:textId="77777777" w:rsidR="00293A3F" w:rsidRDefault="00293A3F" w:rsidP="00293A3F">
      <w:pPr>
        <w:shd w:val="clear" w:color="auto" w:fill="FFFFFF"/>
        <w:spacing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 xml:space="preserve">The Bosnian genocide, which </w:t>
      </w:r>
      <w:proofErr w:type="spellStart"/>
      <w:r w:rsidRPr="00D6710A">
        <w:rPr>
          <w:rFonts w:eastAsia="Times New Roman" w:cs="Segoe UI"/>
          <w:color w:val="1D2125"/>
          <w:kern w:val="0"/>
          <w14:ligatures w14:val="none"/>
        </w:rPr>
        <w:t>occured</w:t>
      </w:r>
      <w:proofErr w:type="spellEnd"/>
      <w:r w:rsidRPr="00D6710A">
        <w:rPr>
          <w:rFonts w:eastAsia="Times New Roman" w:cs="Segoe UI"/>
          <w:color w:val="1D2125"/>
          <w:kern w:val="0"/>
          <w14:ligatures w14:val="none"/>
        </w:rPr>
        <w:t xml:space="preserve"> during the Bosnian War of 1992-1995, resulted in the deaths of between 25,000 and 33,000 </w:t>
      </w:r>
      <w:proofErr w:type="spellStart"/>
      <w:r w:rsidRPr="00D6710A">
        <w:rPr>
          <w:rFonts w:eastAsia="Times New Roman" w:cs="Segoe UI"/>
          <w:color w:val="1D2125"/>
          <w:kern w:val="0"/>
          <w14:ligatures w14:val="none"/>
        </w:rPr>
        <w:t>Bosniaks</w:t>
      </w:r>
      <w:proofErr w:type="spellEnd"/>
      <w:r w:rsidRPr="00D6710A">
        <w:rPr>
          <w:rFonts w:eastAsia="Times New Roman" w:cs="Segoe UI"/>
          <w:color w:val="1D2125"/>
          <w:kern w:val="0"/>
          <w14:ligatures w14:val="none"/>
        </w:rPr>
        <w:t xml:space="preserve"> (Bosnian Muslims), Bosnian Croats, and other non-Serbs, as well as mass displacements and widespread genocidal sexual violence. We will investigate the reasons for the slow response of the international community to these mass killings, as well as exploring the concept of 'ethnic cleansing' in more depth.</w:t>
      </w:r>
    </w:p>
    <w:p w14:paraId="216DDCA7" w14:textId="4BE0EE90" w:rsidR="00D6710A" w:rsidRPr="00D6710A" w:rsidRDefault="00D6710A" w:rsidP="00293A3F">
      <w:pPr>
        <w:shd w:val="clear" w:color="auto" w:fill="FFFFFF"/>
        <w:spacing w:after="100" w:afterAutospacing="1" w:line="240" w:lineRule="auto"/>
        <w:rPr>
          <w:rFonts w:eastAsia="Times New Roman" w:cs="Segoe UI"/>
          <w:b/>
          <w:bCs/>
          <w:color w:val="1D2125"/>
          <w:kern w:val="0"/>
          <w14:ligatures w14:val="none"/>
        </w:rPr>
      </w:pPr>
      <w:r>
        <w:rPr>
          <w:rFonts w:eastAsia="Times New Roman" w:cs="Segoe UI"/>
          <w:b/>
          <w:bCs/>
          <w:color w:val="1D2125"/>
          <w:kern w:val="0"/>
          <w14:ligatures w14:val="none"/>
        </w:rPr>
        <w:t>Questions to consider:</w:t>
      </w:r>
    </w:p>
    <w:p w14:paraId="2083A7E3" w14:textId="77777777" w:rsidR="00293A3F" w:rsidRPr="00D6710A" w:rsidRDefault="00293A3F" w:rsidP="00293A3F">
      <w:pPr>
        <w:numPr>
          <w:ilvl w:val="0"/>
          <w:numId w:val="11"/>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Why was the international community so slow to respond? </w:t>
      </w:r>
    </w:p>
    <w:p w14:paraId="75CC7226" w14:textId="77777777" w:rsidR="00293A3F" w:rsidRPr="00D6710A" w:rsidRDefault="00293A3F" w:rsidP="00293A3F">
      <w:pPr>
        <w:numPr>
          <w:ilvl w:val="0"/>
          <w:numId w:val="11"/>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What eventually pushed the international community to intervene?</w:t>
      </w:r>
    </w:p>
    <w:p w14:paraId="13CCBB66" w14:textId="231B2ACC" w:rsidR="00293A3F" w:rsidRDefault="00293A3F" w:rsidP="00293A3F">
      <w:pPr>
        <w:numPr>
          <w:ilvl w:val="0"/>
          <w:numId w:val="11"/>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How useful is the concept of 'ethnic cleansing' in this case?</w:t>
      </w:r>
    </w:p>
    <w:p w14:paraId="368C00A1" w14:textId="77777777" w:rsidR="00D6710A" w:rsidRDefault="00D6710A" w:rsidP="00D6710A">
      <w:pPr>
        <w:shd w:val="clear" w:color="auto" w:fill="FFFFFF"/>
        <w:spacing w:before="100" w:beforeAutospacing="1" w:after="100" w:afterAutospacing="1" w:line="240" w:lineRule="auto"/>
        <w:rPr>
          <w:rFonts w:eastAsia="Times New Roman" w:cs="Segoe UI"/>
          <w:b/>
          <w:bCs/>
          <w:color w:val="1D2125"/>
          <w:kern w:val="0"/>
          <w14:ligatures w14:val="none"/>
        </w:rPr>
      </w:pPr>
    </w:p>
    <w:p w14:paraId="4B0DDD40" w14:textId="7532BD10" w:rsidR="00D6710A" w:rsidRDefault="00D6710A" w:rsidP="00D6710A">
      <w:pPr>
        <w:shd w:val="clear" w:color="auto" w:fill="FFFFFF"/>
        <w:spacing w:before="100" w:beforeAutospacing="1" w:after="100" w:afterAutospacing="1" w:line="240" w:lineRule="auto"/>
        <w:rPr>
          <w:rFonts w:eastAsia="Times New Roman" w:cs="Segoe UI"/>
          <w:b/>
          <w:bCs/>
          <w:color w:val="1D2125"/>
          <w:kern w:val="0"/>
          <w14:ligatures w14:val="none"/>
        </w:rPr>
      </w:pPr>
      <w:r>
        <w:rPr>
          <w:rFonts w:eastAsia="Times New Roman" w:cs="Segoe UI"/>
          <w:b/>
          <w:bCs/>
          <w:color w:val="1D2125"/>
          <w:kern w:val="0"/>
          <w14:ligatures w14:val="none"/>
        </w:rPr>
        <w:lastRenderedPageBreak/>
        <w:t>To prepare for class:</w:t>
      </w:r>
    </w:p>
    <w:p w14:paraId="1ABACEF2" w14:textId="1D4FD76E" w:rsidR="00D6710A" w:rsidRPr="00D6710A" w:rsidRDefault="00D6710A" w:rsidP="00D6710A">
      <w:pPr>
        <w:pStyle w:val="ListParagraph"/>
        <w:numPr>
          <w:ilvl w:val="0"/>
          <w:numId w:val="60"/>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 xml:space="preserve">Please complete the key reading. </w:t>
      </w:r>
    </w:p>
    <w:p w14:paraId="2A33244E" w14:textId="5AE85DE9" w:rsidR="00D6710A" w:rsidRPr="00D6710A" w:rsidRDefault="00D6710A" w:rsidP="00D6710A">
      <w:pPr>
        <w:pStyle w:val="ListParagraph"/>
        <w:numPr>
          <w:ilvl w:val="0"/>
          <w:numId w:val="60"/>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Complete the asynchronous task on Moodle.</w:t>
      </w:r>
    </w:p>
    <w:p w14:paraId="63D3B265" w14:textId="4DC7D660" w:rsidR="00D6710A" w:rsidRDefault="00D6710A" w:rsidP="00D6710A">
      <w:pPr>
        <w:pStyle w:val="ListParagraph"/>
        <w:numPr>
          <w:ilvl w:val="0"/>
          <w:numId w:val="60"/>
        </w:numPr>
        <w:shd w:val="clear" w:color="auto" w:fill="FFFFFF"/>
        <w:spacing w:before="100" w:beforeAutospacing="1" w:after="100" w:afterAutospacing="1" w:line="240" w:lineRule="auto"/>
        <w:rPr>
          <w:rFonts w:eastAsia="Times New Roman" w:cs="Segoe UI"/>
          <w:color w:val="1D2125"/>
          <w:kern w:val="0"/>
          <w14:ligatures w14:val="none"/>
        </w:rPr>
      </w:pPr>
      <w:r w:rsidRPr="00D6710A">
        <w:rPr>
          <w:rFonts w:eastAsia="Times New Roman" w:cs="Segoe UI"/>
          <w:color w:val="1D2125"/>
          <w:kern w:val="0"/>
          <w14:ligatures w14:val="none"/>
        </w:rPr>
        <w:t xml:space="preserve">If you have time, you might want to watch the film </w:t>
      </w:r>
      <w:r w:rsidRPr="00D6710A">
        <w:rPr>
          <w:rFonts w:eastAsia="Times New Roman" w:cs="Segoe UI"/>
          <w:i/>
          <w:iCs/>
          <w:color w:val="1D2125"/>
          <w:kern w:val="0"/>
          <w14:ligatures w14:val="none"/>
        </w:rPr>
        <w:t xml:space="preserve">We Are All Neighbours </w:t>
      </w:r>
      <w:r w:rsidRPr="00D6710A">
        <w:rPr>
          <w:rFonts w:eastAsia="Times New Roman" w:cs="Segoe UI"/>
          <w:color w:val="1D2125"/>
          <w:kern w:val="0"/>
          <w14:ligatures w14:val="none"/>
        </w:rPr>
        <w:t xml:space="preserve">(1993) which is linked on </w:t>
      </w:r>
      <w:proofErr w:type="gramStart"/>
      <w:r w:rsidRPr="00D6710A">
        <w:rPr>
          <w:rFonts w:eastAsia="Times New Roman" w:cs="Segoe UI"/>
          <w:color w:val="1D2125"/>
          <w:kern w:val="0"/>
          <w14:ligatures w14:val="none"/>
        </w:rPr>
        <w:t>Moodle, or</w:t>
      </w:r>
      <w:proofErr w:type="gramEnd"/>
      <w:r w:rsidRPr="00D6710A">
        <w:rPr>
          <w:rFonts w:eastAsia="Times New Roman" w:cs="Segoe UI"/>
          <w:color w:val="1D2125"/>
          <w:kern w:val="0"/>
          <w14:ligatures w14:val="none"/>
        </w:rPr>
        <w:t xml:space="preserve"> explore the further reading.</w:t>
      </w:r>
    </w:p>
    <w:p w14:paraId="2411BFE1" w14:textId="7E2A940F" w:rsidR="00D6710A" w:rsidRPr="00D6710A" w:rsidRDefault="00D6710A" w:rsidP="00D6710A">
      <w:pPr>
        <w:shd w:val="clear" w:color="auto" w:fill="FFFFFF"/>
        <w:spacing w:before="100" w:beforeAutospacing="1" w:after="100" w:afterAutospacing="1" w:line="240" w:lineRule="auto"/>
        <w:rPr>
          <w:rFonts w:eastAsia="Times New Roman" w:cs="Segoe UI"/>
          <w:b/>
          <w:bCs/>
          <w:color w:val="1D2125"/>
          <w:kern w:val="0"/>
          <w14:ligatures w14:val="none"/>
        </w:rPr>
      </w:pPr>
      <w:r>
        <w:rPr>
          <w:rFonts w:eastAsia="Times New Roman" w:cs="Segoe UI"/>
          <w:b/>
          <w:bCs/>
          <w:color w:val="1D2125"/>
          <w:kern w:val="0"/>
          <w14:ligatures w14:val="none"/>
        </w:rPr>
        <w:t>Key reading:</w:t>
      </w:r>
    </w:p>
    <w:p w14:paraId="77BC3ADC" w14:textId="77777777" w:rsidR="00841FA6" w:rsidRDefault="00841FA6" w:rsidP="00841FA6">
      <w:r w:rsidRPr="00D6710A">
        <w:t xml:space="preserve">Jacques Semelin, ‘Analysis of a Mass Crime: Ethnic Cleansing in the Former Yugoslavia, 1991-1999’, in Robert </w:t>
      </w:r>
      <w:proofErr w:type="spellStart"/>
      <w:r w:rsidRPr="00D6710A">
        <w:t>Gellately</w:t>
      </w:r>
      <w:proofErr w:type="spellEnd"/>
      <w:r w:rsidRPr="00D6710A">
        <w:t xml:space="preserve"> and Ben Kiernan (eds.), </w:t>
      </w:r>
      <w:proofErr w:type="gramStart"/>
      <w:r w:rsidRPr="00D6710A">
        <w:t xml:space="preserve">‘ </w:t>
      </w:r>
      <w:r w:rsidRPr="00D6710A">
        <w:rPr>
          <w:i/>
          <w:iCs/>
        </w:rPr>
        <w:t>The</w:t>
      </w:r>
      <w:proofErr w:type="gramEnd"/>
      <w:r w:rsidRPr="00D6710A">
        <w:rPr>
          <w:i/>
          <w:iCs/>
        </w:rPr>
        <w:t xml:space="preserve"> Specter of Genocide: Mass Murder in Historical Perspective </w:t>
      </w:r>
      <w:r w:rsidRPr="00D6710A">
        <w:t>(Cambridge, 2003), pp. 353-370.</w:t>
      </w:r>
    </w:p>
    <w:p w14:paraId="1FD2975D" w14:textId="7F4375C1" w:rsidR="00D6710A" w:rsidRPr="00D6710A" w:rsidRDefault="00D6710A" w:rsidP="00841FA6">
      <w:pPr>
        <w:rPr>
          <w:b/>
          <w:bCs/>
        </w:rPr>
      </w:pPr>
      <w:r>
        <w:rPr>
          <w:b/>
          <w:bCs/>
        </w:rPr>
        <w:t>Further reading</w:t>
      </w:r>
    </w:p>
    <w:p w14:paraId="2FC9CB80" w14:textId="096BF152" w:rsidR="008D1F29" w:rsidRPr="00D6710A" w:rsidRDefault="008D1F29" w:rsidP="008D1F29">
      <w:r w:rsidRPr="00D6710A">
        <w:t xml:space="preserve">Tone Bringa, ‘Averted Gaze: Genocide in Bosnia-Herzegovina, 1992-1995’, in Alexander Laban Hinton (ed.), </w:t>
      </w:r>
      <w:r w:rsidRPr="00D6710A">
        <w:rPr>
          <w:i/>
          <w:iCs/>
        </w:rPr>
        <w:t xml:space="preserve">Annihilating Difference: The Anthropology of Genocide </w:t>
      </w:r>
      <w:r w:rsidRPr="00D6710A">
        <w:t>(University of California Press, 2002), pp. 194-226.</w:t>
      </w:r>
    </w:p>
    <w:p w14:paraId="3699F038" w14:textId="44535CC1" w:rsidR="00EB24E1" w:rsidRPr="00D6710A" w:rsidRDefault="00EB24E1" w:rsidP="00EB24E1">
      <w:r w:rsidRPr="00D6710A">
        <w:t xml:space="preserve">Cathie Carmichael, ‘Violence and ethnic boundary maintenance in Bosnia in the 1990s’, </w:t>
      </w:r>
      <w:r w:rsidRPr="00D6710A">
        <w:rPr>
          <w:i/>
          <w:iCs/>
        </w:rPr>
        <w:t xml:space="preserve">Journal of Genocide Research </w:t>
      </w:r>
      <w:r w:rsidRPr="00D6710A">
        <w:t>(2006), 8:3, 283-293.</w:t>
      </w:r>
    </w:p>
    <w:p w14:paraId="28509A44" w14:textId="0E83F4CE" w:rsidR="007037CD" w:rsidRPr="00D6710A" w:rsidRDefault="007037CD" w:rsidP="008D1F29">
      <w:r w:rsidRPr="00D6710A">
        <w:t xml:space="preserve">Thomas Cushman and Stjepan Mestrovic, </w:t>
      </w:r>
      <w:r w:rsidRPr="00D6710A">
        <w:rPr>
          <w:i/>
          <w:iCs/>
        </w:rPr>
        <w:t xml:space="preserve">This Time We Knew: Western Responses to Genocide in Bosnia </w:t>
      </w:r>
      <w:r w:rsidRPr="00D6710A">
        <w:t>(New York University Press, 1996).</w:t>
      </w:r>
    </w:p>
    <w:p w14:paraId="1087E032" w14:textId="45F089D2" w:rsidR="00DE6ECB" w:rsidRDefault="00DE6ECB" w:rsidP="00676F17">
      <w:r w:rsidRPr="00D6710A">
        <w:t xml:space="preserve">Patricia A. </w:t>
      </w:r>
      <w:proofErr w:type="spellStart"/>
      <w:r w:rsidRPr="00D6710A">
        <w:t>Weitsman</w:t>
      </w:r>
      <w:proofErr w:type="spellEnd"/>
      <w:r w:rsidRPr="00D6710A">
        <w:t xml:space="preserve">, ‘The Politics </w:t>
      </w:r>
      <w:r w:rsidR="00204043" w:rsidRPr="00D6710A">
        <w:t xml:space="preserve">of Identity and Sexual Violence: A Review of Bosnia and Rwanda’, </w:t>
      </w:r>
      <w:r w:rsidR="00204043" w:rsidRPr="00D6710A">
        <w:rPr>
          <w:i/>
          <w:iCs/>
        </w:rPr>
        <w:t xml:space="preserve">Human Rights Quarterly, </w:t>
      </w:r>
      <w:r w:rsidR="00204043" w:rsidRPr="00D6710A">
        <w:t>30:3 (2008), 561-578.</w:t>
      </w:r>
    </w:p>
    <w:p w14:paraId="1F1CFA66" w14:textId="4D3657D6" w:rsidR="003B6D43" w:rsidRDefault="00D6710A" w:rsidP="00D6710A">
      <w:pPr>
        <w:pStyle w:val="Heading3"/>
      </w:pPr>
      <w:r>
        <w:t>Session</w:t>
      </w:r>
      <w:r w:rsidR="003B6D43" w:rsidRPr="00DE6ECB">
        <w:t xml:space="preserve"> 10:</w:t>
      </w:r>
      <w:r w:rsidR="00676F17" w:rsidRPr="00DE6ECB">
        <w:t xml:space="preserve"> Rwanda</w:t>
      </w:r>
      <w:r w:rsidR="00B36E37">
        <w:t>: Gender and Genocide</w:t>
      </w:r>
    </w:p>
    <w:p w14:paraId="5AEAF19A" w14:textId="7A1B85DB" w:rsidR="00293A3F" w:rsidRDefault="00293A3F" w:rsidP="00293A3F">
      <w:r>
        <w:t>For our final week of study, we’ll be examining the Rwandan Genocide Against the Tutsi</w:t>
      </w:r>
      <w:r w:rsidR="0011314E">
        <w:t xml:space="preserve"> of 1994, which resulted in the deaths of up to one million people over just one hundred days</w:t>
      </w:r>
      <w:r w:rsidR="00964B5A">
        <w:t xml:space="preserve"> while the international community largely looked on</w:t>
      </w:r>
      <w:r w:rsidR="0011314E">
        <w:t>. For this week, we’ll focus on the causes of the genocide, before paying special attention to the role of gender in how the genocide played out, looking at the roles of women as victims, perpetrators, and peacemakers.</w:t>
      </w:r>
    </w:p>
    <w:p w14:paraId="37ECE000" w14:textId="38E3D437" w:rsidR="00D6710A" w:rsidRPr="00D6710A" w:rsidRDefault="00D6710A" w:rsidP="00293A3F">
      <w:pPr>
        <w:rPr>
          <w:b/>
          <w:bCs/>
        </w:rPr>
      </w:pPr>
      <w:r>
        <w:rPr>
          <w:b/>
          <w:bCs/>
        </w:rPr>
        <w:t>Questions to consider:</w:t>
      </w:r>
    </w:p>
    <w:p w14:paraId="74912D8A" w14:textId="1BD783F0" w:rsidR="00964B5A" w:rsidRDefault="00964B5A" w:rsidP="00D07901">
      <w:pPr>
        <w:pStyle w:val="ListParagraph"/>
        <w:numPr>
          <w:ilvl w:val="0"/>
          <w:numId w:val="12"/>
        </w:numPr>
      </w:pPr>
      <w:r>
        <w:t>What were the causes of the Rwandan genocide?</w:t>
      </w:r>
    </w:p>
    <w:p w14:paraId="34287E96" w14:textId="200A93A6" w:rsidR="00964B5A" w:rsidRDefault="00964B5A" w:rsidP="00D07901">
      <w:pPr>
        <w:pStyle w:val="ListParagraph"/>
        <w:numPr>
          <w:ilvl w:val="0"/>
          <w:numId w:val="12"/>
        </w:numPr>
      </w:pPr>
      <w:r>
        <w:t>What was the role of gender in how the genocide wa</w:t>
      </w:r>
      <w:r w:rsidR="00D6710A">
        <w:t>s</w:t>
      </w:r>
      <w:r>
        <w:t xml:space="preserve"> carried out?</w:t>
      </w:r>
    </w:p>
    <w:p w14:paraId="1DAB7065" w14:textId="6CB7CDD2" w:rsidR="00D07901" w:rsidRDefault="00D07901" w:rsidP="00D07901">
      <w:pPr>
        <w:pStyle w:val="ListParagraph"/>
        <w:numPr>
          <w:ilvl w:val="0"/>
          <w:numId w:val="12"/>
        </w:numPr>
      </w:pPr>
      <w:r>
        <w:t>What roles did women play in the genocide?</w:t>
      </w:r>
    </w:p>
    <w:p w14:paraId="7B890DB7" w14:textId="77777777" w:rsidR="00D6710A" w:rsidRDefault="00D6710A" w:rsidP="00D6710A">
      <w:pPr>
        <w:rPr>
          <w:b/>
          <w:bCs/>
        </w:rPr>
      </w:pPr>
    </w:p>
    <w:p w14:paraId="559D2427" w14:textId="77777777" w:rsidR="00D6710A" w:rsidRDefault="00D6710A" w:rsidP="00D6710A">
      <w:pPr>
        <w:rPr>
          <w:b/>
          <w:bCs/>
        </w:rPr>
      </w:pPr>
    </w:p>
    <w:p w14:paraId="342EE603" w14:textId="53E00E9B" w:rsidR="00D6710A" w:rsidRDefault="00D6710A" w:rsidP="00D6710A">
      <w:pPr>
        <w:rPr>
          <w:b/>
          <w:bCs/>
        </w:rPr>
      </w:pPr>
      <w:r>
        <w:rPr>
          <w:b/>
          <w:bCs/>
        </w:rPr>
        <w:t>To prepare for class:</w:t>
      </w:r>
    </w:p>
    <w:p w14:paraId="04F7785E" w14:textId="081E9ADE" w:rsidR="00D6710A" w:rsidRDefault="00D6710A" w:rsidP="00D6710A">
      <w:pPr>
        <w:pStyle w:val="ListParagraph"/>
        <w:numPr>
          <w:ilvl w:val="0"/>
          <w:numId w:val="62"/>
        </w:numPr>
      </w:pPr>
      <w:r>
        <w:lastRenderedPageBreak/>
        <w:t>Please read both key readings.</w:t>
      </w:r>
    </w:p>
    <w:p w14:paraId="28726ABE" w14:textId="367F1142" w:rsidR="00D6710A" w:rsidRDefault="00D6710A" w:rsidP="00D6710A">
      <w:pPr>
        <w:pStyle w:val="ListParagraph"/>
        <w:numPr>
          <w:ilvl w:val="0"/>
          <w:numId w:val="62"/>
        </w:numPr>
      </w:pPr>
      <w:r>
        <w:t>Choose a section of the primary source to read.</w:t>
      </w:r>
    </w:p>
    <w:p w14:paraId="2E641BBC" w14:textId="0880CFD4" w:rsidR="00D6710A" w:rsidRPr="00D6710A" w:rsidRDefault="00D6710A" w:rsidP="00D6710A">
      <w:pPr>
        <w:rPr>
          <w:b/>
          <w:bCs/>
        </w:rPr>
      </w:pPr>
      <w:r>
        <w:rPr>
          <w:b/>
          <w:bCs/>
        </w:rPr>
        <w:t>Key reading:</w:t>
      </w:r>
    </w:p>
    <w:p w14:paraId="706F0DDB" w14:textId="08C8DB6A" w:rsidR="003E523E" w:rsidRDefault="003E523E" w:rsidP="00676F17">
      <w:r>
        <w:t xml:space="preserve">Helen </w:t>
      </w:r>
      <w:proofErr w:type="spellStart"/>
      <w:r>
        <w:t>Hintjens</w:t>
      </w:r>
      <w:proofErr w:type="spellEnd"/>
      <w:r>
        <w:t xml:space="preserve">, </w:t>
      </w:r>
      <w:r w:rsidR="001B0076">
        <w:t xml:space="preserve">‘Explaining the 1994 Genocide in Rwanda’, </w:t>
      </w:r>
      <w:r w:rsidR="001B0076">
        <w:rPr>
          <w:i/>
          <w:iCs/>
        </w:rPr>
        <w:t xml:space="preserve">Journal of Modern African Studies </w:t>
      </w:r>
      <w:r w:rsidR="001B0076">
        <w:t>37:2 (1999), pp.241-286.</w:t>
      </w:r>
    </w:p>
    <w:p w14:paraId="5BE049A6" w14:textId="77777777" w:rsidR="00B36E37" w:rsidRDefault="00B36E37" w:rsidP="00B36E37">
      <w:r>
        <w:t xml:space="preserve">Adam Jones, ‘Gender and Genocide in Rwanda’, </w:t>
      </w:r>
      <w:r>
        <w:rPr>
          <w:i/>
          <w:iCs/>
        </w:rPr>
        <w:t xml:space="preserve">Journal of Genocide Research </w:t>
      </w:r>
      <w:r>
        <w:t>4:1 (2002), 65-94.</w:t>
      </w:r>
    </w:p>
    <w:p w14:paraId="36AEF9AC" w14:textId="77777777" w:rsidR="00D6710A" w:rsidRDefault="00BC1FD3" w:rsidP="00BC1FD3">
      <w:r w:rsidRPr="00D6710A">
        <w:rPr>
          <w:b/>
          <w:bCs/>
        </w:rPr>
        <w:t>Primary source:</w:t>
      </w:r>
    </w:p>
    <w:p w14:paraId="715B07FA" w14:textId="1715B434" w:rsidR="00BC1FD3" w:rsidRDefault="00BC1FD3" w:rsidP="00BC1FD3">
      <w:pPr>
        <w:rPr>
          <w:rStyle w:val="Hyperlink"/>
        </w:rPr>
      </w:pPr>
      <w:r w:rsidRPr="00D6710A">
        <w:t xml:space="preserve"> </w:t>
      </w:r>
      <w:hyperlink r:id="rId18" w:history="1">
        <w:r>
          <w:rPr>
            <w:rStyle w:val="Hyperlink"/>
          </w:rPr>
          <w:t>Leave None to Tell the Story: Genocide in Rwanda | HRW</w:t>
        </w:r>
      </w:hyperlink>
    </w:p>
    <w:p w14:paraId="48A5AE1F" w14:textId="65B4FDE4" w:rsidR="00D6710A" w:rsidRPr="00D6710A" w:rsidRDefault="00D6710A" w:rsidP="00BC1FD3">
      <w:pPr>
        <w:rPr>
          <w:b/>
          <w:bCs/>
        </w:rPr>
      </w:pPr>
      <w:r>
        <w:rPr>
          <w:b/>
          <w:bCs/>
        </w:rPr>
        <w:t>Further reading:</w:t>
      </w:r>
    </w:p>
    <w:p w14:paraId="61F5D780" w14:textId="1FB9F83D" w:rsidR="007F7772" w:rsidRPr="007F7772" w:rsidRDefault="007F7772" w:rsidP="00676F17">
      <w:r>
        <w:t xml:space="preserve">Erin K. Baines, ‘Body Politics and the Rwandan Crisis’, </w:t>
      </w:r>
      <w:r>
        <w:rPr>
          <w:i/>
          <w:iCs/>
        </w:rPr>
        <w:t xml:space="preserve">Third World Quarterly </w:t>
      </w:r>
      <w:r>
        <w:t>24:3 (2003), 479-493.</w:t>
      </w:r>
    </w:p>
    <w:p w14:paraId="32FB322F" w14:textId="273CB124" w:rsidR="00F7482E" w:rsidRDefault="00F7482E" w:rsidP="00676F17">
      <w:r w:rsidRPr="00F7482E">
        <w:t>Lee Ann Fujii, ‘Transforming the Mo</w:t>
      </w:r>
      <w:r>
        <w:t xml:space="preserve">ral Landscape: The Diffusion of a Genocidal Norm in Rwanda’, </w:t>
      </w:r>
      <w:r>
        <w:rPr>
          <w:i/>
          <w:iCs/>
        </w:rPr>
        <w:t xml:space="preserve">Journal of Genocide Research </w:t>
      </w:r>
      <w:r>
        <w:t>6:1 (2004)</w:t>
      </w:r>
      <w:r w:rsidR="00B67530">
        <w:t>.</w:t>
      </w:r>
    </w:p>
    <w:p w14:paraId="24914BA9" w14:textId="28C4AC6F" w:rsidR="00083F1D" w:rsidRPr="00083F1D" w:rsidRDefault="00083F1D" w:rsidP="00676F17">
      <w:r>
        <w:t xml:space="preserve">Rhian Elinor Keyse, ‘“A Very Sensitive Rwandan Woman”: Sexual Violence, History, and Gendered Narratives in the Trial of Pauline </w:t>
      </w:r>
      <w:proofErr w:type="spellStart"/>
      <w:r>
        <w:t>Nyiramasuhuko</w:t>
      </w:r>
      <w:proofErr w:type="spellEnd"/>
      <w:r>
        <w:t xml:space="preserve"> at the International Criminal Tribunal for Rwanda, 2001-2011’, </w:t>
      </w:r>
      <w:r>
        <w:rPr>
          <w:i/>
          <w:iCs/>
        </w:rPr>
        <w:t xml:space="preserve">Women’s History Review </w:t>
      </w:r>
      <w:r>
        <w:t>32:7 (2023), 1015-1039.</w:t>
      </w:r>
    </w:p>
    <w:p w14:paraId="01BF2F06" w14:textId="1F51DD89" w:rsidR="00BC1FD3" w:rsidRDefault="00BC1FD3" w:rsidP="00676F17">
      <w:r>
        <w:t xml:space="preserve">Timothy Longman, ‘Twenty Years After </w:t>
      </w:r>
      <w:r>
        <w:rPr>
          <w:i/>
          <w:iCs/>
        </w:rPr>
        <w:t xml:space="preserve">Leave None </w:t>
      </w:r>
      <w:proofErr w:type="gramStart"/>
      <w:r>
        <w:rPr>
          <w:i/>
          <w:iCs/>
        </w:rPr>
        <w:t>To</w:t>
      </w:r>
      <w:proofErr w:type="gramEnd"/>
      <w:r>
        <w:rPr>
          <w:i/>
          <w:iCs/>
        </w:rPr>
        <w:t xml:space="preserve"> Tell The Story, </w:t>
      </w:r>
      <w:r>
        <w:t xml:space="preserve">What Do We Now Know About the Genocide of the Tutsi in Rwanda’, </w:t>
      </w:r>
      <w:r>
        <w:rPr>
          <w:i/>
          <w:iCs/>
        </w:rPr>
        <w:t xml:space="preserve">Journal of Humanitarian Affairs </w:t>
      </w:r>
      <w:r>
        <w:t>2:2 (2020), 40-47.</w:t>
      </w:r>
    </w:p>
    <w:p w14:paraId="35C4C086" w14:textId="77777777" w:rsidR="002D7BA2" w:rsidRDefault="002D7BA2" w:rsidP="002D7BA2">
      <w:r>
        <w:t xml:space="preserve">Mahmood Mamdani, </w:t>
      </w:r>
      <w:r>
        <w:rPr>
          <w:i/>
          <w:iCs/>
        </w:rPr>
        <w:t xml:space="preserve">When Victims Become Killers: Colonialism, Nativism, and the Genocide in Rwanda </w:t>
      </w:r>
      <w:r>
        <w:t>(Princeton University Press, 2001), Introduction.</w:t>
      </w:r>
    </w:p>
    <w:p w14:paraId="49E2891D" w14:textId="77777777" w:rsidR="00D6710A" w:rsidRDefault="00D6710A">
      <w:pPr>
        <w:rPr>
          <w:rFonts w:asciiTheme="majorHAnsi" w:eastAsiaTheme="majorEastAsia" w:hAnsiTheme="majorHAnsi" w:cstheme="majorBidi"/>
          <w:color w:val="0F4761" w:themeColor="accent1" w:themeShade="BF"/>
          <w:sz w:val="32"/>
          <w:szCs w:val="32"/>
        </w:rPr>
      </w:pPr>
      <w:r>
        <w:br w:type="page"/>
      </w:r>
    </w:p>
    <w:p w14:paraId="78197379" w14:textId="4369B8C7" w:rsidR="00DC66E2" w:rsidRDefault="00D6710A" w:rsidP="00D6710A">
      <w:pPr>
        <w:pStyle w:val="Heading2"/>
      </w:pPr>
      <w:r>
        <w:lastRenderedPageBreak/>
        <w:t>Supplementary reading lists</w:t>
      </w:r>
    </w:p>
    <w:p w14:paraId="42C726C6" w14:textId="29873785" w:rsidR="00D6710A" w:rsidRDefault="00D6710A" w:rsidP="00D6710A">
      <w:r>
        <w:t xml:space="preserve">Below are supplementary reading lists for each of our case studies. They are extensive, you are not expected to read them all! They are intended to act as a resource for when you’re researching your essay, to make it easier to find material. Equally, they are not exhaustive, and you are welcome to carry out your own research beyond these lists. </w:t>
      </w:r>
    </w:p>
    <w:p w14:paraId="78299342" w14:textId="098EFE4C" w:rsidR="00D6710A" w:rsidRDefault="00D6710A" w:rsidP="00D6710A">
      <w:pPr>
        <w:pStyle w:val="Heading3"/>
      </w:pPr>
      <w:r>
        <w:t>Namibia</w:t>
      </w:r>
    </w:p>
    <w:p w14:paraId="6E033FDD" w14:textId="77777777" w:rsidR="00D6710A" w:rsidRDefault="00D6710A" w:rsidP="00D6710A">
      <w:r>
        <w:t xml:space="preserve">Mohamed Adhikari, ‘Streams of Blood and Streams of Money’: New Perspectives on the Annihilation of the Herero and Nama Peoples of Namibia, 1904-1908, </w:t>
      </w:r>
      <w:r>
        <w:rPr>
          <w:i/>
          <w:iCs/>
        </w:rPr>
        <w:t xml:space="preserve">Kronos, </w:t>
      </w:r>
      <w:r>
        <w:t xml:space="preserve">34:1 (2008), 303-320, available open access here: </w:t>
      </w:r>
      <w:hyperlink r:id="rId19" w:history="1">
        <w:r>
          <w:rPr>
            <w:rStyle w:val="Hyperlink"/>
          </w:rPr>
          <w:t>13_2 REVIEW ARTICLE 2.indd (scielo.org.za)</w:t>
        </w:r>
      </w:hyperlink>
    </w:p>
    <w:p w14:paraId="0DB5E8EA" w14:textId="77777777" w:rsidR="00D6710A" w:rsidRDefault="00D6710A" w:rsidP="00D6710A">
      <w:r>
        <w:t xml:space="preserve">Jon Bridgman and Leslie J. Worley, ‘Genocide of the Hereros’ in Samuel Totten and William S. Parsons (eds.), </w:t>
      </w:r>
      <w:r>
        <w:rPr>
          <w:i/>
          <w:iCs/>
        </w:rPr>
        <w:t xml:space="preserve">Century of Genocide: Critical Essays and Eyewitness Accounts, </w:t>
      </w:r>
      <w:r>
        <w:t>(New York, 2009), pp. 14-42.</w:t>
      </w:r>
    </w:p>
    <w:p w14:paraId="16B51494" w14:textId="77777777" w:rsidR="00D6710A" w:rsidRDefault="00D6710A" w:rsidP="00D6710A">
      <w:r>
        <w:t xml:space="preserve">Tilman Dedering, ‘The German-Herero War of 1904: Revisionism of genocide or imaginary historiography?’, </w:t>
      </w:r>
      <w:r>
        <w:rPr>
          <w:i/>
          <w:iCs/>
        </w:rPr>
        <w:t xml:space="preserve">Journal of Southern African Studies </w:t>
      </w:r>
      <w:r>
        <w:t>19:1 (1993), 80-88.</w:t>
      </w:r>
    </w:p>
    <w:p w14:paraId="3BE334C1" w14:textId="77777777" w:rsidR="00D6710A" w:rsidRDefault="00D6710A" w:rsidP="00D6710A">
      <w:r>
        <w:t xml:space="preserve">Kirsten Dyck, ‘Situating the Herero genocide and the Holocaust among European colonial genocides’, </w:t>
      </w:r>
      <w:proofErr w:type="spellStart"/>
      <w:r>
        <w:rPr>
          <w:i/>
          <w:iCs/>
        </w:rPr>
        <w:t>Przeglad</w:t>
      </w:r>
      <w:proofErr w:type="spellEnd"/>
      <w:r>
        <w:rPr>
          <w:i/>
          <w:iCs/>
        </w:rPr>
        <w:t xml:space="preserve"> </w:t>
      </w:r>
      <w:proofErr w:type="spellStart"/>
      <w:r>
        <w:rPr>
          <w:i/>
          <w:iCs/>
        </w:rPr>
        <w:t>Zachodni</w:t>
      </w:r>
      <w:proofErr w:type="spellEnd"/>
      <w:r>
        <w:rPr>
          <w:i/>
          <w:iCs/>
        </w:rPr>
        <w:t xml:space="preserve"> </w:t>
      </w:r>
      <w:r>
        <w:t>1 (2014), 153-172.</w:t>
      </w:r>
    </w:p>
    <w:p w14:paraId="166B926D" w14:textId="77777777" w:rsidR="00D6710A" w:rsidRPr="0068564B" w:rsidRDefault="00D6710A" w:rsidP="00D6710A">
      <w:r>
        <w:t xml:space="preserve">Andreas Eckl and Matthias </w:t>
      </w:r>
      <w:proofErr w:type="spellStart"/>
      <w:r>
        <w:t>Häussler</w:t>
      </w:r>
      <w:proofErr w:type="spellEnd"/>
      <w:r>
        <w:t xml:space="preserve"> with Martha </w:t>
      </w:r>
      <w:proofErr w:type="spellStart"/>
      <w:r>
        <w:t>Akawa</w:t>
      </w:r>
      <w:proofErr w:type="spellEnd"/>
      <w:r>
        <w:t xml:space="preserve"> (eds.), </w:t>
      </w:r>
      <w:r>
        <w:rPr>
          <w:i/>
          <w:iCs/>
        </w:rPr>
        <w:t xml:space="preserve">An unresolved issue: Genocide in colonial Namibia </w:t>
      </w:r>
      <w:r>
        <w:t>(Windhoek, 2024).</w:t>
      </w:r>
    </w:p>
    <w:p w14:paraId="37DD2FEC" w14:textId="77777777" w:rsidR="00D6710A" w:rsidRDefault="00D6710A" w:rsidP="00D6710A">
      <w:r>
        <w:t xml:space="preserve">Khatika Bibi Khan, ‘The Kaiser’s Holocaust: The coloniality of German’s forgotten genocide of the Nama and the Herero of Namibia’, </w:t>
      </w:r>
      <w:r>
        <w:rPr>
          <w:i/>
          <w:iCs/>
        </w:rPr>
        <w:t xml:space="preserve">African Identities </w:t>
      </w:r>
      <w:r>
        <w:t>10:3 (2012), 211-220.</w:t>
      </w:r>
    </w:p>
    <w:p w14:paraId="3B843FC9" w14:textId="77777777" w:rsidR="00D6710A" w:rsidRDefault="00D6710A" w:rsidP="00D6710A">
      <w:r>
        <w:t xml:space="preserve">Erin Jessee, ‘Women and genocide in Africa’, in T. Spear (ed.), </w:t>
      </w:r>
      <w:r>
        <w:rPr>
          <w:i/>
          <w:iCs/>
        </w:rPr>
        <w:t xml:space="preserve">Oxford Research </w:t>
      </w:r>
      <w:proofErr w:type="spellStart"/>
      <w:r>
        <w:rPr>
          <w:i/>
          <w:iCs/>
        </w:rPr>
        <w:t>Encyclopedia</w:t>
      </w:r>
      <w:proofErr w:type="spellEnd"/>
      <w:r>
        <w:rPr>
          <w:i/>
          <w:iCs/>
        </w:rPr>
        <w:t xml:space="preserve"> of African History </w:t>
      </w:r>
      <w:r>
        <w:t>(2020).</w:t>
      </w:r>
    </w:p>
    <w:p w14:paraId="5B8FCDB2" w14:textId="77777777" w:rsidR="00D6710A" w:rsidRDefault="00D6710A" w:rsidP="00D6710A">
      <w:pPr>
        <w:rPr>
          <w:rStyle w:val="Hyperlink"/>
        </w:rPr>
      </w:pPr>
      <w:r>
        <w:t xml:space="preserve">Birthe Kundrus, ‘From the Herero to the Holocaust? Some Remarks on the Current Debate’, </w:t>
      </w:r>
      <w:r>
        <w:rPr>
          <w:i/>
          <w:iCs/>
        </w:rPr>
        <w:t xml:space="preserve">Afrika Spectrum </w:t>
      </w:r>
      <w:r>
        <w:t xml:space="preserve">40:2 (2005), pp.299-308, available open access here: </w:t>
      </w:r>
      <w:hyperlink r:id="rId20" w:history="1">
        <w:r>
          <w:rPr>
            <w:rStyle w:val="Hyperlink"/>
          </w:rPr>
          <w:t>KundrusLast.PDF (ssoar.info)</w:t>
        </w:r>
      </w:hyperlink>
    </w:p>
    <w:p w14:paraId="36D3110A" w14:textId="77777777" w:rsidR="00D6710A" w:rsidRDefault="00D6710A" w:rsidP="00D6710A">
      <w:r>
        <w:t xml:space="preserve">Reinhart Kössler, ‘From genocide to Holocaust? Structural parallels and discursive continuities’, </w:t>
      </w:r>
      <w:r>
        <w:rPr>
          <w:i/>
          <w:iCs/>
        </w:rPr>
        <w:t xml:space="preserve">Afrika Spectrum </w:t>
      </w:r>
      <w:r>
        <w:t>40:2 (2005), 309-317.</w:t>
      </w:r>
    </w:p>
    <w:p w14:paraId="5A416B46" w14:textId="53F5773D" w:rsidR="00D6710A" w:rsidRDefault="00D6710A" w:rsidP="00D6710A">
      <w:r>
        <w:t xml:space="preserve">Henrik Lundtofte, ‘“I believe that the nation as such must be annihilated…” Radicalization of the German suppression of the Herero rising in 1904’, in Steven L. B. Jensen (ed.), </w:t>
      </w:r>
      <w:r>
        <w:rPr>
          <w:i/>
          <w:iCs/>
        </w:rPr>
        <w:t xml:space="preserve">Genocide: Cases, Comparisons and Contemporary Debates </w:t>
      </w:r>
      <w:r>
        <w:t>(Copenhagen, 2003), pp. 15-54.</w:t>
      </w:r>
    </w:p>
    <w:p w14:paraId="1ABD3094" w14:textId="77777777" w:rsidR="00D6710A" w:rsidRPr="003B6D43" w:rsidRDefault="00D6710A" w:rsidP="00D6710A">
      <w:r>
        <w:t xml:space="preserve">Jeremy Silvester and Jan-Bart </w:t>
      </w:r>
      <w:proofErr w:type="spellStart"/>
      <w:r>
        <w:t>Gewald</w:t>
      </w:r>
      <w:proofErr w:type="spellEnd"/>
      <w:r>
        <w:t xml:space="preserve">, </w:t>
      </w:r>
      <w:r>
        <w:rPr>
          <w:i/>
          <w:iCs/>
        </w:rPr>
        <w:t xml:space="preserve">Words Cannot Be Found: German Colonial Rule in Namibia: An Annotated Reprint of the 1918 Blue Book </w:t>
      </w:r>
      <w:r>
        <w:t>(Leiden, 2003).</w:t>
      </w:r>
    </w:p>
    <w:p w14:paraId="66FD5091" w14:textId="77777777" w:rsidR="00D6710A" w:rsidRPr="00037CB8" w:rsidRDefault="00D6710A" w:rsidP="00D6710A">
      <w:r w:rsidRPr="00037CB8">
        <w:lastRenderedPageBreak/>
        <w:t xml:space="preserve">Klaus Bachmann, </w:t>
      </w:r>
      <w:r w:rsidRPr="00037CB8">
        <w:rPr>
          <w:i/>
          <w:iCs/>
        </w:rPr>
        <w:t>Genocidal Empires: German Colonialism in</w:t>
      </w:r>
      <w:r>
        <w:rPr>
          <w:i/>
          <w:iCs/>
        </w:rPr>
        <w:t xml:space="preserve"> Africa and the Third Reich </w:t>
      </w:r>
      <w:r>
        <w:t>(Peter Lang, 2018).</w:t>
      </w:r>
    </w:p>
    <w:p w14:paraId="1F08AA5D" w14:textId="77777777" w:rsidR="00D6710A" w:rsidRDefault="00D6710A" w:rsidP="00D6710A">
      <w:r>
        <w:t xml:space="preserve">Mads Bomholt Nielsen, ‘Selective Memory: British Perceptions of the Herero-Nama Genocide, 1904-1908 and 1918’, </w:t>
      </w:r>
      <w:r>
        <w:rPr>
          <w:i/>
          <w:iCs/>
        </w:rPr>
        <w:t xml:space="preserve">Journal of Southern African Studies </w:t>
      </w:r>
      <w:r>
        <w:t>43:2 (2017), 315-330.</w:t>
      </w:r>
    </w:p>
    <w:p w14:paraId="2A7C638A" w14:textId="77777777" w:rsidR="00D6710A" w:rsidRPr="00B96612" w:rsidRDefault="00D6710A" w:rsidP="00D6710A">
      <w:r w:rsidRPr="00B96612">
        <w:t>Katharina von Hammerstein, ‘The Herero: Witness</w:t>
      </w:r>
      <w:r>
        <w:t xml:space="preserve">ing Germany’s “other genocide”, </w:t>
      </w:r>
      <w:r>
        <w:rPr>
          <w:i/>
          <w:iCs/>
        </w:rPr>
        <w:t xml:space="preserve">Contemporary French and Francophone Studies </w:t>
      </w:r>
      <w:r>
        <w:t>20:2 (2016), 267-286.</w:t>
      </w:r>
    </w:p>
    <w:p w14:paraId="01036FFE" w14:textId="77777777" w:rsidR="00D6710A" w:rsidRDefault="00D6710A" w:rsidP="00D6710A">
      <w:r w:rsidRPr="009962C5">
        <w:t xml:space="preserve">Elisa von </w:t>
      </w:r>
      <w:proofErr w:type="spellStart"/>
      <w:r w:rsidRPr="009962C5">
        <w:t>Joeden</w:t>
      </w:r>
      <w:proofErr w:type="spellEnd"/>
      <w:r w:rsidRPr="009962C5">
        <w:t>-Forgey, ‘Hidden in Plain Sight: A</w:t>
      </w:r>
      <w:r>
        <w:t xml:space="preserve">trocity Concealment in German Political Culture Before the First World War’ in Alexander Laban Hinton, Thomas La Pointe and Douglas Irvin-Erickson (eds.), </w:t>
      </w:r>
      <w:r>
        <w:rPr>
          <w:i/>
          <w:iCs/>
        </w:rPr>
        <w:t xml:space="preserve">Hidden Genocides: Power, Knowledge, Memory </w:t>
      </w:r>
      <w:r>
        <w:t>(Rutgers University Press, 2014), pp. 52-67.</w:t>
      </w:r>
    </w:p>
    <w:p w14:paraId="7BEC01FE" w14:textId="77777777" w:rsidR="00D6710A" w:rsidRPr="00780B6B" w:rsidRDefault="00D6710A" w:rsidP="00D6710A">
      <w:r w:rsidRPr="00780B6B">
        <w:t>Reinhart Kössler, ‘Genocide in Namibia, the Holocaust and th</w:t>
      </w:r>
      <w:r>
        <w:t>e issue of colonialism</w:t>
      </w:r>
      <w:proofErr w:type="gramStart"/>
      <w:r>
        <w:t>’ ,</w:t>
      </w:r>
      <w:proofErr w:type="gramEnd"/>
      <w:r>
        <w:t xml:space="preserve"> </w:t>
      </w:r>
      <w:r>
        <w:rPr>
          <w:i/>
          <w:iCs/>
        </w:rPr>
        <w:t xml:space="preserve">Journal of Southern African Studies </w:t>
      </w:r>
      <w:r>
        <w:t>38:1 (2012), 233-238.</w:t>
      </w:r>
    </w:p>
    <w:p w14:paraId="28155940" w14:textId="77777777" w:rsidR="00D6710A" w:rsidRPr="001E6AF7" w:rsidRDefault="00D6710A" w:rsidP="00D6710A">
      <w:r w:rsidRPr="001E6AF7">
        <w:t>Janne Lahti, ‘</w:t>
      </w:r>
      <w:proofErr w:type="spellStart"/>
      <w:r w:rsidRPr="001E6AF7">
        <w:rPr>
          <w:i/>
          <w:iCs/>
        </w:rPr>
        <w:t>Südwester</w:t>
      </w:r>
      <w:proofErr w:type="spellEnd"/>
      <w:r w:rsidRPr="001E6AF7">
        <w:rPr>
          <w:i/>
          <w:iCs/>
        </w:rPr>
        <w:t xml:space="preserve"> Reiter: </w:t>
      </w:r>
      <w:r w:rsidRPr="001E6AF7">
        <w:t xml:space="preserve">Fear, Belonging, </w:t>
      </w:r>
      <w:r>
        <w:t xml:space="preserve">and Settler Colonial Violence in Namibia’, </w:t>
      </w:r>
      <w:r>
        <w:rPr>
          <w:i/>
          <w:iCs/>
        </w:rPr>
        <w:t xml:space="preserve">Journal of Genocide Research </w:t>
      </w:r>
      <w:r>
        <w:t>24:4 (2022), 529-548.</w:t>
      </w:r>
    </w:p>
    <w:p w14:paraId="560DA186" w14:textId="77777777" w:rsidR="00D6710A" w:rsidRDefault="00D6710A" w:rsidP="00D6710A">
      <w:r w:rsidRPr="001E6AF7">
        <w:t xml:space="preserve"> </w:t>
      </w:r>
      <w:r>
        <w:t xml:space="preserve">Benjamin Madley, ‘Patterns of Frontier Genocide 1803-1910: The Aboriginal Tasmanians, the Yuki of California, and the Herero of Namibia’, </w:t>
      </w:r>
      <w:r>
        <w:rPr>
          <w:i/>
          <w:iCs/>
        </w:rPr>
        <w:t xml:space="preserve">Journal of Genocide Research, </w:t>
      </w:r>
      <w:r>
        <w:t>6:2 (2004), 167-192.</w:t>
      </w:r>
    </w:p>
    <w:p w14:paraId="63FA7123" w14:textId="77777777" w:rsidR="00D6710A" w:rsidRDefault="00D6710A" w:rsidP="00D6710A">
      <w:r>
        <w:t xml:space="preserve">Benjamin Madley, ‘From Africa to Auschwitz: How German </w:t>
      </w:r>
      <w:proofErr w:type="gramStart"/>
      <w:r>
        <w:t>South West</w:t>
      </w:r>
      <w:proofErr w:type="gramEnd"/>
      <w:r>
        <w:t xml:space="preserve"> Africa Incubated Ideas and Methods Adopted and Developed by the Nazis in Eastern Europe’, </w:t>
      </w:r>
      <w:r>
        <w:rPr>
          <w:i/>
          <w:iCs/>
        </w:rPr>
        <w:t xml:space="preserve">European History Quarterly, </w:t>
      </w:r>
      <w:r>
        <w:t>35:3 (2005), 429-464.</w:t>
      </w:r>
    </w:p>
    <w:p w14:paraId="19D3354B" w14:textId="77777777" w:rsidR="00D6710A" w:rsidRDefault="00D6710A" w:rsidP="00D6710A">
      <w:r>
        <w:t xml:space="preserve">Matthias </w:t>
      </w:r>
      <w:proofErr w:type="spellStart"/>
      <w:r>
        <w:t>Häussler</w:t>
      </w:r>
      <w:proofErr w:type="spellEnd"/>
      <w:r>
        <w:t xml:space="preserve">, </w:t>
      </w:r>
      <w:r>
        <w:rPr>
          <w:i/>
          <w:iCs/>
        </w:rPr>
        <w:t xml:space="preserve">The Herero Genocide: War, Emotion, and Extreme Violence in Colonial Namibia </w:t>
      </w:r>
      <w:r>
        <w:t>(New York, 2021).</w:t>
      </w:r>
    </w:p>
    <w:p w14:paraId="56B02F19" w14:textId="77777777" w:rsidR="00D6710A" w:rsidRDefault="00D6710A" w:rsidP="00D6710A">
      <w:r>
        <w:t xml:space="preserve">Isabel V. Hull, ‘Military Culture and the Production of “Final Solutions” in the Colonies: The Example of </w:t>
      </w:r>
      <w:proofErr w:type="spellStart"/>
      <w:r>
        <w:t>Wilhelminian</w:t>
      </w:r>
      <w:proofErr w:type="spellEnd"/>
      <w:r>
        <w:t xml:space="preserve"> Germany’ in Robert </w:t>
      </w:r>
      <w:proofErr w:type="spellStart"/>
      <w:r>
        <w:t>Gellately</w:t>
      </w:r>
      <w:proofErr w:type="spellEnd"/>
      <w:r>
        <w:t xml:space="preserve"> and Ben Kiernan (eds.), </w:t>
      </w:r>
      <w:proofErr w:type="gramStart"/>
      <w:r>
        <w:t xml:space="preserve">‘ </w:t>
      </w:r>
      <w:r>
        <w:rPr>
          <w:i/>
          <w:iCs/>
        </w:rPr>
        <w:t>The</w:t>
      </w:r>
      <w:proofErr w:type="gramEnd"/>
      <w:r>
        <w:rPr>
          <w:i/>
          <w:iCs/>
        </w:rPr>
        <w:t xml:space="preserve"> Specter of Genocide: Mass Murder in Historical Perspective </w:t>
      </w:r>
      <w:r>
        <w:t>(Cambridge, 2003), pp. 141-162.</w:t>
      </w:r>
    </w:p>
    <w:p w14:paraId="400BBC68" w14:textId="77777777" w:rsidR="00D6710A" w:rsidRDefault="00D6710A" w:rsidP="00D6710A">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3.</w:t>
      </w:r>
    </w:p>
    <w:p w14:paraId="1D47B1F5" w14:textId="77777777" w:rsidR="00D6710A" w:rsidRDefault="00D6710A" w:rsidP="00D6710A">
      <w:r>
        <w:t xml:space="preserve">Jeremy Sarkin, </w:t>
      </w:r>
      <w:r>
        <w:rPr>
          <w:i/>
          <w:iCs/>
        </w:rPr>
        <w:t xml:space="preserve">Germany’s Genocide of the Herero: Kaiser Wilhelm II, His General, His Settlers, His Soldiers </w:t>
      </w:r>
      <w:r>
        <w:t>(Cape Town, 2011).</w:t>
      </w:r>
    </w:p>
    <w:p w14:paraId="6282C51D" w14:textId="77777777" w:rsidR="00D6710A" w:rsidRPr="00105220" w:rsidRDefault="00D6710A" w:rsidP="00D6710A">
      <w:r>
        <w:t xml:space="preserve">Dominik J. Schaller, ‘“Every Herero Will Be Shot”: Genocide, Concentration Camps and Slave Labour in German South-West Africa” in René Lemarchand (ed.), </w:t>
      </w:r>
      <w:r>
        <w:rPr>
          <w:i/>
          <w:iCs/>
        </w:rPr>
        <w:t xml:space="preserve">Forgotten Genocides: Oblivion, Denial, and Memory </w:t>
      </w:r>
      <w:r>
        <w:t>(University of Pennsylvania Press, 2011), pp. 37-50.</w:t>
      </w:r>
    </w:p>
    <w:p w14:paraId="4DD0E3D1" w14:textId="77777777" w:rsidR="00D6710A" w:rsidRDefault="00D6710A" w:rsidP="00D6710A">
      <w:r w:rsidRPr="003B6D43">
        <w:lastRenderedPageBreak/>
        <w:t xml:space="preserve">Jürgen Zimmerer, </w:t>
      </w:r>
      <w:r w:rsidRPr="003B6D43">
        <w:rPr>
          <w:i/>
          <w:iCs/>
        </w:rPr>
        <w:t xml:space="preserve">From Windhoek to </w:t>
      </w:r>
      <w:proofErr w:type="gramStart"/>
      <w:r w:rsidRPr="003B6D43">
        <w:rPr>
          <w:i/>
          <w:iCs/>
        </w:rPr>
        <w:t>Auschwitz?:</w:t>
      </w:r>
      <w:proofErr w:type="gramEnd"/>
      <w:r w:rsidRPr="003B6D43">
        <w:rPr>
          <w:i/>
          <w:iCs/>
        </w:rPr>
        <w:t xml:space="preserve"> Reflections on th</w:t>
      </w:r>
      <w:r>
        <w:rPr>
          <w:i/>
          <w:iCs/>
        </w:rPr>
        <w:t xml:space="preserve">e Relationship Between Colonialism and National Socialism </w:t>
      </w:r>
      <w:r>
        <w:t>(Berlin, 2024).</w:t>
      </w:r>
    </w:p>
    <w:p w14:paraId="61C0B38C" w14:textId="77777777" w:rsidR="00D6710A" w:rsidRPr="008F33E2" w:rsidRDefault="00D6710A" w:rsidP="00D6710A">
      <w:r w:rsidRPr="00B15747">
        <w:t xml:space="preserve">Jürgen Zimmerer, ‘Colonialism and </w:t>
      </w:r>
      <w:r>
        <w:t xml:space="preserve">the Holocaust: Towards an archaeology of genocide’, </w:t>
      </w:r>
      <w:r>
        <w:rPr>
          <w:i/>
          <w:iCs/>
        </w:rPr>
        <w:t xml:space="preserve">Development Dialogue </w:t>
      </w:r>
      <w:r>
        <w:t>50 (2008), 95-124.</w:t>
      </w:r>
    </w:p>
    <w:p w14:paraId="76EDC127" w14:textId="77777777" w:rsidR="009C15A7" w:rsidRDefault="009C15A7" w:rsidP="009C15A7">
      <w:pPr>
        <w:pStyle w:val="Heading3"/>
      </w:pPr>
      <w:r>
        <w:t>The Holocaust</w:t>
      </w:r>
    </w:p>
    <w:p w14:paraId="1A17EB1C" w14:textId="77777777" w:rsidR="009C15A7" w:rsidRDefault="009C15A7" w:rsidP="009C15A7">
      <w:r>
        <w:t xml:space="preserve">Sue Andrews, ‘Remembering the Holocaust: Gender matters’, </w:t>
      </w:r>
      <w:proofErr w:type="gramStart"/>
      <w:r>
        <w:rPr>
          <w:i/>
          <w:iCs/>
        </w:rPr>
        <w:t>Social</w:t>
      </w:r>
      <w:proofErr w:type="gramEnd"/>
      <w:r>
        <w:rPr>
          <w:i/>
          <w:iCs/>
        </w:rPr>
        <w:t xml:space="preserve"> alternatives </w:t>
      </w:r>
      <w:r>
        <w:t>22:2 (2003), 16-21.</w:t>
      </w:r>
    </w:p>
    <w:p w14:paraId="22A3410E" w14:textId="77777777" w:rsidR="009C15A7" w:rsidRPr="00253EA3" w:rsidRDefault="009C15A7" w:rsidP="009C15A7">
      <w:r w:rsidRPr="00253EA3">
        <w:t>Stacy Banwell, ‘</w:t>
      </w:r>
      <w:proofErr w:type="spellStart"/>
      <w:r w:rsidRPr="00253EA3">
        <w:t>Rassenschande</w:t>
      </w:r>
      <w:proofErr w:type="spellEnd"/>
      <w:r w:rsidRPr="00253EA3">
        <w:t>, genocide and th</w:t>
      </w:r>
      <w:r>
        <w:t xml:space="preserve">e reproductive Jewish body: Examining the use of rape and sexualised violence against Jewish women during the Holocaust’, </w:t>
      </w:r>
      <w:r>
        <w:rPr>
          <w:i/>
          <w:iCs/>
        </w:rPr>
        <w:t xml:space="preserve">Journal of Modern Jewish Studies </w:t>
      </w:r>
      <w:r>
        <w:t>15:2 (2016), 208-227.</w:t>
      </w:r>
    </w:p>
    <w:p w14:paraId="6C036C2F" w14:textId="77777777" w:rsidR="009C15A7" w:rsidRPr="00336CD9" w:rsidRDefault="009C15A7" w:rsidP="009C15A7">
      <w:r>
        <w:t xml:space="preserve">Judith Tydor Baumel, ‘“You said the words you wanted me to hear but I heard the words you couldn’t bring yourself to say”: Women’s </w:t>
      </w:r>
      <w:proofErr w:type="gramStart"/>
      <w:r>
        <w:t>first person</w:t>
      </w:r>
      <w:proofErr w:type="gramEnd"/>
      <w:r>
        <w:t xml:space="preserve"> accounts of the Holocaust’, </w:t>
      </w:r>
      <w:r>
        <w:rPr>
          <w:i/>
          <w:iCs/>
        </w:rPr>
        <w:t xml:space="preserve">Oral History Review </w:t>
      </w:r>
      <w:r>
        <w:t>27:1 (2000), 17-56.</w:t>
      </w:r>
    </w:p>
    <w:p w14:paraId="5A5A2675" w14:textId="77777777" w:rsidR="009C15A7" w:rsidRDefault="009C15A7" w:rsidP="009C15A7">
      <w:r w:rsidRPr="003B6D43">
        <w:t xml:space="preserve">Omer Bartov, </w:t>
      </w:r>
      <w:r w:rsidRPr="003B6D43">
        <w:rPr>
          <w:i/>
          <w:iCs/>
        </w:rPr>
        <w:t>Germany’s War and th</w:t>
      </w:r>
      <w:r>
        <w:rPr>
          <w:i/>
          <w:iCs/>
        </w:rPr>
        <w:t xml:space="preserve">e Holocaust: Disputed Histories </w:t>
      </w:r>
      <w:r>
        <w:t>(2003), Introduction and chapter 6.</w:t>
      </w:r>
    </w:p>
    <w:p w14:paraId="4F82392F" w14:textId="77777777" w:rsidR="009C15A7" w:rsidRPr="00083C00" w:rsidRDefault="009C15A7" w:rsidP="009C15A7">
      <w:r w:rsidRPr="00083C00">
        <w:t xml:space="preserve">Omer Bartov, ‘The Holocaust’ in Robert </w:t>
      </w:r>
      <w:proofErr w:type="spellStart"/>
      <w:r w:rsidRPr="00083C00">
        <w:t>Gellately</w:t>
      </w:r>
      <w:proofErr w:type="spellEnd"/>
      <w:r w:rsidRPr="00083C00">
        <w:t xml:space="preserve"> (ed.), </w:t>
      </w:r>
      <w:r w:rsidRPr="00083C00">
        <w:rPr>
          <w:i/>
          <w:iCs/>
        </w:rPr>
        <w:t>Th</w:t>
      </w:r>
      <w:r>
        <w:rPr>
          <w:i/>
          <w:iCs/>
        </w:rPr>
        <w:t xml:space="preserve">e Oxford History of the Third Reich </w:t>
      </w:r>
      <w:r>
        <w:t>(Oxford, 2023), 190-216.</w:t>
      </w:r>
    </w:p>
    <w:p w14:paraId="51D8A261" w14:textId="77777777" w:rsidR="009C15A7" w:rsidRPr="00914AA5" w:rsidRDefault="009C15A7" w:rsidP="009C15A7">
      <w:r>
        <w:t xml:space="preserve">Nicole Ephgrave, ‘On women’s bodies: Experiences of dehumanisation during the Holocaust’, </w:t>
      </w:r>
      <w:r>
        <w:rPr>
          <w:i/>
          <w:iCs/>
        </w:rPr>
        <w:t xml:space="preserve">Journal of Women’s History </w:t>
      </w:r>
      <w:r>
        <w:t>28:2 (2016), 12-32.</w:t>
      </w:r>
    </w:p>
    <w:p w14:paraId="7EDA4910" w14:textId="77777777" w:rsidR="009C15A7" w:rsidRPr="00F72C02" w:rsidRDefault="009C15A7" w:rsidP="009C15A7">
      <w:r>
        <w:t xml:space="preserve">Kenny Fries, ‘“I still struggle to ensure that I am truly listening”: Understanding gender, sexuality, and sexual violence during the Holocaust. A conversation’, </w:t>
      </w:r>
      <w:r>
        <w:rPr>
          <w:i/>
          <w:iCs/>
        </w:rPr>
        <w:t xml:space="preserve">Journal of Holocaust Research </w:t>
      </w:r>
      <w:r>
        <w:t>38:3-4 (2024), 181-205.</w:t>
      </w:r>
    </w:p>
    <w:p w14:paraId="1731E540" w14:textId="77777777" w:rsidR="009C15A7" w:rsidRDefault="009C15A7" w:rsidP="009C15A7">
      <w:r>
        <w:t xml:space="preserve">Robert </w:t>
      </w:r>
      <w:proofErr w:type="spellStart"/>
      <w:r>
        <w:t>Gellately</w:t>
      </w:r>
      <w:proofErr w:type="spellEnd"/>
      <w:r>
        <w:t xml:space="preserve">, </w:t>
      </w:r>
      <w:r>
        <w:rPr>
          <w:i/>
          <w:iCs/>
        </w:rPr>
        <w:t xml:space="preserve">Backing Hitler: Consent and Coercion in Nazi Germany </w:t>
      </w:r>
      <w:r>
        <w:t>(Oxford, 2001).</w:t>
      </w:r>
    </w:p>
    <w:p w14:paraId="7034743B" w14:textId="77777777" w:rsidR="009C15A7" w:rsidRDefault="009C15A7" w:rsidP="009C15A7">
      <w:r>
        <w:t xml:space="preserve">Dorota Glowacka, ‘Sexual violence against men and boys during the Holocaust: A genealogy of (not-so-silent) silence’, </w:t>
      </w:r>
      <w:r>
        <w:rPr>
          <w:i/>
          <w:iCs/>
        </w:rPr>
        <w:t xml:space="preserve">German History </w:t>
      </w:r>
      <w:r>
        <w:t>39:1 (2021), 78-99.</w:t>
      </w:r>
    </w:p>
    <w:p w14:paraId="275BED2D" w14:textId="77777777" w:rsidR="009C15A7" w:rsidRDefault="009C15A7" w:rsidP="009C15A7">
      <w:r>
        <w:t xml:space="preserve">Katya Gusarov, ‘Sexual barter and Jewish women’s efforts to save their lives: Accounts from the Righteous Among the Nations Archives’, </w:t>
      </w:r>
      <w:r>
        <w:rPr>
          <w:i/>
          <w:iCs/>
        </w:rPr>
        <w:t xml:space="preserve">German History </w:t>
      </w:r>
      <w:r>
        <w:t>39:1 (2021), 100-111.</w:t>
      </w:r>
    </w:p>
    <w:p w14:paraId="0CA6A700" w14:textId="77777777" w:rsidR="009C15A7" w:rsidRDefault="009C15A7" w:rsidP="009C15A7">
      <w:r>
        <w:t xml:space="preserve">Anna </w:t>
      </w:r>
      <w:proofErr w:type="spellStart"/>
      <w:r>
        <w:t>Hajkova</w:t>
      </w:r>
      <w:proofErr w:type="spellEnd"/>
      <w:r>
        <w:t xml:space="preserve">, ‘Between love and coercion: Queer desire, sexual barter and the Holocaust’, </w:t>
      </w:r>
      <w:r>
        <w:rPr>
          <w:i/>
          <w:iCs/>
        </w:rPr>
        <w:t xml:space="preserve">German History </w:t>
      </w:r>
      <w:r>
        <w:t>39:1 (2021), 112-133.</w:t>
      </w:r>
    </w:p>
    <w:p w14:paraId="706161B2" w14:textId="77777777" w:rsidR="009C15A7" w:rsidRDefault="009C15A7" w:rsidP="009C15A7">
      <w:r>
        <w:t xml:space="preserve">Anna </w:t>
      </w:r>
      <w:proofErr w:type="spellStart"/>
      <w:r>
        <w:t>Hajkova</w:t>
      </w:r>
      <w:proofErr w:type="spellEnd"/>
      <w:r>
        <w:t xml:space="preserve">, ‘Sexual barter in times of genocide: Negotiating the sexual economy of the Theresienstadt Ghetto’, </w:t>
      </w:r>
      <w:r>
        <w:rPr>
          <w:i/>
          <w:iCs/>
        </w:rPr>
        <w:t xml:space="preserve">Signs </w:t>
      </w:r>
      <w:r>
        <w:t>38:3 (2013), 503-533.</w:t>
      </w:r>
    </w:p>
    <w:p w14:paraId="62EDDA6E" w14:textId="77777777" w:rsidR="009C15A7" w:rsidRDefault="009C15A7" w:rsidP="009C15A7">
      <w:r>
        <w:t xml:space="preserve">Anna </w:t>
      </w:r>
      <w:proofErr w:type="spellStart"/>
      <w:r>
        <w:t>Hajkova</w:t>
      </w:r>
      <w:proofErr w:type="spellEnd"/>
      <w:r>
        <w:t xml:space="preserve">, Elissa </w:t>
      </w:r>
      <w:proofErr w:type="spellStart"/>
      <w:r>
        <w:t>Mailaender</w:t>
      </w:r>
      <w:proofErr w:type="spellEnd"/>
      <w:r>
        <w:t xml:space="preserve">, Doris Bergen, Patrick </w:t>
      </w:r>
      <w:proofErr w:type="spellStart"/>
      <w:r>
        <w:t>Farges</w:t>
      </w:r>
      <w:proofErr w:type="spellEnd"/>
      <w:r>
        <w:t xml:space="preserve"> and Attina Grossmann, ‘Forum: Holocaust and history of gender and sexuality’, </w:t>
      </w:r>
      <w:r>
        <w:rPr>
          <w:i/>
          <w:iCs/>
        </w:rPr>
        <w:t xml:space="preserve">German History </w:t>
      </w:r>
      <w:r>
        <w:t>36:1 (2018), 78-100.</w:t>
      </w:r>
    </w:p>
    <w:p w14:paraId="59E19609" w14:textId="77777777" w:rsidR="009C15A7" w:rsidRPr="007469D4" w:rsidRDefault="009C15A7" w:rsidP="009C15A7">
      <w:r>
        <w:lastRenderedPageBreak/>
        <w:t xml:space="preserve">Anna Hájková, ‘Introduction: Sexuality, Holocaust, stigma’, </w:t>
      </w:r>
      <w:r>
        <w:rPr>
          <w:i/>
          <w:iCs/>
        </w:rPr>
        <w:t xml:space="preserve">German History </w:t>
      </w:r>
      <w:r>
        <w:t>39:1 (2021), 1-14.</w:t>
      </w:r>
    </w:p>
    <w:p w14:paraId="3E45BC93" w14:textId="77777777" w:rsidR="009C15A7" w:rsidRPr="00DB6B9B" w:rsidRDefault="009C15A7" w:rsidP="009C15A7">
      <w:r>
        <w:t xml:space="preserve">Peter Hayes (ed.), </w:t>
      </w:r>
      <w:r>
        <w:rPr>
          <w:i/>
          <w:iCs/>
        </w:rPr>
        <w:t xml:space="preserve">How Was It </w:t>
      </w:r>
      <w:proofErr w:type="gramStart"/>
      <w:r>
        <w:rPr>
          <w:i/>
          <w:iCs/>
        </w:rPr>
        <w:t>Possible?:</w:t>
      </w:r>
      <w:proofErr w:type="gramEnd"/>
      <w:r>
        <w:rPr>
          <w:i/>
          <w:iCs/>
        </w:rPr>
        <w:t xml:space="preserve"> A Holocaust Reader </w:t>
      </w:r>
      <w:r>
        <w:t>(University of Nebraska Press, 2015).</w:t>
      </w:r>
    </w:p>
    <w:p w14:paraId="14601D0F" w14:textId="77777777" w:rsidR="009C15A7" w:rsidRPr="003B6D43" w:rsidRDefault="009C15A7" w:rsidP="009C15A7">
      <w:r>
        <w:t xml:space="preserve">Jeffrey Herf, ‘The “Jewish War”: Goebbels and the Antisemitic Campaigns of the Nazi Propaganda Ministry’, </w:t>
      </w:r>
      <w:r>
        <w:rPr>
          <w:i/>
          <w:iCs/>
        </w:rPr>
        <w:t xml:space="preserve">Holocaust and Genocide Studies </w:t>
      </w:r>
      <w:r>
        <w:t>19:1 (2005), 51-80.</w:t>
      </w:r>
    </w:p>
    <w:p w14:paraId="46479121" w14:textId="77777777" w:rsidR="009C15A7" w:rsidRDefault="009C15A7" w:rsidP="009C15A7">
      <w:r>
        <w:t xml:space="preserve">Raul Hilberg, </w:t>
      </w:r>
      <w:r>
        <w:rPr>
          <w:i/>
          <w:iCs/>
        </w:rPr>
        <w:t xml:space="preserve">The Destruction of the European Jews </w:t>
      </w:r>
      <w:r>
        <w:t>(2003).</w:t>
      </w:r>
    </w:p>
    <w:p w14:paraId="4297802C" w14:textId="77777777" w:rsidR="009C15A7" w:rsidRDefault="009C15A7" w:rsidP="009C15A7">
      <w:r w:rsidRPr="00083C00">
        <w:t>Vandana Josh</w:t>
      </w:r>
      <w:r>
        <w:t xml:space="preserve">i, ‘Changing perspectives on the role of women in Nazi Germany: The case of women denouncers’, </w:t>
      </w:r>
      <w:r>
        <w:rPr>
          <w:i/>
          <w:iCs/>
        </w:rPr>
        <w:t xml:space="preserve">Studies in History </w:t>
      </w:r>
      <w:r>
        <w:t>18:2 (2002), 209-230.</w:t>
      </w:r>
    </w:p>
    <w:p w14:paraId="491CE203" w14:textId="77777777" w:rsidR="009C15A7" w:rsidRDefault="009C15A7" w:rsidP="009C15A7">
      <w:r w:rsidRPr="00083C00">
        <w:t xml:space="preserve">Adam Jones, </w:t>
      </w:r>
      <w:r w:rsidRPr="00083C00">
        <w:rPr>
          <w:i/>
          <w:iCs/>
        </w:rPr>
        <w:t>Genocide: A Comprehensive Introduction</w:t>
      </w:r>
      <w:r w:rsidRPr="00083C00">
        <w:t>, Chapter 6 and chapter 10.</w:t>
      </w:r>
    </w:p>
    <w:p w14:paraId="7417789C" w14:textId="77777777" w:rsidR="009C15A7" w:rsidRPr="00083C00" w:rsidRDefault="009C15A7" w:rsidP="009C15A7">
      <w:r>
        <w:t xml:space="preserve">Adam Jones, ‘Gendercide and genocide’, </w:t>
      </w:r>
      <w:r>
        <w:rPr>
          <w:i/>
          <w:iCs/>
        </w:rPr>
        <w:t xml:space="preserve">Journal of genocide research </w:t>
      </w:r>
      <w:r>
        <w:t>2:2 (2000), 185-211.</w:t>
      </w:r>
    </w:p>
    <w:p w14:paraId="437AEB9D" w14:textId="77777777" w:rsidR="009C15A7" w:rsidRDefault="009C15A7" w:rsidP="009C15A7">
      <w:r>
        <w:t xml:space="preserve">Marion Kaplan, </w:t>
      </w:r>
      <w:r>
        <w:rPr>
          <w:i/>
          <w:iCs/>
        </w:rPr>
        <w:t xml:space="preserve">Between Dignity and Despair: Jewish Life in Nazi Germany </w:t>
      </w:r>
      <w:r>
        <w:t>(Oxford, 1999).</w:t>
      </w:r>
    </w:p>
    <w:p w14:paraId="5DADB216" w14:textId="77777777" w:rsidR="009C15A7" w:rsidRPr="00FA5341" w:rsidRDefault="009C15A7" w:rsidP="009C15A7">
      <w:r w:rsidRPr="00FA5341">
        <w:t>Marion Kaplan, ‘Did gender matter during th</w:t>
      </w:r>
      <w:r>
        <w:t xml:space="preserve">e Holocaust?’, </w:t>
      </w:r>
      <w:r>
        <w:rPr>
          <w:i/>
          <w:iCs/>
        </w:rPr>
        <w:t xml:space="preserve">Jewish Social Studies </w:t>
      </w:r>
      <w:r>
        <w:t>24:2 (2019), 37-56.</w:t>
      </w:r>
    </w:p>
    <w:p w14:paraId="6B95DDD7" w14:textId="77777777" w:rsidR="009C15A7" w:rsidRDefault="009C15A7" w:rsidP="009C15A7">
      <w:r>
        <w:t xml:space="preserve">Tom Lawson, </w:t>
      </w:r>
      <w:r>
        <w:rPr>
          <w:i/>
          <w:iCs/>
        </w:rPr>
        <w:t xml:space="preserve">Debates on the Holocaust </w:t>
      </w:r>
      <w:r>
        <w:t>(Manchester, 2010), Chapter 4 and chapter 6.</w:t>
      </w:r>
    </w:p>
    <w:p w14:paraId="6F6C77DD" w14:textId="77777777" w:rsidR="009C15A7" w:rsidRDefault="009C15A7" w:rsidP="009C15A7">
      <w:r>
        <w:t xml:space="preserve">Regina </w:t>
      </w:r>
      <w:proofErr w:type="spellStart"/>
      <w:r>
        <w:t>Mühlhäuser</w:t>
      </w:r>
      <w:proofErr w:type="spellEnd"/>
      <w:r>
        <w:t xml:space="preserve">, ‘Understanding sexual violence during the Holocaust: A reconsideration of research and sources’, </w:t>
      </w:r>
      <w:r>
        <w:rPr>
          <w:i/>
          <w:iCs/>
        </w:rPr>
        <w:t xml:space="preserve">German History </w:t>
      </w:r>
      <w:r>
        <w:t>39:1 (2021), 15-36.</w:t>
      </w:r>
    </w:p>
    <w:p w14:paraId="2F3F55BE" w14:textId="77777777" w:rsidR="009C15A7" w:rsidRDefault="009C15A7" w:rsidP="009C15A7">
      <w:r>
        <w:t xml:space="preserve">Donald </w:t>
      </w:r>
      <w:proofErr w:type="spellStart"/>
      <w:r>
        <w:t>Niewyk</w:t>
      </w:r>
      <w:proofErr w:type="spellEnd"/>
      <w:r>
        <w:t xml:space="preserve"> and Francis Nicosia, </w:t>
      </w:r>
      <w:r>
        <w:rPr>
          <w:i/>
          <w:iCs/>
        </w:rPr>
        <w:t xml:space="preserve">The Columbia Guide to the Holocaust </w:t>
      </w:r>
      <w:r>
        <w:t>(New York, 2000), pp. 53-96.</w:t>
      </w:r>
    </w:p>
    <w:p w14:paraId="2BC928A0" w14:textId="77777777" w:rsidR="009C15A7" w:rsidRPr="00F17AB7" w:rsidRDefault="009C15A7" w:rsidP="009C15A7">
      <w:r w:rsidRPr="00F17AB7">
        <w:t>Lisa Pine, ‘Gender and Holocaust victims</w:t>
      </w:r>
      <w:r>
        <w:t xml:space="preserve">: A reappraisal’, </w:t>
      </w:r>
      <w:r>
        <w:rPr>
          <w:i/>
          <w:iCs/>
        </w:rPr>
        <w:t xml:space="preserve">Journal of Jewish Identities </w:t>
      </w:r>
      <w:r>
        <w:t>1:2 (2008), 121-141.</w:t>
      </w:r>
    </w:p>
    <w:p w14:paraId="5F284A5B" w14:textId="77777777" w:rsidR="009C15A7" w:rsidRDefault="009C15A7" w:rsidP="009C15A7">
      <w:r>
        <w:t xml:space="preserve">Donald Bloxham, </w:t>
      </w:r>
      <w:r>
        <w:rPr>
          <w:i/>
          <w:iCs/>
        </w:rPr>
        <w:t xml:space="preserve">The Final Solution: A Genocide </w:t>
      </w:r>
      <w:r>
        <w:t>(Oxford, 2009), Chapter 7.</w:t>
      </w:r>
    </w:p>
    <w:p w14:paraId="27B962CC" w14:textId="77777777" w:rsidR="009C15A7" w:rsidRDefault="009C15A7" w:rsidP="009C15A7">
      <w:r>
        <w:t>Christopher R. Browning, ‘Problem Solvers’ in Peter Hayes and John K. Roth (eds.</w:t>
      </w:r>
      <w:proofErr w:type="gramStart"/>
      <w:r>
        <w:t xml:space="preserve">), </w:t>
      </w:r>
      <w:r w:rsidRPr="003B6D43">
        <w:t xml:space="preserve"> </w:t>
      </w:r>
      <w:r w:rsidRPr="003B6D43">
        <w:rPr>
          <w:i/>
          <w:iCs/>
        </w:rPr>
        <w:t>The</w:t>
      </w:r>
      <w:proofErr w:type="gramEnd"/>
      <w:r>
        <w:rPr>
          <w:i/>
          <w:iCs/>
        </w:rPr>
        <w:t xml:space="preserve"> Oxford Handbook of Holocaust Studies </w:t>
      </w:r>
      <w:r>
        <w:t>(Oxford, 2010), pp. 128-141.</w:t>
      </w:r>
    </w:p>
    <w:p w14:paraId="0E0FE881" w14:textId="77777777" w:rsidR="009C15A7" w:rsidRDefault="009C15A7" w:rsidP="009C15A7">
      <w:r>
        <w:t xml:space="preserve">Sarah Elise Brown, </w:t>
      </w:r>
      <w:proofErr w:type="gramStart"/>
      <w:r>
        <w:t>‘ “</w:t>
      </w:r>
      <w:proofErr w:type="gramEnd"/>
      <w:r>
        <w:t xml:space="preserve">They forgot their role”: Women perpetrators of the Holocaust and the genocide against the Tutsi in Rwanda’, </w:t>
      </w:r>
      <w:r>
        <w:rPr>
          <w:i/>
          <w:iCs/>
        </w:rPr>
        <w:t xml:space="preserve">Journal of Perpetrator Research </w:t>
      </w:r>
      <w:r>
        <w:t>3:1 (2020), 156-185.</w:t>
      </w:r>
    </w:p>
    <w:p w14:paraId="13575FC7" w14:textId="77777777" w:rsidR="009C15A7" w:rsidRPr="00411D5C" w:rsidRDefault="009C15A7" w:rsidP="009C15A7">
      <w:r>
        <w:t>John Connelly, ‘Gypsies, homosexuals and Slavs’ in Peter Hayes and John K. Roth (eds.</w:t>
      </w:r>
      <w:proofErr w:type="gramStart"/>
      <w:r>
        <w:t xml:space="preserve">), </w:t>
      </w:r>
      <w:r w:rsidRPr="003B6D43">
        <w:t xml:space="preserve"> </w:t>
      </w:r>
      <w:r w:rsidRPr="003B6D43">
        <w:rPr>
          <w:i/>
          <w:iCs/>
        </w:rPr>
        <w:t>The</w:t>
      </w:r>
      <w:proofErr w:type="gramEnd"/>
      <w:r>
        <w:rPr>
          <w:i/>
          <w:iCs/>
        </w:rPr>
        <w:t xml:space="preserve"> Oxford Handbook of Holocaust Studies </w:t>
      </w:r>
      <w:r>
        <w:t>(Oxford, 2010), p. 274-290.</w:t>
      </w:r>
    </w:p>
    <w:p w14:paraId="1A0210A4" w14:textId="77777777" w:rsidR="009C15A7" w:rsidRDefault="009C15A7" w:rsidP="009C15A7">
      <w:r w:rsidRPr="003B6D43">
        <w:t>Paul A. Levine, ‘On-Lookers’ i</w:t>
      </w:r>
      <w:r>
        <w:t>n Peter Hayes and John K. Roth (eds.</w:t>
      </w:r>
      <w:proofErr w:type="gramStart"/>
      <w:r>
        <w:t xml:space="preserve">), </w:t>
      </w:r>
      <w:r w:rsidRPr="003B6D43">
        <w:t xml:space="preserve"> </w:t>
      </w:r>
      <w:r w:rsidRPr="003B6D43">
        <w:rPr>
          <w:i/>
          <w:iCs/>
        </w:rPr>
        <w:t>The</w:t>
      </w:r>
      <w:proofErr w:type="gramEnd"/>
      <w:r>
        <w:rPr>
          <w:i/>
          <w:iCs/>
        </w:rPr>
        <w:t xml:space="preserve"> Oxford Handbook of Holocaust Studies </w:t>
      </w:r>
      <w:r>
        <w:t>(Oxford, 2010), 156-169.</w:t>
      </w:r>
    </w:p>
    <w:p w14:paraId="5C4511A8" w14:textId="77777777" w:rsidR="009C15A7" w:rsidRDefault="009C15A7" w:rsidP="009C15A7">
      <w:r w:rsidRPr="00E24B50">
        <w:lastRenderedPageBreak/>
        <w:t xml:space="preserve">Richard Rechtman, </w:t>
      </w:r>
      <w:r w:rsidRPr="00E24B50">
        <w:rPr>
          <w:i/>
          <w:iCs/>
        </w:rPr>
        <w:t>Living in Deat</w:t>
      </w:r>
      <w:r>
        <w:rPr>
          <w:i/>
          <w:iCs/>
        </w:rPr>
        <w:t xml:space="preserve">h: Genocide and its Functionaries </w:t>
      </w:r>
      <w:r>
        <w:t>(Fordham University Press, 2021).</w:t>
      </w:r>
    </w:p>
    <w:p w14:paraId="60C34F11" w14:textId="77777777" w:rsidR="009C15A7" w:rsidRDefault="009C15A7" w:rsidP="009C15A7">
      <w:r>
        <w:t xml:space="preserve">Helene </w:t>
      </w:r>
      <w:proofErr w:type="spellStart"/>
      <w:r>
        <w:t>Sinnreich</w:t>
      </w:r>
      <w:proofErr w:type="spellEnd"/>
      <w:r>
        <w:t xml:space="preserve">, </w:t>
      </w:r>
      <w:proofErr w:type="gramStart"/>
      <w:r>
        <w:t>‘ “</w:t>
      </w:r>
      <w:proofErr w:type="gramEnd"/>
      <w:r>
        <w:t xml:space="preserve">And it was something we didn’t talk about”: Rape of Jewish women during the Holocaust’, </w:t>
      </w:r>
      <w:r>
        <w:rPr>
          <w:i/>
          <w:iCs/>
        </w:rPr>
        <w:t xml:space="preserve">Holocaust Studies </w:t>
      </w:r>
      <w:r>
        <w:t>14:2 (2008), 1-22.</w:t>
      </w:r>
    </w:p>
    <w:p w14:paraId="3FBD34BD" w14:textId="77777777" w:rsidR="009C15A7" w:rsidRPr="007A515F" w:rsidRDefault="009C15A7" w:rsidP="009C15A7">
      <w:r>
        <w:t xml:space="preserve">Carli Snyder, ‘Asking about the “unspeakable”: Joan Ringelheim and early research on sexual violence and same-sex practices among women during the Holocaust’, </w:t>
      </w:r>
      <w:proofErr w:type="spellStart"/>
      <w:r>
        <w:rPr>
          <w:i/>
          <w:iCs/>
        </w:rPr>
        <w:t>Jounral</w:t>
      </w:r>
      <w:proofErr w:type="spellEnd"/>
      <w:r>
        <w:rPr>
          <w:i/>
          <w:iCs/>
        </w:rPr>
        <w:t xml:space="preserve"> of Holocaust Research </w:t>
      </w:r>
      <w:r>
        <w:t>38:3-4 (2024), 206-224.</w:t>
      </w:r>
    </w:p>
    <w:p w14:paraId="589D1046" w14:textId="77777777" w:rsidR="009C15A7" w:rsidRDefault="009C15A7" w:rsidP="009C15A7">
      <w:r>
        <w:t xml:space="preserve">Mark Roseman, ‘The Lives of Others – Amid the Deaths of Others: Biographical Approaches to Nazi Perpetrators’, </w:t>
      </w:r>
      <w:r>
        <w:rPr>
          <w:i/>
          <w:iCs/>
        </w:rPr>
        <w:t xml:space="preserve">Journal of Genocide Research, </w:t>
      </w:r>
      <w:r>
        <w:t>15:4 (2013), 443-461.</w:t>
      </w:r>
    </w:p>
    <w:p w14:paraId="1C863090" w14:textId="77777777" w:rsidR="009C15A7" w:rsidRDefault="009C15A7" w:rsidP="009C15A7">
      <w:r>
        <w:t xml:space="preserve">Zoe Waxman, </w:t>
      </w:r>
      <w:r>
        <w:rPr>
          <w:i/>
          <w:iCs/>
        </w:rPr>
        <w:t xml:space="preserve">Women in the Holocaust: A feminist history </w:t>
      </w:r>
      <w:r>
        <w:t>(Oxford, 2017).</w:t>
      </w:r>
    </w:p>
    <w:p w14:paraId="6301C3B3" w14:textId="77777777" w:rsidR="009C15A7" w:rsidRPr="00F22788" w:rsidRDefault="009C15A7" w:rsidP="009C15A7">
      <w:r>
        <w:t xml:space="preserve">Zoe Waxman, ‘Unheard testimony, untold stories: The representation of women’s Holocaust experiences’, </w:t>
      </w:r>
      <w:r>
        <w:rPr>
          <w:i/>
          <w:iCs/>
        </w:rPr>
        <w:t xml:space="preserve">Women’s History Review </w:t>
      </w:r>
      <w:r>
        <w:t>12:4 (2003), 661-677.</w:t>
      </w:r>
    </w:p>
    <w:p w14:paraId="55BD9D7E" w14:textId="77777777" w:rsidR="009C15A7" w:rsidRDefault="009C15A7" w:rsidP="009C15A7">
      <w:r>
        <w:t>Lenore J. Weitzman, ‘Women’ in Peter Hayes and John K. Roth (eds.</w:t>
      </w:r>
      <w:proofErr w:type="gramStart"/>
      <w:r>
        <w:t xml:space="preserve">), </w:t>
      </w:r>
      <w:r w:rsidRPr="003B6D43">
        <w:t xml:space="preserve"> </w:t>
      </w:r>
      <w:r w:rsidRPr="003B6D43">
        <w:rPr>
          <w:i/>
          <w:iCs/>
        </w:rPr>
        <w:t>The</w:t>
      </w:r>
      <w:proofErr w:type="gramEnd"/>
      <w:r>
        <w:rPr>
          <w:i/>
          <w:iCs/>
        </w:rPr>
        <w:t xml:space="preserve"> Oxford Handbook of Holocaust Studies </w:t>
      </w:r>
      <w:r>
        <w:t>(Oxford, 2010), pp. 203-217.</w:t>
      </w:r>
    </w:p>
    <w:p w14:paraId="664FC117" w14:textId="77777777" w:rsidR="009C15A7" w:rsidRPr="00796E78" w:rsidRDefault="009C15A7" w:rsidP="009C15A7">
      <w:r w:rsidRPr="00796E78">
        <w:t>Susan Welch, ‘Gender and select</w:t>
      </w:r>
      <w:r>
        <w:t xml:space="preserve">ion during the Holocaust: Transports of Western European Jews to the East’, </w:t>
      </w:r>
      <w:r>
        <w:rPr>
          <w:i/>
          <w:iCs/>
        </w:rPr>
        <w:t xml:space="preserve">Journal of Genocide Research </w:t>
      </w:r>
      <w:r>
        <w:t>22:4 (2020), 459-478.</w:t>
      </w:r>
    </w:p>
    <w:p w14:paraId="1CAF72CA" w14:textId="77777777" w:rsidR="009C15A7" w:rsidRDefault="009C15A7" w:rsidP="009C15A7">
      <w:r>
        <w:t>Edward B. Westermann, ‘Killers’ in Peter Hayes and John K. Roth (eds.</w:t>
      </w:r>
      <w:proofErr w:type="gramStart"/>
      <w:r>
        <w:t xml:space="preserve">), </w:t>
      </w:r>
      <w:r w:rsidRPr="003B6D43">
        <w:t xml:space="preserve"> </w:t>
      </w:r>
      <w:r w:rsidRPr="003B6D43">
        <w:rPr>
          <w:i/>
          <w:iCs/>
        </w:rPr>
        <w:t>The</w:t>
      </w:r>
      <w:proofErr w:type="gramEnd"/>
      <w:r>
        <w:rPr>
          <w:i/>
          <w:iCs/>
        </w:rPr>
        <w:t xml:space="preserve"> Oxford Handbook of Holocaust Studies </w:t>
      </w:r>
      <w:r>
        <w:t>(Oxford, 2010), p. 141-155.</w:t>
      </w:r>
    </w:p>
    <w:p w14:paraId="11D36449" w14:textId="77777777" w:rsidR="009C15A7" w:rsidRDefault="009C15A7" w:rsidP="009C15A7">
      <w:pPr>
        <w:pStyle w:val="Heading3"/>
      </w:pPr>
      <w:r>
        <w:t>Cambodia</w:t>
      </w:r>
    </w:p>
    <w:p w14:paraId="75BB0122" w14:textId="77777777" w:rsidR="009C15A7" w:rsidRDefault="009C15A7" w:rsidP="009C15A7">
      <w:r>
        <w:t xml:space="preserve">David P. Chandler, </w:t>
      </w:r>
      <w:r>
        <w:rPr>
          <w:i/>
          <w:iCs/>
        </w:rPr>
        <w:t xml:space="preserve">The Tragedy of Cambodian History: Politics, War, and Revolution Since 1945 </w:t>
      </w:r>
      <w:r>
        <w:t>(Yale University Press, 1991).</w:t>
      </w:r>
    </w:p>
    <w:p w14:paraId="22277388" w14:textId="77777777" w:rsidR="009C15A7" w:rsidRDefault="009C15A7" w:rsidP="009C15A7">
      <w:r>
        <w:t xml:space="preserve">Susan </w:t>
      </w:r>
      <w:proofErr w:type="spellStart"/>
      <w:r>
        <w:t>Dicklitch</w:t>
      </w:r>
      <w:proofErr w:type="spellEnd"/>
      <w:r>
        <w:t xml:space="preserve"> and Aditi Malik, ‘Justice, Human Rights, and Reconciliation in </w:t>
      </w:r>
      <w:proofErr w:type="spellStart"/>
      <w:r>
        <w:t>Postconflict</w:t>
      </w:r>
      <w:proofErr w:type="spellEnd"/>
      <w:r>
        <w:t xml:space="preserve"> Cambodia’, </w:t>
      </w:r>
      <w:r>
        <w:rPr>
          <w:i/>
          <w:iCs/>
        </w:rPr>
        <w:t xml:space="preserve">Human Rights Review </w:t>
      </w:r>
      <w:r>
        <w:t>11 (2010), 515-530.</w:t>
      </w:r>
    </w:p>
    <w:p w14:paraId="5E87FDBF" w14:textId="77777777" w:rsidR="009C15A7" w:rsidRPr="00141494" w:rsidRDefault="009C15A7" w:rsidP="009C15A7">
      <w:r>
        <w:t xml:space="preserve">Hurst Hannum, ‘International law and Cambodian genocide: The sounds of silence’, </w:t>
      </w:r>
      <w:r>
        <w:rPr>
          <w:i/>
          <w:iCs/>
        </w:rPr>
        <w:t xml:space="preserve">Human Rights Quarterly 11 </w:t>
      </w:r>
      <w:r>
        <w:t>(1989), 82-138.</w:t>
      </w:r>
    </w:p>
    <w:p w14:paraId="221E8452" w14:textId="77777777" w:rsidR="009C15A7" w:rsidRPr="00985C32" w:rsidRDefault="009C15A7" w:rsidP="009C15A7">
      <w:r>
        <w:t xml:space="preserve">Rachel P. Jacobs, ‘Married by the Revolution: Forced Marriage as a Strategy of Control in Khmer Rouge Cambodia’, </w:t>
      </w:r>
      <w:r>
        <w:rPr>
          <w:i/>
          <w:iCs/>
        </w:rPr>
        <w:t xml:space="preserve">Journal of Genocide Research </w:t>
      </w:r>
      <w:r>
        <w:t>24:3 (2022), 357-379.</w:t>
      </w:r>
    </w:p>
    <w:p w14:paraId="07C701E7" w14:textId="77777777" w:rsidR="009C15A7" w:rsidRDefault="009C15A7" w:rsidP="009C15A7">
      <w:r w:rsidRPr="00985C32">
        <w:t xml:space="preserve">Adam Jones, </w:t>
      </w:r>
      <w:r w:rsidRPr="00985C32">
        <w:rPr>
          <w:i/>
          <w:iCs/>
        </w:rPr>
        <w:t xml:space="preserve">Genocide: A Comprehensive Introduction </w:t>
      </w:r>
      <w:r w:rsidRPr="00985C32">
        <w:t xml:space="preserve">(2nd. ed.) </w:t>
      </w:r>
      <w:r w:rsidRPr="00985C32">
        <w:rPr>
          <w:i/>
          <w:iCs/>
        </w:rPr>
        <w:t xml:space="preserve"> </w:t>
      </w:r>
      <w:r w:rsidRPr="00097690">
        <w:t>(</w:t>
      </w:r>
      <w:r>
        <w:t>Abingdon, 2011), Chapter 7.</w:t>
      </w:r>
    </w:p>
    <w:p w14:paraId="78A0B2A9" w14:textId="77777777" w:rsidR="009C15A7" w:rsidRDefault="009C15A7" w:rsidP="009C15A7">
      <w:r w:rsidRPr="00A80160">
        <w:t xml:space="preserve">Ben Kiernan, </w:t>
      </w:r>
      <w:r w:rsidRPr="00A80160">
        <w:rPr>
          <w:i/>
          <w:iCs/>
        </w:rPr>
        <w:t>The Pol Pot Regim</w:t>
      </w:r>
      <w:r>
        <w:rPr>
          <w:i/>
          <w:iCs/>
        </w:rPr>
        <w:t xml:space="preserve">e: Race, Power, and Genocide in Cambodia under the Khmer Rouge, 1975-1979 </w:t>
      </w:r>
      <w:r>
        <w:t>(Yale University Press, 2008).</w:t>
      </w:r>
    </w:p>
    <w:p w14:paraId="47F302FE" w14:textId="77777777" w:rsidR="009C15A7" w:rsidRPr="00977A08" w:rsidRDefault="009C15A7" w:rsidP="009C15A7">
      <w:r w:rsidRPr="00977A08">
        <w:lastRenderedPageBreak/>
        <w:t>Edward Kissi, ‘Genocide in Cambodia and Ethi</w:t>
      </w:r>
      <w:r>
        <w:t xml:space="preserve">opia’, in Robert </w:t>
      </w:r>
      <w:proofErr w:type="spellStart"/>
      <w:r>
        <w:t>Gellately</w:t>
      </w:r>
      <w:proofErr w:type="spellEnd"/>
      <w:r>
        <w:t xml:space="preserve"> and Ben Kiernan (eds.), </w:t>
      </w:r>
      <w:proofErr w:type="gramStart"/>
      <w:r>
        <w:t xml:space="preserve">‘ </w:t>
      </w:r>
      <w:r>
        <w:rPr>
          <w:i/>
          <w:iCs/>
        </w:rPr>
        <w:t>The</w:t>
      </w:r>
      <w:proofErr w:type="gramEnd"/>
      <w:r>
        <w:rPr>
          <w:i/>
          <w:iCs/>
        </w:rPr>
        <w:t xml:space="preserve"> Specter of Genocide: Mass Murder in Historical Perspective </w:t>
      </w:r>
      <w:r>
        <w:t>(Cambridge, 2003), pp. 307-323.</w:t>
      </w:r>
    </w:p>
    <w:p w14:paraId="50C69F04" w14:textId="77777777" w:rsidR="009C15A7" w:rsidRDefault="009C15A7" w:rsidP="009C15A7">
      <w:r>
        <w:t xml:space="preserve">Alexander Laban Hinton, </w:t>
      </w:r>
      <w:r>
        <w:rPr>
          <w:i/>
          <w:iCs/>
        </w:rPr>
        <w:t xml:space="preserve">Why Did They Kill? Cambodia in the Shadow of Genocide </w:t>
      </w:r>
      <w:r>
        <w:t>(University of California Press, 2004).</w:t>
      </w:r>
    </w:p>
    <w:p w14:paraId="6ECF4700" w14:textId="77777777" w:rsidR="009C15A7" w:rsidRDefault="009C15A7" w:rsidP="009C15A7">
      <w:r>
        <w:t xml:space="preserve">Alexander Laban Hinton, </w:t>
      </w:r>
      <w:r>
        <w:rPr>
          <w:i/>
          <w:iCs/>
        </w:rPr>
        <w:t xml:space="preserve">Man or Monster? The Trial of a Khmer Rouge Torturer </w:t>
      </w:r>
      <w:r>
        <w:t>(Duke University Press, 2016).</w:t>
      </w:r>
    </w:p>
    <w:p w14:paraId="20E3B015" w14:textId="77777777" w:rsidR="009C15A7" w:rsidRDefault="009C15A7" w:rsidP="009C15A7">
      <w:r>
        <w:t xml:space="preserve">René Lemarchand, ‘Comparing the killing fields: Rwanda, Cambodia and Bosnia’, in Steven L. B. Jensen (ed.), </w:t>
      </w:r>
      <w:r>
        <w:rPr>
          <w:i/>
          <w:iCs/>
        </w:rPr>
        <w:t xml:space="preserve">Genocide: Cases, Comparisons and Contemporary Debates </w:t>
      </w:r>
      <w:r>
        <w:t>(Copenhagen, 2003), pp. 141-174.</w:t>
      </w:r>
    </w:p>
    <w:p w14:paraId="59E6CA74" w14:textId="77777777" w:rsidR="009C15A7" w:rsidRDefault="009C15A7" w:rsidP="009C15A7">
      <w:r>
        <w:t xml:space="preserve">Peter Maguire, </w:t>
      </w:r>
      <w:r>
        <w:rPr>
          <w:i/>
          <w:iCs/>
        </w:rPr>
        <w:t xml:space="preserve">Facing Death in Cambodia </w:t>
      </w:r>
      <w:r>
        <w:t>(Columbia University Press, 2005).</w:t>
      </w:r>
    </w:p>
    <w:p w14:paraId="05F1A028" w14:textId="77777777" w:rsidR="009C15A7" w:rsidRDefault="009C15A7" w:rsidP="009C15A7">
      <w:r>
        <w:t xml:space="preserve">Jörg Menzel, ‘Justice delayed or too late for justice? The Khmer Rouge Tribunal and the Cambodian “genocide” 1975-79’, </w:t>
      </w:r>
      <w:r>
        <w:rPr>
          <w:i/>
          <w:iCs/>
        </w:rPr>
        <w:t xml:space="preserve">Journal of Genocide Research </w:t>
      </w:r>
      <w:r>
        <w:t>9:2 (2007), 215-233.</w:t>
      </w:r>
    </w:p>
    <w:p w14:paraId="2199D41B" w14:textId="77777777" w:rsidR="009C15A7" w:rsidRDefault="009C15A7" w:rsidP="009C15A7">
      <w:r>
        <w:t xml:space="preserve">Howard J. de Nike, John Quigley, Kenneth J. Robinson, Helen Jarvis, and Nereida Cross (eds.), </w:t>
      </w:r>
      <w:r>
        <w:rPr>
          <w:i/>
          <w:iCs/>
        </w:rPr>
        <w:t xml:space="preserve">Genocide in Cambodia: Documents from the trial of Pol Pot and Ieng Sary </w:t>
      </w:r>
      <w:r>
        <w:t>(University of Pennsylvania Press, 2000).</w:t>
      </w:r>
    </w:p>
    <w:p w14:paraId="256AE4C7" w14:textId="77777777" w:rsidR="009C15A7" w:rsidRDefault="009C15A7" w:rsidP="009C15A7">
      <w:r>
        <w:t xml:space="preserve">Peter B. Owens, ‘The collective dynamics of genocidal violence in Cambodia, 1975-1979’, </w:t>
      </w:r>
      <w:r>
        <w:rPr>
          <w:i/>
          <w:iCs/>
        </w:rPr>
        <w:t xml:space="preserve">Social Science History </w:t>
      </w:r>
      <w:r>
        <w:t>38:3-4 (2014), 411-436.</w:t>
      </w:r>
    </w:p>
    <w:p w14:paraId="10D77F63" w14:textId="77777777" w:rsidR="009C15A7" w:rsidRPr="00D25C58" w:rsidRDefault="009C15A7" w:rsidP="009C15A7">
      <w:r>
        <w:t xml:space="preserve">Katie Sellers, ‘Tipping the scale from mass murder to genocide: What does it take?’, </w:t>
      </w:r>
      <w:r>
        <w:rPr>
          <w:i/>
          <w:iCs/>
        </w:rPr>
        <w:t xml:space="preserve">Creighton International and Comparative Law Journal </w:t>
      </w:r>
      <w:r>
        <w:t>4 (2013), 48-58.</w:t>
      </w:r>
    </w:p>
    <w:p w14:paraId="363EAB51" w14:textId="77777777" w:rsidR="009C15A7" w:rsidRDefault="009C15A7" w:rsidP="009C15A7">
      <w:r w:rsidRPr="00886086">
        <w:t>Toni Shapiro-Phim, ‘Dance, Music</w:t>
      </w:r>
      <w:r>
        <w:t xml:space="preserve">, and the Nature of Terror in Democratic Kampuchea’, in Alexander Laban Hinton (ed.), </w:t>
      </w:r>
      <w:r>
        <w:rPr>
          <w:i/>
          <w:iCs/>
        </w:rPr>
        <w:t xml:space="preserve">Annihilating Difference: The Anthropology of Genocide </w:t>
      </w:r>
      <w:r>
        <w:t>(University of California Press, 2002), pp. 179-193.</w:t>
      </w:r>
    </w:p>
    <w:p w14:paraId="1D3F1EAA" w14:textId="77777777" w:rsidR="009C15A7" w:rsidRDefault="009C15A7" w:rsidP="009C15A7">
      <w:r w:rsidRPr="005C65FF">
        <w:t xml:space="preserve">Benjamin A. Valentino, </w:t>
      </w:r>
      <w:r w:rsidRPr="005C65FF">
        <w:rPr>
          <w:i/>
          <w:iCs/>
        </w:rPr>
        <w:t>Final Solutions: Mass Killing and</w:t>
      </w:r>
      <w:r>
        <w:rPr>
          <w:i/>
          <w:iCs/>
        </w:rPr>
        <w:t xml:space="preserve"> Genocide in the 20</w:t>
      </w:r>
      <w:r w:rsidRPr="005C65FF">
        <w:rPr>
          <w:i/>
          <w:iCs/>
          <w:vertAlign w:val="superscript"/>
        </w:rPr>
        <w:t>th</w:t>
      </w:r>
      <w:r>
        <w:rPr>
          <w:i/>
          <w:iCs/>
        </w:rPr>
        <w:t xml:space="preserve"> Century </w:t>
      </w:r>
      <w:r>
        <w:t>(Cornell University Press, 2004), Chapter 4, ‘Communist Mass Killings: The Soviet Union, China, and Cambodia’, pp. 91-151.</w:t>
      </w:r>
    </w:p>
    <w:p w14:paraId="19882A3D" w14:textId="77777777" w:rsidR="009C15A7" w:rsidRPr="005C65FF" w:rsidRDefault="009C15A7" w:rsidP="009C15A7">
      <w:r>
        <w:t xml:space="preserve">Eric D. Weitz, </w:t>
      </w:r>
      <w:r>
        <w:rPr>
          <w:i/>
          <w:iCs/>
        </w:rPr>
        <w:t xml:space="preserve">A Century of Genocide: Utopias of Race and Nation </w:t>
      </w:r>
      <w:r>
        <w:t>(Princeton University Press, 2013), chapter 4.</w:t>
      </w:r>
    </w:p>
    <w:p w14:paraId="17C92EC5" w14:textId="77777777" w:rsidR="009C15A7" w:rsidRDefault="009C15A7" w:rsidP="009C15A7">
      <w:r>
        <w:t xml:space="preserve">Ronnie </w:t>
      </w:r>
      <w:proofErr w:type="spellStart"/>
      <w:r>
        <w:t>Yimsut</w:t>
      </w:r>
      <w:proofErr w:type="spellEnd"/>
      <w:r>
        <w:t xml:space="preserve">, </w:t>
      </w:r>
      <w:r>
        <w:rPr>
          <w:i/>
          <w:iCs/>
        </w:rPr>
        <w:t xml:space="preserve">Facing the Khmer Rouge: A Cambodian Journey </w:t>
      </w:r>
      <w:r>
        <w:t>(Rutgers University Press, 2011).</w:t>
      </w:r>
    </w:p>
    <w:p w14:paraId="1C13EF6B" w14:textId="77777777" w:rsidR="009C15A7" w:rsidRPr="007D62CB" w:rsidRDefault="009C15A7" w:rsidP="009C15A7">
      <w:r w:rsidRPr="000C0E5A">
        <w:t>Waddington, L. (2024). A Very Diplomatic Response: The British Government’s Reaction to the Killing Fields of Cambodia. </w:t>
      </w:r>
      <w:r w:rsidRPr="000C0E5A">
        <w:rPr>
          <w:i/>
          <w:iCs/>
        </w:rPr>
        <w:t>Journal of Genocide Research</w:t>
      </w:r>
      <w:r w:rsidRPr="000C0E5A">
        <w:t>, 1–22.</w:t>
      </w:r>
    </w:p>
    <w:p w14:paraId="43D4AA05" w14:textId="77777777" w:rsidR="009C15A7" w:rsidRPr="0042618A" w:rsidRDefault="009C15A7" w:rsidP="009C15A7"/>
    <w:p w14:paraId="508B6CF7" w14:textId="77777777" w:rsidR="009C15A7" w:rsidRDefault="009C15A7" w:rsidP="009C15A7">
      <w:pPr>
        <w:pStyle w:val="Heading3"/>
      </w:pPr>
      <w:r>
        <w:lastRenderedPageBreak/>
        <w:t>Bosnia</w:t>
      </w:r>
    </w:p>
    <w:p w14:paraId="0FE00FD5" w14:textId="77777777" w:rsidR="009C15A7" w:rsidRDefault="009C15A7" w:rsidP="009C15A7">
      <w:r>
        <w:t xml:space="preserve">Beverly Allen, </w:t>
      </w:r>
      <w:r>
        <w:rPr>
          <w:i/>
          <w:iCs/>
        </w:rPr>
        <w:t xml:space="preserve">Rape Warfare: The Hidden Genocide in Bosnia-Herzegovina and Croatia </w:t>
      </w:r>
      <w:r>
        <w:t>(University of Minnesota Press, 1996).</w:t>
      </w:r>
    </w:p>
    <w:p w14:paraId="21CC1887" w14:textId="77777777" w:rsidR="009C15A7" w:rsidRPr="00783951" w:rsidRDefault="009C15A7" w:rsidP="009C15A7">
      <w:r w:rsidRPr="00354D1D">
        <w:t>Rony Blum, Gregory H. Stanton, Shi</w:t>
      </w:r>
      <w:r>
        <w:t xml:space="preserve">ra Sagi and Elihu D. Richter, </w:t>
      </w:r>
      <w:proofErr w:type="gramStart"/>
      <w:r>
        <w:t>‘ “</w:t>
      </w:r>
      <w:proofErr w:type="gramEnd"/>
      <w:r>
        <w:t xml:space="preserve">Ethnic cleansing” bleaches the atrocities of genocide’, </w:t>
      </w:r>
      <w:r>
        <w:rPr>
          <w:i/>
          <w:iCs/>
        </w:rPr>
        <w:t xml:space="preserve">European Journal of Public Health </w:t>
      </w:r>
      <w:r>
        <w:t xml:space="preserve">18:2 (2007), 204-209. (Read in conjunction with: </w:t>
      </w:r>
      <w:r w:rsidRPr="001A6C8C">
        <w:t xml:space="preserve">Robert M. Hayden, </w:t>
      </w:r>
      <w:proofErr w:type="gramStart"/>
      <w:r w:rsidRPr="001A6C8C">
        <w:t>‘ “</w:t>
      </w:r>
      <w:proofErr w:type="gramEnd"/>
      <w:r w:rsidRPr="001A6C8C">
        <w:t>Ethnic clea</w:t>
      </w:r>
      <w:r>
        <w:t xml:space="preserve">nsing” and “genocide”’, </w:t>
      </w:r>
      <w:r>
        <w:rPr>
          <w:i/>
          <w:iCs/>
        </w:rPr>
        <w:t xml:space="preserve">European Journal of Public Health </w:t>
      </w:r>
      <w:r>
        <w:t xml:space="preserve">17:6 (2007), 546-547 and Elihu D. Richter and Gregory H. Stanton,  ‘Response to Hayden: Comment on “Ethnic Cleansing” and “Genocide”, </w:t>
      </w:r>
      <w:r>
        <w:rPr>
          <w:i/>
          <w:iCs/>
        </w:rPr>
        <w:t xml:space="preserve">European Journal of Public Health </w:t>
      </w:r>
      <w:r>
        <w:t>18:2 (2008), 210-211).</w:t>
      </w:r>
    </w:p>
    <w:p w14:paraId="2DD5A4B9" w14:textId="77777777" w:rsidR="009C15A7" w:rsidRDefault="009C15A7" w:rsidP="009C15A7">
      <w:r>
        <w:t xml:space="preserve">Pascale Bos, ‘Feminists Interpreting the Politics of Wartime Rape: Berlin, 1945; Yugoslavia, 1992-1993’, </w:t>
      </w:r>
      <w:r>
        <w:rPr>
          <w:i/>
          <w:iCs/>
        </w:rPr>
        <w:t xml:space="preserve">Signs: Journal of Women in Culture and Society </w:t>
      </w:r>
      <w:r>
        <w:t>31:4 (2006), 995-1025.</w:t>
      </w:r>
    </w:p>
    <w:p w14:paraId="781D1117" w14:textId="77777777" w:rsidR="009C15A7" w:rsidRDefault="009C15A7" w:rsidP="009C15A7">
      <w:r w:rsidRPr="0025460C">
        <w:t xml:space="preserve">Tone Bringa, ‘Averted Gaze: Genocide in Bosnia-Herzegovina, 1992-1995’, in </w:t>
      </w:r>
      <w:r>
        <w:t xml:space="preserve">Alexander Laban Hinton (ed.), </w:t>
      </w:r>
      <w:r>
        <w:rPr>
          <w:i/>
          <w:iCs/>
        </w:rPr>
        <w:t xml:space="preserve">Annihilating Difference: The Anthropology of Genocide </w:t>
      </w:r>
      <w:r>
        <w:t>(University of California Press, 2002), pp. 194-226.</w:t>
      </w:r>
    </w:p>
    <w:p w14:paraId="0E258EED" w14:textId="77777777" w:rsidR="009C15A7" w:rsidRPr="004F427B" w:rsidRDefault="009C15A7" w:rsidP="009C15A7">
      <w:r w:rsidRPr="004F427B">
        <w:t xml:space="preserve">Marie-Janine </w:t>
      </w:r>
      <w:proofErr w:type="spellStart"/>
      <w:r w:rsidRPr="004F427B">
        <w:t>Calic</w:t>
      </w:r>
      <w:proofErr w:type="spellEnd"/>
      <w:r w:rsidRPr="004F427B">
        <w:t>, ‘Ethnic cleansing</w:t>
      </w:r>
      <w:r>
        <w:t xml:space="preserve"> and war crimes, 1991-1995’, </w:t>
      </w:r>
      <w:proofErr w:type="spellStart"/>
      <w:r>
        <w:rPr>
          <w:i/>
          <w:iCs/>
        </w:rPr>
        <w:t>Südosteuropa</w:t>
      </w:r>
      <w:proofErr w:type="spellEnd"/>
      <w:r>
        <w:rPr>
          <w:i/>
          <w:iCs/>
        </w:rPr>
        <w:t xml:space="preserve"> </w:t>
      </w:r>
      <w:r>
        <w:t>55:1 (2007), 70-106.</w:t>
      </w:r>
    </w:p>
    <w:p w14:paraId="51E8DF68" w14:textId="77777777" w:rsidR="009C15A7" w:rsidRDefault="009C15A7" w:rsidP="009C15A7">
      <w:r>
        <w:t xml:space="preserve">David Campbell, </w:t>
      </w:r>
      <w:r>
        <w:rPr>
          <w:i/>
          <w:iCs/>
        </w:rPr>
        <w:t xml:space="preserve">National Deconstruction: Violence, Identity, and Justice in Bosnia </w:t>
      </w:r>
      <w:r>
        <w:t>(University of Minnesota Press, 1998).</w:t>
      </w:r>
    </w:p>
    <w:p w14:paraId="6DCF734B" w14:textId="77777777" w:rsidR="009C15A7" w:rsidRPr="002635E4" w:rsidRDefault="009C15A7" w:rsidP="009C15A7">
      <w:r>
        <w:t xml:space="preserve">Kirsten Campbell, ‘The gender of transitional justice: Law, sexual violence and the International Criminal Tribunal for the Former Yugoslavia’, </w:t>
      </w:r>
      <w:r>
        <w:rPr>
          <w:i/>
          <w:iCs/>
        </w:rPr>
        <w:t xml:space="preserve">International Journal of Transitional Justice </w:t>
      </w:r>
      <w:r>
        <w:t>1:3 (2007), 411-432.</w:t>
      </w:r>
    </w:p>
    <w:p w14:paraId="4A86EE45" w14:textId="77777777" w:rsidR="009C15A7" w:rsidRDefault="009C15A7" w:rsidP="009C15A7">
      <w:r>
        <w:t xml:space="preserve">Cathie Carmichael, ‘Violence and ethnic boundary maintenance in Bosnia in the 1990s’, </w:t>
      </w:r>
      <w:r>
        <w:rPr>
          <w:i/>
          <w:iCs/>
        </w:rPr>
        <w:t xml:space="preserve">Journal of Genocide Research </w:t>
      </w:r>
      <w:r>
        <w:t>(2006), 8:3, 283-293.</w:t>
      </w:r>
    </w:p>
    <w:p w14:paraId="356FA7CE" w14:textId="77777777" w:rsidR="009C15A7" w:rsidRPr="00FF0D52" w:rsidRDefault="009C15A7" w:rsidP="009C15A7">
      <w:r>
        <w:t xml:space="preserve">R. Charli Carpenter, </w:t>
      </w:r>
      <w:proofErr w:type="gramStart"/>
      <w:r>
        <w:t>‘ “</w:t>
      </w:r>
      <w:proofErr w:type="gramEnd"/>
      <w:r>
        <w:t xml:space="preserve">Women and children first”: Gender, norms, and humanitarian evacuation in the Balkans, 1991-95’, </w:t>
      </w:r>
      <w:r>
        <w:rPr>
          <w:i/>
          <w:iCs/>
        </w:rPr>
        <w:t xml:space="preserve">International Organization </w:t>
      </w:r>
      <w:r>
        <w:t>57:4 (2003), 661-694.</w:t>
      </w:r>
    </w:p>
    <w:p w14:paraId="17856267" w14:textId="77777777" w:rsidR="009C15A7" w:rsidRDefault="009C15A7" w:rsidP="009C15A7">
      <w:r>
        <w:t xml:space="preserve">Janine Natalya Clark, ‘Genocide, War Crimes and the Conflict in Bosnia: Understanding the Perpetrators’, </w:t>
      </w:r>
      <w:r>
        <w:rPr>
          <w:i/>
          <w:iCs/>
        </w:rPr>
        <w:t xml:space="preserve">Journal of Genocide Research </w:t>
      </w:r>
      <w:r>
        <w:t>11:4 (2009), 421-445.</w:t>
      </w:r>
    </w:p>
    <w:p w14:paraId="731CD7B7" w14:textId="77777777" w:rsidR="009C15A7" w:rsidRPr="00FA1559" w:rsidRDefault="009C15A7" w:rsidP="009C15A7">
      <w:proofErr w:type="spellStart"/>
      <w:r>
        <w:t>Jasenka</w:t>
      </w:r>
      <w:proofErr w:type="spellEnd"/>
      <w:r>
        <w:t xml:space="preserve"> </w:t>
      </w:r>
      <w:proofErr w:type="spellStart"/>
      <w:r>
        <w:t>Ferizovic</w:t>
      </w:r>
      <w:proofErr w:type="spellEnd"/>
      <w:r>
        <w:t xml:space="preserve">, ‘The case of female perpetrators of international crimes: Exploratory insights and new research directions’, </w:t>
      </w:r>
      <w:r>
        <w:rPr>
          <w:i/>
          <w:iCs/>
        </w:rPr>
        <w:t xml:space="preserve">European Journal of International Law </w:t>
      </w:r>
      <w:r>
        <w:t>31:2 (2020), 455-488.</w:t>
      </w:r>
    </w:p>
    <w:p w14:paraId="348C8091" w14:textId="77777777" w:rsidR="009C15A7" w:rsidRDefault="009C15A7" w:rsidP="009C15A7">
      <w:r>
        <w:t xml:space="preserve">V. P. Gagnon, </w:t>
      </w:r>
      <w:r>
        <w:rPr>
          <w:i/>
          <w:iCs/>
        </w:rPr>
        <w:t xml:space="preserve">The Myth of Ethnic War: Serbia and Croatia in the 1990s </w:t>
      </w:r>
      <w:r>
        <w:t>(Cornell University Press, 2004).</w:t>
      </w:r>
    </w:p>
    <w:p w14:paraId="0D2D0289" w14:textId="77777777" w:rsidR="009C15A7" w:rsidRDefault="009C15A7" w:rsidP="009C15A7">
      <w:r>
        <w:t xml:space="preserve">Lene Hansen, ‘Gender, nation, rape: Bosnia and the construction of security’, </w:t>
      </w:r>
      <w:r>
        <w:rPr>
          <w:i/>
          <w:iCs/>
        </w:rPr>
        <w:t xml:space="preserve">International Feminist Journal of Politics </w:t>
      </w:r>
      <w:r>
        <w:t>3:1 (2000), 55-75.</w:t>
      </w:r>
    </w:p>
    <w:p w14:paraId="12C6FCAB" w14:textId="77777777" w:rsidR="009C15A7" w:rsidRDefault="009C15A7" w:rsidP="009C15A7">
      <w:r>
        <w:lastRenderedPageBreak/>
        <w:t xml:space="preserve">Marko Attila Hoare, ‘Towards an explanation for the Bosnian genocide of 1992-1995’, </w:t>
      </w:r>
      <w:r>
        <w:rPr>
          <w:i/>
          <w:iCs/>
        </w:rPr>
        <w:t xml:space="preserve">Studies in Ethnicity and Nationalism </w:t>
      </w:r>
      <w:r>
        <w:t>14:3 (2014), 516-532.</w:t>
      </w:r>
    </w:p>
    <w:p w14:paraId="76D7D6C1" w14:textId="77777777" w:rsidR="009C15A7" w:rsidRPr="007D41DC" w:rsidRDefault="009C15A7" w:rsidP="009C15A7">
      <w:r w:rsidRPr="007D41DC">
        <w:t>Natalie Hodgson, ‘Gender justice or gendered just</w:t>
      </w:r>
      <w:r>
        <w:t xml:space="preserve">ice? Female defendants in International Criminal Tribunals’, </w:t>
      </w:r>
      <w:r>
        <w:rPr>
          <w:i/>
          <w:iCs/>
        </w:rPr>
        <w:t xml:space="preserve">Feminist Legal Studies </w:t>
      </w:r>
      <w:r>
        <w:t>25 (2017), 337-357.</w:t>
      </w:r>
    </w:p>
    <w:p w14:paraId="51569183" w14:textId="77777777" w:rsidR="009C15A7" w:rsidRDefault="009C15A7" w:rsidP="009C15A7">
      <w:r>
        <w:t xml:space="preserve">Michael Humphrey, ‘International intervention, justice and national reconciliation: The role of the ICTY and ICTR in Bosnia and Rwanda’, </w:t>
      </w:r>
      <w:r>
        <w:rPr>
          <w:i/>
          <w:iCs/>
        </w:rPr>
        <w:t xml:space="preserve">Journal of Human Rights </w:t>
      </w:r>
      <w:r>
        <w:t>2:4 (2003), 495-505.</w:t>
      </w:r>
    </w:p>
    <w:p w14:paraId="011941E9" w14:textId="77777777" w:rsidR="009C15A7" w:rsidRDefault="009C15A7" w:rsidP="009C15A7">
      <w:r w:rsidRPr="007D41DC">
        <w:t xml:space="preserve">Adam Jones, </w:t>
      </w:r>
      <w:r w:rsidRPr="007D41DC">
        <w:rPr>
          <w:i/>
          <w:iCs/>
        </w:rPr>
        <w:t xml:space="preserve">Genocide: A Comprehensive Introduction </w:t>
      </w:r>
      <w:r w:rsidRPr="007D41DC">
        <w:t xml:space="preserve">(2nd. ed.) </w:t>
      </w:r>
      <w:r w:rsidRPr="007D41DC">
        <w:rPr>
          <w:i/>
          <w:iCs/>
        </w:rPr>
        <w:t xml:space="preserve"> </w:t>
      </w:r>
      <w:r w:rsidRPr="00097690">
        <w:t>(</w:t>
      </w:r>
      <w:r>
        <w:t>Abingdon, 2011), Chapter 8.</w:t>
      </w:r>
    </w:p>
    <w:p w14:paraId="410229AA" w14:textId="77777777" w:rsidR="009C15A7" w:rsidRDefault="009C15A7" w:rsidP="009C15A7">
      <w:r>
        <w:t xml:space="preserve">Adam Jones, ‘Gendercide and genocide’, </w:t>
      </w:r>
      <w:r>
        <w:rPr>
          <w:i/>
          <w:iCs/>
        </w:rPr>
        <w:t xml:space="preserve">Journal of genocide research </w:t>
      </w:r>
      <w:r>
        <w:t>2:2 (2000), 185-211.</w:t>
      </w:r>
    </w:p>
    <w:p w14:paraId="0B052412" w14:textId="77777777" w:rsidR="009C15A7" w:rsidRPr="005369EA" w:rsidRDefault="009C15A7" w:rsidP="009C15A7">
      <w:r>
        <w:t xml:space="preserve">Adam Jones, ‘Gender and </w:t>
      </w:r>
      <w:proofErr w:type="spellStart"/>
      <w:r>
        <w:t>ethic</w:t>
      </w:r>
      <w:proofErr w:type="spellEnd"/>
      <w:r>
        <w:t xml:space="preserve"> conflict in ex-Yugoslavia’, </w:t>
      </w:r>
      <w:r>
        <w:rPr>
          <w:i/>
          <w:iCs/>
        </w:rPr>
        <w:t xml:space="preserve">Ethnic and Racial Studies </w:t>
      </w:r>
      <w:r>
        <w:t>17:1 (1994), 115-134.</w:t>
      </w:r>
    </w:p>
    <w:p w14:paraId="5F458627" w14:textId="77777777" w:rsidR="009C15A7" w:rsidRDefault="009C15A7" w:rsidP="009C15A7">
      <w:r w:rsidRPr="00D7573A">
        <w:t>Kimi Lynn King and Megan Greening, ‘Gender justice</w:t>
      </w:r>
      <w:r>
        <w:t xml:space="preserve"> or just gender? The role of gender in sexual assault decisions at the International Criminal Tribunal for the Former Yugoslavia’, </w:t>
      </w:r>
      <w:r>
        <w:rPr>
          <w:i/>
          <w:iCs/>
        </w:rPr>
        <w:t xml:space="preserve">Social Science Quarterly </w:t>
      </w:r>
      <w:r>
        <w:t>88:5 (2007), 1049-1071.</w:t>
      </w:r>
    </w:p>
    <w:p w14:paraId="0938682E" w14:textId="77777777" w:rsidR="009C15A7" w:rsidRPr="00B40903" w:rsidRDefault="009C15A7" w:rsidP="009C15A7">
      <w:r w:rsidRPr="00B40903">
        <w:t xml:space="preserve">Kimi Lynn King, James D. </w:t>
      </w:r>
      <w:proofErr w:type="spellStart"/>
      <w:r w:rsidRPr="00B40903">
        <w:t>Meernik</w:t>
      </w:r>
      <w:proofErr w:type="spellEnd"/>
      <w:r w:rsidRPr="00B40903">
        <w:t xml:space="preserve"> and</w:t>
      </w:r>
      <w:r>
        <w:t xml:space="preserve"> Eliza G. Kelly, ‘Deborah’s voice: The role of women in sexual assault cases at the International Criminal Tribunal for the Former Yugoslavia’, </w:t>
      </w:r>
      <w:r>
        <w:rPr>
          <w:i/>
          <w:iCs/>
        </w:rPr>
        <w:t xml:space="preserve">Social Science Quarterly </w:t>
      </w:r>
      <w:r>
        <w:t>98:2 (2017), 548-565.</w:t>
      </w:r>
    </w:p>
    <w:p w14:paraId="5401504D" w14:textId="77777777" w:rsidR="009C15A7" w:rsidRDefault="009C15A7" w:rsidP="009C15A7">
      <w:r w:rsidRPr="00C97F1A">
        <w:t>Alexander Korb, ‘Homogenizing Southeastern Europe, 1912-9</w:t>
      </w:r>
      <w:r>
        <w:t xml:space="preserve">9: Ethnic Cleansing in the Balkans Revisited’, </w:t>
      </w:r>
      <w:r>
        <w:rPr>
          <w:i/>
          <w:iCs/>
        </w:rPr>
        <w:t xml:space="preserve">Journal of Genocide Research </w:t>
      </w:r>
      <w:r>
        <w:t>18:4 (2016), 377-387.</w:t>
      </w:r>
    </w:p>
    <w:p w14:paraId="51727E87" w14:textId="77777777" w:rsidR="009C15A7" w:rsidRDefault="009C15A7" w:rsidP="009C15A7">
      <w:r w:rsidRPr="008E6FC7">
        <w:t xml:space="preserve">Katerina </w:t>
      </w:r>
      <w:proofErr w:type="spellStart"/>
      <w:r w:rsidRPr="008E6FC7">
        <w:t>Krulisova</w:t>
      </w:r>
      <w:proofErr w:type="spellEnd"/>
      <w:r w:rsidRPr="008E6FC7">
        <w:t>, ‘Biljana Plavsic at the ICTY: A femi</w:t>
      </w:r>
      <w:r>
        <w:t xml:space="preserve">nist analysis of representations of the self’, </w:t>
      </w:r>
      <w:r>
        <w:rPr>
          <w:i/>
          <w:iCs/>
        </w:rPr>
        <w:t xml:space="preserve">Journal of Perpetrator Research </w:t>
      </w:r>
      <w:r>
        <w:t>3:1 (2020), 128-155.</w:t>
      </w:r>
    </w:p>
    <w:p w14:paraId="306CD1BE" w14:textId="77777777" w:rsidR="009C15A7" w:rsidRPr="00111398" w:rsidRDefault="009C15A7" w:rsidP="009C15A7">
      <w:r>
        <w:t xml:space="preserve">Kersti Larsdotter, ‘The development of a NATO strategy in Bosnia-Herzegovina’, in Hakan Edström and Dennis </w:t>
      </w:r>
      <w:proofErr w:type="spellStart"/>
      <w:r>
        <w:t>Gyllenspore</w:t>
      </w:r>
      <w:proofErr w:type="spellEnd"/>
      <w:r>
        <w:t xml:space="preserve"> (eds.), </w:t>
      </w:r>
      <w:r>
        <w:rPr>
          <w:i/>
          <w:iCs/>
        </w:rPr>
        <w:t xml:space="preserve">Pursuing strategy: NATO operations from the Gulf War to Gaddafi </w:t>
      </w:r>
      <w:r>
        <w:t>(Basingstoke, 2012</w:t>
      </w:r>
      <w:proofErr w:type="gramStart"/>
      <w:r>
        <w:t>),  pp.</w:t>
      </w:r>
      <w:proofErr w:type="gramEnd"/>
      <w:r>
        <w:t>60-81</w:t>
      </w:r>
    </w:p>
    <w:p w14:paraId="59B7318D" w14:textId="77777777" w:rsidR="009C15A7" w:rsidRPr="008E6FC7" w:rsidRDefault="009C15A7" w:rsidP="009C15A7">
      <w:r w:rsidRPr="008E6FC7">
        <w:t xml:space="preserve">René Lemarchand, ‘Comparing the killing fields: Rwanda, Cambodia and Bosnia’, in Steven L. B. Jensen (ed.), </w:t>
      </w:r>
      <w:r w:rsidRPr="008E6FC7">
        <w:rPr>
          <w:i/>
          <w:iCs/>
        </w:rPr>
        <w:t xml:space="preserve">Genocide: Cases, Comparisons and Contemporary Debates </w:t>
      </w:r>
      <w:r w:rsidRPr="008E6FC7">
        <w:t>(Copenhagen, 2003), pp. 141-174.</w:t>
      </w:r>
    </w:p>
    <w:p w14:paraId="63F4CBA8" w14:textId="77777777" w:rsidR="009C15A7" w:rsidRPr="009065B5" w:rsidRDefault="009C15A7" w:rsidP="009C15A7">
      <w:r>
        <w:t xml:space="preserve">Selma </w:t>
      </w:r>
      <w:proofErr w:type="spellStart"/>
      <w:r>
        <w:t>Leydesdorff</w:t>
      </w:r>
      <w:proofErr w:type="spellEnd"/>
      <w:r>
        <w:t xml:space="preserve"> and Kay Richardson, </w:t>
      </w:r>
      <w:r>
        <w:rPr>
          <w:i/>
          <w:iCs/>
        </w:rPr>
        <w:t xml:space="preserve">Surviving the Bosnian Genocide: The Women of Srebrenica Speak </w:t>
      </w:r>
      <w:r>
        <w:t>(Indiana University Press, 2011).</w:t>
      </w:r>
    </w:p>
    <w:p w14:paraId="4135D947" w14:textId="77777777" w:rsidR="009C15A7" w:rsidRDefault="009C15A7" w:rsidP="009C15A7">
      <w:r w:rsidRPr="00EB24E1">
        <w:t>Ben Lieberman, ‘Nationalist Narratives, Violence Between Neig</w:t>
      </w:r>
      <w:r>
        <w:t xml:space="preserve">hbours and Ethnic Cleansing in Bosnia-Hercegovina: A Case of Cognitive Dissonance?’, </w:t>
      </w:r>
      <w:r>
        <w:rPr>
          <w:i/>
          <w:iCs/>
        </w:rPr>
        <w:t xml:space="preserve">Journal of Genocide Research </w:t>
      </w:r>
      <w:r>
        <w:t>(2006), 8:3, 295-309.</w:t>
      </w:r>
    </w:p>
    <w:p w14:paraId="49DD4C30" w14:textId="77777777" w:rsidR="009C15A7" w:rsidRPr="00284BC5" w:rsidRDefault="009C15A7" w:rsidP="009C15A7">
      <w:r>
        <w:lastRenderedPageBreak/>
        <w:t xml:space="preserve">R. Lindsey, ‘From atrocity to data: Historiographies of rape in Former Yugoslavia and the gendering of genocide’, </w:t>
      </w:r>
      <w:r>
        <w:rPr>
          <w:i/>
          <w:iCs/>
        </w:rPr>
        <w:t xml:space="preserve">Patterns of prejudice </w:t>
      </w:r>
      <w:r>
        <w:t>36:4 (2002), 59-78.</w:t>
      </w:r>
    </w:p>
    <w:p w14:paraId="49C0ADA5" w14:textId="77777777" w:rsidR="009C15A7" w:rsidRPr="00560E04" w:rsidRDefault="009C15A7" w:rsidP="009C15A7">
      <w:r>
        <w:t xml:space="preserve">Damir Mirkovic, ‘Ethnic conflict and genocide: Reflections on ethnic cleansing in the former Yugoslavia’, </w:t>
      </w:r>
      <w:r>
        <w:rPr>
          <w:i/>
          <w:iCs/>
        </w:rPr>
        <w:t xml:space="preserve">The Annals of the American Academy, </w:t>
      </w:r>
      <w:r>
        <w:t>548 (1996), 191-199.</w:t>
      </w:r>
    </w:p>
    <w:p w14:paraId="7FD27578" w14:textId="77777777" w:rsidR="009C15A7" w:rsidRDefault="009C15A7" w:rsidP="009C15A7">
      <w:r>
        <w:t xml:space="preserve">Dirk Moses and Donald Bloxham, ‘Genocide and ethnic cleansing’, in Donald Bloxham and Robert </w:t>
      </w:r>
      <w:proofErr w:type="spellStart"/>
      <w:r>
        <w:t>Gerwarth</w:t>
      </w:r>
      <w:proofErr w:type="spellEnd"/>
      <w:r>
        <w:t xml:space="preserve"> (eds.), </w:t>
      </w:r>
      <w:r>
        <w:rPr>
          <w:i/>
          <w:iCs/>
        </w:rPr>
        <w:t xml:space="preserve">Political Violence in Twentieth Century Europe </w:t>
      </w:r>
      <w:r>
        <w:t>(Cambridge, 2011), 87-139.</w:t>
      </w:r>
    </w:p>
    <w:p w14:paraId="47F17753" w14:textId="77777777" w:rsidR="009C15A7" w:rsidRDefault="009C15A7" w:rsidP="009C15A7">
      <w:r>
        <w:t>Vesna Nikolic-</w:t>
      </w:r>
      <w:proofErr w:type="spellStart"/>
      <w:r>
        <w:t>Ristanovic</w:t>
      </w:r>
      <w:proofErr w:type="spellEnd"/>
      <w:r>
        <w:t xml:space="preserve">, ‘The body of war: Media, ethnicity and gender in the break-up of Yugoslavia’, </w:t>
      </w:r>
      <w:r>
        <w:rPr>
          <w:i/>
          <w:iCs/>
        </w:rPr>
        <w:t xml:space="preserve">Feminist review </w:t>
      </w:r>
      <w:r>
        <w:t>95:1 (2010), 9-11.</w:t>
      </w:r>
    </w:p>
    <w:p w14:paraId="157B9960" w14:textId="77777777" w:rsidR="009C15A7" w:rsidRPr="00D51998" w:rsidRDefault="009C15A7" w:rsidP="009C15A7">
      <w:r>
        <w:t xml:space="preserve">Catherine van </w:t>
      </w:r>
      <w:proofErr w:type="spellStart"/>
      <w:r>
        <w:t>Offelen</w:t>
      </w:r>
      <w:proofErr w:type="spellEnd"/>
      <w:r>
        <w:t xml:space="preserve"> and M. L. R. Smith, ‘Agonizing Choices: Tragedy and international relations – a tragic vision of humanitarian intervention in the Bosnian War’, </w:t>
      </w:r>
      <w:r>
        <w:rPr>
          <w:i/>
          <w:iCs/>
        </w:rPr>
        <w:t xml:space="preserve">Review of International Studies </w:t>
      </w:r>
      <w:r>
        <w:t>46:4 (2020), 495-513.</w:t>
      </w:r>
    </w:p>
    <w:p w14:paraId="41B7B2C5" w14:textId="77777777" w:rsidR="009C15A7" w:rsidRPr="00DB7D39" w:rsidRDefault="009C15A7" w:rsidP="009C15A7">
      <w:r>
        <w:rPr>
          <w:i/>
          <w:iCs/>
        </w:rPr>
        <w:t xml:space="preserve"> </w:t>
      </w:r>
      <w:r>
        <w:t xml:space="preserve">Anthony </w:t>
      </w:r>
      <w:proofErr w:type="spellStart"/>
      <w:r>
        <w:t>Oberschall</w:t>
      </w:r>
      <w:proofErr w:type="spellEnd"/>
      <w:r>
        <w:t xml:space="preserve">, ‘The Manipulation of Ethnicity: From Ethnic Cooperation to Violence and War in Yugoslavia’, </w:t>
      </w:r>
      <w:r>
        <w:rPr>
          <w:i/>
          <w:iCs/>
        </w:rPr>
        <w:t xml:space="preserve">Ethnic and Racial Studies </w:t>
      </w:r>
      <w:r>
        <w:t>23:6 (2000), 982-1001.</w:t>
      </w:r>
    </w:p>
    <w:p w14:paraId="3F520090" w14:textId="77777777" w:rsidR="009C15A7" w:rsidRDefault="009C15A7" w:rsidP="009C15A7">
      <w:r>
        <w:t xml:space="preserve">Maria O’Reilly, ‘Peace and justice through a feminist lens: Gender justice and the Women’s Court for the Former Yugoslavia’, </w:t>
      </w:r>
      <w:r>
        <w:rPr>
          <w:i/>
          <w:iCs/>
        </w:rPr>
        <w:t xml:space="preserve">Journal of intervention and </w:t>
      </w:r>
      <w:proofErr w:type="spellStart"/>
      <w:r>
        <w:rPr>
          <w:i/>
          <w:iCs/>
        </w:rPr>
        <w:t>statebuilding</w:t>
      </w:r>
      <w:proofErr w:type="spellEnd"/>
      <w:r>
        <w:rPr>
          <w:i/>
          <w:iCs/>
        </w:rPr>
        <w:t xml:space="preserve"> </w:t>
      </w:r>
      <w:r>
        <w:t>10:3 (2016), 419-445.</w:t>
      </w:r>
    </w:p>
    <w:p w14:paraId="47EC7BB7" w14:textId="77777777" w:rsidR="009C15A7" w:rsidRDefault="009C15A7" w:rsidP="009C15A7">
      <w:r>
        <w:t xml:space="preserve">Sabrina P. Ramet, </w:t>
      </w:r>
      <w:r>
        <w:rPr>
          <w:i/>
          <w:iCs/>
        </w:rPr>
        <w:t xml:space="preserve">Balkan Babel: The disintegration of Yugoslavia from the death of Tito to the fall of Milosevic </w:t>
      </w:r>
      <w:r>
        <w:t>(</w:t>
      </w:r>
      <w:r w:rsidRPr="003F4E9B">
        <w:t xml:space="preserve">Peter Ronayne, ‘Genocide in Kosovo’, </w:t>
      </w:r>
      <w:r w:rsidRPr="003F4E9B">
        <w:rPr>
          <w:i/>
          <w:iCs/>
        </w:rPr>
        <w:t>Hum</w:t>
      </w:r>
      <w:r>
        <w:rPr>
          <w:i/>
          <w:iCs/>
        </w:rPr>
        <w:t xml:space="preserve">an Rights Review </w:t>
      </w:r>
      <w:r>
        <w:t>5:4 (2004), 57-71.</w:t>
      </w:r>
    </w:p>
    <w:p w14:paraId="5652E86E" w14:textId="77777777" w:rsidR="009C15A7" w:rsidRDefault="009C15A7" w:rsidP="009C15A7">
      <w:r>
        <w:t xml:space="preserve">Jayne Rodgers, ‘Bosnia and Kosovo: Interpreting the gender dimensions of international intervention’, </w:t>
      </w:r>
      <w:r>
        <w:rPr>
          <w:i/>
          <w:iCs/>
        </w:rPr>
        <w:t xml:space="preserve">Contemporary Security Policy </w:t>
      </w:r>
      <w:r>
        <w:t>22:3 (2001), 183-195.</w:t>
      </w:r>
    </w:p>
    <w:p w14:paraId="45ABB2B4" w14:textId="77777777" w:rsidR="009C15A7" w:rsidRPr="003636E2" w:rsidRDefault="009C15A7" w:rsidP="009C15A7"/>
    <w:p w14:paraId="66F38F0F" w14:textId="77777777" w:rsidR="009C15A7" w:rsidRDefault="009C15A7" w:rsidP="009C15A7">
      <w:r w:rsidRPr="00880253">
        <w:t>Todd A. Salzman, ‘Rape camp</w:t>
      </w:r>
      <w:r>
        <w:t xml:space="preserve">s as a means of ethnic cleansing: Religious, cultural and ethical responses to rape victims in the former Yugoslavia’, </w:t>
      </w:r>
      <w:r>
        <w:rPr>
          <w:i/>
          <w:iCs/>
        </w:rPr>
        <w:t xml:space="preserve">Human Rights Quarterly </w:t>
      </w:r>
      <w:r>
        <w:t>20:2 (1998), 348-378.</w:t>
      </w:r>
    </w:p>
    <w:p w14:paraId="28C43354" w14:textId="77777777" w:rsidR="009C15A7" w:rsidRDefault="009C15A7" w:rsidP="009C15A7">
      <w:r>
        <w:t xml:space="preserve">Lisa </w:t>
      </w:r>
      <w:proofErr w:type="spellStart"/>
      <w:r>
        <w:t>Sharlach</w:t>
      </w:r>
      <w:proofErr w:type="spellEnd"/>
      <w:r>
        <w:t xml:space="preserve">, ‘Rape as genocide: Bangladesh, the Former Yugoslavia, and Rwanda’, </w:t>
      </w:r>
      <w:r>
        <w:rPr>
          <w:i/>
          <w:iCs/>
        </w:rPr>
        <w:t xml:space="preserve">New Political Science </w:t>
      </w:r>
      <w:r>
        <w:t>22:1 (2000), 89-102.</w:t>
      </w:r>
    </w:p>
    <w:p w14:paraId="09F1E12E" w14:textId="77777777" w:rsidR="009C15A7" w:rsidRPr="00E24F66" w:rsidRDefault="009C15A7" w:rsidP="009C15A7">
      <w:r w:rsidRPr="00E24F66">
        <w:t>B. K. Shrivastava and Manmohan Agarwal, ’Poli</w:t>
      </w:r>
      <w:r>
        <w:t xml:space="preserve">tics of intervention and the Bosnia-Herzegovina Conflict’, </w:t>
      </w:r>
      <w:r>
        <w:rPr>
          <w:i/>
          <w:iCs/>
        </w:rPr>
        <w:t xml:space="preserve">International Studies </w:t>
      </w:r>
      <w:r>
        <w:t>40:1 (2003), 69-84.</w:t>
      </w:r>
    </w:p>
    <w:p w14:paraId="1F585603" w14:textId="77777777" w:rsidR="009C15A7" w:rsidRPr="000E04F6" w:rsidRDefault="009C15A7" w:rsidP="009C15A7">
      <w:r>
        <w:t xml:space="preserve">Gearóid Ó. Tuathail, ‘Theorising practical geopolitical reasoning: The case of the United States’ response to the war in Bosnia’, </w:t>
      </w:r>
      <w:r>
        <w:rPr>
          <w:i/>
          <w:iCs/>
        </w:rPr>
        <w:t xml:space="preserve">Political geography </w:t>
      </w:r>
      <w:r>
        <w:t>21:5 (2002), 601-628.</w:t>
      </w:r>
    </w:p>
    <w:p w14:paraId="1AE882B0" w14:textId="77777777" w:rsidR="009C15A7" w:rsidRDefault="009C15A7" w:rsidP="009C15A7">
      <w:r>
        <w:t xml:space="preserve">Jon Western, ‘Sources of humanitarian intervention: Beliefs, information and advocacy in the US decisions on Somalia and Bosnia’, </w:t>
      </w:r>
      <w:r>
        <w:rPr>
          <w:i/>
          <w:iCs/>
        </w:rPr>
        <w:t xml:space="preserve">International Security </w:t>
      </w:r>
      <w:r>
        <w:t>26:4 (2002), 112-142.</w:t>
      </w:r>
    </w:p>
    <w:p w14:paraId="64EA6C5B" w14:textId="77777777" w:rsidR="009C15A7" w:rsidRPr="002529C1" w:rsidRDefault="009C15A7" w:rsidP="009C15A7">
      <w:r>
        <w:lastRenderedPageBreak/>
        <w:t xml:space="preserve">Nicholas J. Wheeler, </w:t>
      </w:r>
      <w:r>
        <w:rPr>
          <w:i/>
          <w:iCs/>
        </w:rPr>
        <w:t xml:space="preserve">Saving strangers: Humanitarian intervention in international society </w:t>
      </w:r>
      <w:r>
        <w:t>(Oxford, 2002),</w:t>
      </w:r>
      <w:r>
        <w:rPr>
          <w:i/>
          <w:iCs/>
        </w:rPr>
        <w:t xml:space="preserve"> </w:t>
      </w:r>
      <w:r>
        <w:t>Chapter 8.</w:t>
      </w:r>
    </w:p>
    <w:p w14:paraId="104BD7C5" w14:textId="77777777" w:rsidR="009C15A7" w:rsidRDefault="009C15A7" w:rsidP="009C15A7">
      <w:pPr>
        <w:pStyle w:val="Heading3"/>
      </w:pPr>
      <w:r>
        <w:t>Rwanda</w:t>
      </w:r>
    </w:p>
    <w:p w14:paraId="48A16BF2" w14:textId="77777777" w:rsidR="009C15A7" w:rsidRDefault="009C15A7" w:rsidP="009C15A7">
      <w:r>
        <w:t xml:space="preserve">Howard Adelman and Astri Suhrke (eds.), </w:t>
      </w:r>
      <w:r>
        <w:rPr>
          <w:i/>
          <w:iCs/>
        </w:rPr>
        <w:t xml:space="preserve">The Path of a Genocide: The Rwanda Crisis from Uganda to Zaire </w:t>
      </w:r>
      <w:r>
        <w:t xml:space="preserve">(Transaction, 1999), especially chapter by </w:t>
      </w:r>
      <w:proofErr w:type="spellStart"/>
      <w:r>
        <w:t>Kakwenzire</w:t>
      </w:r>
      <w:proofErr w:type="spellEnd"/>
      <w:r>
        <w:t xml:space="preserve"> and Kamukama.</w:t>
      </w:r>
    </w:p>
    <w:p w14:paraId="73B6F269" w14:textId="77777777" w:rsidR="009C15A7" w:rsidRDefault="009C15A7" w:rsidP="009C15A7">
      <w:r>
        <w:t xml:space="preserve">Kimberly Allar, ‘Setting the Picture Straight: The Ordinary Women of Nazi Germany and Rwanda Who Participated in Genocide’, in Karen Auerbach (ed.), </w:t>
      </w:r>
      <w:r>
        <w:rPr>
          <w:i/>
          <w:iCs/>
        </w:rPr>
        <w:t xml:space="preserve">Aftermath: Genocide, Memory and History </w:t>
      </w:r>
      <w:r>
        <w:t>(Melbourne, 2015), pp. 21-47.</w:t>
      </w:r>
    </w:p>
    <w:p w14:paraId="4C7E9BA2" w14:textId="77777777" w:rsidR="009C15A7" w:rsidRDefault="009C15A7" w:rsidP="009C15A7">
      <w:r>
        <w:t xml:space="preserve">Howard Adelman and Astri Suhrke (eds.), </w:t>
      </w:r>
      <w:r>
        <w:rPr>
          <w:i/>
          <w:iCs/>
        </w:rPr>
        <w:t xml:space="preserve">The Path of a Genocide: The Rwanda Crisis from Uganda to Zaire </w:t>
      </w:r>
      <w:r>
        <w:t xml:space="preserve">(Transaction, 1999), especially chapter by </w:t>
      </w:r>
      <w:proofErr w:type="spellStart"/>
      <w:r>
        <w:t>Kakwenzire</w:t>
      </w:r>
      <w:proofErr w:type="spellEnd"/>
      <w:r>
        <w:t xml:space="preserve"> and Kamukama.</w:t>
      </w:r>
    </w:p>
    <w:p w14:paraId="30256880" w14:textId="77777777" w:rsidR="009C15A7" w:rsidRPr="00723468" w:rsidRDefault="009C15A7" w:rsidP="009C15A7">
      <w:r w:rsidRPr="00723468">
        <w:t>Stéphane Audoin-</w:t>
      </w:r>
      <w:proofErr w:type="spellStart"/>
      <w:r w:rsidRPr="00723468">
        <w:t>Rouzeau</w:t>
      </w:r>
      <w:proofErr w:type="spellEnd"/>
      <w:r w:rsidRPr="00723468">
        <w:t>, ‘The end of</w:t>
      </w:r>
      <w:r>
        <w:t xml:space="preserve"> a French denial? The “</w:t>
      </w:r>
      <w:proofErr w:type="spellStart"/>
      <w:r>
        <w:t>Duclert</w:t>
      </w:r>
      <w:proofErr w:type="spellEnd"/>
      <w:r>
        <w:t xml:space="preserve"> Report” and the official recognition of France’s misdoings in Rwanda, before and during the genocide of Rwandan Tutsis (1990-1994), </w:t>
      </w:r>
      <w:r>
        <w:rPr>
          <w:i/>
          <w:iCs/>
        </w:rPr>
        <w:t xml:space="preserve">South Central Review </w:t>
      </w:r>
      <w:r>
        <w:t>39:2 (2022), 69-75.</w:t>
      </w:r>
    </w:p>
    <w:p w14:paraId="2626B764" w14:textId="77777777" w:rsidR="009C15A7" w:rsidRDefault="009C15A7" w:rsidP="009C15A7">
      <w:r>
        <w:t xml:space="preserve">Erin K. Baines, ‘Body Politics and the Rwandan Crisis’, </w:t>
      </w:r>
      <w:r>
        <w:rPr>
          <w:i/>
          <w:iCs/>
        </w:rPr>
        <w:t xml:space="preserve">Third World Quarterly </w:t>
      </w:r>
      <w:r>
        <w:t>24:3 (2003), 479-493.</w:t>
      </w:r>
    </w:p>
    <w:p w14:paraId="36563658" w14:textId="77777777" w:rsidR="009C15A7" w:rsidRPr="00874E8D" w:rsidRDefault="009C15A7" w:rsidP="009C15A7">
      <w:r w:rsidRPr="00874E8D">
        <w:t>Michael N. Barnett, ‘The UN Security Co</w:t>
      </w:r>
      <w:r>
        <w:t xml:space="preserve">uncil, indifference and genocide in Rwanda’, </w:t>
      </w:r>
      <w:r>
        <w:rPr>
          <w:i/>
          <w:iCs/>
        </w:rPr>
        <w:t xml:space="preserve">Cultural Anthropology </w:t>
      </w:r>
      <w:r>
        <w:t>12:4 (1997), 551-578.</w:t>
      </w:r>
    </w:p>
    <w:p w14:paraId="246F9E98" w14:textId="77777777" w:rsidR="009C15A7" w:rsidRDefault="009C15A7" w:rsidP="009C15A7">
      <w:r>
        <w:t xml:space="preserve">Holly J. </w:t>
      </w:r>
      <w:proofErr w:type="spellStart"/>
      <w:r>
        <w:t>Bukhalter</w:t>
      </w:r>
      <w:proofErr w:type="spellEnd"/>
      <w:r>
        <w:t xml:space="preserve">, ‘The question of genocide: The Clinton administration and Rwanda’, </w:t>
      </w:r>
      <w:r>
        <w:rPr>
          <w:i/>
          <w:iCs/>
        </w:rPr>
        <w:t xml:space="preserve">World Policy Journal </w:t>
      </w:r>
      <w:r>
        <w:t>11:4 (1994), 44.</w:t>
      </w:r>
    </w:p>
    <w:p w14:paraId="6923F1C7" w14:textId="77777777" w:rsidR="009C15A7" w:rsidRPr="002B39A1" w:rsidRDefault="009C15A7" w:rsidP="009C15A7">
      <w:r>
        <w:t xml:space="preserve">Mats Berdal, ‘Lessons not learned: The use of force in “peace operations” in the 1990s’, </w:t>
      </w:r>
      <w:r>
        <w:rPr>
          <w:i/>
          <w:iCs/>
        </w:rPr>
        <w:t xml:space="preserve">International Peacekeeping </w:t>
      </w:r>
      <w:r>
        <w:t>7:4 (2000), 55-74.</w:t>
      </w:r>
    </w:p>
    <w:p w14:paraId="22FF40DA" w14:textId="77777777" w:rsidR="009C15A7" w:rsidRDefault="009C15A7" w:rsidP="009C15A7">
      <w:r>
        <w:t xml:space="preserve">Thomas Cushman and Stjepan Mestrovic, </w:t>
      </w:r>
      <w:r>
        <w:rPr>
          <w:i/>
          <w:iCs/>
        </w:rPr>
        <w:t xml:space="preserve">This Time We Knew: Western Responses to Genocide in Bosnia </w:t>
      </w:r>
      <w:r>
        <w:t>(New York, 1996), Chapter Six by Michael Barnett.</w:t>
      </w:r>
    </w:p>
    <w:p w14:paraId="3567B1B4" w14:textId="77777777" w:rsidR="009C15A7" w:rsidRPr="007252AA" w:rsidRDefault="009C15A7" w:rsidP="009C15A7">
      <w:r>
        <w:t xml:space="preserve">Ravi Bhavnani, ‘Ethnic norms and interethnic violence: Accounting for mass participation in the Rwandan genocide’, </w:t>
      </w:r>
      <w:r>
        <w:rPr>
          <w:i/>
          <w:iCs/>
        </w:rPr>
        <w:t xml:space="preserve">Journal of Peace Research </w:t>
      </w:r>
      <w:r>
        <w:t>43:6 (2006), 651-669.</w:t>
      </w:r>
    </w:p>
    <w:p w14:paraId="66191D4E" w14:textId="77777777" w:rsidR="009C15A7" w:rsidRDefault="009C15A7" w:rsidP="009C15A7">
      <w:r>
        <w:t xml:space="preserve">Sara Elise Brown, ‘“They forgot their role”: Women perpetrators of the Holocaust and the genocide against the Tutsi in Rwanda’, </w:t>
      </w:r>
      <w:r>
        <w:rPr>
          <w:i/>
          <w:iCs/>
        </w:rPr>
        <w:t xml:space="preserve">Journal of Perpetrator Research </w:t>
      </w:r>
      <w:r>
        <w:t>3:1 (2020), 156-185.</w:t>
      </w:r>
    </w:p>
    <w:p w14:paraId="6C862E26" w14:textId="77777777" w:rsidR="009C15A7" w:rsidRDefault="009C15A7" w:rsidP="009C15A7">
      <w:r w:rsidRPr="005F4964">
        <w:t xml:space="preserve">Sara E. Brown, </w:t>
      </w:r>
      <w:r w:rsidRPr="005F4964">
        <w:rPr>
          <w:i/>
          <w:iCs/>
        </w:rPr>
        <w:t>Gender and th</w:t>
      </w:r>
      <w:r>
        <w:rPr>
          <w:i/>
          <w:iCs/>
        </w:rPr>
        <w:t xml:space="preserve">e genocide in Rwanda: Women as rescuers and perpetrators </w:t>
      </w:r>
      <w:r>
        <w:t>(Milton, 2017).</w:t>
      </w:r>
    </w:p>
    <w:p w14:paraId="72A54876" w14:textId="77777777" w:rsidR="009C15A7" w:rsidRPr="00E13AAB" w:rsidRDefault="009C15A7" w:rsidP="009C15A7">
      <w:r>
        <w:t xml:space="preserve">Hazel Cameron, ‘The French connection: Complicity in the 1994 genocide in Rwanda’, </w:t>
      </w:r>
      <w:r>
        <w:rPr>
          <w:i/>
          <w:iCs/>
        </w:rPr>
        <w:t xml:space="preserve">African security </w:t>
      </w:r>
      <w:r>
        <w:t>8:2 (2015), 96-119.</w:t>
      </w:r>
    </w:p>
    <w:p w14:paraId="49D9BCFF" w14:textId="77777777" w:rsidR="009C15A7" w:rsidRDefault="009C15A7" w:rsidP="009C15A7">
      <w:r>
        <w:lastRenderedPageBreak/>
        <w:t xml:space="preserve">Phillip Drew, Bruce Oswald, Robert McLaughlin and Jeremy Farrall (eds.), </w:t>
      </w:r>
      <w:r>
        <w:rPr>
          <w:i/>
          <w:iCs/>
        </w:rPr>
        <w:t xml:space="preserve">Rwanda Revisited: Genocide, Civil War, and the Transformation of International Law </w:t>
      </w:r>
      <w:r>
        <w:t>(Brill, 2021).</w:t>
      </w:r>
    </w:p>
    <w:p w14:paraId="41344C4B" w14:textId="77777777" w:rsidR="009C15A7" w:rsidRDefault="009C15A7" w:rsidP="009C15A7">
      <w:r>
        <w:t xml:space="preserve">Nigel Eltringham, </w:t>
      </w:r>
      <w:proofErr w:type="gramStart"/>
      <w:r>
        <w:t>‘ “</w:t>
      </w:r>
      <w:proofErr w:type="gramEnd"/>
      <w:r>
        <w:t xml:space="preserve">Invaders who have stolen the country”: The Hamitic Hypothesis, Race and the Rwandan Genocide’ </w:t>
      </w:r>
      <w:r>
        <w:rPr>
          <w:i/>
          <w:iCs/>
        </w:rPr>
        <w:t xml:space="preserve">Social identities </w:t>
      </w:r>
      <w:r>
        <w:t>12:4 (2006), 425-446.</w:t>
      </w:r>
    </w:p>
    <w:p w14:paraId="0E5FA1EE" w14:textId="77777777" w:rsidR="009C15A7" w:rsidRPr="00032F49" w:rsidRDefault="009C15A7" w:rsidP="009C15A7">
      <w:r w:rsidRPr="00032F49">
        <w:t xml:space="preserve">Luke Fletcher, ‘Turning </w:t>
      </w:r>
      <w:r w:rsidRPr="00032F49">
        <w:rPr>
          <w:i/>
          <w:iCs/>
        </w:rPr>
        <w:t xml:space="preserve">Interahamwe: </w:t>
      </w:r>
      <w:r w:rsidRPr="00032F49">
        <w:t>Individual a</w:t>
      </w:r>
      <w:r>
        <w:t xml:space="preserve">nd Community Choices in the Rwandan Genocide’, </w:t>
      </w:r>
      <w:r>
        <w:rPr>
          <w:i/>
          <w:iCs/>
        </w:rPr>
        <w:t xml:space="preserve">Journal of Genocide Research </w:t>
      </w:r>
      <w:r>
        <w:t>9:1 (2007).</w:t>
      </w:r>
    </w:p>
    <w:p w14:paraId="05D3E249" w14:textId="77777777" w:rsidR="009C15A7" w:rsidRDefault="009C15A7" w:rsidP="009C15A7">
      <w:r w:rsidRPr="00A01E04">
        <w:t xml:space="preserve">Lee Ann Fujii, </w:t>
      </w:r>
      <w:r w:rsidRPr="00A01E04">
        <w:rPr>
          <w:i/>
          <w:iCs/>
        </w:rPr>
        <w:t>Killing Neighbour</w:t>
      </w:r>
      <w:r>
        <w:rPr>
          <w:i/>
          <w:iCs/>
        </w:rPr>
        <w:t xml:space="preserve">s: Webs of Violence in Rwanda </w:t>
      </w:r>
      <w:r>
        <w:t>(Cornell University Press, 2009).</w:t>
      </w:r>
    </w:p>
    <w:p w14:paraId="2C9CAE30" w14:textId="77777777" w:rsidR="009C15A7" w:rsidRDefault="009C15A7" w:rsidP="009C15A7">
      <w:r w:rsidRPr="00F7482E">
        <w:t>Lee Ann Fujii, ‘Transforming the Mo</w:t>
      </w:r>
      <w:r>
        <w:t xml:space="preserve">ral Landscape: The Diffusion of a Genocidal Norm in Rwanda’, </w:t>
      </w:r>
      <w:r>
        <w:rPr>
          <w:i/>
          <w:iCs/>
        </w:rPr>
        <w:t xml:space="preserve">Journal of Genocide Research </w:t>
      </w:r>
      <w:r>
        <w:t>6:1 (2004).</w:t>
      </w:r>
    </w:p>
    <w:p w14:paraId="11D32C99" w14:textId="77777777" w:rsidR="009C15A7" w:rsidRDefault="009C15A7" w:rsidP="009C15A7">
      <w:r>
        <w:t xml:space="preserve">Lee Ann Fujii, ‘The Power of Local Ties: Popular Participation in the Rwandan Genocide’, </w:t>
      </w:r>
      <w:r>
        <w:rPr>
          <w:i/>
          <w:iCs/>
        </w:rPr>
        <w:t xml:space="preserve">Security Studies </w:t>
      </w:r>
      <w:r>
        <w:t>17:3 (2008), 568-597.</w:t>
      </w:r>
    </w:p>
    <w:p w14:paraId="6D62B628" w14:textId="77777777" w:rsidR="009C15A7" w:rsidRPr="00F97E54" w:rsidRDefault="009C15A7" w:rsidP="009C15A7">
      <w:proofErr w:type="spellStart"/>
      <w:r w:rsidRPr="00F97E54">
        <w:t>Funom</w:t>
      </w:r>
      <w:proofErr w:type="spellEnd"/>
      <w:r w:rsidRPr="00F97E54">
        <w:t xml:space="preserve"> Theophilus Makama, ‘International neglect in th</w:t>
      </w:r>
      <w:r>
        <w:t xml:space="preserve">e Rwandan genocide: Lessons missed in Somalia that would have prevented the Mogadishu Syndrome’, </w:t>
      </w:r>
      <w:r>
        <w:rPr>
          <w:i/>
          <w:iCs/>
        </w:rPr>
        <w:t xml:space="preserve">African Journal of Social Issues </w:t>
      </w:r>
      <w:r>
        <w:t>6:1 (2023), 207-221.</w:t>
      </w:r>
    </w:p>
    <w:p w14:paraId="7EF30ECB" w14:textId="77777777" w:rsidR="009C15A7" w:rsidRPr="00F97E54" w:rsidRDefault="009C15A7" w:rsidP="009C15A7">
      <w:proofErr w:type="spellStart"/>
      <w:r w:rsidRPr="00F97E54">
        <w:t>Rangira</w:t>
      </w:r>
      <w:proofErr w:type="spellEnd"/>
      <w:r w:rsidRPr="00F97E54">
        <w:t xml:space="preserve"> </w:t>
      </w:r>
      <w:proofErr w:type="spellStart"/>
      <w:r w:rsidRPr="00F97E54">
        <w:t>Béa</w:t>
      </w:r>
      <w:proofErr w:type="spellEnd"/>
      <w:r w:rsidRPr="00F97E54">
        <w:t xml:space="preserve"> Gallimore, ‘Militarism, ethnicity and sexual violence in the Rwandan genocide’, </w:t>
      </w:r>
      <w:r w:rsidRPr="00F97E54">
        <w:rPr>
          <w:i/>
          <w:iCs/>
        </w:rPr>
        <w:t xml:space="preserve">Feminist Africa </w:t>
      </w:r>
      <w:r w:rsidRPr="00F97E54">
        <w:t>10 (2008), 9-30.</w:t>
      </w:r>
    </w:p>
    <w:p w14:paraId="4D8B8219" w14:textId="77777777" w:rsidR="009C15A7" w:rsidRDefault="009C15A7" w:rsidP="009C15A7">
      <w:r>
        <w:t xml:space="preserve">Helen </w:t>
      </w:r>
      <w:proofErr w:type="spellStart"/>
      <w:r>
        <w:t>Hintjens</w:t>
      </w:r>
      <w:proofErr w:type="spellEnd"/>
      <w:r>
        <w:t xml:space="preserve">, ‘Explaining the 1994 Genocide in Rwanda’, </w:t>
      </w:r>
      <w:r>
        <w:rPr>
          <w:i/>
          <w:iCs/>
        </w:rPr>
        <w:t xml:space="preserve">Journal of Modern African Studies </w:t>
      </w:r>
      <w:r>
        <w:t>37:2 (1999), pp.241-286.</w:t>
      </w:r>
    </w:p>
    <w:p w14:paraId="7C0AD8C3" w14:textId="77777777" w:rsidR="009C15A7" w:rsidRDefault="009C15A7" w:rsidP="009C15A7">
      <w:r>
        <w:t xml:space="preserve">Helen </w:t>
      </w:r>
      <w:proofErr w:type="spellStart"/>
      <w:r>
        <w:t>Hintjens</w:t>
      </w:r>
      <w:proofErr w:type="spellEnd"/>
      <w:r>
        <w:t xml:space="preserve">, ‘When identity becomes a knife: Reflecting on the genocide in Rwanda’, </w:t>
      </w:r>
      <w:r>
        <w:rPr>
          <w:i/>
          <w:iCs/>
        </w:rPr>
        <w:t xml:space="preserve">Ethnicities </w:t>
      </w:r>
      <w:r>
        <w:t>1:1 (2001), 25-55.</w:t>
      </w:r>
    </w:p>
    <w:p w14:paraId="472AAF52" w14:textId="77777777" w:rsidR="009C15A7" w:rsidRDefault="009C15A7" w:rsidP="009C15A7">
      <w:r w:rsidRPr="007D41DC">
        <w:t>Natalie Hodgson, ‘Gender justice or gendered just</w:t>
      </w:r>
      <w:r>
        <w:t xml:space="preserve">ice? Female defendants in International Criminal Tribunals’, </w:t>
      </w:r>
      <w:r>
        <w:rPr>
          <w:i/>
          <w:iCs/>
        </w:rPr>
        <w:t xml:space="preserve">Feminist Legal Studies </w:t>
      </w:r>
      <w:r>
        <w:t>25 (2017), 337-357.</w:t>
      </w:r>
    </w:p>
    <w:p w14:paraId="4B94A7A4" w14:textId="77777777" w:rsidR="009C15A7" w:rsidRPr="00E379FA" w:rsidRDefault="009C15A7" w:rsidP="009C15A7">
      <w:r>
        <w:t xml:space="preserve">Michael Humphrey, ‘International intervention, justice and national reconciliation: The role of the ICTY and ICTR in Bosnia and Rwanda’, </w:t>
      </w:r>
      <w:r>
        <w:rPr>
          <w:i/>
          <w:iCs/>
        </w:rPr>
        <w:t xml:space="preserve">Journal of Human Rights </w:t>
      </w:r>
      <w:r>
        <w:t>2:4 (2003), 495-505.</w:t>
      </w:r>
    </w:p>
    <w:p w14:paraId="20F02A07" w14:textId="77777777" w:rsidR="009C15A7" w:rsidRDefault="009C15A7" w:rsidP="009C15A7">
      <w:r w:rsidRPr="00097690">
        <w:t xml:space="preserve">Adam Jones, </w:t>
      </w:r>
      <w:r w:rsidRPr="00097690">
        <w:rPr>
          <w:i/>
          <w:iCs/>
        </w:rPr>
        <w:t xml:space="preserve">Genocide: A Comprehensive Introduction </w:t>
      </w:r>
      <w:r w:rsidRPr="00097690">
        <w:t>(2nd</w:t>
      </w:r>
      <w:r>
        <w:t xml:space="preserve">. ed.) </w:t>
      </w:r>
      <w:r w:rsidRPr="00097690">
        <w:rPr>
          <w:i/>
          <w:iCs/>
        </w:rPr>
        <w:t xml:space="preserve"> </w:t>
      </w:r>
      <w:r w:rsidRPr="00097690">
        <w:t>(</w:t>
      </w:r>
      <w:r>
        <w:t>Abingdon, 2011), Chapter 9.</w:t>
      </w:r>
    </w:p>
    <w:p w14:paraId="38891427" w14:textId="77777777" w:rsidR="009C15A7" w:rsidRDefault="009C15A7" w:rsidP="009C15A7">
      <w:r>
        <w:t xml:space="preserve">Adam Jones, ‘Gendercide and genocide’, </w:t>
      </w:r>
      <w:r>
        <w:rPr>
          <w:i/>
          <w:iCs/>
        </w:rPr>
        <w:t xml:space="preserve">Journal of genocide research </w:t>
      </w:r>
      <w:r>
        <w:t>2:2 (2000), 185-211.</w:t>
      </w:r>
    </w:p>
    <w:p w14:paraId="7DD6EC30" w14:textId="77777777" w:rsidR="009C15A7" w:rsidRDefault="009C15A7" w:rsidP="009C15A7">
      <w:r>
        <w:t xml:space="preserve">Adam Jones, ‘Gender and Genocide in Rwanda’, </w:t>
      </w:r>
      <w:r>
        <w:rPr>
          <w:i/>
          <w:iCs/>
        </w:rPr>
        <w:t xml:space="preserve">Journal of Genocide Research </w:t>
      </w:r>
      <w:r>
        <w:t>4:1 (2002), 65-94.</w:t>
      </w:r>
    </w:p>
    <w:p w14:paraId="392FED57" w14:textId="77777777" w:rsidR="009C15A7" w:rsidRDefault="009C15A7" w:rsidP="009C15A7">
      <w:r>
        <w:lastRenderedPageBreak/>
        <w:t xml:space="preserve">Rhian Elinor Keyse, ‘“A Very Sensitive Rwandan Woman”: Sexual Violence, History, and Gendered Narratives in the Trial of Pauline </w:t>
      </w:r>
      <w:proofErr w:type="spellStart"/>
      <w:r>
        <w:t>Nyiramasuhuko</w:t>
      </w:r>
      <w:proofErr w:type="spellEnd"/>
      <w:r>
        <w:t xml:space="preserve"> at the International Criminal Tribunal for Rwanda, 2001-2011’, </w:t>
      </w:r>
      <w:r>
        <w:rPr>
          <w:i/>
          <w:iCs/>
        </w:rPr>
        <w:t xml:space="preserve">Women’s History Review </w:t>
      </w:r>
      <w:r>
        <w:t>32:7 (2023), 1015-1039.</w:t>
      </w:r>
    </w:p>
    <w:p w14:paraId="7EB0FED7" w14:textId="77777777" w:rsidR="009C15A7" w:rsidRDefault="009C15A7" w:rsidP="009C15A7">
      <w:r>
        <w:t xml:space="preserve">Wendy Lambourne, ‘Ethnic conflict and genocide in Rwanda’, in S. </w:t>
      </w:r>
      <w:proofErr w:type="spellStart"/>
      <w:r>
        <w:t>Ratuva</w:t>
      </w:r>
      <w:proofErr w:type="spellEnd"/>
      <w:r>
        <w:t xml:space="preserve"> (ed.), </w:t>
      </w:r>
      <w:r>
        <w:rPr>
          <w:i/>
          <w:iCs/>
        </w:rPr>
        <w:t xml:space="preserve">The Palgrave Handbook of Ethnicity </w:t>
      </w:r>
      <w:r>
        <w:t>(Singapore, 2019).</w:t>
      </w:r>
    </w:p>
    <w:p w14:paraId="672D6EF2" w14:textId="77777777" w:rsidR="009C15A7" w:rsidRDefault="009C15A7" w:rsidP="009C15A7">
      <w:r>
        <w:t xml:space="preserve">René Lemarchand, ‘Disconnecting the Threads: Rwanda and the Holocaust Reconsidered’, </w:t>
      </w:r>
      <w:r>
        <w:rPr>
          <w:i/>
          <w:iCs/>
        </w:rPr>
        <w:t xml:space="preserve">Journal of Genocide Research </w:t>
      </w:r>
      <w:r>
        <w:t>4 (2002), pp.499-518.</w:t>
      </w:r>
    </w:p>
    <w:p w14:paraId="55062908" w14:textId="77777777" w:rsidR="009C15A7" w:rsidRPr="00CB60D3" w:rsidRDefault="009C15A7" w:rsidP="009C15A7">
      <w:r w:rsidRPr="00CB60D3">
        <w:t>René Lemarchand, ‘Rwanda: The rationality of</w:t>
      </w:r>
      <w:r>
        <w:t xml:space="preserve"> genocide’, </w:t>
      </w:r>
      <w:r>
        <w:rPr>
          <w:i/>
          <w:iCs/>
        </w:rPr>
        <w:t xml:space="preserve">Issue: A Journal of Opinion </w:t>
      </w:r>
      <w:r>
        <w:t>23:3 (1995), 8-11.</w:t>
      </w:r>
    </w:p>
    <w:p w14:paraId="6861000E" w14:textId="77777777" w:rsidR="009C15A7" w:rsidRPr="00C61DC4" w:rsidRDefault="009C15A7" w:rsidP="009C15A7">
      <w:r>
        <w:t xml:space="preserve">René Lemarchand, ‘Comparing the killing fields: Rwanda, Cambodia and Bosnia’, in Steven L. B. Jensen (ed.), </w:t>
      </w:r>
      <w:r>
        <w:rPr>
          <w:i/>
          <w:iCs/>
        </w:rPr>
        <w:t xml:space="preserve">Genocide: Cases, Comparisons and Contemporary Debates </w:t>
      </w:r>
      <w:r>
        <w:t>(Copenhagen, 2003), pp. 141-174.</w:t>
      </w:r>
    </w:p>
    <w:p w14:paraId="6C4C055B" w14:textId="77777777" w:rsidR="009C15A7" w:rsidRDefault="009C15A7" w:rsidP="009C15A7">
      <w:r>
        <w:t xml:space="preserve">Timothy Longman, ‘Twenty Years After </w:t>
      </w:r>
      <w:r>
        <w:rPr>
          <w:i/>
          <w:iCs/>
        </w:rPr>
        <w:t xml:space="preserve">Leave None </w:t>
      </w:r>
      <w:proofErr w:type="gramStart"/>
      <w:r>
        <w:rPr>
          <w:i/>
          <w:iCs/>
        </w:rPr>
        <w:t>To</w:t>
      </w:r>
      <w:proofErr w:type="gramEnd"/>
      <w:r>
        <w:rPr>
          <w:i/>
          <w:iCs/>
        </w:rPr>
        <w:t xml:space="preserve"> Tell The Story, </w:t>
      </w:r>
      <w:r>
        <w:t xml:space="preserve">What Do We Now Know About the Genocide of the Tutsi in Rwanda’, </w:t>
      </w:r>
      <w:r>
        <w:rPr>
          <w:i/>
          <w:iCs/>
        </w:rPr>
        <w:t xml:space="preserve">Journal of Humanitarian Affairs </w:t>
      </w:r>
      <w:r>
        <w:t>2:2 (2020), 40-47.</w:t>
      </w:r>
    </w:p>
    <w:p w14:paraId="3B765FF5" w14:textId="77777777" w:rsidR="009C15A7" w:rsidRDefault="009C15A7" w:rsidP="009C15A7">
      <w:r>
        <w:t xml:space="preserve">Timothy Longman, ‘Christian Churches and Genocide in Rwanda’ in Omer Bartov and Phyllis Mack (eds.), </w:t>
      </w:r>
      <w:r>
        <w:rPr>
          <w:i/>
          <w:iCs/>
        </w:rPr>
        <w:t xml:space="preserve">In God’s Name: Genocide and Religion in the Twentieth Century </w:t>
      </w:r>
      <w:r>
        <w:t>(2010), pp. 139-160.</w:t>
      </w:r>
    </w:p>
    <w:p w14:paraId="474C030F" w14:textId="77777777" w:rsidR="009C15A7" w:rsidRPr="00F94D05" w:rsidRDefault="009C15A7" w:rsidP="009C15A7">
      <w:r w:rsidRPr="00F94D05">
        <w:t>D. R. L. Ludlow, ‘Humanitarian intervention an</w:t>
      </w:r>
      <w:r>
        <w:t xml:space="preserve">d the Rwandan genocide’, </w:t>
      </w:r>
      <w:r>
        <w:rPr>
          <w:i/>
          <w:iCs/>
        </w:rPr>
        <w:t xml:space="preserve">Journal of Conflict Studies </w:t>
      </w:r>
      <w:r>
        <w:t>19:1 (1999), 22-47.</w:t>
      </w:r>
    </w:p>
    <w:p w14:paraId="4A1E341C" w14:textId="77777777" w:rsidR="009C15A7" w:rsidRPr="00936AF2" w:rsidRDefault="009C15A7" w:rsidP="009C15A7">
      <w:r>
        <w:t xml:space="preserve">Anne Mackintosh, ‘The International Response to Conflict and Genocide: Lessons from the Rwanda experience’, </w:t>
      </w:r>
      <w:r>
        <w:rPr>
          <w:i/>
          <w:iCs/>
        </w:rPr>
        <w:t xml:space="preserve">Journal of Refugee Studies </w:t>
      </w:r>
      <w:r>
        <w:t>9:3 (1996), 334-342.</w:t>
      </w:r>
    </w:p>
    <w:p w14:paraId="03C1F1F7" w14:textId="77777777" w:rsidR="009C15A7" w:rsidRDefault="009C15A7" w:rsidP="009C15A7">
      <w:r>
        <w:t xml:space="preserve">Mahmood Mamdani, </w:t>
      </w:r>
      <w:r>
        <w:rPr>
          <w:i/>
          <w:iCs/>
        </w:rPr>
        <w:t xml:space="preserve">When Victims Become Killers: Colonialism, Nativism, and the Genocide in Rwanda </w:t>
      </w:r>
      <w:r>
        <w:t>(Princeton University Press, 2001), Introduction.</w:t>
      </w:r>
    </w:p>
    <w:p w14:paraId="426C3166" w14:textId="77777777" w:rsidR="009C15A7" w:rsidRDefault="009C15A7" w:rsidP="009C15A7">
      <w:r>
        <w:t xml:space="preserve">Nesam McMillan, ‘“Our” shame: International responsibility for the Rwandan genocide’, </w:t>
      </w:r>
      <w:r>
        <w:rPr>
          <w:i/>
          <w:iCs/>
        </w:rPr>
        <w:t xml:space="preserve">Australian Feminist Law Journal </w:t>
      </w:r>
      <w:r>
        <w:t>28:1 (2008), 3-28.</w:t>
      </w:r>
    </w:p>
    <w:p w14:paraId="4BAFF763" w14:textId="77777777" w:rsidR="009C15A7" w:rsidRDefault="009C15A7" w:rsidP="009C15A7">
      <w:r>
        <w:t xml:space="preserve">Mel McNulty, ‘French arms, war and genocide in Rwanda’, </w:t>
      </w:r>
      <w:r>
        <w:rPr>
          <w:i/>
          <w:iCs/>
        </w:rPr>
        <w:t xml:space="preserve">Crime, law and social change </w:t>
      </w:r>
      <w:r>
        <w:t>33:1-2 (2000), 105-129.</w:t>
      </w:r>
    </w:p>
    <w:p w14:paraId="38B268EE" w14:textId="77777777" w:rsidR="009C15A7" w:rsidRPr="001D1BDF" w:rsidRDefault="009C15A7" w:rsidP="009C15A7">
      <w:r>
        <w:t xml:space="preserve">Mel McNulty, ‘France’s role in Rwanda and external military intervention: A double discrediting’, </w:t>
      </w:r>
      <w:r>
        <w:rPr>
          <w:i/>
          <w:iCs/>
        </w:rPr>
        <w:t xml:space="preserve">International Peacekeeping </w:t>
      </w:r>
      <w:r>
        <w:t>4:3 (1997), 24-44.</w:t>
      </w:r>
    </w:p>
    <w:p w14:paraId="2F7055BE" w14:textId="77777777" w:rsidR="009C15A7" w:rsidRPr="00322CC5" w:rsidRDefault="009C15A7" w:rsidP="009C15A7">
      <w:r w:rsidRPr="00322CC5">
        <w:t>Robert Melson, ‘Modern Genocide in Rwanda: Ideology, Revolution, War, and Mass Mur</w:t>
      </w:r>
      <w:r>
        <w:t xml:space="preserve">der in an African State’, in Robert </w:t>
      </w:r>
      <w:proofErr w:type="spellStart"/>
      <w:r>
        <w:t>Gellately</w:t>
      </w:r>
      <w:proofErr w:type="spellEnd"/>
      <w:r>
        <w:t xml:space="preserve"> and Ben Kiernan (eds.), </w:t>
      </w:r>
      <w:proofErr w:type="gramStart"/>
      <w:r>
        <w:t xml:space="preserve">‘ </w:t>
      </w:r>
      <w:r>
        <w:rPr>
          <w:i/>
          <w:iCs/>
        </w:rPr>
        <w:t>The</w:t>
      </w:r>
      <w:proofErr w:type="gramEnd"/>
      <w:r>
        <w:rPr>
          <w:i/>
          <w:iCs/>
        </w:rPr>
        <w:t xml:space="preserve"> Specter of Genocide: Mass Murder in Historical Perspective </w:t>
      </w:r>
      <w:r>
        <w:t>(Cambridge, 2003), pp.325-338.</w:t>
      </w:r>
    </w:p>
    <w:p w14:paraId="0396275A" w14:textId="77777777" w:rsidR="009C15A7" w:rsidRDefault="009C15A7" w:rsidP="009C15A7">
      <w:r>
        <w:lastRenderedPageBreak/>
        <w:t xml:space="preserve">Donald E. Miller, </w:t>
      </w:r>
      <w:r>
        <w:rPr>
          <w:i/>
          <w:iCs/>
        </w:rPr>
        <w:t xml:space="preserve">Becoming Human Again: An Oral History of the Rwanda Genocide Against the Tutsi </w:t>
      </w:r>
      <w:r>
        <w:t>(University of California Press, 2020).</w:t>
      </w:r>
    </w:p>
    <w:p w14:paraId="32706C8E" w14:textId="77777777" w:rsidR="009C15A7" w:rsidRDefault="009C15A7" w:rsidP="009C15A7">
      <w:r w:rsidRPr="00032F49">
        <w:t xml:space="preserve">Charles </w:t>
      </w:r>
      <w:proofErr w:type="spellStart"/>
      <w:r w:rsidRPr="00032F49">
        <w:t>Mironko</w:t>
      </w:r>
      <w:proofErr w:type="spellEnd"/>
      <w:r w:rsidRPr="00032F49">
        <w:t>, ‘</w:t>
      </w:r>
      <w:proofErr w:type="spellStart"/>
      <w:r w:rsidRPr="00032F49">
        <w:rPr>
          <w:i/>
          <w:iCs/>
        </w:rPr>
        <w:t>Igitero</w:t>
      </w:r>
      <w:proofErr w:type="spellEnd"/>
      <w:r w:rsidRPr="00032F49">
        <w:rPr>
          <w:i/>
          <w:iCs/>
        </w:rPr>
        <w:t xml:space="preserve">: </w:t>
      </w:r>
      <w:r w:rsidRPr="00032F49">
        <w:t>Means and Motive in the Rwandan Genocide’</w:t>
      </w:r>
      <w:r>
        <w:t xml:space="preserve"> in </w:t>
      </w:r>
      <w:r>
        <w:rPr>
          <w:i/>
          <w:iCs/>
        </w:rPr>
        <w:t xml:space="preserve">Journal of Genocide Research </w:t>
      </w:r>
      <w:r>
        <w:t>6:1 (2004).</w:t>
      </w:r>
    </w:p>
    <w:p w14:paraId="1E015AA8" w14:textId="77777777" w:rsidR="009C15A7" w:rsidRDefault="009C15A7" w:rsidP="009C15A7">
      <w:r>
        <w:t xml:space="preserve">Catharine Newbury, ‘Background to genocide: Rwanda’, </w:t>
      </w:r>
      <w:r>
        <w:rPr>
          <w:i/>
          <w:iCs/>
        </w:rPr>
        <w:t xml:space="preserve">Issue: A Journal of Opinion </w:t>
      </w:r>
      <w:r>
        <w:t>23:2 (1995), 12-17.</w:t>
      </w:r>
    </w:p>
    <w:p w14:paraId="34FF950E" w14:textId="77777777" w:rsidR="009C15A7" w:rsidRPr="0072753D" w:rsidRDefault="009C15A7" w:rsidP="009C15A7">
      <w:r>
        <w:t xml:space="preserve">Catharine Newbury and David Newbury, ‘A Catholic Mass in Kigali: Contested Views of the Genocide and Ethnicity in Rwanda’, </w:t>
      </w:r>
      <w:r>
        <w:rPr>
          <w:i/>
          <w:iCs/>
        </w:rPr>
        <w:t xml:space="preserve">Canadian Journal of African Studies </w:t>
      </w:r>
      <w:r>
        <w:t>33:2-3 (1999), 292-328.</w:t>
      </w:r>
    </w:p>
    <w:p w14:paraId="4C061280" w14:textId="77777777" w:rsidR="009C15A7" w:rsidRDefault="009C15A7" w:rsidP="009C15A7">
      <w:r>
        <w:t xml:space="preserve">Blessed Ngwenya and Mcebisi Ngwenya, ‘Exploring the representation of violence against women in </w:t>
      </w:r>
      <w:r>
        <w:rPr>
          <w:i/>
          <w:iCs/>
        </w:rPr>
        <w:t xml:space="preserve">Hotel Rwanda </w:t>
      </w:r>
      <w:r>
        <w:t xml:space="preserve">(2004) and </w:t>
      </w:r>
      <w:r>
        <w:rPr>
          <w:i/>
          <w:iCs/>
        </w:rPr>
        <w:t xml:space="preserve">The Greatest Silence: Rape in the Congo </w:t>
      </w:r>
      <w:r>
        <w:t xml:space="preserve">(2007) – A gendered perspective’ in in </w:t>
      </w:r>
      <w:proofErr w:type="spellStart"/>
      <w:r>
        <w:t>Mphathisi</w:t>
      </w:r>
      <w:proofErr w:type="spellEnd"/>
      <w:r>
        <w:t xml:space="preserve"> Ndlovu, Lungile Augustine Tshuma and </w:t>
      </w:r>
      <w:proofErr w:type="spellStart"/>
      <w:r>
        <w:t>Shepher</w:t>
      </w:r>
      <w:proofErr w:type="spellEnd"/>
      <w:r>
        <w:t xml:space="preserve"> Mpofu (eds.), </w:t>
      </w:r>
      <w:r>
        <w:rPr>
          <w:i/>
          <w:iCs/>
        </w:rPr>
        <w:t xml:space="preserve">Remembering mass atrocities: Perspectives on memory struggles and cultural representations in Africa </w:t>
      </w:r>
      <w:r>
        <w:t>(Cham, 2024), 197-216.</w:t>
      </w:r>
    </w:p>
    <w:p w14:paraId="20009F3B" w14:textId="77777777" w:rsidR="009C15A7" w:rsidRDefault="009C15A7" w:rsidP="009C15A7">
      <w:r>
        <w:t xml:space="preserve">Tamsin Phillipa Paige, ‘Wilfully Blind: The Security Council’s Response to Genocide in Rwanda’, </w:t>
      </w:r>
      <w:r>
        <w:rPr>
          <w:i/>
          <w:iCs/>
        </w:rPr>
        <w:t xml:space="preserve">Journal of International Peacekeeping </w:t>
      </w:r>
      <w:r>
        <w:t>22:1-4 (020), 136-147.</w:t>
      </w:r>
    </w:p>
    <w:p w14:paraId="52E94F08" w14:textId="77777777" w:rsidR="009C15A7" w:rsidRPr="009754B5" w:rsidRDefault="009C15A7" w:rsidP="009C15A7">
      <w:r>
        <w:t xml:space="preserve">Samantha Power, </w:t>
      </w:r>
      <w:r>
        <w:rPr>
          <w:i/>
          <w:iCs/>
        </w:rPr>
        <w:t xml:space="preserve">A Problem from Hell: America and the Age of Genocide </w:t>
      </w:r>
      <w:r>
        <w:t>(New York, 2002).</w:t>
      </w:r>
    </w:p>
    <w:p w14:paraId="5B89D360" w14:textId="77777777" w:rsidR="009C15A7" w:rsidRDefault="009C15A7" w:rsidP="009C15A7">
      <w:r>
        <w:t xml:space="preserve">Noam Schimmel, ‘An invisible genocide: How the Western media failed to report the 1994 Rwandan genocide of the Tutsi and why’, </w:t>
      </w:r>
      <w:r>
        <w:rPr>
          <w:i/>
          <w:iCs/>
        </w:rPr>
        <w:t xml:space="preserve">International Journal of Human Rights </w:t>
      </w:r>
      <w:r>
        <w:t>15:7 (2011), 1125-1135.</w:t>
      </w:r>
    </w:p>
    <w:p w14:paraId="517EF22D" w14:textId="77777777" w:rsidR="009C15A7" w:rsidRPr="00B67530" w:rsidRDefault="009C15A7" w:rsidP="009C15A7">
      <w:r w:rsidRPr="00B67530">
        <w:t xml:space="preserve">Lisa </w:t>
      </w:r>
      <w:proofErr w:type="spellStart"/>
      <w:r w:rsidRPr="00B67530">
        <w:t>Sharlach</w:t>
      </w:r>
      <w:proofErr w:type="spellEnd"/>
      <w:r w:rsidRPr="00B67530">
        <w:t>, ‘Gender and Genocide in Rwanda: Women a</w:t>
      </w:r>
      <w:r>
        <w:t xml:space="preserve">s Agents and Objects of Genocide’, </w:t>
      </w:r>
      <w:r>
        <w:rPr>
          <w:i/>
          <w:iCs/>
        </w:rPr>
        <w:t xml:space="preserve">Journal of Genocide Research, </w:t>
      </w:r>
      <w:r>
        <w:t>1:3 (1999).</w:t>
      </w:r>
    </w:p>
    <w:p w14:paraId="0E1D7C32" w14:textId="77777777" w:rsidR="009C15A7" w:rsidRDefault="009C15A7" w:rsidP="009C15A7">
      <w:r>
        <w:t xml:space="preserve">Gregory H. Stanton, ‘Could the Rwandan Genocide Have Been Prevented?’, </w:t>
      </w:r>
      <w:r>
        <w:rPr>
          <w:i/>
          <w:iCs/>
        </w:rPr>
        <w:t xml:space="preserve">Journal of Genocide Research </w:t>
      </w:r>
      <w:r>
        <w:t>6:2 (2004), 211-228.</w:t>
      </w:r>
    </w:p>
    <w:p w14:paraId="1C324775" w14:textId="77777777" w:rsidR="009C15A7" w:rsidRDefault="009C15A7" w:rsidP="009C15A7">
      <w:r>
        <w:t xml:space="preserve">Izabela </w:t>
      </w:r>
      <w:proofErr w:type="spellStart"/>
      <w:r>
        <w:t>Steflja</w:t>
      </w:r>
      <w:proofErr w:type="spellEnd"/>
      <w:r>
        <w:t xml:space="preserve">, ‘Professional Women as Perpetrators: A Conversation with Valérie, “Rwanda’s Voice of Death”, </w:t>
      </w:r>
      <w:r>
        <w:rPr>
          <w:i/>
          <w:iCs/>
        </w:rPr>
        <w:t xml:space="preserve">Journal of Genocide Research </w:t>
      </w:r>
      <w:r>
        <w:t>(2024).</w:t>
      </w:r>
    </w:p>
    <w:p w14:paraId="4FEC1D4F" w14:textId="77777777" w:rsidR="009C15A7" w:rsidRDefault="009C15A7" w:rsidP="009C15A7">
      <w:r>
        <w:t xml:space="preserve">Scott Straus, ‘The Limits of a Genocide Lens: Violence Against Rwandans in the 1990s’, </w:t>
      </w:r>
      <w:r>
        <w:rPr>
          <w:i/>
          <w:iCs/>
        </w:rPr>
        <w:t xml:space="preserve">Journal of Genocide Research </w:t>
      </w:r>
      <w:r>
        <w:t>21:4 (2019).</w:t>
      </w:r>
    </w:p>
    <w:p w14:paraId="302D3651" w14:textId="77777777" w:rsidR="009C15A7" w:rsidRDefault="009C15A7" w:rsidP="009C15A7">
      <w:r>
        <w:t xml:space="preserve">Scott Straus, ‘How Many Perpetrators Were There in the Rwandan Genocide? An Estimate’, </w:t>
      </w:r>
      <w:r>
        <w:rPr>
          <w:i/>
          <w:iCs/>
        </w:rPr>
        <w:t xml:space="preserve">Journal of Genocide Research </w:t>
      </w:r>
      <w:r>
        <w:t>6:1 (2004).</w:t>
      </w:r>
    </w:p>
    <w:p w14:paraId="51899A5D" w14:textId="77777777" w:rsidR="009C15A7" w:rsidRDefault="009C15A7" w:rsidP="009C15A7">
      <w:r>
        <w:t xml:space="preserve">Scott Straus, </w:t>
      </w:r>
      <w:r>
        <w:rPr>
          <w:i/>
          <w:iCs/>
        </w:rPr>
        <w:t xml:space="preserve">The Order of Genocide: Race, Power, and War in Rwanda </w:t>
      </w:r>
      <w:r>
        <w:t>(Cornell University Press, 2006).</w:t>
      </w:r>
    </w:p>
    <w:p w14:paraId="26F3D2EE" w14:textId="77777777" w:rsidR="009C15A7" w:rsidRPr="009D46B1" w:rsidRDefault="009C15A7" w:rsidP="009C15A7">
      <w:r>
        <w:lastRenderedPageBreak/>
        <w:t xml:space="preserve">Scott Straus, ‘What Is </w:t>
      </w:r>
      <w:proofErr w:type="gramStart"/>
      <w:r>
        <w:t>The</w:t>
      </w:r>
      <w:proofErr w:type="gramEnd"/>
      <w:r>
        <w:t xml:space="preserve"> Relationship Between Hate Radio and Violence? Rethinking Rwanda’s “Radio Machete”’, </w:t>
      </w:r>
      <w:r>
        <w:rPr>
          <w:i/>
          <w:iCs/>
        </w:rPr>
        <w:t xml:space="preserve">Politics &amp; Society </w:t>
      </w:r>
      <w:r>
        <w:t>35:4 (2007), 609-637.</w:t>
      </w:r>
    </w:p>
    <w:p w14:paraId="72EFB293" w14:textId="77777777" w:rsidR="009C15A7" w:rsidRDefault="009C15A7" w:rsidP="009C15A7">
      <w:r>
        <w:t xml:space="preserve">Christopher C. Taylor, ‘The Cultural Face of Terror in the Rwandan Genocide of 1994’ in Alexander Laban Hinton (ed.), </w:t>
      </w:r>
      <w:r>
        <w:rPr>
          <w:i/>
          <w:iCs/>
        </w:rPr>
        <w:t xml:space="preserve">Annihilating Difference: The Anthropology of Genocide </w:t>
      </w:r>
      <w:r>
        <w:t>(University of California Press, 2002), pp. 137-178.</w:t>
      </w:r>
    </w:p>
    <w:p w14:paraId="70A2A17E" w14:textId="77777777" w:rsidR="009C15A7" w:rsidRDefault="009C15A7" w:rsidP="009C15A7">
      <w:r>
        <w:t xml:space="preserve">Christopher C. Taylor, ‘A Gendered Genocide: Tutsi Women and Hutu Extremists in the 1994 Rwanda Genocide’, </w:t>
      </w:r>
      <w:r>
        <w:rPr>
          <w:i/>
          <w:iCs/>
        </w:rPr>
        <w:t xml:space="preserve">Political and Legal Anthropology Review </w:t>
      </w:r>
      <w:r>
        <w:t>22:1 (1999), 42-54.</w:t>
      </w:r>
    </w:p>
    <w:p w14:paraId="2A1A54CA" w14:textId="77777777" w:rsidR="009C15A7" w:rsidRDefault="009C15A7" w:rsidP="009C15A7">
      <w:r>
        <w:t xml:space="preserve">Allan Thompson (ed.), </w:t>
      </w:r>
      <w:r>
        <w:rPr>
          <w:i/>
          <w:iCs/>
        </w:rPr>
        <w:t xml:space="preserve">The Media and the Rwanda Genocide </w:t>
      </w:r>
      <w:r>
        <w:t>(Pluto Press, 2007).</w:t>
      </w:r>
    </w:p>
    <w:p w14:paraId="4F338028" w14:textId="77777777" w:rsidR="009C15A7" w:rsidRDefault="009C15A7" w:rsidP="009C15A7">
      <w:r w:rsidRPr="00DC193A">
        <w:t xml:space="preserve">Peter </w:t>
      </w:r>
      <w:proofErr w:type="spellStart"/>
      <w:r w:rsidRPr="00DC193A">
        <w:t>Uvin</w:t>
      </w:r>
      <w:proofErr w:type="spellEnd"/>
      <w:r w:rsidRPr="00DC193A">
        <w:t>, ‘Prejudice, Crisis, and G</w:t>
      </w:r>
      <w:r>
        <w:t xml:space="preserve">enocide in Rwanda’, </w:t>
      </w:r>
      <w:r>
        <w:rPr>
          <w:i/>
          <w:iCs/>
        </w:rPr>
        <w:t xml:space="preserve">African Studies Review </w:t>
      </w:r>
      <w:r>
        <w:t>40:2 (1997), 91-115.</w:t>
      </w:r>
    </w:p>
    <w:p w14:paraId="05C84FE8" w14:textId="77777777" w:rsidR="009C15A7" w:rsidRDefault="009C15A7" w:rsidP="009C15A7">
      <w:r>
        <w:t xml:space="preserve">Alex de Waal and Rakiya Omaar, ‘The genocide in Rwanda and the international response’, </w:t>
      </w:r>
      <w:r>
        <w:rPr>
          <w:i/>
          <w:iCs/>
        </w:rPr>
        <w:t xml:space="preserve">Current History </w:t>
      </w:r>
      <w:r>
        <w:t>94 (1995), 156-161.</w:t>
      </w:r>
    </w:p>
    <w:p w14:paraId="70AE34CB" w14:textId="77777777" w:rsidR="009C15A7" w:rsidRPr="002529C1" w:rsidRDefault="009C15A7" w:rsidP="009C15A7">
      <w:r>
        <w:t xml:space="preserve">Nicholas J. Wheeler, </w:t>
      </w:r>
      <w:r>
        <w:rPr>
          <w:i/>
          <w:iCs/>
        </w:rPr>
        <w:t xml:space="preserve">Saving strangers: Humanitarian intervention in international society </w:t>
      </w:r>
      <w:r>
        <w:t>(Oxford, 2002),</w:t>
      </w:r>
      <w:r>
        <w:rPr>
          <w:i/>
          <w:iCs/>
        </w:rPr>
        <w:t xml:space="preserve"> </w:t>
      </w:r>
      <w:r>
        <w:t>Chapter 7.</w:t>
      </w:r>
    </w:p>
    <w:p w14:paraId="662C54D1" w14:textId="77777777" w:rsidR="009C15A7" w:rsidRDefault="009C15A7" w:rsidP="009C15A7"/>
    <w:p w14:paraId="4DBEC68B" w14:textId="77777777" w:rsidR="009C15A7" w:rsidRDefault="009C15A7" w:rsidP="009C15A7">
      <w:pPr>
        <w:pStyle w:val="Heading3"/>
      </w:pPr>
      <w:r>
        <w:t>Darfur/South Sudan</w:t>
      </w:r>
    </w:p>
    <w:p w14:paraId="2AD39C90" w14:textId="77777777" w:rsidR="009C15A7" w:rsidRDefault="009C15A7" w:rsidP="009C15A7">
      <w:r>
        <w:t xml:space="preserve">Klinton W. Alexander, ‘Ignoring the Lessons of the Past: The crisis in Darfur and the case for humanitarian intervention’, </w:t>
      </w:r>
      <w:r>
        <w:rPr>
          <w:i/>
          <w:iCs/>
        </w:rPr>
        <w:t xml:space="preserve">Florida State University Journal of Transnational Law and Policy </w:t>
      </w:r>
      <w:r>
        <w:t>15:1 (2005), 1-48.</w:t>
      </w:r>
    </w:p>
    <w:p w14:paraId="132A0087" w14:textId="77777777" w:rsidR="009C15A7" w:rsidRDefault="009C15A7" w:rsidP="009C15A7">
      <w:r>
        <w:t xml:space="preserve">Stacy Banwell, </w:t>
      </w:r>
      <w:r>
        <w:rPr>
          <w:i/>
          <w:iCs/>
        </w:rPr>
        <w:t xml:space="preserve">Gender and the violence(s) of war and armed conflict: More dangerous to be a woman? </w:t>
      </w:r>
      <w:r>
        <w:t>(Bingley, 2020), chapter 6.</w:t>
      </w:r>
    </w:p>
    <w:p w14:paraId="4D630812" w14:textId="77777777" w:rsidR="009C15A7" w:rsidRDefault="009C15A7" w:rsidP="009C15A7">
      <w:r>
        <w:t xml:space="preserve">Andrea Behrends, </w:t>
      </w:r>
      <w:proofErr w:type="spellStart"/>
      <w:r>
        <w:rPr>
          <w:i/>
          <w:iCs/>
        </w:rPr>
        <w:t>Lifeworlds</w:t>
      </w:r>
      <w:proofErr w:type="spellEnd"/>
      <w:r>
        <w:rPr>
          <w:i/>
          <w:iCs/>
        </w:rPr>
        <w:t xml:space="preserve"> in Crisis: Making refugees in the Chad-Sudan Borderlands </w:t>
      </w:r>
      <w:r>
        <w:t>(Oxford, 2024).</w:t>
      </w:r>
    </w:p>
    <w:p w14:paraId="6B3969E3" w14:textId="77777777" w:rsidR="009C15A7" w:rsidRPr="00244B8F" w:rsidRDefault="009C15A7" w:rsidP="009C15A7">
      <w:r>
        <w:t xml:space="preserve">Alex J. Bellamy, ‘Responsibility to protect or Trojan horse? The crisis in Darfur and humanitarian intervention after Iraq’, </w:t>
      </w:r>
      <w:r>
        <w:rPr>
          <w:i/>
          <w:iCs/>
        </w:rPr>
        <w:t xml:space="preserve">Ethics and International Affairs </w:t>
      </w:r>
      <w:r>
        <w:t>19:2 (2005), 31-53.</w:t>
      </w:r>
    </w:p>
    <w:p w14:paraId="14A01105" w14:textId="77777777" w:rsidR="009C15A7" w:rsidRDefault="009C15A7" w:rsidP="009C15A7">
      <w:r>
        <w:t xml:space="preserve">John Hagan, Wenona </w:t>
      </w:r>
      <w:proofErr w:type="spellStart"/>
      <w:r>
        <w:t>Rymond</w:t>
      </w:r>
      <w:proofErr w:type="spellEnd"/>
      <w:r>
        <w:t xml:space="preserve">-Richmond and Patricia Parker, ‘The criminology of genocide: The death and rape of Darfur’, </w:t>
      </w:r>
      <w:r>
        <w:rPr>
          <w:i/>
          <w:iCs/>
        </w:rPr>
        <w:t xml:space="preserve">Criminology </w:t>
      </w:r>
      <w:r>
        <w:t>43:3 (2005), 525-561.</w:t>
      </w:r>
    </w:p>
    <w:p w14:paraId="5BB9A17D" w14:textId="77777777" w:rsidR="009C15A7" w:rsidRDefault="009C15A7" w:rsidP="009C15A7">
      <w:r>
        <w:t>Sondra Hale, ‘Rape as a marker and eraser of difference: Darfur and the Nuba Mountains (Sudan)</w:t>
      </w:r>
      <w:proofErr w:type="gramStart"/>
      <w:r>
        <w:t>’,  i</w:t>
      </w:r>
      <w:r w:rsidRPr="00655A6C">
        <w:t>n</w:t>
      </w:r>
      <w:proofErr w:type="gramEnd"/>
      <w:r w:rsidRPr="00655A6C">
        <w:t xml:space="preserve"> </w:t>
      </w:r>
      <w:r>
        <w:t xml:space="preserve">Laura Sjoberg and Sandra Via (eds.), </w:t>
      </w:r>
      <w:r w:rsidRPr="00655A6C">
        <w:rPr>
          <w:i/>
          <w:iCs/>
        </w:rPr>
        <w:t>Gender, war, and militarism: Feminist pers</w:t>
      </w:r>
      <w:r>
        <w:rPr>
          <w:i/>
          <w:iCs/>
        </w:rPr>
        <w:t xml:space="preserve">pectives </w:t>
      </w:r>
      <w:r>
        <w:t>(Santa Barbara, CA, 2010), pp. 105-113.</w:t>
      </w:r>
    </w:p>
    <w:p w14:paraId="7B752CD8" w14:textId="77777777" w:rsidR="009C15A7" w:rsidRDefault="009C15A7" w:rsidP="009C15A7">
      <w:r>
        <w:t xml:space="preserve">Joshua Kaiser and John Hagan, ‘Gendered genocide: The socially destructive process of genocidal rape, killing, and displacement in Darfur’, </w:t>
      </w:r>
      <w:r>
        <w:rPr>
          <w:i/>
          <w:iCs/>
        </w:rPr>
        <w:t xml:space="preserve">Law and Society Review </w:t>
      </w:r>
      <w:r>
        <w:t>49:1 (2015), 69-107.</w:t>
      </w:r>
    </w:p>
    <w:p w14:paraId="59466503" w14:textId="77777777" w:rsidR="009C15A7" w:rsidRDefault="009C15A7" w:rsidP="009C15A7">
      <w:r w:rsidRPr="003D0ABA">
        <w:lastRenderedPageBreak/>
        <w:t xml:space="preserve">Ben Kiernan, </w:t>
      </w:r>
      <w:r w:rsidRPr="003D0ABA">
        <w:rPr>
          <w:i/>
          <w:iCs/>
        </w:rPr>
        <w:t xml:space="preserve">Blood and soil: A </w:t>
      </w:r>
      <w:r>
        <w:rPr>
          <w:i/>
          <w:iCs/>
        </w:rPr>
        <w:t xml:space="preserve">world history of genocide and extermination from Sparta to Darfur </w:t>
      </w:r>
      <w:r>
        <w:t>(New Haven, 2007).</w:t>
      </w:r>
    </w:p>
    <w:p w14:paraId="7C9DF861" w14:textId="77777777" w:rsidR="009C15A7" w:rsidRPr="009A5F96" w:rsidRDefault="009C15A7" w:rsidP="009C15A7">
      <w:r>
        <w:t xml:space="preserve">Matthew Lippman, ‘Darfur: The politics of genocide denial syndrome’, </w:t>
      </w:r>
      <w:r>
        <w:rPr>
          <w:i/>
          <w:iCs/>
        </w:rPr>
        <w:t xml:space="preserve">Journal of Genocide Research </w:t>
      </w:r>
      <w:r>
        <w:t>9:2 (2007).</w:t>
      </w:r>
    </w:p>
    <w:p w14:paraId="534EAEB4" w14:textId="77777777" w:rsidR="009C15A7" w:rsidRDefault="009C15A7" w:rsidP="009C15A7">
      <w:r>
        <w:t xml:space="preserve">Jok </w:t>
      </w:r>
      <w:proofErr w:type="spellStart"/>
      <w:r>
        <w:t>Maduk</w:t>
      </w:r>
      <w:proofErr w:type="spellEnd"/>
      <w:r>
        <w:t xml:space="preserve"> Jok, ‘Lessons in failure: Peacebuilding in Sudan/South Sudan’ in Terence McNamee and Monde Muyangwa, </w:t>
      </w:r>
      <w:r>
        <w:rPr>
          <w:i/>
          <w:iCs/>
        </w:rPr>
        <w:t xml:space="preserve">The State of Peacebuilding in Africa: Lessons Learned for Policymakers and Practitioners </w:t>
      </w:r>
      <w:r>
        <w:t>(Cham, 2021), pp. 363-377</w:t>
      </w:r>
    </w:p>
    <w:p w14:paraId="0C9106D6" w14:textId="77777777" w:rsidR="009C15A7" w:rsidRDefault="009C15A7" w:rsidP="009C15A7">
      <w:r>
        <w:t xml:space="preserve">Eyal </w:t>
      </w:r>
      <w:proofErr w:type="spellStart"/>
      <w:r>
        <w:t>Mayroz</w:t>
      </w:r>
      <w:proofErr w:type="spellEnd"/>
      <w:r>
        <w:t xml:space="preserve">, ‘Ever again? The United States, genocide suppression, and the crisis in Darfur’, </w:t>
      </w:r>
      <w:r>
        <w:rPr>
          <w:i/>
          <w:iCs/>
        </w:rPr>
        <w:t xml:space="preserve">Journal of Genocide Research </w:t>
      </w:r>
      <w:r>
        <w:t>10:3 (2008).</w:t>
      </w:r>
    </w:p>
    <w:p w14:paraId="32BFF23F" w14:textId="77777777" w:rsidR="009C15A7" w:rsidRDefault="009C15A7" w:rsidP="009C15A7">
      <w:r>
        <w:t xml:space="preserve">Clémence </w:t>
      </w:r>
      <w:proofErr w:type="spellStart"/>
      <w:r>
        <w:t>Pinaud</w:t>
      </w:r>
      <w:proofErr w:type="spellEnd"/>
      <w:r>
        <w:t xml:space="preserve">, ‘Genocidal rape in South Sudan: Organization, function and effects’, </w:t>
      </w:r>
      <w:r>
        <w:rPr>
          <w:i/>
          <w:iCs/>
        </w:rPr>
        <w:t xml:space="preserve">Human Rights Quarterly </w:t>
      </w:r>
      <w:r>
        <w:t>42:3 (2020), 667-694.</w:t>
      </w:r>
    </w:p>
    <w:p w14:paraId="08BD1EB3" w14:textId="77777777" w:rsidR="009C15A7" w:rsidRPr="00624AAE" w:rsidRDefault="009C15A7" w:rsidP="009C15A7">
      <w:r>
        <w:t xml:space="preserve">Clémence </w:t>
      </w:r>
      <w:proofErr w:type="spellStart"/>
      <w:r>
        <w:t>Pinaud</w:t>
      </w:r>
      <w:proofErr w:type="spellEnd"/>
      <w:r>
        <w:t xml:space="preserve">, </w:t>
      </w:r>
      <w:r>
        <w:rPr>
          <w:i/>
          <w:iCs/>
        </w:rPr>
        <w:t xml:space="preserve">War and genocide in South Sudan </w:t>
      </w:r>
      <w:r>
        <w:t>(New York, 2021).</w:t>
      </w:r>
    </w:p>
    <w:p w14:paraId="5A4F7B43" w14:textId="77777777" w:rsidR="009C15A7" w:rsidRDefault="009C15A7" w:rsidP="009C15A7">
      <w:r>
        <w:t xml:space="preserve">Joachim </w:t>
      </w:r>
      <w:proofErr w:type="spellStart"/>
      <w:r>
        <w:t>Savelsberg</w:t>
      </w:r>
      <w:proofErr w:type="spellEnd"/>
      <w:r>
        <w:t xml:space="preserve">, </w:t>
      </w:r>
      <w:r>
        <w:rPr>
          <w:i/>
          <w:iCs/>
        </w:rPr>
        <w:t xml:space="preserve">Representing Mass Violence: Conflicting Responses to Human Rights Violations in Darfur </w:t>
      </w:r>
      <w:r>
        <w:t>(Oakland, CA, 2015).</w:t>
      </w:r>
    </w:p>
    <w:p w14:paraId="3638A90F" w14:textId="77777777" w:rsidR="009C15A7" w:rsidRDefault="009C15A7" w:rsidP="009C15A7">
      <w:r>
        <w:t xml:space="preserve">Martin Shaw, </w:t>
      </w:r>
      <w:proofErr w:type="gramStart"/>
      <w:r>
        <w:rPr>
          <w:i/>
          <w:iCs/>
        </w:rPr>
        <w:t>What</w:t>
      </w:r>
      <w:proofErr w:type="gramEnd"/>
      <w:r>
        <w:rPr>
          <w:i/>
          <w:iCs/>
        </w:rPr>
        <w:t xml:space="preserve"> is Genocide? </w:t>
      </w:r>
      <w:r>
        <w:t>(2010).</w:t>
      </w:r>
    </w:p>
    <w:p w14:paraId="36BA779F" w14:textId="77777777" w:rsidR="009C15A7" w:rsidRPr="00DD1DC4" w:rsidRDefault="009C15A7" w:rsidP="009C15A7">
      <w:r>
        <w:t xml:space="preserve">Hugo Slim, ‘Dithering over Darfur? A preliminary review of the international response’, </w:t>
      </w:r>
      <w:r>
        <w:rPr>
          <w:i/>
          <w:iCs/>
        </w:rPr>
        <w:t xml:space="preserve">International Affairs </w:t>
      </w:r>
      <w:r>
        <w:t>80:5 (2004), 811-828.</w:t>
      </w:r>
    </w:p>
    <w:p w14:paraId="2A8BDA11" w14:textId="77777777" w:rsidR="009C15A7" w:rsidRDefault="009C15A7" w:rsidP="009C15A7">
      <w:r>
        <w:t xml:space="preserve">Scott Straus, ‘Darfur and the genocide debate’, </w:t>
      </w:r>
      <w:r>
        <w:rPr>
          <w:i/>
          <w:iCs/>
        </w:rPr>
        <w:t xml:space="preserve">Foreign Affairs </w:t>
      </w:r>
      <w:r>
        <w:t>84:1 (2005), 123-33.</w:t>
      </w:r>
    </w:p>
    <w:p w14:paraId="523986B5" w14:textId="77777777" w:rsidR="009C15A7" w:rsidRDefault="009C15A7" w:rsidP="009C15A7">
      <w:r>
        <w:t xml:space="preserve">Scott Straus, ‘Rwanda and Darfur: A comparative analysis’, </w:t>
      </w:r>
      <w:r>
        <w:rPr>
          <w:i/>
          <w:iCs/>
        </w:rPr>
        <w:t xml:space="preserve">Genocide Studies and Prevention </w:t>
      </w:r>
      <w:r>
        <w:t>1:1 (2006).</w:t>
      </w:r>
    </w:p>
    <w:p w14:paraId="03F1A101" w14:textId="77777777" w:rsidR="009C15A7" w:rsidRDefault="009C15A7" w:rsidP="009C15A7">
      <w:r w:rsidRPr="00784FEB">
        <w:t>Samuel Totten and Eric Markusen, ‘The</w:t>
      </w:r>
      <w:r>
        <w:t xml:space="preserve"> US Government Darfur Genocide Investigation’ </w:t>
      </w:r>
      <w:r>
        <w:rPr>
          <w:i/>
          <w:iCs/>
        </w:rPr>
        <w:t xml:space="preserve">Journal of Genocide Research </w:t>
      </w:r>
      <w:r>
        <w:t>7:2 (2005).</w:t>
      </w:r>
    </w:p>
    <w:p w14:paraId="67BA4F45" w14:textId="77777777" w:rsidR="009C15A7" w:rsidRDefault="009C15A7" w:rsidP="009C15A7">
      <w:r>
        <w:t xml:space="preserve">Samuel Totten, ‘The Darfur Genocide’ </w:t>
      </w:r>
      <w:r w:rsidRPr="00046D1D">
        <w:t>in Samuel Totten and William S. Parsons (eds.), </w:t>
      </w:r>
      <w:r w:rsidRPr="00B14E70">
        <w:rPr>
          <w:i/>
          <w:iCs/>
        </w:rPr>
        <w:t>Century of Genocide: Critical Essays and Eyewitness Accounts, </w:t>
      </w:r>
      <w:r w:rsidRPr="00046D1D">
        <w:t>(New York, 2009),</w:t>
      </w:r>
      <w:r>
        <w:t xml:space="preserve"> 464-506.</w:t>
      </w:r>
    </w:p>
    <w:p w14:paraId="717FF4D6" w14:textId="77777777" w:rsidR="009C15A7" w:rsidRPr="006B7FB1" w:rsidRDefault="009C15A7" w:rsidP="009C15A7">
      <w:proofErr w:type="spellStart"/>
      <w:r w:rsidRPr="006B7FB1">
        <w:t>Nsongurua</w:t>
      </w:r>
      <w:proofErr w:type="spellEnd"/>
      <w:r w:rsidRPr="006B7FB1">
        <w:t xml:space="preserve"> J. </w:t>
      </w:r>
      <w:proofErr w:type="spellStart"/>
      <w:r w:rsidRPr="006B7FB1">
        <w:t>Udombana</w:t>
      </w:r>
      <w:proofErr w:type="spellEnd"/>
      <w:r w:rsidRPr="006B7FB1">
        <w:t>, ‘When neu</w:t>
      </w:r>
      <w:r>
        <w:t xml:space="preserve">trality is a sin: The Darfur crisis and the crisis of humanitarian intervention in Sudan’, </w:t>
      </w:r>
      <w:r>
        <w:rPr>
          <w:i/>
          <w:iCs/>
        </w:rPr>
        <w:t xml:space="preserve">Human Rights Quarterly </w:t>
      </w:r>
      <w:r>
        <w:t>27:4 (2005), 1149-1199.</w:t>
      </w:r>
    </w:p>
    <w:p w14:paraId="54E0AFB9" w14:textId="77777777" w:rsidR="009C15A7" w:rsidRPr="001B74DE" w:rsidRDefault="009C15A7" w:rsidP="009C15A7">
      <w:r>
        <w:t xml:space="preserve">Paul D. Williams and Alex J. Bellamy, ‘The responsibility to protect and the crisis in Darfur’, </w:t>
      </w:r>
      <w:r>
        <w:rPr>
          <w:i/>
          <w:iCs/>
        </w:rPr>
        <w:t xml:space="preserve">Security Dialogue </w:t>
      </w:r>
      <w:r>
        <w:t>36:1 (2005), 27-47.</w:t>
      </w:r>
    </w:p>
    <w:p w14:paraId="4AC24152" w14:textId="77777777" w:rsidR="009C15A7" w:rsidRDefault="009C15A7" w:rsidP="009C15A7">
      <w:r w:rsidRPr="0094783B">
        <w:t>Alex de Waal, ‘Darfur and th</w:t>
      </w:r>
      <w:r>
        <w:t xml:space="preserve">e failure of the responsibility to protect’, </w:t>
      </w:r>
      <w:r>
        <w:rPr>
          <w:i/>
          <w:iCs/>
        </w:rPr>
        <w:t xml:space="preserve">International Affairs </w:t>
      </w:r>
      <w:r>
        <w:t>83:6 (2007), 1039-1054.</w:t>
      </w:r>
    </w:p>
    <w:p w14:paraId="1950BCF6" w14:textId="77777777" w:rsidR="009C15A7" w:rsidRPr="009C38DB" w:rsidRDefault="009C15A7" w:rsidP="009C15A7">
      <w:r w:rsidRPr="009C38DB">
        <w:t>Alex de Waal, ‘Reflections on th</w:t>
      </w:r>
      <w:r>
        <w:t xml:space="preserve">e difficulties of defining Darfur’s crisis as genocide’, </w:t>
      </w:r>
      <w:r>
        <w:rPr>
          <w:i/>
          <w:iCs/>
        </w:rPr>
        <w:t xml:space="preserve">Harvard Human Rights Journal </w:t>
      </w:r>
      <w:r>
        <w:t>20 (2007), 25-33.</w:t>
      </w:r>
    </w:p>
    <w:p w14:paraId="78E2775C" w14:textId="77777777" w:rsidR="00D6710A" w:rsidRPr="00D6710A" w:rsidRDefault="00D6710A" w:rsidP="00D6710A"/>
    <w:sectPr w:rsidR="00D6710A" w:rsidRPr="00D6710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B84AF" w14:textId="77777777" w:rsidR="00153D68" w:rsidRDefault="00153D68" w:rsidP="006F3639">
      <w:pPr>
        <w:spacing w:after="0" w:line="240" w:lineRule="auto"/>
      </w:pPr>
      <w:r>
        <w:separator/>
      </w:r>
    </w:p>
  </w:endnote>
  <w:endnote w:type="continuationSeparator" w:id="0">
    <w:p w14:paraId="54EA6DCB" w14:textId="77777777" w:rsidR="00153D68" w:rsidRDefault="00153D68" w:rsidP="006F3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245825"/>
      <w:docPartObj>
        <w:docPartGallery w:val="Page Numbers (Bottom of Page)"/>
        <w:docPartUnique/>
      </w:docPartObj>
    </w:sdtPr>
    <w:sdtEndPr>
      <w:rPr>
        <w:noProof/>
      </w:rPr>
    </w:sdtEndPr>
    <w:sdtContent>
      <w:p w14:paraId="18B30686" w14:textId="617D621A" w:rsidR="00EE7BED" w:rsidRDefault="00EE7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05AD02" w14:textId="77777777" w:rsidR="00EE7BED" w:rsidRDefault="00EE7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88A8" w14:textId="77777777" w:rsidR="00153D68" w:rsidRDefault="00153D68" w:rsidP="006F3639">
      <w:pPr>
        <w:spacing w:after="0" w:line="240" w:lineRule="auto"/>
      </w:pPr>
      <w:r>
        <w:separator/>
      </w:r>
    </w:p>
  </w:footnote>
  <w:footnote w:type="continuationSeparator" w:id="0">
    <w:p w14:paraId="7B592A3C" w14:textId="77777777" w:rsidR="00153D68" w:rsidRDefault="00153D68" w:rsidP="006F3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68E0"/>
    <w:multiLevelType w:val="multilevel"/>
    <w:tmpl w:val="4F88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11723"/>
    <w:multiLevelType w:val="hybridMultilevel"/>
    <w:tmpl w:val="9D2E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08C0"/>
    <w:multiLevelType w:val="hybridMultilevel"/>
    <w:tmpl w:val="D7FE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6C701B"/>
    <w:multiLevelType w:val="hybridMultilevel"/>
    <w:tmpl w:val="E198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F33F05"/>
    <w:multiLevelType w:val="hybridMultilevel"/>
    <w:tmpl w:val="5C9E87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B77E97"/>
    <w:multiLevelType w:val="hybridMultilevel"/>
    <w:tmpl w:val="A210CC0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6A35AFA"/>
    <w:multiLevelType w:val="multilevel"/>
    <w:tmpl w:val="07F0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2805E3"/>
    <w:multiLevelType w:val="multilevel"/>
    <w:tmpl w:val="2000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16042"/>
    <w:multiLevelType w:val="multilevel"/>
    <w:tmpl w:val="2BEC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40136"/>
    <w:multiLevelType w:val="multilevel"/>
    <w:tmpl w:val="352C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F543AD"/>
    <w:multiLevelType w:val="multilevel"/>
    <w:tmpl w:val="055A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FA7040"/>
    <w:multiLevelType w:val="multilevel"/>
    <w:tmpl w:val="3C1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BA2B56"/>
    <w:multiLevelType w:val="multilevel"/>
    <w:tmpl w:val="6E7E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6F27B1"/>
    <w:multiLevelType w:val="multilevel"/>
    <w:tmpl w:val="CA0C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B67F3A"/>
    <w:multiLevelType w:val="hybridMultilevel"/>
    <w:tmpl w:val="55E6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0D63FE"/>
    <w:multiLevelType w:val="multilevel"/>
    <w:tmpl w:val="91782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992104"/>
    <w:multiLevelType w:val="multilevel"/>
    <w:tmpl w:val="26B8B8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7A1717"/>
    <w:multiLevelType w:val="multilevel"/>
    <w:tmpl w:val="DED2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6F5AC3"/>
    <w:multiLevelType w:val="hybridMultilevel"/>
    <w:tmpl w:val="4DA6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5A12E3"/>
    <w:multiLevelType w:val="multilevel"/>
    <w:tmpl w:val="6F4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2B77065"/>
    <w:multiLevelType w:val="multilevel"/>
    <w:tmpl w:val="57AC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9C06132"/>
    <w:multiLevelType w:val="hybridMultilevel"/>
    <w:tmpl w:val="1CA6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8734E5"/>
    <w:multiLevelType w:val="hybridMultilevel"/>
    <w:tmpl w:val="D4F68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B50C24"/>
    <w:multiLevelType w:val="multilevel"/>
    <w:tmpl w:val="FE76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4C76A9"/>
    <w:multiLevelType w:val="hybridMultilevel"/>
    <w:tmpl w:val="0A584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00597E"/>
    <w:multiLevelType w:val="multilevel"/>
    <w:tmpl w:val="EC7E41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684A61"/>
    <w:multiLevelType w:val="multilevel"/>
    <w:tmpl w:val="5336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452FA1"/>
    <w:multiLevelType w:val="multilevel"/>
    <w:tmpl w:val="CA84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AF6250"/>
    <w:multiLevelType w:val="hybridMultilevel"/>
    <w:tmpl w:val="DAFC7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912599"/>
    <w:multiLevelType w:val="hybridMultilevel"/>
    <w:tmpl w:val="D93EA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1F50D4"/>
    <w:multiLevelType w:val="multilevel"/>
    <w:tmpl w:val="1A36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891102"/>
    <w:multiLevelType w:val="hybridMultilevel"/>
    <w:tmpl w:val="4CCA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711774"/>
    <w:multiLevelType w:val="multilevel"/>
    <w:tmpl w:val="0B24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5A510CF"/>
    <w:multiLevelType w:val="multilevel"/>
    <w:tmpl w:val="EC669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6AA3807"/>
    <w:multiLevelType w:val="multilevel"/>
    <w:tmpl w:val="36BA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E654C6"/>
    <w:multiLevelType w:val="multilevel"/>
    <w:tmpl w:val="144C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424BBD"/>
    <w:multiLevelType w:val="hybridMultilevel"/>
    <w:tmpl w:val="D254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2A441A"/>
    <w:multiLevelType w:val="hybridMultilevel"/>
    <w:tmpl w:val="122E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B5559C"/>
    <w:multiLevelType w:val="multilevel"/>
    <w:tmpl w:val="2448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83342B"/>
    <w:multiLevelType w:val="multilevel"/>
    <w:tmpl w:val="182A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C21523"/>
    <w:multiLevelType w:val="multilevel"/>
    <w:tmpl w:val="34DE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37A19F2"/>
    <w:multiLevelType w:val="hybridMultilevel"/>
    <w:tmpl w:val="185A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C81324"/>
    <w:multiLevelType w:val="hybridMultilevel"/>
    <w:tmpl w:val="09D0D0BE"/>
    <w:lvl w:ilvl="0" w:tplc="AAD2EB76">
      <w:start w:val="1"/>
      <w:numFmt w:val="bullet"/>
      <w:lvlText w:val=""/>
      <w:lvlJc w:val="left"/>
      <w:pPr>
        <w:tabs>
          <w:tab w:val="num" w:pos="720"/>
        </w:tabs>
        <w:ind w:left="720" w:hanging="360"/>
      </w:pPr>
      <w:rPr>
        <w:rFonts w:ascii="Wingdings" w:hAnsi="Wingdings" w:hint="default"/>
      </w:rPr>
    </w:lvl>
    <w:lvl w:ilvl="1" w:tplc="CA20CC7E">
      <w:start w:val="1"/>
      <w:numFmt w:val="bullet"/>
      <w:lvlText w:val=""/>
      <w:lvlJc w:val="left"/>
      <w:pPr>
        <w:tabs>
          <w:tab w:val="num" w:pos="1440"/>
        </w:tabs>
        <w:ind w:left="1440" w:hanging="360"/>
      </w:pPr>
      <w:rPr>
        <w:rFonts w:ascii="Wingdings" w:hAnsi="Wingdings" w:hint="default"/>
      </w:rPr>
    </w:lvl>
    <w:lvl w:ilvl="2" w:tplc="7DE2E4D2" w:tentative="1">
      <w:start w:val="1"/>
      <w:numFmt w:val="bullet"/>
      <w:lvlText w:val=""/>
      <w:lvlJc w:val="left"/>
      <w:pPr>
        <w:tabs>
          <w:tab w:val="num" w:pos="2160"/>
        </w:tabs>
        <w:ind w:left="2160" w:hanging="360"/>
      </w:pPr>
      <w:rPr>
        <w:rFonts w:ascii="Wingdings" w:hAnsi="Wingdings" w:hint="default"/>
      </w:rPr>
    </w:lvl>
    <w:lvl w:ilvl="3" w:tplc="F98AE3D2" w:tentative="1">
      <w:start w:val="1"/>
      <w:numFmt w:val="bullet"/>
      <w:lvlText w:val=""/>
      <w:lvlJc w:val="left"/>
      <w:pPr>
        <w:tabs>
          <w:tab w:val="num" w:pos="2880"/>
        </w:tabs>
        <w:ind w:left="2880" w:hanging="360"/>
      </w:pPr>
      <w:rPr>
        <w:rFonts w:ascii="Wingdings" w:hAnsi="Wingdings" w:hint="default"/>
      </w:rPr>
    </w:lvl>
    <w:lvl w:ilvl="4" w:tplc="A9021F2C" w:tentative="1">
      <w:start w:val="1"/>
      <w:numFmt w:val="bullet"/>
      <w:lvlText w:val=""/>
      <w:lvlJc w:val="left"/>
      <w:pPr>
        <w:tabs>
          <w:tab w:val="num" w:pos="3600"/>
        </w:tabs>
        <w:ind w:left="3600" w:hanging="360"/>
      </w:pPr>
      <w:rPr>
        <w:rFonts w:ascii="Wingdings" w:hAnsi="Wingdings" w:hint="default"/>
      </w:rPr>
    </w:lvl>
    <w:lvl w:ilvl="5" w:tplc="395E14E0" w:tentative="1">
      <w:start w:val="1"/>
      <w:numFmt w:val="bullet"/>
      <w:lvlText w:val=""/>
      <w:lvlJc w:val="left"/>
      <w:pPr>
        <w:tabs>
          <w:tab w:val="num" w:pos="4320"/>
        </w:tabs>
        <w:ind w:left="4320" w:hanging="360"/>
      </w:pPr>
      <w:rPr>
        <w:rFonts w:ascii="Wingdings" w:hAnsi="Wingdings" w:hint="default"/>
      </w:rPr>
    </w:lvl>
    <w:lvl w:ilvl="6" w:tplc="5D227D26" w:tentative="1">
      <w:start w:val="1"/>
      <w:numFmt w:val="bullet"/>
      <w:lvlText w:val=""/>
      <w:lvlJc w:val="left"/>
      <w:pPr>
        <w:tabs>
          <w:tab w:val="num" w:pos="5040"/>
        </w:tabs>
        <w:ind w:left="5040" w:hanging="360"/>
      </w:pPr>
      <w:rPr>
        <w:rFonts w:ascii="Wingdings" w:hAnsi="Wingdings" w:hint="default"/>
      </w:rPr>
    </w:lvl>
    <w:lvl w:ilvl="7" w:tplc="A510FB46" w:tentative="1">
      <w:start w:val="1"/>
      <w:numFmt w:val="bullet"/>
      <w:lvlText w:val=""/>
      <w:lvlJc w:val="left"/>
      <w:pPr>
        <w:tabs>
          <w:tab w:val="num" w:pos="5760"/>
        </w:tabs>
        <w:ind w:left="5760" w:hanging="360"/>
      </w:pPr>
      <w:rPr>
        <w:rFonts w:ascii="Wingdings" w:hAnsi="Wingdings" w:hint="default"/>
      </w:rPr>
    </w:lvl>
    <w:lvl w:ilvl="8" w:tplc="48D8EE8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9605791"/>
    <w:multiLevelType w:val="hybridMultilevel"/>
    <w:tmpl w:val="25467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B3646E5"/>
    <w:multiLevelType w:val="multilevel"/>
    <w:tmpl w:val="040E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C3C783B"/>
    <w:multiLevelType w:val="multilevel"/>
    <w:tmpl w:val="614A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73045"/>
    <w:multiLevelType w:val="multilevel"/>
    <w:tmpl w:val="1FB2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2A3B56"/>
    <w:multiLevelType w:val="multilevel"/>
    <w:tmpl w:val="399A1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9239BB"/>
    <w:multiLevelType w:val="multilevel"/>
    <w:tmpl w:val="05C2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E051248"/>
    <w:multiLevelType w:val="hybridMultilevel"/>
    <w:tmpl w:val="C6D2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8E5536"/>
    <w:multiLevelType w:val="multilevel"/>
    <w:tmpl w:val="9222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3072C13"/>
    <w:multiLevelType w:val="hybridMultilevel"/>
    <w:tmpl w:val="0264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065EFC"/>
    <w:multiLevelType w:val="hybridMultilevel"/>
    <w:tmpl w:val="8D904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27361C"/>
    <w:multiLevelType w:val="multilevel"/>
    <w:tmpl w:val="1392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8CF023E"/>
    <w:multiLevelType w:val="multilevel"/>
    <w:tmpl w:val="713E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9057E81"/>
    <w:multiLevelType w:val="multilevel"/>
    <w:tmpl w:val="FF18D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AF30118"/>
    <w:multiLevelType w:val="hybridMultilevel"/>
    <w:tmpl w:val="EC10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C187C4A"/>
    <w:multiLevelType w:val="multilevel"/>
    <w:tmpl w:val="0E12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C337440"/>
    <w:multiLevelType w:val="hybridMultilevel"/>
    <w:tmpl w:val="083E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CF8084B"/>
    <w:multiLevelType w:val="hybridMultilevel"/>
    <w:tmpl w:val="9C34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D241DC2"/>
    <w:multiLevelType w:val="hybridMultilevel"/>
    <w:tmpl w:val="BCE2C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962706"/>
    <w:multiLevelType w:val="hybridMultilevel"/>
    <w:tmpl w:val="BB50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3277118">
    <w:abstractNumId w:val="4"/>
  </w:num>
  <w:num w:numId="2" w16cid:durableId="364524589">
    <w:abstractNumId w:val="5"/>
  </w:num>
  <w:num w:numId="3" w16cid:durableId="1331054891">
    <w:abstractNumId w:val="25"/>
  </w:num>
  <w:num w:numId="4" w16cid:durableId="1852648907">
    <w:abstractNumId w:val="56"/>
  </w:num>
  <w:num w:numId="5" w16cid:durableId="422260416">
    <w:abstractNumId w:val="44"/>
  </w:num>
  <w:num w:numId="6" w16cid:durableId="2143306705">
    <w:abstractNumId w:val="59"/>
  </w:num>
  <w:num w:numId="7" w16cid:durableId="1331905332">
    <w:abstractNumId w:val="41"/>
  </w:num>
  <w:num w:numId="8" w16cid:durableId="438916209">
    <w:abstractNumId w:val="31"/>
  </w:num>
  <w:num w:numId="9" w16cid:durableId="357973595">
    <w:abstractNumId w:val="19"/>
  </w:num>
  <w:num w:numId="10" w16cid:durableId="654339574">
    <w:abstractNumId w:val="6"/>
  </w:num>
  <w:num w:numId="11" w16cid:durableId="1953786160">
    <w:abstractNumId w:val="13"/>
  </w:num>
  <w:num w:numId="12" w16cid:durableId="142357503">
    <w:abstractNumId w:val="2"/>
  </w:num>
  <w:num w:numId="13" w16cid:durableId="1547838862">
    <w:abstractNumId w:val="42"/>
  </w:num>
  <w:num w:numId="14" w16cid:durableId="2043700932">
    <w:abstractNumId w:val="22"/>
  </w:num>
  <w:num w:numId="15" w16cid:durableId="1083114083">
    <w:abstractNumId w:val="36"/>
  </w:num>
  <w:num w:numId="16" w16cid:durableId="1250233220">
    <w:abstractNumId w:val="61"/>
  </w:num>
  <w:num w:numId="17" w16cid:durableId="1155342225">
    <w:abstractNumId w:val="35"/>
  </w:num>
  <w:num w:numId="18" w16cid:durableId="2043820479">
    <w:abstractNumId w:val="30"/>
  </w:num>
  <w:num w:numId="19" w16cid:durableId="1796291903">
    <w:abstractNumId w:val="7"/>
  </w:num>
  <w:num w:numId="20" w16cid:durableId="977105024">
    <w:abstractNumId w:val="46"/>
  </w:num>
  <w:num w:numId="21" w16cid:durableId="1020398929">
    <w:abstractNumId w:val="17"/>
  </w:num>
  <w:num w:numId="22" w16cid:durableId="624963447">
    <w:abstractNumId w:val="10"/>
  </w:num>
  <w:num w:numId="23" w16cid:durableId="114757318">
    <w:abstractNumId w:val="26"/>
  </w:num>
  <w:num w:numId="24" w16cid:durableId="1293705996">
    <w:abstractNumId w:val="47"/>
  </w:num>
  <w:num w:numId="25" w16cid:durableId="876701128">
    <w:abstractNumId w:val="60"/>
  </w:num>
  <w:num w:numId="26" w16cid:durableId="1265071767">
    <w:abstractNumId w:val="39"/>
  </w:num>
  <w:num w:numId="27" w16cid:durableId="503278027">
    <w:abstractNumId w:val="34"/>
  </w:num>
  <w:num w:numId="28" w16cid:durableId="329412641">
    <w:abstractNumId w:val="8"/>
  </w:num>
  <w:num w:numId="29" w16cid:durableId="1226912268">
    <w:abstractNumId w:val="38"/>
  </w:num>
  <w:num w:numId="30" w16cid:durableId="921910798">
    <w:abstractNumId w:val="16"/>
  </w:num>
  <w:num w:numId="31" w16cid:durableId="1179781192">
    <w:abstractNumId w:val="27"/>
  </w:num>
  <w:num w:numId="32" w16cid:durableId="1777406039">
    <w:abstractNumId w:val="1"/>
  </w:num>
  <w:num w:numId="33" w16cid:durableId="505940738">
    <w:abstractNumId w:val="55"/>
  </w:num>
  <w:num w:numId="34" w16cid:durableId="33775412">
    <w:abstractNumId w:val="20"/>
  </w:num>
  <w:num w:numId="35" w16cid:durableId="658189321">
    <w:abstractNumId w:val="0"/>
  </w:num>
  <w:num w:numId="36" w16cid:durableId="819882455">
    <w:abstractNumId w:val="50"/>
  </w:num>
  <w:num w:numId="37" w16cid:durableId="1252661873">
    <w:abstractNumId w:val="57"/>
  </w:num>
  <w:num w:numId="38" w16cid:durableId="404762168">
    <w:abstractNumId w:val="23"/>
  </w:num>
  <w:num w:numId="39" w16cid:durableId="1916863261">
    <w:abstractNumId w:val="45"/>
  </w:num>
  <w:num w:numId="40" w16cid:durableId="1291129689">
    <w:abstractNumId w:val="53"/>
  </w:num>
  <w:num w:numId="41" w16cid:durableId="1761833885">
    <w:abstractNumId w:val="12"/>
  </w:num>
  <w:num w:numId="42" w16cid:durableId="679894840">
    <w:abstractNumId w:val="33"/>
  </w:num>
  <w:num w:numId="43" w16cid:durableId="1383484497">
    <w:abstractNumId w:val="40"/>
  </w:num>
  <w:num w:numId="44" w16cid:durableId="974287232">
    <w:abstractNumId w:val="15"/>
  </w:num>
  <w:num w:numId="45" w16cid:durableId="947196197">
    <w:abstractNumId w:val="11"/>
  </w:num>
  <w:num w:numId="46" w16cid:durableId="796799417">
    <w:abstractNumId w:val="48"/>
  </w:num>
  <w:num w:numId="47" w16cid:durableId="1165510545">
    <w:abstractNumId w:val="54"/>
  </w:num>
  <w:num w:numId="48" w16cid:durableId="1894197101">
    <w:abstractNumId w:val="9"/>
  </w:num>
  <w:num w:numId="49" w16cid:durableId="756368083">
    <w:abstractNumId w:val="49"/>
  </w:num>
  <w:num w:numId="50" w16cid:durableId="1569998308">
    <w:abstractNumId w:val="51"/>
  </w:num>
  <w:num w:numId="51" w16cid:durableId="172693609">
    <w:abstractNumId w:val="18"/>
  </w:num>
  <w:num w:numId="52" w16cid:durableId="1200506781">
    <w:abstractNumId w:val="14"/>
  </w:num>
  <w:num w:numId="53" w16cid:durableId="458691075">
    <w:abstractNumId w:val="32"/>
  </w:num>
  <w:num w:numId="54" w16cid:durableId="942998280">
    <w:abstractNumId w:val="52"/>
  </w:num>
  <w:num w:numId="55" w16cid:durableId="1597904326">
    <w:abstractNumId w:val="3"/>
  </w:num>
  <w:num w:numId="56" w16cid:durableId="1632785285">
    <w:abstractNumId w:val="37"/>
  </w:num>
  <w:num w:numId="57" w16cid:durableId="68621938">
    <w:abstractNumId w:val="28"/>
  </w:num>
  <w:num w:numId="58" w16cid:durableId="285428707">
    <w:abstractNumId w:val="58"/>
  </w:num>
  <w:num w:numId="59" w16cid:durableId="1819299569">
    <w:abstractNumId w:val="21"/>
  </w:num>
  <w:num w:numId="60" w16cid:durableId="289938931">
    <w:abstractNumId w:val="29"/>
  </w:num>
  <w:num w:numId="61" w16cid:durableId="915355607">
    <w:abstractNumId w:val="43"/>
  </w:num>
  <w:num w:numId="62" w16cid:durableId="38996317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97690"/>
    <w:rsid w:val="00000E70"/>
    <w:rsid w:val="00005223"/>
    <w:rsid w:val="00032F49"/>
    <w:rsid w:val="00037CB8"/>
    <w:rsid w:val="000466FB"/>
    <w:rsid w:val="000608FB"/>
    <w:rsid w:val="000632B7"/>
    <w:rsid w:val="000635FF"/>
    <w:rsid w:val="000772CA"/>
    <w:rsid w:val="000774B3"/>
    <w:rsid w:val="0008212E"/>
    <w:rsid w:val="00083F1D"/>
    <w:rsid w:val="000870DC"/>
    <w:rsid w:val="0009692D"/>
    <w:rsid w:val="00097690"/>
    <w:rsid w:val="000D0234"/>
    <w:rsid w:val="000D671E"/>
    <w:rsid w:val="000D6A4F"/>
    <w:rsid w:val="000D7265"/>
    <w:rsid w:val="000F627F"/>
    <w:rsid w:val="00105220"/>
    <w:rsid w:val="00105654"/>
    <w:rsid w:val="00111AFA"/>
    <w:rsid w:val="0011314E"/>
    <w:rsid w:val="001245D7"/>
    <w:rsid w:val="00131066"/>
    <w:rsid w:val="001352FB"/>
    <w:rsid w:val="00153D68"/>
    <w:rsid w:val="00154D67"/>
    <w:rsid w:val="00157730"/>
    <w:rsid w:val="001757CF"/>
    <w:rsid w:val="0018682A"/>
    <w:rsid w:val="00192453"/>
    <w:rsid w:val="001925C6"/>
    <w:rsid w:val="001A2B31"/>
    <w:rsid w:val="001B0076"/>
    <w:rsid w:val="001B6FD1"/>
    <w:rsid w:val="001E6AF7"/>
    <w:rsid w:val="00201498"/>
    <w:rsid w:val="00204043"/>
    <w:rsid w:val="00214CEC"/>
    <w:rsid w:val="00227938"/>
    <w:rsid w:val="00236003"/>
    <w:rsid w:val="0025460C"/>
    <w:rsid w:val="00256F39"/>
    <w:rsid w:val="00257179"/>
    <w:rsid w:val="0026160A"/>
    <w:rsid w:val="002871F1"/>
    <w:rsid w:val="00293A3F"/>
    <w:rsid w:val="00294336"/>
    <w:rsid w:val="002B5CF5"/>
    <w:rsid w:val="002D7BA2"/>
    <w:rsid w:val="002F4FEE"/>
    <w:rsid w:val="00302270"/>
    <w:rsid w:val="00322CC5"/>
    <w:rsid w:val="003545B0"/>
    <w:rsid w:val="00355232"/>
    <w:rsid w:val="00374D4D"/>
    <w:rsid w:val="00384646"/>
    <w:rsid w:val="003872D2"/>
    <w:rsid w:val="00397ACD"/>
    <w:rsid w:val="003A0F17"/>
    <w:rsid w:val="003A1031"/>
    <w:rsid w:val="003A747F"/>
    <w:rsid w:val="003B4A32"/>
    <w:rsid w:val="003B6292"/>
    <w:rsid w:val="003B6D43"/>
    <w:rsid w:val="003D23EF"/>
    <w:rsid w:val="003D50B9"/>
    <w:rsid w:val="003E006B"/>
    <w:rsid w:val="003E1128"/>
    <w:rsid w:val="003E523E"/>
    <w:rsid w:val="003F38B5"/>
    <w:rsid w:val="003F4E9B"/>
    <w:rsid w:val="00404735"/>
    <w:rsid w:val="00405F9E"/>
    <w:rsid w:val="00427662"/>
    <w:rsid w:val="004361C8"/>
    <w:rsid w:val="00451528"/>
    <w:rsid w:val="0046565D"/>
    <w:rsid w:val="00480253"/>
    <w:rsid w:val="00486EEE"/>
    <w:rsid w:val="004D48DA"/>
    <w:rsid w:val="004F0705"/>
    <w:rsid w:val="004F4C93"/>
    <w:rsid w:val="00531C1B"/>
    <w:rsid w:val="005322E8"/>
    <w:rsid w:val="005374D9"/>
    <w:rsid w:val="005426A4"/>
    <w:rsid w:val="0057480A"/>
    <w:rsid w:val="0058137A"/>
    <w:rsid w:val="00592D4D"/>
    <w:rsid w:val="005A0967"/>
    <w:rsid w:val="005C5895"/>
    <w:rsid w:val="005C65FF"/>
    <w:rsid w:val="005D32A8"/>
    <w:rsid w:val="005D4CFB"/>
    <w:rsid w:val="005F20B8"/>
    <w:rsid w:val="005F2D1E"/>
    <w:rsid w:val="00616209"/>
    <w:rsid w:val="00655F87"/>
    <w:rsid w:val="006727C6"/>
    <w:rsid w:val="00672C65"/>
    <w:rsid w:val="00676F17"/>
    <w:rsid w:val="006C4B99"/>
    <w:rsid w:val="006F3639"/>
    <w:rsid w:val="006F3802"/>
    <w:rsid w:val="007036D9"/>
    <w:rsid w:val="007037CD"/>
    <w:rsid w:val="00752EFD"/>
    <w:rsid w:val="007652DF"/>
    <w:rsid w:val="00767957"/>
    <w:rsid w:val="007B68B0"/>
    <w:rsid w:val="007D62CB"/>
    <w:rsid w:val="007F013D"/>
    <w:rsid w:val="007F64A2"/>
    <w:rsid w:val="007F7772"/>
    <w:rsid w:val="00825947"/>
    <w:rsid w:val="00825A95"/>
    <w:rsid w:val="008321D7"/>
    <w:rsid w:val="00841FA6"/>
    <w:rsid w:val="00886086"/>
    <w:rsid w:val="008B148A"/>
    <w:rsid w:val="008B221E"/>
    <w:rsid w:val="008C318B"/>
    <w:rsid w:val="008D1F29"/>
    <w:rsid w:val="008E4DB9"/>
    <w:rsid w:val="008F5C74"/>
    <w:rsid w:val="009065B5"/>
    <w:rsid w:val="009417E2"/>
    <w:rsid w:val="0094463B"/>
    <w:rsid w:val="00957C62"/>
    <w:rsid w:val="009619A4"/>
    <w:rsid w:val="00961A1E"/>
    <w:rsid w:val="00962422"/>
    <w:rsid w:val="00962811"/>
    <w:rsid w:val="00964B5A"/>
    <w:rsid w:val="00977A08"/>
    <w:rsid w:val="00985C32"/>
    <w:rsid w:val="00992F47"/>
    <w:rsid w:val="009962C5"/>
    <w:rsid w:val="009A51D7"/>
    <w:rsid w:val="009B7B19"/>
    <w:rsid w:val="009C15A7"/>
    <w:rsid w:val="009D46B1"/>
    <w:rsid w:val="009E1F8E"/>
    <w:rsid w:val="00A01E04"/>
    <w:rsid w:val="00A4786F"/>
    <w:rsid w:val="00A5135A"/>
    <w:rsid w:val="00A6077C"/>
    <w:rsid w:val="00A6267A"/>
    <w:rsid w:val="00A80160"/>
    <w:rsid w:val="00A85C75"/>
    <w:rsid w:val="00AB6562"/>
    <w:rsid w:val="00AB75F5"/>
    <w:rsid w:val="00AF02A1"/>
    <w:rsid w:val="00AF5206"/>
    <w:rsid w:val="00B073E3"/>
    <w:rsid w:val="00B07718"/>
    <w:rsid w:val="00B30717"/>
    <w:rsid w:val="00B30F4C"/>
    <w:rsid w:val="00B35704"/>
    <w:rsid w:val="00B36E37"/>
    <w:rsid w:val="00B56E86"/>
    <w:rsid w:val="00B67530"/>
    <w:rsid w:val="00B745BB"/>
    <w:rsid w:val="00B934B4"/>
    <w:rsid w:val="00BB0EDA"/>
    <w:rsid w:val="00BB3BBD"/>
    <w:rsid w:val="00BB6EBE"/>
    <w:rsid w:val="00BC1FD3"/>
    <w:rsid w:val="00BC51EC"/>
    <w:rsid w:val="00BF1FD7"/>
    <w:rsid w:val="00C07248"/>
    <w:rsid w:val="00C23D03"/>
    <w:rsid w:val="00C52538"/>
    <w:rsid w:val="00C61DC4"/>
    <w:rsid w:val="00C97F1A"/>
    <w:rsid w:val="00CC22A5"/>
    <w:rsid w:val="00CF4649"/>
    <w:rsid w:val="00D07901"/>
    <w:rsid w:val="00D6710A"/>
    <w:rsid w:val="00D94CD0"/>
    <w:rsid w:val="00DB6B9B"/>
    <w:rsid w:val="00DB7D39"/>
    <w:rsid w:val="00DC193A"/>
    <w:rsid w:val="00DC66E2"/>
    <w:rsid w:val="00DE6ECB"/>
    <w:rsid w:val="00E24B50"/>
    <w:rsid w:val="00E333B8"/>
    <w:rsid w:val="00E33CBE"/>
    <w:rsid w:val="00E83769"/>
    <w:rsid w:val="00E936BB"/>
    <w:rsid w:val="00EA11D0"/>
    <w:rsid w:val="00EB24E1"/>
    <w:rsid w:val="00EE64ED"/>
    <w:rsid w:val="00EE7BED"/>
    <w:rsid w:val="00F070FE"/>
    <w:rsid w:val="00F101A8"/>
    <w:rsid w:val="00F202A8"/>
    <w:rsid w:val="00F36E4A"/>
    <w:rsid w:val="00F453DD"/>
    <w:rsid w:val="00F7482E"/>
    <w:rsid w:val="00F855A5"/>
    <w:rsid w:val="00F910C2"/>
    <w:rsid w:val="00FC2CCA"/>
    <w:rsid w:val="00FC4FC0"/>
    <w:rsid w:val="00FE3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12DBA8"/>
  <w15:docId w15:val="{28C3E3D6-448E-4C97-8553-E09DC521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7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7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97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7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7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7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690"/>
    <w:rPr>
      <w:rFonts w:eastAsiaTheme="majorEastAsia" w:cstheme="majorBidi"/>
      <w:color w:val="272727" w:themeColor="text1" w:themeTint="D8"/>
    </w:rPr>
  </w:style>
  <w:style w:type="paragraph" w:styleId="Title">
    <w:name w:val="Title"/>
    <w:basedOn w:val="Normal"/>
    <w:next w:val="Normal"/>
    <w:link w:val="TitleChar"/>
    <w:uiPriority w:val="10"/>
    <w:qFormat/>
    <w:rsid w:val="00097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690"/>
    <w:pPr>
      <w:spacing w:before="160"/>
      <w:jc w:val="center"/>
    </w:pPr>
    <w:rPr>
      <w:i/>
      <w:iCs/>
      <w:color w:val="404040" w:themeColor="text1" w:themeTint="BF"/>
    </w:rPr>
  </w:style>
  <w:style w:type="character" w:customStyle="1" w:styleId="QuoteChar">
    <w:name w:val="Quote Char"/>
    <w:basedOn w:val="DefaultParagraphFont"/>
    <w:link w:val="Quote"/>
    <w:uiPriority w:val="29"/>
    <w:rsid w:val="00097690"/>
    <w:rPr>
      <w:i/>
      <w:iCs/>
      <w:color w:val="404040" w:themeColor="text1" w:themeTint="BF"/>
    </w:rPr>
  </w:style>
  <w:style w:type="paragraph" w:styleId="ListParagraph">
    <w:name w:val="List Paragraph"/>
    <w:basedOn w:val="Normal"/>
    <w:uiPriority w:val="34"/>
    <w:qFormat/>
    <w:rsid w:val="00097690"/>
    <w:pPr>
      <w:ind w:left="720"/>
      <w:contextualSpacing/>
    </w:pPr>
  </w:style>
  <w:style w:type="character" w:styleId="IntenseEmphasis">
    <w:name w:val="Intense Emphasis"/>
    <w:basedOn w:val="DefaultParagraphFont"/>
    <w:uiPriority w:val="21"/>
    <w:qFormat/>
    <w:rsid w:val="00097690"/>
    <w:rPr>
      <w:i/>
      <w:iCs/>
      <w:color w:val="0F4761" w:themeColor="accent1" w:themeShade="BF"/>
    </w:rPr>
  </w:style>
  <w:style w:type="paragraph" w:styleId="IntenseQuote">
    <w:name w:val="Intense Quote"/>
    <w:basedOn w:val="Normal"/>
    <w:next w:val="Normal"/>
    <w:link w:val="IntenseQuoteChar"/>
    <w:uiPriority w:val="30"/>
    <w:qFormat/>
    <w:rsid w:val="00097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690"/>
    <w:rPr>
      <w:i/>
      <w:iCs/>
      <w:color w:val="0F4761" w:themeColor="accent1" w:themeShade="BF"/>
    </w:rPr>
  </w:style>
  <w:style w:type="character" w:styleId="IntenseReference">
    <w:name w:val="Intense Reference"/>
    <w:basedOn w:val="DefaultParagraphFont"/>
    <w:uiPriority w:val="32"/>
    <w:qFormat/>
    <w:rsid w:val="00097690"/>
    <w:rPr>
      <w:b/>
      <w:bCs/>
      <w:smallCaps/>
      <w:color w:val="0F4761" w:themeColor="accent1" w:themeShade="BF"/>
      <w:spacing w:val="5"/>
    </w:rPr>
  </w:style>
  <w:style w:type="paragraph" w:styleId="NormalWeb">
    <w:name w:val="Normal (Web)"/>
    <w:basedOn w:val="Normal"/>
    <w:uiPriority w:val="99"/>
    <w:semiHidden/>
    <w:unhideWhenUsed/>
    <w:rsid w:val="00DC66E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C66E2"/>
    <w:rPr>
      <w:b/>
      <w:bCs/>
    </w:rPr>
  </w:style>
  <w:style w:type="character" w:styleId="Hyperlink">
    <w:name w:val="Hyperlink"/>
    <w:basedOn w:val="DefaultParagraphFont"/>
    <w:uiPriority w:val="99"/>
    <w:unhideWhenUsed/>
    <w:rsid w:val="003B6D43"/>
    <w:rPr>
      <w:color w:val="467886"/>
      <w:u w:val="single"/>
    </w:rPr>
  </w:style>
  <w:style w:type="paragraph" w:customStyle="1" w:styleId="xmsonormal">
    <w:name w:val="x_msonormal"/>
    <w:basedOn w:val="Normal"/>
    <w:rsid w:val="003B6D43"/>
    <w:pPr>
      <w:spacing w:line="276" w:lineRule="auto"/>
    </w:pPr>
    <w:rPr>
      <w:rFonts w:ascii="Aptos" w:hAnsi="Aptos" w:cs="Aptos"/>
      <w:kern w:val="0"/>
    </w:rPr>
  </w:style>
  <w:style w:type="paragraph" w:customStyle="1" w:styleId="xmsolistparagraph">
    <w:name w:val="x_msolistparagraph"/>
    <w:basedOn w:val="Normal"/>
    <w:rsid w:val="003B6D43"/>
    <w:pPr>
      <w:spacing w:line="276" w:lineRule="auto"/>
      <w:ind w:left="720"/>
    </w:pPr>
    <w:rPr>
      <w:rFonts w:ascii="Aptos" w:hAnsi="Aptos" w:cs="Aptos"/>
      <w:kern w:val="0"/>
    </w:rPr>
  </w:style>
  <w:style w:type="character" w:styleId="FollowedHyperlink">
    <w:name w:val="FollowedHyperlink"/>
    <w:basedOn w:val="DefaultParagraphFont"/>
    <w:uiPriority w:val="99"/>
    <w:semiHidden/>
    <w:unhideWhenUsed/>
    <w:rsid w:val="003B6D43"/>
    <w:rPr>
      <w:color w:val="96607D" w:themeColor="followedHyperlink"/>
      <w:u w:val="single"/>
    </w:rPr>
  </w:style>
  <w:style w:type="paragraph" w:styleId="Header">
    <w:name w:val="header"/>
    <w:basedOn w:val="Normal"/>
    <w:link w:val="HeaderChar"/>
    <w:uiPriority w:val="99"/>
    <w:unhideWhenUsed/>
    <w:rsid w:val="006F3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639"/>
  </w:style>
  <w:style w:type="paragraph" w:styleId="Footer">
    <w:name w:val="footer"/>
    <w:basedOn w:val="Normal"/>
    <w:link w:val="FooterChar"/>
    <w:uiPriority w:val="99"/>
    <w:unhideWhenUsed/>
    <w:rsid w:val="006F3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639"/>
  </w:style>
  <w:style w:type="character" w:styleId="UnresolvedMention">
    <w:name w:val="Unresolved Mention"/>
    <w:basedOn w:val="DefaultParagraphFont"/>
    <w:uiPriority w:val="99"/>
    <w:semiHidden/>
    <w:unhideWhenUsed/>
    <w:rsid w:val="00AB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68117">
      <w:bodyDiv w:val="1"/>
      <w:marLeft w:val="0"/>
      <w:marRight w:val="0"/>
      <w:marTop w:val="0"/>
      <w:marBottom w:val="0"/>
      <w:divBdr>
        <w:top w:val="none" w:sz="0" w:space="0" w:color="auto"/>
        <w:left w:val="none" w:sz="0" w:space="0" w:color="auto"/>
        <w:bottom w:val="none" w:sz="0" w:space="0" w:color="auto"/>
        <w:right w:val="none" w:sz="0" w:space="0" w:color="auto"/>
      </w:divBdr>
    </w:div>
    <w:div w:id="375276502">
      <w:bodyDiv w:val="1"/>
      <w:marLeft w:val="0"/>
      <w:marRight w:val="0"/>
      <w:marTop w:val="0"/>
      <w:marBottom w:val="0"/>
      <w:divBdr>
        <w:top w:val="none" w:sz="0" w:space="0" w:color="auto"/>
        <w:left w:val="none" w:sz="0" w:space="0" w:color="auto"/>
        <w:bottom w:val="none" w:sz="0" w:space="0" w:color="auto"/>
        <w:right w:val="none" w:sz="0" w:space="0" w:color="auto"/>
      </w:divBdr>
    </w:div>
    <w:div w:id="384912119">
      <w:bodyDiv w:val="1"/>
      <w:marLeft w:val="0"/>
      <w:marRight w:val="0"/>
      <w:marTop w:val="0"/>
      <w:marBottom w:val="0"/>
      <w:divBdr>
        <w:top w:val="none" w:sz="0" w:space="0" w:color="auto"/>
        <w:left w:val="none" w:sz="0" w:space="0" w:color="auto"/>
        <w:bottom w:val="none" w:sz="0" w:space="0" w:color="auto"/>
        <w:right w:val="none" w:sz="0" w:space="0" w:color="auto"/>
      </w:divBdr>
      <w:divsChild>
        <w:div w:id="931662656">
          <w:marLeft w:val="0"/>
          <w:marRight w:val="0"/>
          <w:marTop w:val="0"/>
          <w:marBottom w:val="0"/>
          <w:divBdr>
            <w:top w:val="none" w:sz="0" w:space="0" w:color="auto"/>
            <w:left w:val="none" w:sz="0" w:space="0" w:color="auto"/>
            <w:bottom w:val="none" w:sz="0" w:space="0" w:color="auto"/>
            <w:right w:val="none" w:sz="0" w:space="0" w:color="auto"/>
          </w:divBdr>
        </w:div>
        <w:div w:id="294137889">
          <w:marLeft w:val="0"/>
          <w:marRight w:val="0"/>
          <w:marTop w:val="0"/>
          <w:marBottom w:val="0"/>
          <w:divBdr>
            <w:top w:val="none" w:sz="0" w:space="0" w:color="auto"/>
            <w:left w:val="none" w:sz="0" w:space="0" w:color="auto"/>
            <w:bottom w:val="none" w:sz="0" w:space="0" w:color="auto"/>
            <w:right w:val="none" w:sz="0" w:space="0" w:color="auto"/>
          </w:divBdr>
        </w:div>
        <w:div w:id="83888384">
          <w:marLeft w:val="0"/>
          <w:marRight w:val="0"/>
          <w:marTop w:val="0"/>
          <w:marBottom w:val="0"/>
          <w:divBdr>
            <w:top w:val="none" w:sz="0" w:space="0" w:color="auto"/>
            <w:left w:val="none" w:sz="0" w:space="0" w:color="auto"/>
            <w:bottom w:val="none" w:sz="0" w:space="0" w:color="auto"/>
            <w:right w:val="none" w:sz="0" w:space="0" w:color="auto"/>
          </w:divBdr>
        </w:div>
        <w:div w:id="1519418997">
          <w:marLeft w:val="0"/>
          <w:marRight w:val="0"/>
          <w:marTop w:val="0"/>
          <w:marBottom w:val="0"/>
          <w:divBdr>
            <w:top w:val="none" w:sz="0" w:space="0" w:color="auto"/>
            <w:left w:val="none" w:sz="0" w:space="0" w:color="auto"/>
            <w:bottom w:val="none" w:sz="0" w:space="0" w:color="auto"/>
            <w:right w:val="none" w:sz="0" w:space="0" w:color="auto"/>
          </w:divBdr>
        </w:div>
        <w:div w:id="1901088106">
          <w:marLeft w:val="0"/>
          <w:marRight w:val="0"/>
          <w:marTop w:val="0"/>
          <w:marBottom w:val="0"/>
          <w:divBdr>
            <w:top w:val="none" w:sz="0" w:space="0" w:color="auto"/>
            <w:left w:val="none" w:sz="0" w:space="0" w:color="auto"/>
            <w:bottom w:val="none" w:sz="0" w:space="0" w:color="auto"/>
            <w:right w:val="none" w:sz="0" w:space="0" w:color="auto"/>
          </w:divBdr>
        </w:div>
        <w:div w:id="226771417">
          <w:marLeft w:val="0"/>
          <w:marRight w:val="0"/>
          <w:marTop w:val="0"/>
          <w:marBottom w:val="0"/>
          <w:divBdr>
            <w:top w:val="none" w:sz="0" w:space="0" w:color="auto"/>
            <w:left w:val="none" w:sz="0" w:space="0" w:color="auto"/>
            <w:bottom w:val="none" w:sz="0" w:space="0" w:color="auto"/>
            <w:right w:val="none" w:sz="0" w:space="0" w:color="auto"/>
          </w:divBdr>
        </w:div>
        <w:div w:id="627664904">
          <w:marLeft w:val="0"/>
          <w:marRight w:val="0"/>
          <w:marTop w:val="0"/>
          <w:marBottom w:val="0"/>
          <w:divBdr>
            <w:top w:val="none" w:sz="0" w:space="0" w:color="auto"/>
            <w:left w:val="none" w:sz="0" w:space="0" w:color="auto"/>
            <w:bottom w:val="none" w:sz="0" w:space="0" w:color="auto"/>
            <w:right w:val="none" w:sz="0" w:space="0" w:color="auto"/>
          </w:divBdr>
        </w:div>
        <w:div w:id="534275335">
          <w:marLeft w:val="0"/>
          <w:marRight w:val="0"/>
          <w:marTop w:val="0"/>
          <w:marBottom w:val="0"/>
          <w:divBdr>
            <w:top w:val="none" w:sz="0" w:space="0" w:color="auto"/>
            <w:left w:val="none" w:sz="0" w:space="0" w:color="auto"/>
            <w:bottom w:val="none" w:sz="0" w:space="0" w:color="auto"/>
            <w:right w:val="none" w:sz="0" w:space="0" w:color="auto"/>
          </w:divBdr>
        </w:div>
        <w:div w:id="1124663753">
          <w:marLeft w:val="0"/>
          <w:marRight w:val="0"/>
          <w:marTop w:val="0"/>
          <w:marBottom w:val="0"/>
          <w:divBdr>
            <w:top w:val="none" w:sz="0" w:space="0" w:color="auto"/>
            <w:left w:val="none" w:sz="0" w:space="0" w:color="auto"/>
            <w:bottom w:val="none" w:sz="0" w:space="0" w:color="auto"/>
            <w:right w:val="none" w:sz="0" w:space="0" w:color="auto"/>
          </w:divBdr>
        </w:div>
        <w:div w:id="988554688">
          <w:marLeft w:val="0"/>
          <w:marRight w:val="0"/>
          <w:marTop w:val="0"/>
          <w:marBottom w:val="0"/>
          <w:divBdr>
            <w:top w:val="none" w:sz="0" w:space="0" w:color="auto"/>
            <w:left w:val="none" w:sz="0" w:space="0" w:color="auto"/>
            <w:bottom w:val="none" w:sz="0" w:space="0" w:color="auto"/>
            <w:right w:val="none" w:sz="0" w:space="0" w:color="auto"/>
          </w:divBdr>
        </w:div>
        <w:div w:id="556935037">
          <w:marLeft w:val="0"/>
          <w:marRight w:val="0"/>
          <w:marTop w:val="0"/>
          <w:marBottom w:val="0"/>
          <w:divBdr>
            <w:top w:val="none" w:sz="0" w:space="0" w:color="auto"/>
            <w:left w:val="none" w:sz="0" w:space="0" w:color="auto"/>
            <w:bottom w:val="none" w:sz="0" w:space="0" w:color="auto"/>
            <w:right w:val="none" w:sz="0" w:space="0" w:color="auto"/>
          </w:divBdr>
        </w:div>
        <w:div w:id="2083403397">
          <w:marLeft w:val="0"/>
          <w:marRight w:val="0"/>
          <w:marTop w:val="0"/>
          <w:marBottom w:val="0"/>
          <w:divBdr>
            <w:top w:val="none" w:sz="0" w:space="0" w:color="auto"/>
            <w:left w:val="none" w:sz="0" w:space="0" w:color="auto"/>
            <w:bottom w:val="none" w:sz="0" w:space="0" w:color="auto"/>
            <w:right w:val="none" w:sz="0" w:space="0" w:color="auto"/>
          </w:divBdr>
        </w:div>
        <w:div w:id="37751476">
          <w:marLeft w:val="0"/>
          <w:marRight w:val="0"/>
          <w:marTop w:val="0"/>
          <w:marBottom w:val="0"/>
          <w:divBdr>
            <w:top w:val="none" w:sz="0" w:space="0" w:color="auto"/>
            <w:left w:val="none" w:sz="0" w:space="0" w:color="auto"/>
            <w:bottom w:val="none" w:sz="0" w:space="0" w:color="auto"/>
            <w:right w:val="none" w:sz="0" w:space="0" w:color="auto"/>
          </w:divBdr>
        </w:div>
        <w:div w:id="768280894">
          <w:marLeft w:val="0"/>
          <w:marRight w:val="0"/>
          <w:marTop w:val="0"/>
          <w:marBottom w:val="0"/>
          <w:divBdr>
            <w:top w:val="none" w:sz="0" w:space="0" w:color="auto"/>
            <w:left w:val="none" w:sz="0" w:space="0" w:color="auto"/>
            <w:bottom w:val="none" w:sz="0" w:space="0" w:color="auto"/>
            <w:right w:val="none" w:sz="0" w:space="0" w:color="auto"/>
          </w:divBdr>
        </w:div>
        <w:div w:id="1243222973">
          <w:marLeft w:val="0"/>
          <w:marRight w:val="0"/>
          <w:marTop w:val="0"/>
          <w:marBottom w:val="0"/>
          <w:divBdr>
            <w:top w:val="none" w:sz="0" w:space="0" w:color="auto"/>
            <w:left w:val="none" w:sz="0" w:space="0" w:color="auto"/>
            <w:bottom w:val="none" w:sz="0" w:space="0" w:color="auto"/>
            <w:right w:val="none" w:sz="0" w:space="0" w:color="auto"/>
          </w:divBdr>
        </w:div>
        <w:div w:id="1932733149">
          <w:marLeft w:val="0"/>
          <w:marRight w:val="0"/>
          <w:marTop w:val="0"/>
          <w:marBottom w:val="0"/>
          <w:divBdr>
            <w:top w:val="none" w:sz="0" w:space="0" w:color="auto"/>
            <w:left w:val="none" w:sz="0" w:space="0" w:color="auto"/>
            <w:bottom w:val="none" w:sz="0" w:space="0" w:color="auto"/>
            <w:right w:val="none" w:sz="0" w:space="0" w:color="auto"/>
          </w:divBdr>
        </w:div>
        <w:div w:id="813331456">
          <w:marLeft w:val="0"/>
          <w:marRight w:val="0"/>
          <w:marTop w:val="0"/>
          <w:marBottom w:val="0"/>
          <w:divBdr>
            <w:top w:val="none" w:sz="0" w:space="0" w:color="auto"/>
            <w:left w:val="none" w:sz="0" w:space="0" w:color="auto"/>
            <w:bottom w:val="none" w:sz="0" w:space="0" w:color="auto"/>
            <w:right w:val="none" w:sz="0" w:space="0" w:color="auto"/>
          </w:divBdr>
        </w:div>
        <w:div w:id="479925352">
          <w:marLeft w:val="0"/>
          <w:marRight w:val="0"/>
          <w:marTop w:val="0"/>
          <w:marBottom w:val="0"/>
          <w:divBdr>
            <w:top w:val="none" w:sz="0" w:space="0" w:color="auto"/>
            <w:left w:val="none" w:sz="0" w:space="0" w:color="auto"/>
            <w:bottom w:val="none" w:sz="0" w:space="0" w:color="auto"/>
            <w:right w:val="none" w:sz="0" w:space="0" w:color="auto"/>
          </w:divBdr>
        </w:div>
        <w:div w:id="1087459562">
          <w:marLeft w:val="0"/>
          <w:marRight w:val="0"/>
          <w:marTop w:val="0"/>
          <w:marBottom w:val="0"/>
          <w:divBdr>
            <w:top w:val="none" w:sz="0" w:space="0" w:color="auto"/>
            <w:left w:val="none" w:sz="0" w:space="0" w:color="auto"/>
            <w:bottom w:val="none" w:sz="0" w:space="0" w:color="auto"/>
            <w:right w:val="none" w:sz="0" w:space="0" w:color="auto"/>
          </w:divBdr>
        </w:div>
        <w:div w:id="151651149">
          <w:marLeft w:val="0"/>
          <w:marRight w:val="0"/>
          <w:marTop w:val="0"/>
          <w:marBottom w:val="0"/>
          <w:divBdr>
            <w:top w:val="none" w:sz="0" w:space="0" w:color="auto"/>
            <w:left w:val="none" w:sz="0" w:space="0" w:color="auto"/>
            <w:bottom w:val="none" w:sz="0" w:space="0" w:color="auto"/>
            <w:right w:val="none" w:sz="0" w:space="0" w:color="auto"/>
          </w:divBdr>
        </w:div>
      </w:divsChild>
    </w:div>
    <w:div w:id="415176847">
      <w:bodyDiv w:val="1"/>
      <w:marLeft w:val="0"/>
      <w:marRight w:val="0"/>
      <w:marTop w:val="0"/>
      <w:marBottom w:val="0"/>
      <w:divBdr>
        <w:top w:val="none" w:sz="0" w:space="0" w:color="auto"/>
        <w:left w:val="none" w:sz="0" w:space="0" w:color="auto"/>
        <w:bottom w:val="none" w:sz="0" w:space="0" w:color="auto"/>
        <w:right w:val="none" w:sz="0" w:space="0" w:color="auto"/>
      </w:divBdr>
    </w:div>
    <w:div w:id="507331363">
      <w:bodyDiv w:val="1"/>
      <w:marLeft w:val="0"/>
      <w:marRight w:val="0"/>
      <w:marTop w:val="0"/>
      <w:marBottom w:val="0"/>
      <w:divBdr>
        <w:top w:val="none" w:sz="0" w:space="0" w:color="auto"/>
        <w:left w:val="none" w:sz="0" w:space="0" w:color="auto"/>
        <w:bottom w:val="none" w:sz="0" w:space="0" w:color="auto"/>
        <w:right w:val="none" w:sz="0" w:space="0" w:color="auto"/>
      </w:divBdr>
    </w:div>
    <w:div w:id="666978141">
      <w:bodyDiv w:val="1"/>
      <w:marLeft w:val="0"/>
      <w:marRight w:val="0"/>
      <w:marTop w:val="0"/>
      <w:marBottom w:val="0"/>
      <w:divBdr>
        <w:top w:val="none" w:sz="0" w:space="0" w:color="auto"/>
        <w:left w:val="none" w:sz="0" w:space="0" w:color="auto"/>
        <w:bottom w:val="none" w:sz="0" w:space="0" w:color="auto"/>
        <w:right w:val="none" w:sz="0" w:space="0" w:color="auto"/>
      </w:divBdr>
      <w:divsChild>
        <w:div w:id="1637951552">
          <w:marLeft w:val="0"/>
          <w:marRight w:val="0"/>
          <w:marTop w:val="0"/>
          <w:marBottom w:val="0"/>
          <w:divBdr>
            <w:top w:val="none" w:sz="0" w:space="0" w:color="auto"/>
            <w:left w:val="none" w:sz="0" w:space="0" w:color="auto"/>
            <w:bottom w:val="none" w:sz="0" w:space="0" w:color="auto"/>
            <w:right w:val="none" w:sz="0" w:space="0" w:color="auto"/>
          </w:divBdr>
        </w:div>
        <w:div w:id="764956914">
          <w:marLeft w:val="0"/>
          <w:marRight w:val="0"/>
          <w:marTop w:val="0"/>
          <w:marBottom w:val="0"/>
          <w:divBdr>
            <w:top w:val="none" w:sz="0" w:space="0" w:color="auto"/>
            <w:left w:val="none" w:sz="0" w:space="0" w:color="auto"/>
            <w:bottom w:val="none" w:sz="0" w:space="0" w:color="auto"/>
            <w:right w:val="none" w:sz="0" w:space="0" w:color="auto"/>
          </w:divBdr>
        </w:div>
        <w:div w:id="2135367292">
          <w:marLeft w:val="0"/>
          <w:marRight w:val="0"/>
          <w:marTop w:val="0"/>
          <w:marBottom w:val="0"/>
          <w:divBdr>
            <w:top w:val="none" w:sz="0" w:space="0" w:color="auto"/>
            <w:left w:val="none" w:sz="0" w:space="0" w:color="auto"/>
            <w:bottom w:val="none" w:sz="0" w:space="0" w:color="auto"/>
            <w:right w:val="none" w:sz="0" w:space="0" w:color="auto"/>
          </w:divBdr>
        </w:div>
        <w:div w:id="372770620">
          <w:marLeft w:val="0"/>
          <w:marRight w:val="0"/>
          <w:marTop w:val="0"/>
          <w:marBottom w:val="0"/>
          <w:divBdr>
            <w:top w:val="none" w:sz="0" w:space="0" w:color="auto"/>
            <w:left w:val="none" w:sz="0" w:space="0" w:color="auto"/>
            <w:bottom w:val="none" w:sz="0" w:space="0" w:color="auto"/>
            <w:right w:val="none" w:sz="0" w:space="0" w:color="auto"/>
          </w:divBdr>
        </w:div>
        <w:div w:id="63646991">
          <w:marLeft w:val="0"/>
          <w:marRight w:val="0"/>
          <w:marTop w:val="0"/>
          <w:marBottom w:val="0"/>
          <w:divBdr>
            <w:top w:val="none" w:sz="0" w:space="0" w:color="auto"/>
            <w:left w:val="none" w:sz="0" w:space="0" w:color="auto"/>
            <w:bottom w:val="none" w:sz="0" w:space="0" w:color="auto"/>
            <w:right w:val="none" w:sz="0" w:space="0" w:color="auto"/>
          </w:divBdr>
        </w:div>
      </w:divsChild>
    </w:div>
    <w:div w:id="668211156">
      <w:bodyDiv w:val="1"/>
      <w:marLeft w:val="0"/>
      <w:marRight w:val="0"/>
      <w:marTop w:val="0"/>
      <w:marBottom w:val="0"/>
      <w:divBdr>
        <w:top w:val="none" w:sz="0" w:space="0" w:color="auto"/>
        <w:left w:val="none" w:sz="0" w:space="0" w:color="auto"/>
        <w:bottom w:val="none" w:sz="0" w:space="0" w:color="auto"/>
        <w:right w:val="none" w:sz="0" w:space="0" w:color="auto"/>
      </w:divBdr>
    </w:div>
    <w:div w:id="714038145">
      <w:bodyDiv w:val="1"/>
      <w:marLeft w:val="0"/>
      <w:marRight w:val="0"/>
      <w:marTop w:val="0"/>
      <w:marBottom w:val="0"/>
      <w:divBdr>
        <w:top w:val="none" w:sz="0" w:space="0" w:color="auto"/>
        <w:left w:val="none" w:sz="0" w:space="0" w:color="auto"/>
        <w:bottom w:val="none" w:sz="0" w:space="0" w:color="auto"/>
        <w:right w:val="none" w:sz="0" w:space="0" w:color="auto"/>
      </w:divBdr>
    </w:div>
    <w:div w:id="868645498">
      <w:bodyDiv w:val="1"/>
      <w:marLeft w:val="0"/>
      <w:marRight w:val="0"/>
      <w:marTop w:val="0"/>
      <w:marBottom w:val="0"/>
      <w:divBdr>
        <w:top w:val="none" w:sz="0" w:space="0" w:color="auto"/>
        <w:left w:val="none" w:sz="0" w:space="0" w:color="auto"/>
        <w:bottom w:val="none" w:sz="0" w:space="0" w:color="auto"/>
        <w:right w:val="none" w:sz="0" w:space="0" w:color="auto"/>
      </w:divBdr>
    </w:div>
    <w:div w:id="972296796">
      <w:bodyDiv w:val="1"/>
      <w:marLeft w:val="0"/>
      <w:marRight w:val="0"/>
      <w:marTop w:val="0"/>
      <w:marBottom w:val="0"/>
      <w:divBdr>
        <w:top w:val="none" w:sz="0" w:space="0" w:color="auto"/>
        <w:left w:val="none" w:sz="0" w:space="0" w:color="auto"/>
        <w:bottom w:val="none" w:sz="0" w:space="0" w:color="auto"/>
        <w:right w:val="none" w:sz="0" w:space="0" w:color="auto"/>
      </w:divBdr>
      <w:divsChild>
        <w:div w:id="1937517139">
          <w:marLeft w:val="0"/>
          <w:marRight w:val="0"/>
          <w:marTop w:val="0"/>
          <w:marBottom w:val="0"/>
          <w:divBdr>
            <w:top w:val="none" w:sz="0" w:space="0" w:color="auto"/>
            <w:left w:val="none" w:sz="0" w:space="0" w:color="auto"/>
            <w:bottom w:val="none" w:sz="0" w:space="0" w:color="auto"/>
            <w:right w:val="none" w:sz="0" w:space="0" w:color="auto"/>
          </w:divBdr>
        </w:div>
        <w:div w:id="1171213763">
          <w:marLeft w:val="0"/>
          <w:marRight w:val="0"/>
          <w:marTop w:val="0"/>
          <w:marBottom w:val="0"/>
          <w:divBdr>
            <w:top w:val="none" w:sz="0" w:space="0" w:color="auto"/>
            <w:left w:val="none" w:sz="0" w:space="0" w:color="auto"/>
            <w:bottom w:val="none" w:sz="0" w:space="0" w:color="auto"/>
            <w:right w:val="none" w:sz="0" w:space="0" w:color="auto"/>
          </w:divBdr>
        </w:div>
        <w:div w:id="1057820738">
          <w:marLeft w:val="0"/>
          <w:marRight w:val="0"/>
          <w:marTop w:val="0"/>
          <w:marBottom w:val="0"/>
          <w:divBdr>
            <w:top w:val="none" w:sz="0" w:space="0" w:color="auto"/>
            <w:left w:val="none" w:sz="0" w:space="0" w:color="auto"/>
            <w:bottom w:val="none" w:sz="0" w:space="0" w:color="auto"/>
            <w:right w:val="none" w:sz="0" w:space="0" w:color="auto"/>
          </w:divBdr>
        </w:div>
        <w:div w:id="777410614">
          <w:marLeft w:val="0"/>
          <w:marRight w:val="0"/>
          <w:marTop w:val="0"/>
          <w:marBottom w:val="0"/>
          <w:divBdr>
            <w:top w:val="none" w:sz="0" w:space="0" w:color="auto"/>
            <w:left w:val="none" w:sz="0" w:space="0" w:color="auto"/>
            <w:bottom w:val="none" w:sz="0" w:space="0" w:color="auto"/>
            <w:right w:val="none" w:sz="0" w:space="0" w:color="auto"/>
          </w:divBdr>
        </w:div>
        <w:div w:id="942147777">
          <w:marLeft w:val="0"/>
          <w:marRight w:val="0"/>
          <w:marTop w:val="0"/>
          <w:marBottom w:val="0"/>
          <w:divBdr>
            <w:top w:val="none" w:sz="0" w:space="0" w:color="auto"/>
            <w:left w:val="none" w:sz="0" w:space="0" w:color="auto"/>
            <w:bottom w:val="none" w:sz="0" w:space="0" w:color="auto"/>
            <w:right w:val="none" w:sz="0" w:space="0" w:color="auto"/>
          </w:divBdr>
        </w:div>
        <w:div w:id="1137532704">
          <w:marLeft w:val="0"/>
          <w:marRight w:val="0"/>
          <w:marTop w:val="0"/>
          <w:marBottom w:val="0"/>
          <w:divBdr>
            <w:top w:val="none" w:sz="0" w:space="0" w:color="auto"/>
            <w:left w:val="none" w:sz="0" w:space="0" w:color="auto"/>
            <w:bottom w:val="none" w:sz="0" w:space="0" w:color="auto"/>
            <w:right w:val="none" w:sz="0" w:space="0" w:color="auto"/>
          </w:divBdr>
        </w:div>
        <w:div w:id="1319261000">
          <w:marLeft w:val="0"/>
          <w:marRight w:val="0"/>
          <w:marTop w:val="0"/>
          <w:marBottom w:val="0"/>
          <w:divBdr>
            <w:top w:val="none" w:sz="0" w:space="0" w:color="auto"/>
            <w:left w:val="none" w:sz="0" w:space="0" w:color="auto"/>
            <w:bottom w:val="none" w:sz="0" w:space="0" w:color="auto"/>
            <w:right w:val="none" w:sz="0" w:space="0" w:color="auto"/>
          </w:divBdr>
        </w:div>
        <w:div w:id="854031732">
          <w:marLeft w:val="0"/>
          <w:marRight w:val="0"/>
          <w:marTop w:val="0"/>
          <w:marBottom w:val="0"/>
          <w:divBdr>
            <w:top w:val="none" w:sz="0" w:space="0" w:color="auto"/>
            <w:left w:val="none" w:sz="0" w:space="0" w:color="auto"/>
            <w:bottom w:val="none" w:sz="0" w:space="0" w:color="auto"/>
            <w:right w:val="none" w:sz="0" w:space="0" w:color="auto"/>
          </w:divBdr>
        </w:div>
        <w:div w:id="1921134016">
          <w:marLeft w:val="0"/>
          <w:marRight w:val="0"/>
          <w:marTop w:val="0"/>
          <w:marBottom w:val="0"/>
          <w:divBdr>
            <w:top w:val="none" w:sz="0" w:space="0" w:color="auto"/>
            <w:left w:val="none" w:sz="0" w:space="0" w:color="auto"/>
            <w:bottom w:val="none" w:sz="0" w:space="0" w:color="auto"/>
            <w:right w:val="none" w:sz="0" w:space="0" w:color="auto"/>
          </w:divBdr>
        </w:div>
      </w:divsChild>
    </w:div>
    <w:div w:id="1073039664">
      <w:bodyDiv w:val="1"/>
      <w:marLeft w:val="0"/>
      <w:marRight w:val="0"/>
      <w:marTop w:val="0"/>
      <w:marBottom w:val="0"/>
      <w:divBdr>
        <w:top w:val="none" w:sz="0" w:space="0" w:color="auto"/>
        <w:left w:val="none" w:sz="0" w:space="0" w:color="auto"/>
        <w:bottom w:val="none" w:sz="0" w:space="0" w:color="auto"/>
        <w:right w:val="none" w:sz="0" w:space="0" w:color="auto"/>
      </w:divBdr>
    </w:div>
    <w:div w:id="1129468302">
      <w:bodyDiv w:val="1"/>
      <w:marLeft w:val="0"/>
      <w:marRight w:val="0"/>
      <w:marTop w:val="0"/>
      <w:marBottom w:val="0"/>
      <w:divBdr>
        <w:top w:val="none" w:sz="0" w:space="0" w:color="auto"/>
        <w:left w:val="none" w:sz="0" w:space="0" w:color="auto"/>
        <w:bottom w:val="none" w:sz="0" w:space="0" w:color="auto"/>
        <w:right w:val="none" w:sz="0" w:space="0" w:color="auto"/>
      </w:divBdr>
    </w:div>
    <w:div w:id="1191914271">
      <w:bodyDiv w:val="1"/>
      <w:marLeft w:val="0"/>
      <w:marRight w:val="0"/>
      <w:marTop w:val="0"/>
      <w:marBottom w:val="0"/>
      <w:divBdr>
        <w:top w:val="none" w:sz="0" w:space="0" w:color="auto"/>
        <w:left w:val="none" w:sz="0" w:space="0" w:color="auto"/>
        <w:bottom w:val="none" w:sz="0" w:space="0" w:color="auto"/>
        <w:right w:val="none" w:sz="0" w:space="0" w:color="auto"/>
      </w:divBdr>
    </w:div>
    <w:div w:id="1496456772">
      <w:bodyDiv w:val="1"/>
      <w:marLeft w:val="0"/>
      <w:marRight w:val="0"/>
      <w:marTop w:val="0"/>
      <w:marBottom w:val="0"/>
      <w:divBdr>
        <w:top w:val="none" w:sz="0" w:space="0" w:color="auto"/>
        <w:left w:val="none" w:sz="0" w:space="0" w:color="auto"/>
        <w:bottom w:val="none" w:sz="0" w:space="0" w:color="auto"/>
        <w:right w:val="none" w:sz="0" w:space="0" w:color="auto"/>
      </w:divBdr>
      <w:divsChild>
        <w:div w:id="767624632">
          <w:marLeft w:val="0"/>
          <w:marRight w:val="0"/>
          <w:marTop w:val="0"/>
          <w:marBottom w:val="0"/>
          <w:divBdr>
            <w:top w:val="none" w:sz="0" w:space="0" w:color="auto"/>
            <w:left w:val="none" w:sz="0" w:space="0" w:color="auto"/>
            <w:bottom w:val="none" w:sz="0" w:space="0" w:color="auto"/>
            <w:right w:val="none" w:sz="0" w:space="0" w:color="auto"/>
          </w:divBdr>
        </w:div>
        <w:div w:id="1970014083">
          <w:marLeft w:val="0"/>
          <w:marRight w:val="0"/>
          <w:marTop w:val="0"/>
          <w:marBottom w:val="0"/>
          <w:divBdr>
            <w:top w:val="none" w:sz="0" w:space="0" w:color="auto"/>
            <w:left w:val="none" w:sz="0" w:space="0" w:color="auto"/>
            <w:bottom w:val="none" w:sz="0" w:space="0" w:color="auto"/>
            <w:right w:val="none" w:sz="0" w:space="0" w:color="auto"/>
          </w:divBdr>
        </w:div>
        <w:div w:id="762334192">
          <w:marLeft w:val="0"/>
          <w:marRight w:val="0"/>
          <w:marTop w:val="0"/>
          <w:marBottom w:val="0"/>
          <w:divBdr>
            <w:top w:val="none" w:sz="0" w:space="0" w:color="auto"/>
            <w:left w:val="none" w:sz="0" w:space="0" w:color="auto"/>
            <w:bottom w:val="none" w:sz="0" w:space="0" w:color="auto"/>
            <w:right w:val="none" w:sz="0" w:space="0" w:color="auto"/>
          </w:divBdr>
        </w:div>
        <w:div w:id="1623921780">
          <w:marLeft w:val="0"/>
          <w:marRight w:val="0"/>
          <w:marTop w:val="0"/>
          <w:marBottom w:val="0"/>
          <w:divBdr>
            <w:top w:val="none" w:sz="0" w:space="0" w:color="auto"/>
            <w:left w:val="none" w:sz="0" w:space="0" w:color="auto"/>
            <w:bottom w:val="none" w:sz="0" w:space="0" w:color="auto"/>
            <w:right w:val="none" w:sz="0" w:space="0" w:color="auto"/>
          </w:divBdr>
        </w:div>
        <w:div w:id="1026372040">
          <w:marLeft w:val="0"/>
          <w:marRight w:val="0"/>
          <w:marTop w:val="0"/>
          <w:marBottom w:val="0"/>
          <w:divBdr>
            <w:top w:val="none" w:sz="0" w:space="0" w:color="auto"/>
            <w:left w:val="none" w:sz="0" w:space="0" w:color="auto"/>
            <w:bottom w:val="none" w:sz="0" w:space="0" w:color="auto"/>
            <w:right w:val="none" w:sz="0" w:space="0" w:color="auto"/>
          </w:divBdr>
        </w:div>
      </w:divsChild>
    </w:div>
    <w:div w:id="1618442847">
      <w:bodyDiv w:val="1"/>
      <w:marLeft w:val="0"/>
      <w:marRight w:val="0"/>
      <w:marTop w:val="0"/>
      <w:marBottom w:val="0"/>
      <w:divBdr>
        <w:top w:val="none" w:sz="0" w:space="0" w:color="auto"/>
        <w:left w:val="none" w:sz="0" w:space="0" w:color="auto"/>
        <w:bottom w:val="none" w:sz="0" w:space="0" w:color="auto"/>
        <w:right w:val="none" w:sz="0" w:space="0" w:color="auto"/>
      </w:divBdr>
    </w:div>
    <w:div w:id="1650287449">
      <w:bodyDiv w:val="1"/>
      <w:marLeft w:val="0"/>
      <w:marRight w:val="0"/>
      <w:marTop w:val="0"/>
      <w:marBottom w:val="0"/>
      <w:divBdr>
        <w:top w:val="none" w:sz="0" w:space="0" w:color="auto"/>
        <w:left w:val="none" w:sz="0" w:space="0" w:color="auto"/>
        <w:bottom w:val="none" w:sz="0" w:space="0" w:color="auto"/>
        <w:right w:val="none" w:sz="0" w:space="0" w:color="auto"/>
      </w:divBdr>
      <w:divsChild>
        <w:div w:id="792790753">
          <w:marLeft w:val="0"/>
          <w:marRight w:val="0"/>
          <w:marTop w:val="0"/>
          <w:marBottom w:val="0"/>
          <w:divBdr>
            <w:top w:val="none" w:sz="0" w:space="0" w:color="auto"/>
            <w:left w:val="none" w:sz="0" w:space="0" w:color="auto"/>
            <w:bottom w:val="none" w:sz="0" w:space="0" w:color="auto"/>
            <w:right w:val="none" w:sz="0" w:space="0" w:color="auto"/>
          </w:divBdr>
        </w:div>
        <w:div w:id="2112045425">
          <w:marLeft w:val="0"/>
          <w:marRight w:val="0"/>
          <w:marTop w:val="0"/>
          <w:marBottom w:val="0"/>
          <w:divBdr>
            <w:top w:val="none" w:sz="0" w:space="0" w:color="auto"/>
            <w:left w:val="none" w:sz="0" w:space="0" w:color="auto"/>
            <w:bottom w:val="none" w:sz="0" w:space="0" w:color="auto"/>
            <w:right w:val="none" w:sz="0" w:space="0" w:color="auto"/>
          </w:divBdr>
        </w:div>
        <w:div w:id="553852080">
          <w:marLeft w:val="0"/>
          <w:marRight w:val="0"/>
          <w:marTop w:val="0"/>
          <w:marBottom w:val="0"/>
          <w:divBdr>
            <w:top w:val="none" w:sz="0" w:space="0" w:color="auto"/>
            <w:left w:val="none" w:sz="0" w:space="0" w:color="auto"/>
            <w:bottom w:val="none" w:sz="0" w:space="0" w:color="auto"/>
            <w:right w:val="none" w:sz="0" w:space="0" w:color="auto"/>
          </w:divBdr>
        </w:div>
        <w:div w:id="428934261">
          <w:marLeft w:val="0"/>
          <w:marRight w:val="0"/>
          <w:marTop w:val="0"/>
          <w:marBottom w:val="0"/>
          <w:divBdr>
            <w:top w:val="none" w:sz="0" w:space="0" w:color="auto"/>
            <w:left w:val="none" w:sz="0" w:space="0" w:color="auto"/>
            <w:bottom w:val="none" w:sz="0" w:space="0" w:color="auto"/>
            <w:right w:val="none" w:sz="0" w:space="0" w:color="auto"/>
          </w:divBdr>
        </w:div>
        <w:div w:id="218321879">
          <w:marLeft w:val="0"/>
          <w:marRight w:val="0"/>
          <w:marTop w:val="0"/>
          <w:marBottom w:val="0"/>
          <w:divBdr>
            <w:top w:val="none" w:sz="0" w:space="0" w:color="auto"/>
            <w:left w:val="none" w:sz="0" w:space="0" w:color="auto"/>
            <w:bottom w:val="none" w:sz="0" w:space="0" w:color="auto"/>
            <w:right w:val="none" w:sz="0" w:space="0" w:color="auto"/>
          </w:divBdr>
        </w:div>
        <w:div w:id="2051224009">
          <w:marLeft w:val="0"/>
          <w:marRight w:val="0"/>
          <w:marTop w:val="0"/>
          <w:marBottom w:val="0"/>
          <w:divBdr>
            <w:top w:val="none" w:sz="0" w:space="0" w:color="auto"/>
            <w:left w:val="none" w:sz="0" w:space="0" w:color="auto"/>
            <w:bottom w:val="none" w:sz="0" w:space="0" w:color="auto"/>
            <w:right w:val="none" w:sz="0" w:space="0" w:color="auto"/>
          </w:divBdr>
        </w:div>
        <w:div w:id="262107078">
          <w:marLeft w:val="0"/>
          <w:marRight w:val="0"/>
          <w:marTop w:val="0"/>
          <w:marBottom w:val="0"/>
          <w:divBdr>
            <w:top w:val="none" w:sz="0" w:space="0" w:color="auto"/>
            <w:left w:val="none" w:sz="0" w:space="0" w:color="auto"/>
            <w:bottom w:val="none" w:sz="0" w:space="0" w:color="auto"/>
            <w:right w:val="none" w:sz="0" w:space="0" w:color="auto"/>
          </w:divBdr>
        </w:div>
        <w:div w:id="661665292">
          <w:marLeft w:val="0"/>
          <w:marRight w:val="0"/>
          <w:marTop w:val="0"/>
          <w:marBottom w:val="0"/>
          <w:divBdr>
            <w:top w:val="none" w:sz="0" w:space="0" w:color="auto"/>
            <w:left w:val="none" w:sz="0" w:space="0" w:color="auto"/>
            <w:bottom w:val="none" w:sz="0" w:space="0" w:color="auto"/>
            <w:right w:val="none" w:sz="0" w:space="0" w:color="auto"/>
          </w:divBdr>
        </w:div>
        <w:div w:id="317736537">
          <w:marLeft w:val="0"/>
          <w:marRight w:val="0"/>
          <w:marTop w:val="0"/>
          <w:marBottom w:val="0"/>
          <w:divBdr>
            <w:top w:val="none" w:sz="0" w:space="0" w:color="auto"/>
            <w:left w:val="none" w:sz="0" w:space="0" w:color="auto"/>
            <w:bottom w:val="none" w:sz="0" w:space="0" w:color="auto"/>
            <w:right w:val="none" w:sz="0" w:space="0" w:color="auto"/>
          </w:divBdr>
        </w:div>
        <w:div w:id="740568460">
          <w:marLeft w:val="0"/>
          <w:marRight w:val="0"/>
          <w:marTop w:val="0"/>
          <w:marBottom w:val="0"/>
          <w:divBdr>
            <w:top w:val="none" w:sz="0" w:space="0" w:color="auto"/>
            <w:left w:val="none" w:sz="0" w:space="0" w:color="auto"/>
            <w:bottom w:val="none" w:sz="0" w:space="0" w:color="auto"/>
            <w:right w:val="none" w:sz="0" w:space="0" w:color="auto"/>
          </w:divBdr>
        </w:div>
        <w:div w:id="212695667">
          <w:marLeft w:val="0"/>
          <w:marRight w:val="0"/>
          <w:marTop w:val="0"/>
          <w:marBottom w:val="0"/>
          <w:divBdr>
            <w:top w:val="none" w:sz="0" w:space="0" w:color="auto"/>
            <w:left w:val="none" w:sz="0" w:space="0" w:color="auto"/>
            <w:bottom w:val="none" w:sz="0" w:space="0" w:color="auto"/>
            <w:right w:val="none" w:sz="0" w:space="0" w:color="auto"/>
          </w:divBdr>
        </w:div>
        <w:div w:id="1197699933">
          <w:marLeft w:val="0"/>
          <w:marRight w:val="0"/>
          <w:marTop w:val="0"/>
          <w:marBottom w:val="0"/>
          <w:divBdr>
            <w:top w:val="none" w:sz="0" w:space="0" w:color="auto"/>
            <w:left w:val="none" w:sz="0" w:space="0" w:color="auto"/>
            <w:bottom w:val="none" w:sz="0" w:space="0" w:color="auto"/>
            <w:right w:val="none" w:sz="0" w:space="0" w:color="auto"/>
          </w:divBdr>
        </w:div>
        <w:div w:id="499588796">
          <w:marLeft w:val="0"/>
          <w:marRight w:val="0"/>
          <w:marTop w:val="0"/>
          <w:marBottom w:val="0"/>
          <w:divBdr>
            <w:top w:val="none" w:sz="0" w:space="0" w:color="auto"/>
            <w:left w:val="none" w:sz="0" w:space="0" w:color="auto"/>
            <w:bottom w:val="none" w:sz="0" w:space="0" w:color="auto"/>
            <w:right w:val="none" w:sz="0" w:space="0" w:color="auto"/>
          </w:divBdr>
        </w:div>
        <w:div w:id="748382005">
          <w:marLeft w:val="0"/>
          <w:marRight w:val="0"/>
          <w:marTop w:val="0"/>
          <w:marBottom w:val="0"/>
          <w:divBdr>
            <w:top w:val="none" w:sz="0" w:space="0" w:color="auto"/>
            <w:left w:val="none" w:sz="0" w:space="0" w:color="auto"/>
            <w:bottom w:val="none" w:sz="0" w:space="0" w:color="auto"/>
            <w:right w:val="none" w:sz="0" w:space="0" w:color="auto"/>
          </w:divBdr>
        </w:div>
        <w:div w:id="2064131896">
          <w:marLeft w:val="0"/>
          <w:marRight w:val="0"/>
          <w:marTop w:val="0"/>
          <w:marBottom w:val="0"/>
          <w:divBdr>
            <w:top w:val="none" w:sz="0" w:space="0" w:color="auto"/>
            <w:left w:val="none" w:sz="0" w:space="0" w:color="auto"/>
            <w:bottom w:val="none" w:sz="0" w:space="0" w:color="auto"/>
            <w:right w:val="none" w:sz="0" w:space="0" w:color="auto"/>
          </w:divBdr>
        </w:div>
        <w:div w:id="294677076">
          <w:marLeft w:val="0"/>
          <w:marRight w:val="0"/>
          <w:marTop w:val="0"/>
          <w:marBottom w:val="0"/>
          <w:divBdr>
            <w:top w:val="none" w:sz="0" w:space="0" w:color="auto"/>
            <w:left w:val="none" w:sz="0" w:space="0" w:color="auto"/>
            <w:bottom w:val="none" w:sz="0" w:space="0" w:color="auto"/>
            <w:right w:val="none" w:sz="0" w:space="0" w:color="auto"/>
          </w:divBdr>
        </w:div>
        <w:div w:id="779107588">
          <w:marLeft w:val="0"/>
          <w:marRight w:val="0"/>
          <w:marTop w:val="0"/>
          <w:marBottom w:val="0"/>
          <w:divBdr>
            <w:top w:val="none" w:sz="0" w:space="0" w:color="auto"/>
            <w:left w:val="none" w:sz="0" w:space="0" w:color="auto"/>
            <w:bottom w:val="none" w:sz="0" w:space="0" w:color="auto"/>
            <w:right w:val="none" w:sz="0" w:space="0" w:color="auto"/>
          </w:divBdr>
        </w:div>
        <w:div w:id="2095782054">
          <w:marLeft w:val="0"/>
          <w:marRight w:val="0"/>
          <w:marTop w:val="0"/>
          <w:marBottom w:val="0"/>
          <w:divBdr>
            <w:top w:val="none" w:sz="0" w:space="0" w:color="auto"/>
            <w:left w:val="none" w:sz="0" w:space="0" w:color="auto"/>
            <w:bottom w:val="none" w:sz="0" w:space="0" w:color="auto"/>
            <w:right w:val="none" w:sz="0" w:space="0" w:color="auto"/>
          </w:divBdr>
        </w:div>
        <w:div w:id="2118327251">
          <w:marLeft w:val="0"/>
          <w:marRight w:val="0"/>
          <w:marTop w:val="0"/>
          <w:marBottom w:val="0"/>
          <w:divBdr>
            <w:top w:val="none" w:sz="0" w:space="0" w:color="auto"/>
            <w:left w:val="none" w:sz="0" w:space="0" w:color="auto"/>
            <w:bottom w:val="none" w:sz="0" w:space="0" w:color="auto"/>
            <w:right w:val="none" w:sz="0" w:space="0" w:color="auto"/>
          </w:divBdr>
        </w:div>
        <w:div w:id="1533836533">
          <w:marLeft w:val="0"/>
          <w:marRight w:val="0"/>
          <w:marTop w:val="0"/>
          <w:marBottom w:val="0"/>
          <w:divBdr>
            <w:top w:val="none" w:sz="0" w:space="0" w:color="auto"/>
            <w:left w:val="none" w:sz="0" w:space="0" w:color="auto"/>
            <w:bottom w:val="none" w:sz="0" w:space="0" w:color="auto"/>
            <w:right w:val="none" w:sz="0" w:space="0" w:color="auto"/>
          </w:divBdr>
        </w:div>
      </w:divsChild>
    </w:div>
    <w:div w:id="1811633898">
      <w:bodyDiv w:val="1"/>
      <w:marLeft w:val="0"/>
      <w:marRight w:val="0"/>
      <w:marTop w:val="0"/>
      <w:marBottom w:val="0"/>
      <w:divBdr>
        <w:top w:val="none" w:sz="0" w:space="0" w:color="auto"/>
        <w:left w:val="none" w:sz="0" w:space="0" w:color="auto"/>
        <w:bottom w:val="none" w:sz="0" w:space="0" w:color="auto"/>
        <w:right w:val="none" w:sz="0" w:space="0" w:color="auto"/>
      </w:divBdr>
    </w:div>
    <w:div w:id="2001300952">
      <w:bodyDiv w:val="1"/>
      <w:marLeft w:val="0"/>
      <w:marRight w:val="0"/>
      <w:marTop w:val="0"/>
      <w:marBottom w:val="0"/>
      <w:divBdr>
        <w:top w:val="none" w:sz="0" w:space="0" w:color="auto"/>
        <w:left w:val="none" w:sz="0" w:space="0" w:color="auto"/>
        <w:bottom w:val="none" w:sz="0" w:space="0" w:color="auto"/>
        <w:right w:val="none" w:sz="0" w:space="0" w:color="auto"/>
      </w:divBdr>
    </w:div>
    <w:div w:id="2003311055">
      <w:bodyDiv w:val="1"/>
      <w:marLeft w:val="0"/>
      <w:marRight w:val="0"/>
      <w:marTop w:val="0"/>
      <w:marBottom w:val="0"/>
      <w:divBdr>
        <w:top w:val="none" w:sz="0" w:space="0" w:color="auto"/>
        <w:left w:val="none" w:sz="0" w:space="0" w:color="auto"/>
        <w:bottom w:val="none" w:sz="0" w:space="0" w:color="auto"/>
        <w:right w:val="none" w:sz="0" w:space="0" w:color="auto"/>
      </w:divBdr>
      <w:divsChild>
        <w:div w:id="1676959030">
          <w:marLeft w:val="0"/>
          <w:marRight w:val="0"/>
          <w:marTop w:val="0"/>
          <w:marBottom w:val="0"/>
          <w:divBdr>
            <w:top w:val="none" w:sz="0" w:space="0" w:color="auto"/>
            <w:left w:val="none" w:sz="0" w:space="0" w:color="auto"/>
            <w:bottom w:val="none" w:sz="0" w:space="0" w:color="auto"/>
            <w:right w:val="none" w:sz="0" w:space="0" w:color="auto"/>
          </w:divBdr>
        </w:div>
        <w:div w:id="386150640">
          <w:marLeft w:val="0"/>
          <w:marRight w:val="0"/>
          <w:marTop w:val="0"/>
          <w:marBottom w:val="0"/>
          <w:divBdr>
            <w:top w:val="none" w:sz="0" w:space="0" w:color="auto"/>
            <w:left w:val="none" w:sz="0" w:space="0" w:color="auto"/>
            <w:bottom w:val="none" w:sz="0" w:space="0" w:color="auto"/>
            <w:right w:val="none" w:sz="0" w:space="0" w:color="auto"/>
          </w:divBdr>
        </w:div>
        <w:div w:id="144013831">
          <w:marLeft w:val="0"/>
          <w:marRight w:val="0"/>
          <w:marTop w:val="0"/>
          <w:marBottom w:val="0"/>
          <w:divBdr>
            <w:top w:val="none" w:sz="0" w:space="0" w:color="auto"/>
            <w:left w:val="none" w:sz="0" w:space="0" w:color="auto"/>
            <w:bottom w:val="none" w:sz="0" w:space="0" w:color="auto"/>
            <w:right w:val="none" w:sz="0" w:space="0" w:color="auto"/>
          </w:divBdr>
        </w:div>
        <w:div w:id="232736654">
          <w:marLeft w:val="0"/>
          <w:marRight w:val="0"/>
          <w:marTop w:val="0"/>
          <w:marBottom w:val="0"/>
          <w:divBdr>
            <w:top w:val="none" w:sz="0" w:space="0" w:color="auto"/>
            <w:left w:val="none" w:sz="0" w:space="0" w:color="auto"/>
            <w:bottom w:val="none" w:sz="0" w:space="0" w:color="auto"/>
            <w:right w:val="none" w:sz="0" w:space="0" w:color="auto"/>
          </w:divBdr>
        </w:div>
        <w:div w:id="662313699">
          <w:marLeft w:val="0"/>
          <w:marRight w:val="0"/>
          <w:marTop w:val="0"/>
          <w:marBottom w:val="0"/>
          <w:divBdr>
            <w:top w:val="none" w:sz="0" w:space="0" w:color="auto"/>
            <w:left w:val="none" w:sz="0" w:space="0" w:color="auto"/>
            <w:bottom w:val="none" w:sz="0" w:space="0" w:color="auto"/>
            <w:right w:val="none" w:sz="0" w:space="0" w:color="auto"/>
          </w:divBdr>
        </w:div>
      </w:divsChild>
    </w:div>
    <w:div w:id="2014527922">
      <w:bodyDiv w:val="1"/>
      <w:marLeft w:val="0"/>
      <w:marRight w:val="0"/>
      <w:marTop w:val="0"/>
      <w:marBottom w:val="0"/>
      <w:divBdr>
        <w:top w:val="none" w:sz="0" w:space="0" w:color="auto"/>
        <w:left w:val="none" w:sz="0" w:space="0" w:color="auto"/>
        <w:bottom w:val="none" w:sz="0" w:space="0" w:color="auto"/>
        <w:right w:val="none" w:sz="0" w:space="0" w:color="auto"/>
      </w:divBdr>
      <w:divsChild>
        <w:div w:id="1405295508">
          <w:marLeft w:val="0"/>
          <w:marRight w:val="0"/>
          <w:marTop w:val="0"/>
          <w:marBottom w:val="0"/>
          <w:divBdr>
            <w:top w:val="none" w:sz="0" w:space="0" w:color="auto"/>
            <w:left w:val="none" w:sz="0" w:space="0" w:color="auto"/>
            <w:bottom w:val="none" w:sz="0" w:space="0" w:color="auto"/>
            <w:right w:val="none" w:sz="0" w:space="0" w:color="auto"/>
          </w:divBdr>
        </w:div>
        <w:div w:id="77600386">
          <w:marLeft w:val="0"/>
          <w:marRight w:val="0"/>
          <w:marTop w:val="0"/>
          <w:marBottom w:val="0"/>
          <w:divBdr>
            <w:top w:val="none" w:sz="0" w:space="0" w:color="auto"/>
            <w:left w:val="none" w:sz="0" w:space="0" w:color="auto"/>
            <w:bottom w:val="none" w:sz="0" w:space="0" w:color="auto"/>
            <w:right w:val="none" w:sz="0" w:space="0" w:color="auto"/>
          </w:divBdr>
        </w:div>
        <w:div w:id="2135635010">
          <w:marLeft w:val="0"/>
          <w:marRight w:val="0"/>
          <w:marTop w:val="0"/>
          <w:marBottom w:val="0"/>
          <w:divBdr>
            <w:top w:val="none" w:sz="0" w:space="0" w:color="auto"/>
            <w:left w:val="none" w:sz="0" w:space="0" w:color="auto"/>
            <w:bottom w:val="none" w:sz="0" w:space="0" w:color="auto"/>
            <w:right w:val="none" w:sz="0" w:space="0" w:color="auto"/>
          </w:divBdr>
        </w:div>
        <w:div w:id="1321546365">
          <w:marLeft w:val="0"/>
          <w:marRight w:val="0"/>
          <w:marTop w:val="0"/>
          <w:marBottom w:val="0"/>
          <w:divBdr>
            <w:top w:val="none" w:sz="0" w:space="0" w:color="auto"/>
            <w:left w:val="none" w:sz="0" w:space="0" w:color="auto"/>
            <w:bottom w:val="none" w:sz="0" w:space="0" w:color="auto"/>
            <w:right w:val="none" w:sz="0" w:space="0" w:color="auto"/>
          </w:divBdr>
        </w:div>
        <w:div w:id="2110730405">
          <w:marLeft w:val="0"/>
          <w:marRight w:val="0"/>
          <w:marTop w:val="0"/>
          <w:marBottom w:val="0"/>
          <w:divBdr>
            <w:top w:val="none" w:sz="0" w:space="0" w:color="auto"/>
            <w:left w:val="none" w:sz="0" w:space="0" w:color="auto"/>
            <w:bottom w:val="none" w:sz="0" w:space="0" w:color="auto"/>
            <w:right w:val="none" w:sz="0" w:space="0" w:color="auto"/>
          </w:divBdr>
        </w:div>
        <w:div w:id="1670597586">
          <w:marLeft w:val="0"/>
          <w:marRight w:val="0"/>
          <w:marTop w:val="0"/>
          <w:marBottom w:val="0"/>
          <w:divBdr>
            <w:top w:val="none" w:sz="0" w:space="0" w:color="auto"/>
            <w:left w:val="none" w:sz="0" w:space="0" w:color="auto"/>
            <w:bottom w:val="none" w:sz="0" w:space="0" w:color="auto"/>
            <w:right w:val="none" w:sz="0" w:space="0" w:color="auto"/>
          </w:divBdr>
        </w:div>
        <w:div w:id="446505153">
          <w:marLeft w:val="0"/>
          <w:marRight w:val="0"/>
          <w:marTop w:val="0"/>
          <w:marBottom w:val="0"/>
          <w:divBdr>
            <w:top w:val="none" w:sz="0" w:space="0" w:color="auto"/>
            <w:left w:val="none" w:sz="0" w:space="0" w:color="auto"/>
            <w:bottom w:val="none" w:sz="0" w:space="0" w:color="auto"/>
            <w:right w:val="none" w:sz="0" w:space="0" w:color="auto"/>
          </w:divBdr>
        </w:div>
        <w:div w:id="1948848127">
          <w:marLeft w:val="0"/>
          <w:marRight w:val="0"/>
          <w:marTop w:val="0"/>
          <w:marBottom w:val="0"/>
          <w:divBdr>
            <w:top w:val="none" w:sz="0" w:space="0" w:color="auto"/>
            <w:left w:val="none" w:sz="0" w:space="0" w:color="auto"/>
            <w:bottom w:val="none" w:sz="0" w:space="0" w:color="auto"/>
            <w:right w:val="none" w:sz="0" w:space="0" w:color="auto"/>
          </w:divBdr>
        </w:div>
        <w:div w:id="1179194889">
          <w:marLeft w:val="0"/>
          <w:marRight w:val="0"/>
          <w:marTop w:val="0"/>
          <w:marBottom w:val="0"/>
          <w:divBdr>
            <w:top w:val="none" w:sz="0" w:space="0" w:color="auto"/>
            <w:left w:val="none" w:sz="0" w:space="0" w:color="auto"/>
            <w:bottom w:val="none" w:sz="0" w:space="0" w:color="auto"/>
            <w:right w:val="none" w:sz="0" w:space="0" w:color="auto"/>
          </w:divBdr>
        </w:div>
      </w:divsChild>
    </w:div>
    <w:div w:id="2079742313">
      <w:bodyDiv w:val="1"/>
      <w:marLeft w:val="0"/>
      <w:marRight w:val="0"/>
      <w:marTop w:val="0"/>
      <w:marBottom w:val="0"/>
      <w:divBdr>
        <w:top w:val="none" w:sz="0" w:space="0" w:color="auto"/>
        <w:left w:val="none" w:sz="0" w:space="0" w:color="auto"/>
        <w:bottom w:val="none" w:sz="0" w:space="0" w:color="auto"/>
        <w:right w:val="none" w:sz="0" w:space="0" w:color="auto"/>
      </w:divBdr>
      <w:divsChild>
        <w:div w:id="1387680783">
          <w:marLeft w:val="0"/>
          <w:marRight w:val="0"/>
          <w:marTop w:val="0"/>
          <w:marBottom w:val="0"/>
          <w:divBdr>
            <w:top w:val="none" w:sz="0" w:space="0" w:color="auto"/>
            <w:left w:val="none" w:sz="0" w:space="0" w:color="auto"/>
            <w:bottom w:val="none" w:sz="0" w:space="0" w:color="auto"/>
            <w:right w:val="none" w:sz="0" w:space="0" w:color="auto"/>
          </w:divBdr>
        </w:div>
        <w:div w:id="1559626898">
          <w:marLeft w:val="0"/>
          <w:marRight w:val="0"/>
          <w:marTop w:val="0"/>
          <w:marBottom w:val="0"/>
          <w:divBdr>
            <w:top w:val="none" w:sz="0" w:space="0" w:color="auto"/>
            <w:left w:val="none" w:sz="0" w:space="0" w:color="auto"/>
            <w:bottom w:val="none" w:sz="0" w:space="0" w:color="auto"/>
            <w:right w:val="none" w:sz="0" w:space="0" w:color="auto"/>
          </w:divBdr>
        </w:div>
        <w:div w:id="1371147147">
          <w:marLeft w:val="0"/>
          <w:marRight w:val="0"/>
          <w:marTop w:val="0"/>
          <w:marBottom w:val="0"/>
          <w:divBdr>
            <w:top w:val="none" w:sz="0" w:space="0" w:color="auto"/>
            <w:left w:val="none" w:sz="0" w:space="0" w:color="auto"/>
            <w:bottom w:val="none" w:sz="0" w:space="0" w:color="auto"/>
            <w:right w:val="none" w:sz="0" w:space="0" w:color="auto"/>
          </w:divBdr>
        </w:div>
        <w:div w:id="1795631324">
          <w:marLeft w:val="0"/>
          <w:marRight w:val="0"/>
          <w:marTop w:val="0"/>
          <w:marBottom w:val="0"/>
          <w:divBdr>
            <w:top w:val="none" w:sz="0" w:space="0" w:color="auto"/>
            <w:left w:val="none" w:sz="0" w:space="0" w:color="auto"/>
            <w:bottom w:val="none" w:sz="0" w:space="0" w:color="auto"/>
            <w:right w:val="none" w:sz="0" w:space="0" w:color="auto"/>
          </w:divBdr>
        </w:div>
        <w:div w:id="254946390">
          <w:marLeft w:val="0"/>
          <w:marRight w:val="0"/>
          <w:marTop w:val="0"/>
          <w:marBottom w:val="0"/>
          <w:divBdr>
            <w:top w:val="none" w:sz="0" w:space="0" w:color="auto"/>
            <w:left w:val="none" w:sz="0" w:space="0" w:color="auto"/>
            <w:bottom w:val="none" w:sz="0" w:space="0" w:color="auto"/>
            <w:right w:val="none" w:sz="0" w:space="0" w:color="auto"/>
          </w:divBdr>
        </w:div>
      </w:divsChild>
    </w:div>
    <w:div w:id="2096708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keyse@uwtsd.ac.uk" TargetMode="External"/><Relationship Id="rId13" Type="http://schemas.openxmlformats.org/officeDocument/2006/relationships/hyperlink" Target="https://www.google.com/url?sa=t&amp;rct=j&amp;q=&amp;esrc=s&amp;source=web&amp;cd=&amp;ved=2ahUKEwitmrChyeGKAxXAX0EAHfGZD8cQFnoECBoQAQ&amp;url=https%3A%2F%2Fwww.uwtsd.ac.uk%2Fmedia%2F1893%2Fdownload%3Fattachment&amp;usg=AOvVaw2ZnKYm-XMCbMZOfpG0orVh&amp;opi=89978449" TargetMode="External"/><Relationship Id="rId18" Type="http://schemas.openxmlformats.org/officeDocument/2006/relationships/hyperlink" Target="https://www.hrw.org/report/1999/03/01/leave-none-tell-story/genocide-rwanda"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mailto:r.keyse@uwtsd.ac.uk" TargetMode="External"/><Relationship Id="rId17" Type="http://schemas.openxmlformats.org/officeDocument/2006/relationships/hyperlink" Target="https://www.ssoar.info/ssoar/bitstream/handle/document/10549/ssoar-afrspectrum-2005-2-kundrus-from_the_herero_to_the.pdf?sequence=1&amp;isAllowed=y&amp;lnkname=ssoar-afrspectrum-2005-2-kundrus-from_the_herero_to_the.pdf" TargetMode="External"/><Relationship Id="rId2" Type="http://schemas.openxmlformats.org/officeDocument/2006/relationships/styles" Target="styles.xml"/><Relationship Id="rId16" Type="http://schemas.openxmlformats.org/officeDocument/2006/relationships/hyperlink" Target="https://wellcomecollection.org/works/sxfn6baq" TargetMode="External"/><Relationship Id="rId20" Type="http://schemas.openxmlformats.org/officeDocument/2006/relationships/hyperlink" Target="https://www.ssoar.info/ssoar/bitstream/handle/document/10549/ssoar-afrspectrum-2005-2-kundrus-from_the_herero_to_the.pdf?sequence=1&amp;isAllowed=y&amp;lnkname=ssoar-afrspectrum-2005-2-kundrus-from_the_herero_to_th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wpathways.org.uk/" TargetMode="External"/><Relationship Id="rId5" Type="http://schemas.openxmlformats.org/officeDocument/2006/relationships/footnotes" Target="footnotes.xml"/><Relationship Id="rId15" Type="http://schemas.openxmlformats.org/officeDocument/2006/relationships/hyperlink" Target="https://www.un.org/en/genocideprevention/documents/atrocity-crimes/Doc.1_Convention%20on%20the%20Prevention%20and%20Punishment%20of%20the%20Crime%20of%20Genocide.pdf" TargetMode="External"/><Relationship Id="rId23" Type="http://schemas.openxmlformats.org/officeDocument/2006/relationships/theme" Target="theme/theme1.xml"/><Relationship Id="rId10" Type="http://schemas.openxmlformats.org/officeDocument/2006/relationships/hyperlink" Target="https://www.gov.wales/live-fear-free/domestic-abuse-wales" TargetMode="External"/><Relationship Id="rId19" Type="http://schemas.openxmlformats.org/officeDocument/2006/relationships/hyperlink" Target="https://www.scielo.org.za/pdf/kronos/v34n1/v34n1a14.pdf" TargetMode="External"/><Relationship Id="rId4" Type="http://schemas.openxmlformats.org/officeDocument/2006/relationships/webSettings" Target="webSettings.xml"/><Relationship Id="rId9" Type="http://schemas.openxmlformats.org/officeDocument/2006/relationships/hyperlink" Target="https://www.uwtsd.ac.uk/experience-facilities/student-support-wellbeing/wellbeing-support" TargetMode="External"/><Relationship Id="rId14" Type="http://schemas.openxmlformats.org/officeDocument/2006/relationships/hyperlink" Target="https://intranet.uwtsd.ac.uk/departments/library-and-learning-resources/academic-and-infoskills/referencing-handbook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10407</Words>
  <Characters>59323</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2025-02-01T10:21:00Z</dcterms:created>
  <dcterms:modified xsi:type="dcterms:W3CDTF">2025-02-01T10:21:00Z</dcterms:modified>
</cp:coreProperties>
</file>