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D892F" w14:textId="77777777" w:rsidR="00747559" w:rsidRDefault="00747559">
      <w:pPr>
        <w:spacing w:after="840" w:line="240" w:lineRule="auto"/>
        <w:jc w:val="right"/>
      </w:pPr>
    </w:p>
    <w:p w14:paraId="6864A7F7" w14:textId="77777777" w:rsidR="00747559" w:rsidRDefault="0035318F">
      <w:pPr>
        <w:spacing w:after="140" w:line="240" w:lineRule="auto"/>
      </w:pPr>
      <w:r>
        <w:rPr>
          <w:b/>
          <w:color w:val="007F7B"/>
          <w:sz w:val="24"/>
        </w:rPr>
        <w:t>COURSEWORK PORTFOLIO</w:t>
      </w:r>
    </w:p>
    <w:p w14:paraId="788C8B0A" w14:textId="77777777" w:rsidR="00747559" w:rsidRDefault="0035318F">
      <w:pPr>
        <w:spacing w:after="600" w:line="252" w:lineRule="auto"/>
      </w:pPr>
      <w:r>
        <w:rPr>
          <w:b/>
          <w:color w:val="18324A"/>
          <w:sz w:val="48"/>
        </w:rPr>
        <w:t>Pharmacy Services and</w:t>
      </w:r>
      <w:r>
        <w:rPr>
          <w:b/>
          <w:color w:val="18324A"/>
          <w:sz w:val="48"/>
        </w:rPr>
        <w:br/>
        <w:t>Community Mental Health Services</w:t>
      </w:r>
    </w:p>
    <w:tbl>
      <w:tblPr>
        <w:tblW w:w="8928" w:type="dxa"/>
        <w:tblLayout w:type="fixed"/>
        <w:tblLook w:val="04A0" w:firstRow="1" w:lastRow="0" w:firstColumn="1" w:lastColumn="0" w:noHBand="0" w:noVBand="1"/>
      </w:tblPr>
      <w:tblGrid>
        <w:gridCol w:w="2448"/>
        <w:gridCol w:w="6480"/>
      </w:tblGrid>
      <w:tr w:rsidR="00747559" w14:paraId="50CD2D03" w14:textId="77777777">
        <w:tc>
          <w:tcPr>
            <w:tcW w:w="2448" w:type="dxa"/>
            <w:tcBorders>
              <w:top w:val="single" w:sz="7" w:space="0" w:color="D8E1E6"/>
              <w:left w:val="single" w:sz="7" w:space="0" w:color="D8E1E6"/>
              <w:bottom w:val="single" w:sz="7" w:space="0" w:color="D8E1E6"/>
              <w:right w:val="single" w:sz="7" w:space="0" w:color="D8E1E6"/>
            </w:tcBorders>
            <w:shd w:val="clear" w:color="auto" w:fill="E8F5F3"/>
            <w:tcMar>
              <w:top w:w="110" w:type="dxa"/>
              <w:left w:w="120" w:type="dxa"/>
              <w:bottom w:w="110" w:type="dxa"/>
              <w:right w:w="120" w:type="dxa"/>
            </w:tcMar>
            <w:vAlign w:val="center"/>
          </w:tcPr>
          <w:p w14:paraId="42BEF671" w14:textId="77777777" w:rsidR="00747559" w:rsidRDefault="0035318F">
            <w:r>
              <w:rPr>
                <w:b/>
                <w:color w:val="18324A"/>
                <w:sz w:val="21"/>
              </w:rPr>
              <w:t>Student name</w:t>
            </w:r>
          </w:p>
        </w:tc>
        <w:tc>
          <w:tcPr>
            <w:tcW w:w="6480" w:type="dxa"/>
            <w:tcBorders>
              <w:top w:val="single" w:sz="7" w:space="0" w:color="D8E1E6"/>
              <w:left w:val="single" w:sz="7" w:space="0" w:color="D8E1E6"/>
              <w:bottom w:val="single" w:sz="7" w:space="0" w:color="D8E1E6"/>
              <w:right w:val="single" w:sz="7" w:space="0" w:color="D8E1E6"/>
            </w:tcBorders>
            <w:tcMar>
              <w:top w:w="110" w:type="dxa"/>
              <w:left w:w="120" w:type="dxa"/>
              <w:bottom w:w="110" w:type="dxa"/>
              <w:right w:w="120" w:type="dxa"/>
            </w:tcMar>
            <w:vAlign w:val="center"/>
          </w:tcPr>
          <w:p w14:paraId="330137F9" w14:textId="0F28BE97" w:rsidR="00747559" w:rsidRDefault="00E21BDF">
            <w:r>
              <w:t>Gillian Gibbs</w:t>
            </w:r>
          </w:p>
        </w:tc>
      </w:tr>
      <w:tr w:rsidR="00747559" w14:paraId="50AA9AF8" w14:textId="77777777">
        <w:tc>
          <w:tcPr>
            <w:tcW w:w="2448" w:type="dxa"/>
            <w:tcBorders>
              <w:top w:val="single" w:sz="7" w:space="0" w:color="D8E1E6"/>
              <w:left w:val="single" w:sz="7" w:space="0" w:color="D8E1E6"/>
              <w:bottom w:val="single" w:sz="7" w:space="0" w:color="D8E1E6"/>
              <w:right w:val="single" w:sz="7" w:space="0" w:color="D8E1E6"/>
            </w:tcBorders>
            <w:shd w:val="clear" w:color="auto" w:fill="E8F5F3"/>
            <w:tcMar>
              <w:top w:w="110" w:type="dxa"/>
              <w:left w:w="120" w:type="dxa"/>
              <w:bottom w:w="110" w:type="dxa"/>
              <w:right w:w="120" w:type="dxa"/>
            </w:tcMar>
            <w:vAlign w:val="center"/>
          </w:tcPr>
          <w:p w14:paraId="6A44B8F5" w14:textId="77777777" w:rsidR="00747559" w:rsidRDefault="0035318F">
            <w:r>
              <w:rPr>
                <w:b/>
                <w:color w:val="18324A"/>
                <w:sz w:val="21"/>
              </w:rPr>
              <w:t>Student ID</w:t>
            </w:r>
          </w:p>
        </w:tc>
        <w:tc>
          <w:tcPr>
            <w:tcW w:w="6480" w:type="dxa"/>
            <w:tcBorders>
              <w:top w:val="single" w:sz="7" w:space="0" w:color="D8E1E6"/>
              <w:left w:val="single" w:sz="7" w:space="0" w:color="D8E1E6"/>
              <w:bottom w:val="single" w:sz="7" w:space="0" w:color="D8E1E6"/>
              <w:right w:val="single" w:sz="7" w:space="0" w:color="D8E1E6"/>
            </w:tcBorders>
            <w:tcMar>
              <w:top w:w="110" w:type="dxa"/>
              <w:left w:w="120" w:type="dxa"/>
              <w:bottom w:w="110" w:type="dxa"/>
              <w:right w:w="120" w:type="dxa"/>
            </w:tcMar>
            <w:vAlign w:val="center"/>
          </w:tcPr>
          <w:p w14:paraId="69788C48" w14:textId="7DEBA283" w:rsidR="00747559" w:rsidRDefault="00E21BDF">
            <w:r>
              <w:t>2508019</w:t>
            </w:r>
          </w:p>
        </w:tc>
      </w:tr>
      <w:tr w:rsidR="00747559" w14:paraId="33FEBC94" w14:textId="77777777">
        <w:tc>
          <w:tcPr>
            <w:tcW w:w="2448" w:type="dxa"/>
            <w:tcBorders>
              <w:top w:val="single" w:sz="7" w:space="0" w:color="D8E1E6"/>
              <w:left w:val="single" w:sz="7" w:space="0" w:color="D8E1E6"/>
              <w:bottom w:val="single" w:sz="7" w:space="0" w:color="D8E1E6"/>
              <w:right w:val="single" w:sz="7" w:space="0" w:color="D8E1E6"/>
            </w:tcBorders>
            <w:shd w:val="clear" w:color="auto" w:fill="E8F5F3"/>
            <w:tcMar>
              <w:top w:w="110" w:type="dxa"/>
              <w:left w:w="120" w:type="dxa"/>
              <w:bottom w:w="110" w:type="dxa"/>
              <w:right w:w="120" w:type="dxa"/>
            </w:tcMar>
            <w:vAlign w:val="center"/>
          </w:tcPr>
          <w:p w14:paraId="3C07FCC0" w14:textId="77777777" w:rsidR="00747559" w:rsidRDefault="0035318F">
            <w:r>
              <w:rPr>
                <w:b/>
                <w:color w:val="18324A"/>
                <w:sz w:val="21"/>
              </w:rPr>
              <w:t>Module name</w:t>
            </w:r>
          </w:p>
        </w:tc>
        <w:tc>
          <w:tcPr>
            <w:tcW w:w="6480" w:type="dxa"/>
            <w:tcBorders>
              <w:top w:val="single" w:sz="7" w:space="0" w:color="D8E1E6"/>
              <w:left w:val="single" w:sz="7" w:space="0" w:color="D8E1E6"/>
              <w:bottom w:val="single" w:sz="7" w:space="0" w:color="D8E1E6"/>
              <w:right w:val="single" w:sz="7" w:space="0" w:color="D8E1E6"/>
            </w:tcBorders>
            <w:tcMar>
              <w:top w:w="110" w:type="dxa"/>
              <w:left w:w="120" w:type="dxa"/>
              <w:bottom w:w="110" w:type="dxa"/>
              <w:right w:w="120" w:type="dxa"/>
            </w:tcMar>
            <w:vAlign w:val="center"/>
          </w:tcPr>
          <w:p w14:paraId="197837BB" w14:textId="77777777" w:rsidR="00747559" w:rsidRDefault="0035318F">
            <w:r>
              <w:rPr>
                <w:sz w:val="21"/>
              </w:rPr>
              <w:t>Introduction to Health and Social Care</w:t>
            </w:r>
          </w:p>
        </w:tc>
      </w:tr>
      <w:tr w:rsidR="00747559" w14:paraId="5D21EFC0" w14:textId="77777777">
        <w:tc>
          <w:tcPr>
            <w:tcW w:w="2448" w:type="dxa"/>
            <w:tcBorders>
              <w:top w:val="single" w:sz="7" w:space="0" w:color="D8E1E6"/>
              <w:left w:val="single" w:sz="7" w:space="0" w:color="D8E1E6"/>
              <w:bottom w:val="single" w:sz="7" w:space="0" w:color="D8E1E6"/>
              <w:right w:val="single" w:sz="7" w:space="0" w:color="D8E1E6"/>
            </w:tcBorders>
            <w:shd w:val="clear" w:color="auto" w:fill="E8F5F3"/>
            <w:tcMar>
              <w:top w:w="110" w:type="dxa"/>
              <w:left w:w="120" w:type="dxa"/>
              <w:bottom w:w="110" w:type="dxa"/>
              <w:right w:w="120" w:type="dxa"/>
            </w:tcMar>
            <w:vAlign w:val="center"/>
          </w:tcPr>
          <w:p w14:paraId="4E9543B8" w14:textId="77777777" w:rsidR="00747559" w:rsidRDefault="0035318F">
            <w:r>
              <w:rPr>
                <w:b/>
                <w:color w:val="18324A"/>
                <w:sz w:val="21"/>
              </w:rPr>
              <w:t>Module code</w:t>
            </w:r>
          </w:p>
        </w:tc>
        <w:tc>
          <w:tcPr>
            <w:tcW w:w="6480" w:type="dxa"/>
            <w:tcBorders>
              <w:top w:val="single" w:sz="7" w:space="0" w:color="D8E1E6"/>
              <w:left w:val="single" w:sz="7" w:space="0" w:color="D8E1E6"/>
              <w:bottom w:val="single" w:sz="7" w:space="0" w:color="D8E1E6"/>
              <w:right w:val="single" w:sz="7" w:space="0" w:color="D8E1E6"/>
            </w:tcBorders>
            <w:tcMar>
              <w:top w:w="110" w:type="dxa"/>
              <w:left w:w="120" w:type="dxa"/>
              <w:bottom w:w="110" w:type="dxa"/>
              <w:right w:w="120" w:type="dxa"/>
            </w:tcMar>
            <w:vAlign w:val="center"/>
          </w:tcPr>
          <w:p w14:paraId="4F53CE66" w14:textId="0DB4EAF3" w:rsidR="00747559" w:rsidRDefault="00E21BDF">
            <w:r>
              <w:t>LCHS4003</w:t>
            </w:r>
          </w:p>
        </w:tc>
      </w:tr>
      <w:tr w:rsidR="00747559" w14:paraId="00AAC76A" w14:textId="77777777">
        <w:tc>
          <w:tcPr>
            <w:tcW w:w="2448" w:type="dxa"/>
            <w:tcBorders>
              <w:top w:val="single" w:sz="7" w:space="0" w:color="D8E1E6"/>
              <w:left w:val="single" w:sz="7" w:space="0" w:color="D8E1E6"/>
              <w:bottom w:val="single" w:sz="7" w:space="0" w:color="D8E1E6"/>
              <w:right w:val="single" w:sz="7" w:space="0" w:color="D8E1E6"/>
            </w:tcBorders>
            <w:shd w:val="clear" w:color="auto" w:fill="E8F5F3"/>
            <w:tcMar>
              <w:top w:w="110" w:type="dxa"/>
              <w:left w:w="120" w:type="dxa"/>
              <w:bottom w:w="110" w:type="dxa"/>
              <w:right w:w="120" w:type="dxa"/>
            </w:tcMar>
            <w:vAlign w:val="center"/>
          </w:tcPr>
          <w:p w14:paraId="79F78AA3" w14:textId="77777777" w:rsidR="00747559" w:rsidRDefault="0035318F">
            <w:r>
              <w:rPr>
                <w:b/>
                <w:color w:val="18324A"/>
                <w:sz w:val="21"/>
              </w:rPr>
              <w:t>Lecturer name</w:t>
            </w:r>
          </w:p>
        </w:tc>
        <w:tc>
          <w:tcPr>
            <w:tcW w:w="6480" w:type="dxa"/>
            <w:tcBorders>
              <w:top w:val="single" w:sz="7" w:space="0" w:color="D8E1E6"/>
              <w:left w:val="single" w:sz="7" w:space="0" w:color="D8E1E6"/>
              <w:bottom w:val="single" w:sz="7" w:space="0" w:color="D8E1E6"/>
              <w:right w:val="single" w:sz="7" w:space="0" w:color="D8E1E6"/>
            </w:tcBorders>
            <w:tcMar>
              <w:top w:w="110" w:type="dxa"/>
              <w:left w:w="120" w:type="dxa"/>
              <w:bottom w:w="110" w:type="dxa"/>
              <w:right w:w="120" w:type="dxa"/>
            </w:tcMar>
            <w:vAlign w:val="center"/>
          </w:tcPr>
          <w:p w14:paraId="288E9304" w14:textId="757F351A" w:rsidR="00747559" w:rsidRDefault="00E21BDF">
            <w:r>
              <w:t>Muhammed Aliyu</w:t>
            </w:r>
          </w:p>
        </w:tc>
      </w:tr>
    </w:tbl>
    <w:p w14:paraId="32B0E182" w14:textId="77777777" w:rsidR="00747559" w:rsidRDefault="0035318F">
      <w:r>
        <w:br w:type="page"/>
      </w:r>
    </w:p>
    <w:p w14:paraId="46C81451" w14:textId="77777777" w:rsidR="00747559" w:rsidRDefault="0035318F">
      <w:pPr>
        <w:pStyle w:val="Title"/>
        <w:keepNext w:val="0"/>
        <w:spacing w:after="400"/>
      </w:pPr>
      <w:r>
        <w:rPr>
          <w:rFonts w:ascii="Arial" w:hAnsi="Arial"/>
        </w:rPr>
        <w:t>Contents</w:t>
      </w:r>
    </w:p>
    <w:tbl>
      <w:tblPr>
        <w:tblW w:w="8928" w:type="dxa"/>
        <w:jc w:val="center"/>
        <w:tblBorders>
          <w:top w:val="single" w:sz="6" w:space="0" w:color="002060"/>
          <w:left w:val="single" w:sz="6" w:space="0" w:color="002060"/>
          <w:bottom w:val="single" w:sz="6" w:space="0" w:color="002060"/>
          <w:right w:val="single" w:sz="6" w:space="0" w:color="002060"/>
          <w:insideH w:val="single" w:sz="6" w:space="0" w:color="002060"/>
          <w:insideV w:val="single" w:sz="6" w:space="0" w:color="002060"/>
        </w:tblBorders>
        <w:shd w:val="clear" w:color="auto" w:fill="DBE5F1" w:themeFill="accent1" w:themeFillTint="33"/>
        <w:tblLayout w:type="fixed"/>
        <w:tblLook w:val="04A0" w:firstRow="1" w:lastRow="0" w:firstColumn="1" w:lastColumn="0" w:noHBand="0" w:noVBand="1"/>
      </w:tblPr>
      <w:tblGrid>
        <w:gridCol w:w="7848"/>
        <w:gridCol w:w="1080"/>
      </w:tblGrid>
      <w:tr w:rsidR="00747559" w14:paraId="385E524C" w14:textId="77777777" w:rsidTr="00BB47A2">
        <w:trPr>
          <w:jc w:val="center"/>
        </w:trPr>
        <w:tc>
          <w:tcPr>
            <w:tcW w:w="7848" w:type="dxa"/>
            <w:shd w:val="clear" w:color="auto" w:fill="DBE5F1" w:themeFill="accent1" w:themeFillTint="33"/>
            <w:tcMar>
              <w:top w:w="130" w:type="dxa"/>
              <w:left w:w="120" w:type="dxa"/>
              <w:bottom w:w="130" w:type="dxa"/>
              <w:right w:w="120" w:type="dxa"/>
            </w:tcMar>
          </w:tcPr>
          <w:p w14:paraId="04C02F79" w14:textId="1DA4BDD3" w:rsidR="00747559" w:rsidRDefault="0035318F">
            <w:r>
              <w:rPr>
                <w:b/>
                <w:color w:val="18324A"/>
              </w:rPr>
              <w:t xml:space="preserve">Task 1: Pharmacy Services – Poster </w:t>
            </w:r>
          </w:p>
        </w:tc>
        <w:tc>
          <w:tcPr>
            <w:tcW w:w="1080" w:type="dxa"/>
            <w:shd w:val="clear" w:color="auto" w:fill="EEECE1" w:themeFill="background2"/>
            <w:tcMar>
              <w:top w:w="130" w:type="dxa"/>
              <w:left w:w="120" w:type="dxa"/>
              <w:bottom w:w="130" w:type="dxa"/>
              <w:right w:w="120" w:type="dxa"/>
            </w:tcMar>
          </w:tcPr>
          <w:p w14:paraId="5BE9EE0D" w14:textId="78ABC1F9" w:rsidR="00747559" w:rsidRDefault="0035318F">
            <w:pPr>
              <w:jc w:val="center"/>
            </w:pPr>
            <w:r>
              <w:rPr>
                <w:b/>
                <w:color w:val="007F7B"/>
              </w:rPr>
              <w:t>3</w:t>
            </w:r>
            <w:r w:rsidR="0035132D">
              <w:rPr>
                <w:b/>
                <w:color w:val="007F7B"/>
              </w:rPr>
              <w:t>-4</w:t>
            </w:r>
          </w:p>
        </w:tc>
      </w:tr>
      <w:tr w:rsidR="00747559" w14:paraId="0EF228BF" w14:textId="77777777" w:rsidTr="00BB47A2">
        <w:trPr>
          <w:jc w:val="center"/>
        </w:trPr>
        <w:tc>
          <w:tcPr>
            <w:tcW w:w="7848" w:type="dxa"/>
            <w:shd w:val="clear" w:color="auto" w:fill="DBE5F1" w:themeFill="accent1" w:themeFillTint="33"/>
            <w:tcMar>
              <w:top w:w="130" w:type="dxa"/>
              <w:left w:w="120" w:type="dxa"/>
              <w:bottom w:w="130" w:type="dxa"/>
              <w:right w:w="120" w:type="dxa"/>
            </w:tcMar>
          </w:tcPr>
          <w:p w14:paraId="1C0141C0" w14:textId="1326F6FE" w:rsidR="00747559" w:rsidRDefault="0035318F">
            <w:r>
              <w:rPr>
                <w:b/>
                <w:color w:val="18324A"/>
              </w:rPr>
              <w:t>Task 2: Community Mental Health Services</w:t>
            </w:r>
            <w:r w:rsidR="003976A2">
              <w:rPr>
                <w:b/>
                <w:color w:val="18324A"/>
              </w:rPr>
              <w:t xml:space="preserve"> -- Essay</w:t>
            </w:r>
          </w:p>
        </w:tc>
        <w:tc>
          <w:tcPr>
            <w:tcW w:w="1080" w:type="dxa"/>
            <w:shd w:val="clear" w:color="auto" w:fill="EEECE1" w:themeFill="background2"/>
            <w:tcMar>
              <w:top w:w="130" w:type="dxa"/>
              <w:left w:w="120" w:type="dxa"/>
              <w:bottom w:w="130" w:type="dxa"/>
              <w:right w:w="120" w:type="dxa"/>
            </w:tcMar>
          </w:tcPr>
          <w:p w14:paraId="774436AB" w14:textId="0065558E" w:rsidR="00747559" w:rsidRDefault="0035318F">
            <w:pPr>
              <w:jc w:val="center"/>
            </w:pPr>
            <w:r>
              <w:rPr>
                <w:b/>
                <w:color w:val="007F7B"/>
              </w:rPr>
              <w:t>5</w:t>
            </w:r>
            <w:r w:rsidR="0035132D">
              <w:rPr>
                <w:b/>
                <w:color w:val="007F7B"/>
              </w:rPr>
              <w:t>-6</w:t>
            </w:r>
          </w:p>
        </w:tc>
      </w:tr>
      <w:tr w:rsidR="00747559" w14:paraId="5C6E7ADD" w14:textId="77777777" w:rsidTr="00BB47A2">
        <w:trPr>
          <w:jc w:val="center"/>
        </w:trPr>
        <w:tc>
          <w:tcPr>
            <w:tcW w:w="7848" w:type="dxa"/>
            <w:shd w:val="clear" w:color="auto" w:fill="DBE5F1" w:themeFill="accent1" w:themeFillTint="33"/>
            <w:tcMar>
              <w:top w:w="130" w:type="dxa"/>
              <w:left w:w="120" w:type="dxa"/>
              <w:bottom w:w="130" w:type="dxa"/>
              <w:right w:w="120" w:type="dxa"/>
            </w:tcMar>
          </w:tcPr>
          <w:p w14:paraId="7B11ED24" w14:textId="77777777" w:rsidR="00747559" w:rsidRPr="0035132D" w:rsidRDefault="0035318F">
            <w:pPr>
              <w:rPr>
                <w:b/>
                <w:bCs/>
              </w:rPr>
            </w:pPr>
            <w:r w:rsidRPr="0035132D">
              <w:rPr>
                <w:b/>
                <w:bCs/>
              </w:rPr>
              <w:t>References</w:t>
            </w:r>
          </w:p>
        </w:tc>
        <w:tc>
          <w:tcPr>
            <w:tcW w:w="1080" w:type="dxa"/>
            <w:shd w:val="clear" w:color="auto" w:fill="EEECE1" w:themeFill="background2"/>
            <w:tcMar>
              <w:top w:w="130" w:type="dxa"/>
              <w:left w:w="120" w:type="dxa"/>
              <w:bottom w:w="130" w:type="dxa"/>
              <w:right w:w="120" w:type="dxa"/>
            </w:tcMar>
          </w:tcPr>
          <w:p w14:paraId="79C38266" w14:textId="0CE01925" w:rsidR="00747559" w:rsidRDefault="0035318F">
            <w:pPr>
              <w:jc w:val="center"/>
            </w:pPr>
            <w:r>
              <w:rPr>
                <w:b/>
                <w:color w:val="007F7B"/>
              </w:rPr>
              <w:t>7</w:t>
            </w:r>
            <w:r w:rsidR="0035132D">
              <w:rPr>
                <w:b/>
                <w:color w:val="007F7B"/>
              </w:rPr>
              <w:t>-8</w:t>
            </w:r>
          </w:p>
        </w:tc>
      </w:tr>
      <w:tr w:rsidR="00BB47A2" w14:paraId="3405DF6A" w14:textId="77777777" w:rsidTr="00BB47A2">
        <w:trPr>
          <w:jc w:val="center"/>
        </w:trPr>
        <w:tc>
          <w:tcPr>
            <w:tcW w:w="7848" w:type="dxa"/>
            <w:shd w:val="clear" w:color="auto" w:fill="DBE5F1" w:themeFill="accent1" w:themeFillTint="33"/>
            <w:tcMar>
              <w:top w:w="130" w:type="dxa"/>
              <w:left w:w="120" w:type="dxa"/>
              <w:bottom w:w="130" w:type="dxa"/>
              <w:right w:w="120" w:type="dxa"/>
            </w:tcMar>
          </w:tcPr>
          <w:p w14:paraId="08F8B177" w14:textId="77777777" w:rsidR="00BB47A2" w:rsidRPr="0035132D" w:rsidRDefault="00BB47A2">
            <w:pPr>
              <w:rPr>
                <w:b/>
                <w:bCs/>
              </w:rPr>
            </w:pPr>
          </w:p>
        </w:tc>
        <w:tc>
          <w:tcPr>
            <w:tcW w:w="1080" w:type="dxa"/>
            <w:shd w:val="clear" w:color="auto" w:fill="EEECE1" w:themeFill="background2"/>
            <w:tcMar>
              <w:top w:w="130" w:type="dxa"/>
              <w:left w:w="120" w:type="dxa"/>
              <w:bottom w:w="130" w:type="dxa"/>
              <w:right w:w="120" w:type="dxa"/>
            </w:tcMar>
          </w:tcPr>
          <w:p w14:paraId="47BCE0B8" w14:textId="77777777" w:rsidR="00BB47A2" w:rsidRDefault="00BB47A2">
            <w:pPr>
              <w:jc w:val="center"/>
              <w:rPr>
                <w:b/>
                <w:color w:val="007F7B"/>
              </w:rPr>
            </w:pPr>
          </w:p>
        </w:tc>
      </w:tr>
    </w:tbl>
    <w:p w14:paraId="196853A5" w14:textId="77777777" w:rsidR="00BB47A2" w:rsidRPr="00837BF1" w:rsidRDefault="00BB47A2" w:rsidP="00BB47A2">
      <w:pPr>
        <w:pStyle w:val="Heading1"/>
        <w:jc w:val="center"/>
      </w:pPr>
      <w:r>
        <w:tab/>
      </w:r>
      <w:bookmarkStart w:id="0" w:name="_Toc237586820"/>
      <w:r w:rsidRPr="00837BF1">
        <w:t>Acknowledgement of AI</w:t>
      </w:r>
      <w:bookmarkEnd w:id="0"/>
    </w:p>
    <w:p w14:paraId="525DABCB" w14:textId="5FCCCDE4" w:rsidR="00BB47A2" w:rsidRDefault="00BB47A2" w:rsidP="00BB47A2">
      <w:pPr>
        <w:jc w:val="center"/>
        <w:rPr>
          <w:rFonts w:eastAsiaTheme="majorEastAsia" w:cstheme="majorBidi"/>
          <w:color w:val="auto"/>
          <w:spacing w:val="5"/>
          <w:kern w:val="28"/>
        </w:rPr>
      </w:pPr>
      <w:r w:rsidRPr="00837BF1">
        <w:rPr>
          <w:rFonts w:eastAsiaTheme="majorEastAsia" w:cstheme="majorBidi"/>
          <w:color w:val="auto"/>
          <w:spacing w:val="5"/>
          <w:kern w:val="28"/>
        </w:rPr>
        <w:t xml:space="preserve">Artificial intelligence was not used in </w:t>
      </w:r>
      <w:r>
        <w:rPr>
          <w:rFonts w:eastAsiaTheme="majorEastAsia" w:cstheme="majorBidi"/>
          <w:color w:val="auto"/>
          <w:spacing w:val="5"/>
          <w:kern w:val="28"/>
        </w:rPr>
        <w:t xml:space="preserve">the preparation of this </w:t>
      </w:r>
      <w:r w:rsidR="001F2AAB">
        <w:rPr>
          <w:rFonts w:eastAsiaTheme="majorEastAsia" w:cstheme="majorBidi"/>
          <w:color w:val="auto"/>
          <w:spacing w:val="5"/>
          <w:kern w:val="28"/>
        </w:rPr>
        <w:t>portfolio</w:t>
      </w:r>
      <w:r w:rsidR="008B7538">
        <w:rPr>
          <w:rFonts w:eastAsiaTheme="majorEastAsia" w:cstheme="majorBidi"/>
          <w:color w:val="auto"/>
          <w:spacing w:val="5"/>
          <w:kern w:val="28"/>
        </w:rPr>
        <w:t>, only for proofreading.</w:t>
      </w:r>
    </w:p>
    <w:p w14:paraId="6E947631" w14:textId="77777777" w:rsidR="00BB47A2" w:rsidRPr="00837BF1" w:rsidRDefault="00BB47A2" w:rsidP="00BB47A2">
      <w:pPr>
        <w:jc w:val="center"/>
        <w:rPr>
          <w:color w:val="auto"/>
        </w:rPr>
        <w:sectPr w:rsidR="00BB47A2" w:rsidRPr="00837BF1" w:rsidSect="00BB47A2">
          <w:footerReference w:type="default" r:id="rId8"/>
          <w:pgSz w:w="11909" w:h="16834"/>
          <w:pgMar w:top="1037" w:right="1224" w:bottom="1037" w:left="1224" w:header="504" w:footer="504" w:gutter="0"/>
          <w:pgNumType w:start="1"/>
          <w:cols w:space="720"/>
          <w:docGrid w:linePitch="360"/>
        </w:sectPr>
      </w:pPr>
      <w:r w:rsidRPr="00837BF1">
        <w:rPr>
          <w:rFonts w:eastAsiaTheme="majorEastAsia" w:cstheme="majorBidi"/>
          <w:color w:val="auto"/>
          <w:spacing w:val="5"/>
          <w:kern w:val="28"/>
        </w:rPr>
        <w:t>All research, analysis, arguments, and conclusions presented in this report are my own.</w:t>
      </w:r>
    </w:p>
    <w:p w14:paraId="3C5C2232" w14:textId="508721C6" w:rsidR="00747559" w:rsidRDefault="00747559" w:rsidP="00BB47A2">
      <w:pPr>
        <w:tabs>
          <w:tab w:val="left" w:pos="3131"/>
        </w:tabs>
      </w:pPr>
    </w:p>
    <w:p w14:paraId="156C5B36" w14:textId="3598B154" w:rsidR="00BB47A2" w:rsidRPr="00BB47A2" w:rsidRDefault="00BB47A2" w:rsidP="00BB47A2">
      <w:pPr>
        <w:tabs>
          <w:tab w:val="left" w:pos="3131"/>
        </w:tabs>
        <w:sectPr w:rsidR="00BB47A2" w:rsidRPr="00BB47A2" w:rsidSect="003976A2">
          <w:headerReference w:type="default" r:id="rId9"/>
          <w:footerReference w:type="default" r:id="rId10"/>
          <w:pgSz w:w="11909" w:h="16834"/>
          <w:pgMar w:top="1037" w:right="1224" w:bottom="1037" w:left="1224" w:header="504" w:footer="504" w:gutter="0"/>
          <w:pgBorders w:offsetFrom="page">
            <w:top w:val="single" w:sz="2" w:space="24" w:color="8DB3E2" w:themeColor="text2" w:themeTint="66"/>
            <w:left w:val="single" w:sz="2" w:space="24" w:color="8DB3E2" w:themeColor="text2" w:themeTint="66"/>
            <w:bottom w:val="single" w:sz="2" w:space="24" w:color="8DB3E2" w:themeColor="text2" w:themeTint="66"/>
            <w:right w:val="single" w:sz="2" w:space="24" w:color="8DB3E2" w:themeColor="text2" w:themeTint="66"/>
          </w:pgBorders>
          <w:cols w:space="720"/>
          <w:docGrid w:linePitch="360"/>
        </w:sectPr>
      </w:pPr>
      <w:r>
        <w:tab/>
      </w:r>
    </w:p>
    <w:tbl>
      <w:tblPr>
        <w:tblW w:w="15048" w:type="dxa"/>
        <w:jc w:val="center"/>
        <w:tblLayout w:type="fixed"/>
        <w:tblLook w:val="04A0" w:firstRow="1" w:lastRow="0" w:firstColumn="1" w:lastColumn="0" w:noHBand="0" w:noVBand="1"/>
      </w:tblPr>
      <w:tblGrid>
        <w:gridCol w:w="12816"/>
        <w:gridCol w:w="2232"/>
      </w:tblGrid>
      <w:tr w:rsidR="00747559" w14:paraId="638B1C87" w14:textId="77777777">
        <w:trPr>
          <w:jc w:val="center"/>
        </w:trPr>
        <w:tc>
          <w:tcPr>
            <w:tcW w:w="12816" w:type="dxa"/>
            <w:tcBorders>
              <w:top w:val="single" w:sz="1" w:space="0" w:color="18324A"/>
              <w:left w:val="single" w:sz="1" w:space="0" w:color="18324A"/>
              <w:bottom w:val="single" w:sz="1" w:space="0" w:color="18324A"/>
              <w:right w:val="single" w:sz="1" w:space="0" w:color="18324A"/>
            </w:tcBorders>
            <w:shd w:val="clear" w:color="auto" w:fill="18324A"/>
            <w:tcMar>
              <w:top w:w="115" w:type="dxa"/>
              <w:left w:w="190" w:type="dxa"/>
              <w:bottom w:w="115" w:type="dxa"/>
              <w:right w:w="160" w:type="dxa"/>
            </w:tcMar>
          </w:tcPr>
          <w:p w14:paraId="78F3E1CF" w14:textId="77777777" w:rsidR="00747559" w:rsidRDefault="0035318F">
            <w:r>
              <w:rPr>
                <w:b/>
                <w:color w:val="FFFFFF"/>
                <w:sz w:val="46"/>
              </w:rPr>
              <w:t>Pharmacy Services</w:t>
            </w:r>
          </w:p>
        </w:tc>
        <w:tc>
          <w:tcPr>
            <w:tcW w:w="2232" w:type="dxa"/>
            <w:tcBorders>
              <w:top w:val="single" w:sz="1" w:space="0" w:color="18324A"/>
              <w:left w:val="single" w:sz="1" w:space="0" w:color="18324A"/>
              <w:bottom w:val="single" w:sz="1" w:space="0" w:color="18324A"/>
              <w:right w:val="single" w:sz="1" w:space="0" w:color="18324A"/>
            </w:tcBorders>
            <w:shd w:val="clear" w:color="auto" w:fill="18324A"/>
            <w:tcMar>
              <w:top w:w="115" w:type="dxa"/>
              <w:left w:w="190" w:type="dxa"/>
              <w:bottom w:w="115" w:type="dxa"/>
              <w:right w:w="160" w:type="dxa"/>
            </w:tcMar>
          </w:tcPr>
          <w:p w14:paraId="3F2AAF12" w14:textId="7B17326F" w:rsidR="00747559" w:rsidRPr="00CD2A5E" w:rsidRDefault="00747559">
            <w:pPr>
              <w:jc w:val="right"/>
              <w:rPr>
                <w:sz w:val="18"/>
                <w:szCs w:val="18"/>
              </w:rPr>
            </w:pPr>
          </w:p>
        </w:tc>
      </w:tr>
    </w:tbl>
    <w:p w14:paraId="6AD262D2" w14:textId="77777777" w:rsidR="00747559" w:rsidRDefault="00747559">
      <w:pPr>
        <w:spacing w:after="60" w:line="240" w:lineRule="auto"/>
      </w:pPr>
    </w:p>
    <w:tbl>
      <w:tblPr>
        <w:tblW w:w="15047" w:type="dxa"/>
        <w:jc w:val="center"/>
        <w:tblLayout w:type="fixed"/>
        <w:tblLook w:val="04A0" w:firstRow="1" w:lastRow="0" w:firstColumn="1" w:lastColumn="0" w:noHBand="0" w:noVBand="1"/>
      </w:tblPr>
      <w:tblGrid>
        <w:gridCol w:w="7344"/>
        <w:gridCol w:w="7703"/>
      </w:tblGrid>
      <w:tr w:rsidR="00747559" w14:paraId="024DAC24" w14:textId="77777777">
        <w:trPr>
          <w:jc w:val="center"/>
        </w:trPr>
        <w:tc>
          <w:tcPr>
            <w:tcW w:w="7344" w:type="dxa"/>
            <w:tcBorders>
              <w:top w:val="single" w:sz="12" w:space="0" w:color="007F7B"/>
              <w:left w:val="single" w:sz="12" w:space="0" w:color="007F7B"/>
              <w:bottom w:val="single" w:sz="12" w:space="0" w:color="007F7B"/>
              <w:right w:val="single" w:sz="12" w:space="0" w:color="007F7B"/>
            </w:tcBorders>
            <w:tcMar>
              <w:top w:w="150" w:type="dxa"/>
              <w:left w:w="170" w:type="dxa"/>
              <w:bottom w:w="140" w:type="dxa"/>
              <w:right w:w="170" w:type="dxa"/>
            </w:tcMar>
          </w:tcPr>
          <w:p w14:paraId="24261531" w14:textId="77777777" w:rsidR="00747559" w:rsidRDefault="0035318F">
            <w:pPr>
              <w:keepNext/>
              <w:spacing w:after="100" w:line="240" w:lineRule="auto"/>
            </w:pPr>
            <w:r>
              <w:rPr>
                <w:b/>
                <w:color w:val="007F7B"/>
                <w:sz w:val="26"/>
              </w:rPr>
              <w:t>What are pharmacy services?</w:t>
            </w:r>
          </w:p>
          <w:p w14:paraId="6407B8DD" w14:textId="77777777" w:rsidR="00747559" w:rsidRPr="00C67CD5" w:rsidRDefault="0035318F">
            <w:pPr>
              <w:spacing w:after="80" w:line="252" w:lineRule="auto"/>
              <w:rPr>
                <w:color w:val="215868" w:themeColor="accent5" w:themeShade="80"/>
                <w:sz w:val="18"/>
                <w:szCs w:val="18"/>
              </w:rPr>
            </w:pPr>
            <w:r w:rsidRPr="00C67CD5">
              <w:rPr>
                <w:color w:val="215868" w:themeColor="accent5" w:themeShade="80"/>
                <w:sz w:val="18"/>
                <w:szCs w:val="18"/>
              </w:rPr>
              <w:t>Pharmacy services are accessible</w:t>
            </w:r>
            <w:r w:rsidR="00C67CD5" w:rsidRPr="00C67CD5">
              <w:rPr>
                <w:color w:val="215868" w:themeColor="accent5" w:themeShade="80"/>
                <w:sz w:val="18"/>
                <w:szCs w:val="18"/>
              </w:rPr>
              <w:t>, and person</w:t>
            </w:r>
            <w:r w:rsidRPr="00C67CD5">
              <w:rPr>
                <w:color w:val="215868" w:themeColor="accent5" w:themeShade="80"/>
                <w:sz w:val="18"/>
                <w:szCs w:val="18"/>
              </w:rPr>
              <w:t>-centred healthcare services delivered by pharmacists and pharmacy teams in community, hospital and primary-care settings. Their role extends beyond supplying medicines to include clinical assessment, prevention, health screening, vaccination, medicines optimisation and referral. In England, NHS community pharmacy services operate within a contractual and clinical-governance framework intended to support safe, effective care (Cunha Leal et al., 2025; DHSC and NHS England, 2025).</w:t>
            </w:r>
          </w:p>
          <w:p w14:paraId="174BDBBE" w14:textId="77777777" w:rsidR="00AD1139" w:rsidRDefault="00AD1139">
            <w:pPr>
              <w:spacing w:before="80" w:after="20" w:line="240" w:lineRule="auto"/>
              <w:jc w:val="center"/>
              <w:rPr>
                <w:b/>
                <w:color w:val="007F7B"/>
              </w:rPr>
            </w:pPr>
          </w:p>
          <w:p w14:paraId="5439B940" w14:textId="77777777" w:rsidR="00747559" w:rsidRDefault="0035318F">
            <w:pPr>
              <w:spacing w:before="80" w:after="20" w:line="240" w:lineRule="auto"/>
              <w:jc w:val="center"/>
            </w:pPr>
            <w:r>
              <w:rPr>
                <w:b/>
                <w:color w:val="007F7B"/>
              </w:rPr>
              <w:t>Accessible without an appointment</w:t>
            </w:r>
          </w:p>
          <w:p w14:paraId="4584B30D" w14:textId="77777777" w:rsidR="00747559" w:rsidRDefault="0035318F">
            <w:pPr>
              <w:spacing w:before="40" w:after="0" w:line="240" w:lineRule="auto"/>
            </w:pPr>
            <w:r>
              <w:rPr>
                <w:i/>
                <w:color w:val="52616B"/>
                <w:sz w:val="15"/>
              </w:rPr>
              <w:t>Scope note: the contractual framework described here applies to community pharmacy in England.</w:t>
            </w:r>
          </w:p>
        </w:tc>
        <w:tc>
          <w:tcPr>
            <w:tcW w:w="7704" w:type="dxa"/>
            <w:tcBorders>
              <w:top w:val="single" w:sz="12" w:space="0" w:color="2F6B8A"/>
              <w:left w:val="single" w:sz="12" w:space="0" w:color="2F6B8A"/>
              <w:bottom w:val="single" w:sz="12" w:space="0" w:color="2F6B8A"/>
              <w:right w:val="single" w:sz="12" w:space="0" w:color="2F6B8A"/>
            </w:tcBorders>
            <w:tcMar>
              <w:top w:w="150" w:type="dxa"/>
              <w:left w:w="170" w:type="dxa"/>
              <w:bottom w:w="140" w:type="dxa"/>
              <w:right w:w="170" w:type="dxa"/>
            </w:tcMar>
          </w:tcPr>
          <w:p w14:paraId="0ED5DBA8" w14:textId="77777777" w:rsidR="00747559" w:rsidRDefault="0035318F">
            <w:pPr>
              <w:keepNext/>
              <w:spacing w:after="100" w:line="240" w:lineRule="auto"/>
            </w:pPr>
            <w:r>
              <w:rPr>
                <w:b/>
                <w:color w:val="2F6B8A"/>
                <w:sz w:val="26"/>
              </w:rPr>
              <w:t>How NHS community pharmacy is commissioned</w:t>
            </w:r>
          </w:p>
          <w:tbl>
            <w:tblPr>
              <w:tblW w:w="7012" w:type="dxa"/>
              <w:jc w:val="center"/>
              <w:tblLayout w:type="fixed"/>
              <w:tblLook w:val="04A0" w:firstRow="1" w:lastRow="0" w:firstColumn="1" w:lastColumn="0" w:noHBand="0" w:noVBand="1"/>
            </w:tblPr>
            <w:tblGrid>
              <w:gridCol w:w="1901"/>
              <w:gridCol w:w="5111"/>
            </w:tblGrid>
            <w:tr w:rsidR="00747559" w14:paraId="3184B350" w14:textId="77777777">
              <w:trPr>
                <w:jc w:val="center"/>
              </w:trPr>
              <w:tc>
                <w:tcPr>
                  <w:tcW w:w="1901" w:type="dxa"/>
                  <w:tcBorders>
                    <w:top w:val="single" w:sz="8" w:space="0" w:color="FFFFFF"/>
                    <w:left w:val="single" w:sz="8" w:space="0" w:color="FFFFFF"/>
                    <w:bottom w:val="single" w:sz="8" w:space="0" w:color="FFFFFF"/>
                    <w:right w:val="single" w:sz="8" w:space="0" w:color="FFFFFF"/>
                  </w:tcBorders>
                  <w:shd w:val="clear" w:color="auto" w:fill="007F7B"/>
                  <w:tcMar>
                    <w:top w:w="75" w:type="dxa"/>
                    <w:left w:w="95" w:type="dxa"/>
                    <w:bottom w:w="75" w:type="dxa"/>
                    <w:right w:w="95" w:type="dxa"/>
                  </w:tcMar>
                  <w:vAlign w:val="center"/>
                </w:tcPr>
                <w:p w14:paraId="3D587F05" w14:textId="77777777" w:rsidR="00747559" w:rsidRDefault="0035318F">
                  <w:pPr>
                    <w:jc w:val="center"/>
                  </w:pPr>
                  <w:r>
                    <w:rPr>
                      <w:b/>
                      <w:color w:val="FFFFFF"/>
                      <w:sz w:val="16"/>
                    </w:rPr>
                    <w:t>ESSENTIAL</w:t>
                  </w:r>
                </w:p>
              </w:tc>
              <w:tc>
                <w:tcPr>
                  <w:tcW w:w="5112" w:type="dxa"/>
                  <w:tcBorders>
                    <w:top w:val="single" w:sz="8" w:space="0" w:color="FFFFFF"/>
                    <w:left w:val="single" w:sz="8" w:space="0" w:color="FFFFFF"/>
                    <w:bottom w:val="single" w:sz="8" w:space="0" w:color="FFFFFF"/>
                    <w:right w:val="single" w:sz="8" w:space="0" w:color="FFFFFF"/>
                  </w:tcBorders>
                  <w:shd w:val="clear" w:color="auto" w:fill="E8F5F3"/>
                  <w:tcMar>
                    <w:top w:w="75" w:type="dxa"/>
                    <w:left w:w="95" w:type="dxa"/>
                    <w:bottom w:w="75" w:type="dxa"/>
                    <w:right w:w="95" w:type="dxa"/>
                  </w:tcMar>
                  <w:vAlign w:val="center"/>
                </w:tcPr>
                <w:p w14:paraId="070DA522" w14:textId="449DDDA4" w:rsidR="00747559" w:rsidRDefault="0035318F">
                  <w:pPr>
                    <w:spacing w:after="0" w:line="240" w:lineRule="auto"/>
                  </w:pPr>
                  <w:r>
                    <w:rPr>
                      <w:sz w:val="16"/>
                    </w:rPr>
                    <w:t>Required services includ</w:t>
                  </w:r>
                  <w:r w:rsidR="00E21BDF">
                    <w:rPr>
                      <w:sz w:val="16"/>
                    </w:rPr>
                    <w:t>e</w:t>
                  </w:r>
                  <w:r>
                    <w:rPr>
                      <w:sz w:val="16"/>
                    </w:rPr>
                    <w:t xml:space="preserve"> dispensing, repeat dispensing, disposal of unwanted medicines, public</w:t>
                  </w:r>
                  <w:r w:rsidR="00E21BDF">
                    <w:rPr>
                      <w:sz w:val="16"/>
                    </w:rPr>
                    <w:t xml:space="preserve"> </w:t>
                  </w:r>
                  <w:r>
                    <w:rPr>
                      <w:sz w:val="16"/>
                    </w:rPr>
                    <w:t>health promotion, signposting and support for self-care.</w:t>
                  </w:r>
                </w:p>
              </w:tc>
            </w:tr>
            <w:tr w:rsidR="00747559" w14:paraId="712AC1FD" w14:textId="77777777">
              <w:trPr>
                <w:jc w:val="center"/>
              </w:trPr>
              <w:tc>
                <w:tcPr>
                  <w:tcW w:w="1901" w:type="dxa"/>
                  <w:tcBorders>
                    <w:top w:val="single" w:sz="8" w:space="0" w:color="FFFFFF"/>
                    <w:left w:val="single" w:sz="8" w:space="0" w:color="FFFFFF"/>
                    <w:bottom w:val="single" w:sz="8" w:space="0" w:color="FFFFFF"/>
                    <w:right w:val="single" w:sz="8" w:space="0" w:color="FFFFFF"/>
                  </w:tcBorders>
                  <w:shd w:val="clear" w:color="auto" w:fill="2F6B8A"/>
                  <w:tcMar>
                    <w:top w:w="75" w:type="dxa"/>
                    <w:left w:w="95" w:type="dxa"/>
                    <w:bottom w:w="75" w:type="dxa"/>
                    <w:right w:w="95" w:type="dxa"/>
                  </w:tcMar>
                  <w:vAlign w:val="center"/>
                </w:tcPr>
                <w:p w14:paraId="4ADFD31D" w14:textId="77777777" w:rsidR="00747559" w:rsidRDefault="0035318F">
                  <w:pPr>
                    <w:jc w:val="center"/>
                  </w:pPr>
                  <w:r>
                    <w:rPr>
                      <w:b/>
                      <w:color w:val="FFFFFF"/>
                      <w:sz w:val="16"/>
                    </w:rPr>
                    <w:t>ADVANCED</w:t>
                  </w:r>
                </w:p>
              </w:tc>
              <w:tc>
                <w:tcPr>
                  <w:tcW w:w="5112" w:type="dxa"/>
                  <w:tcBorders>
                    <w:top w:val="single" w:sz="8" w:space="0" w:color="FFFFFF"/>
                    <w:left w:val="single" w:sz="8" w:space="0" w:color="FFFFFF"/>
                    <w:bottom w:val="single" w:sz="8" w:space="0" w:color="FFFFFF"/>
                    <w:right w:val="single" w:sz="8" w:space="0" w:color="FFFFFF"/>
                  </w:tcBorders>
                  <w:shd w:val="clear" w:color="auto" w:fill="EAF2F8"/>
                  <w:tcMar>
                    <w:top w:w="75" w:type="dxa"/>
                    <w:left w:w="95" w:type="dxa"/>
                    <w:bottom w:w="75" w:type="dxa"/>
                    <w:right w:w="95" w:type="dxa"/>
                  </w:tcMar>
                  <w:vAlign w:val="center"/>
                </w:tcPr>
                <w:p w14:paraId="07B2CB37" w14:textId="77777777" w:rsidR="00747559" w:rsidRDefault="0035318F">
                  <w:pPr>
                    <w:spacing w:after="0" w:line="240" w:lineRule="auto"/>
                  </w:pPr>
                  <w:r>
                    <w:rPr>
                      <w:sz w:val="16"/>
                    </w:rPr>
                    <w:t>Nationally specified services that pharmacies may provide when accreditation and service requirements are met, including Pharmacy First, vaccinations and the New Medicine Service.</w:t>
                  </w:r>
                </w:p>
              </w:tc>
            </w:tr>
            <w:tr w:rsidR="00747559" w14:paraId="560E6555" w14:textId="77777777">
              <w:trPr>
                <w:jc w:val="center"/>
              </w:trPr>
              <w:tc>
                <w:tcPr>
                  <w:tcW w:w="1901" w:type="dxa"/>
                  <w:tcBorders>
                    <w:top w:val="single" w:sz="8" w:space="0" w:color="FFFFFF"/>
                    <w:left w:val="single" w:sz="8" w:space="0" w:color="FFFFFF"/>
                    <w:bottom w:val="single" w:sz="8" w:space="0" w:color="FFFFFF"/>
                    <w:right w:val="single" w:sz="8" w:space="0" w:color="FFFFFF"/>
                  </w:tcBorders>
                  <w:shd w:val="clear" w:color="auto" w:fill="70558B"/>
                  <w:tcMar>
                    <w:top w:w="75" w:type="dxa"/>
                    <w:left w:w="95" w:type="dxa"/>
                    <w:bottom w:w="75" w:type="dxa"/>
                    <w:right w:w="95" w:type="dxa"/>
                  </w:tcMar>
                  <w:vAlign w:val="center"/>
                </w:tcPr>
                <w:p w14:paraId="1060EBEB" w14:textId="77777777" w:rsidR="00747559" w:rsidRDefault="0035318F">
                  <w:pPr>
                    <w:jc w:val="center"/>
                  </w:pPr>
                  <w:r>
                    <w:rPr>
                      <w:b/>
                      <w:color w:val="FFFFFF"/>
                      <w:sz w:val="16"/>
                    </w:rPr>
                    <w:t>ENHANCED</w:t>
                  </w:r>
                </w:p>
              </w:tc>
              <w:tc>
                <w:tcPr>
                  <w:tcW w:w="5112" w:type="dxa"/>
                  <w:tcBorders>
                    <w:top w:val="single" w:sz="8" w:space="0" w:color="FFFFFF"/>
                    <w:left w:val="single" w:sz="8" w:space="0" w:color="FFFFFF"/>
                    <w:bottom w:val="single" w:sz="8" w:space="0" w:color="FFFFFF"/>
                    <w:right w:val="single" w:sz="8" w:space="0" w:color="FFFFFF"/>
                  </w:tcBorders>
                  <w:shd w:val="clear" w:color="auto" w:fill="F1ECF5"/>
                  <w:tcMar>
                    <w:top w:w="75" w:type="dxa"/>
                    <w:left w:w="95" w:type="dxa"/>
                    <w:bottom w:w="75" w:type="dxa"/>
                    <w:right w:w="95" w:type="dxa"/>
                  </w:tcMar>
                  <w:vAlign w:val="center"/>
                </w:tcPr>
                <w:p w14:paraId="71474426" w14:textId="77777777" w:rsidR="00747559" w:rsidRDefault="0035318F">
                  <w:pPr>
                    <w:spacing w:after="0" w:line="240" w:lineRule="auto"/>
                  </w:pPr>
                  <w:r>
                    <w:rPr>
                      <w:sz w:val="16"/>
                    </w:rPr>
                    <w:t>Services commissioned by NHS England where additional provision is needed beyond the national essential and advanced offer.</w:t>
                  </w:r>
                </w:p>
              </w:tc>
            </w:tr>
            <w:tr w:rsidR="00747559" w14:paraId="2EAACB99" w14:textId="77777777">
              <w:trPr>
                <w:jc w:val="center"/>
              </w:trPr>
              <w:tc>
                <w:tcPr>
                  <w:tcW w:w="1901" w:type="dxa"/>
                  <w:tcBorders>
                    <w:top w:val="single" w:sz="8" w:space="0" w:color="FFFFFF"/>
                    <w:left w:val="single" w:sz="8" w:space="0" w:color="FFFFFF"/>
                    <w:bottom w:val="single" w:sz="8" w:space="0" w:color="FFFFFF"/>
                    <w:right w:val="single" w:sz="8" w:space="0" w:color="FFFFFF"/>
                  </w:tcBorders>
                  <w:shd w:val="clear" w:color="auto" w:fill="9A6B00"/>
                  <w:tcMar>
                    <w:top w:w="75" w:type="dxa"/>
                    <w:left w:w="95" w:type="dxa"/>
                    <w:bottom w:w="75" w:type="dxa"/>
                    <w:right w:w="95" w:type="dxa"/>
                  </w:tcMar>
                  <w:vAlign w:val="center"/>
                </w:tcPr>
                <w:p w14:paraId="01524DB7" w14:textId="77777777" w:rsidR="00747559" w:rsidRDefault="0035318F">
                  <w:pPr>
                    <w:jc w:val="center"/>
                  </w:pPr>
                  <w:r>
                    <w:rPr>
                      <w:b/>
                      <w:color w:val="FFFFFF"/>
                      <w:sz w:val="16"/>
                    </w:rPr>
                    <w:t>LOCAL</w:t>
                  </w:r>
                </w:p>
              </w:tc>
              <w:tc>
                <w:tcPr>
                  <w:tcW w:w="5112" w:type="dxa"/>
                  <w:tcBorders>
                    <w:top w:val="single" w:sz="8" w:space="0" w:color="FFFFFF"/>
                    <w:left w:val="single" w:sz="8" w:space="0" w:color="FFFFFF"/>
                    <w:bottom w:val="single" w:sz="8" w:space="0" w:color="FFFFFF"/>
                    <w:right w:val="single" w:sz="8" w:space="0" w:color="FFFFFF"/>
                  </w:tcBorders>
                  <w:shd w:val="clear" w:color="auto" w:fill="FFF7DF"/>
                  <w:tcMar>
                    <w:top w:w="75" w:type="dxa"/>
                    <w:left w:w="95" w:type="dxa"/>
                    <w:bottom w:w="75" w:type="dxa"/>
                    <w:right w:w="95" w:type="dxa"/>
                  </w:tcMar>
                  <w:vAlign w:val="center"/>
                </w:tcPr>
                <w:p w14:paraId="4D7C252B" w14:textId="77777777" w:rsidR="00747559" w:rsidRDefault="0035318F">
                  <w:pPr>
                    <w:spacing w:after="0" w:line="240" w:lineRule="auto"/>
                  </w:pPr>
                  <w:r>
                    <w:rPr>
                      <w:sz w:val="16"/>
                    </w:rPr>
                    <w:t>Services commissioned according to local need by integrated care boards or local authorities, such as locally designed prevention and treatment schemes.</w:t>
                  </w:r>
                </w:p>
              </w:tc>
            </w:tr>
          </w:tbl>
          <w:p w14:paraId="69517DE1" w14:textId="77777777" w:rsidR="00747559" w:rsidRDefault="00747559"/>
          <w:p w14:paraId="7656FDA5" w14:textId="77777777" w:rsidR="00747559" w:rsidRDefault="0035318F">
            <w:pPr>
              <w:spacing w:before="40" w:after="0" w:line="240" w:lineRule="auto"/>
            </w:pPr>
            <w:r>
              <w:rPr>
                <w:i/>
                <w:color w:val="52616B"/>
                <w:sz w:val="15"/>
              </w:rPr>
              <w:t>Sources: DHSC and NHS England (2025); House of Commons Library (2026a).</w:t>
            </w:r>
          </w:p>
        </w:tc>
      </w:tr>
    </w:tbl>
    <w:p w14:paraId="78D184AA" w14:textId="77777777" w:rsidR="00747559" w:rsidRDefault="00747559">
      <w:pPr>
        <w:spacing w:after="60" w:line="240" w:lineRule="auto"/>
      </w:pPr>
    </w:p>
    <w:tbl>
      <w:tblPr>
        <w:tblW w:w="15047" w:type="dxa"/>
        <w:jc w:val="center"/>
        <w:tblLayout w:type="fixed"/>
        <w:tblLook w:val="04A0" w:firstRow="1" w:lastRow="0" w:firstColumn="1" w:lastColumn="0" w:noHBand="0" w:noVBand="1"/>
      </w:tblPr>
      <w:tblGrid>
        <w:gridCol w:w="15047"/>
      </w:tblGrid>
      <w:tr w:rsidR="00747559" w14:paraId="12DA2E24" w14:textId="77777777">
        <w:trPr>
          <w:jc w:val="center"/>
        </w:trPr>
        <w:tc>
          <w:tcPr>
            <w:tcW w:w="15048" w:type="dxa"/>
            <w:tcBorders>
              <w:top w:val="single" w:sz="12" w:space="0" w:color="70558B"/>
              <w:left w:val="single" w:sz="12" w:space="0" w:color="70558B"/>
              <w:bottom w:val="single" w:sz="12" w:space="0" w:color="70558B"/>
              <w:right w:val="single" w:sz="12" w:space="0" w:color="70558B"/>
            </w:tcBorders>
            <w:tcMar>
              <w:top w:w="150" w:type="dxa"/>
              <w:left w:w="170" w:type="dxa"/>
              <w:bottom w:w="140" w:type="dxa"/>
              <w:right w:w="170" w:type="dxa"/>
            </w:tcMar>
          </w:tcPr>
          <w:p w14:paraId="18DB78AE" w14:textId="77777777" w:rsidR="00747559" w:rsidRDefault="0035318F">
            <w:pPr>
              <w:keepNext/>
              <w:spacing w:after="100" w:line="240" w:lineRule="auto"/>
            </w:pPr>
            <w:r>
              <w:rPr>
                <w:b/>
                <w:color w:val="70558B"/>
                <w:sz w:val="26"/>
              </w:rPr>
              <w:t>A brief history: from apothecaries to clinical pharmacy</w:t>
            </w:r>
          </w:p>
          <w:tbl>
            <w:tblPr>
              <w:tblW w:w="14299" w:type="dxa"/>
              <w:jc w:val="center"/>
              <w:tblLayout w:type="fixed"/>
              <w:tblLook w:val="04A0" w:firstRow="1" w:lastRow="0" w:firstColumn="1" w:lastColumn="0" w:noHBand="0" w:noVBand="1"/>
            </w:tblPr>
            <w:tblGrid>
              <w:gridCol w:w="1613"/>
              <w:gridCol w:w="1786"/>
              <w:gridCol w:w="1800"/>
              <w:gridCol w:w="1771"/>
              <w:gridCol w:w="1728"/>
              <w:gridCol w:w="1771"/>
              <w:gridCol w:w="1843"/>
              <w:gridCol w:w="1987"/>
            </w:tblGrid>
            <w:tr w:rsidR="00747559" w14:paraId="776C763E" w14:textId="77777777">
              <w:trPr>
                <w:jc w:val="center"/>
              </w:trPr>
              <w:tc>
                <w:tcPr>
                  <w:tcW w:w="1613" w:type="dxa"/>
                  <w:tcBorders>
                    <w:top w:val="single" w:sz="8" w:space="0" w:color="FFFFFF"/>
                    <w:left w:val="single" w:sz="8" w:space="0" w:color="FFFFFF"/>
                    <w:bottom w:val="single" w:sz="8" w:space="0" w:color="FFFFFF"/>
                    <w:right w:val="single" w:sz="8" w:space="0" w:color="FFFFFF"/>
                  </w:tcBorders>
                  <w:shd w:val="clear" w:color="auto" w:fill="70558B"/>
                  <w:tcMar>
                    <w:top w:w="75" w:type="dxa"/>
                    <w:left w:w="70" w:type="dxa"/>
                    <w:bottom w:w="75" w:type="dxa"/>
                    <w:right w:w="70" w:type="dxa"/>
                  </w:tcMar>
                </w:tcPr>
                <w:p w14:paraId="36B16CA0" w14:textId="77777777" w:rsidR="00747559" w:rsidRDefault="0035318F">
                  <w:pPr>
                    <w:jc w:val="center"/>
                  </w:pPr>
                  <w:r>
                    <w:rPr>
                      <w:b/>
                      <w:color w:val="FFFFFF"/>
                      <w:sz w:val="18"/>
                    </w:rPr>
                    <w:t>1180</w:t>
                  </w:r>
                </w:p>
              </w:tc>
              <w:tc>
                <w:tcPr>
                  <w:tcW w:w="1786" w:type="dxa"/>
                  <w:tcBorders>
                    <w:top w:val="single" w:sz="8" w:space="0" w:color="FFFFFF"/>
                    <w:left w:val="single" w:sz="8" w:space="0" w:color="FFFFFF"/>
                    <w:bottom w:val="single" w:sz="8" w:space="0" w:color="FFFFFF"/>
                    <w:right w:val="single" w:sz="8" w:space="0" w:color="FFFFFF"/>
                  </w:tcBorders>
                  <w:shd w:val="clear" w:color="auto" w:fill="18324A"/>
                  <w:tcMar>
                    <w:top w:w="75" w:type="dxa"/>
                    <w:left w:w="70" w:type="dxa"/>
                    <w:bottom w:w="75" w:type="dxa"/>
                    <w:right w:w="70" w:type="dxa"/>
                  </w:tcMar>
                </w:tcPr>
                <w:p w14:paraId="4FA0FF8E" w14:textId="77777777" w:rsidR="00747559" w:rsidRDefault="0035318F">
                  <w:pPr>
                    <w:jc w:val="center"/>
                  </w:pPr>
                  <w:r>
                    <w:rPr>
                      <w:b/>
                      <w:color w:val="FFFFFF"/>
                      <w:sz w:val="18"/>
                    </w:rPr>
                    <w:t>1617</w:t>
                  </w:r>
                </w:p>
              </w:tc>
              <w:tc>
                <w:tcPr>
                  <w:tcW w:w="1800" w:type="dxa"/>
                  <w:tcBorders>
                    <w:top w:val="single" w:sz="8" w:space="0" w:color="FFFFFF"/>
                    <w:left w:val="single" w:sz="8" w:space="0" w:color="FFFFFF"/>
                    <w:bottom w:val="single" w:sz="8" w:space="0" w:color="FFFFFF"/>
                    <w:right w:val="single" w:sz="8" w:space="0" w:color="FFFFFF"/>
                  </w:tcBorders>
                  <w:shd w:val="clear" w:color="auto" w:fill="70558B"/>
                  <w:tcMar>
                    <w:top w:w="75" w:type="dxa"/>
                    <w:left w:w="70" w:type="dxa"/>
                    <w:bottom w:w="75" w:type="dxa"/>
                    <w:right w:w="70" w:type="dxa"/>
                  </w:tcMar>
                </w:tcPr>
                <w:p w14:paraId="6E78C4B9" w14:textId="77777777" w:rsidR="00747559" w:rsidRDefault="0035318F">
                  <w:pPr>
                    <w:jc w:val="center"/>
                  </w:pPr>
                  <w:r>
                    <w:rPr>
                      <w:b/>
                      <w:color w:val="FFFFFF"/>
                      <w:sz w:val="18"/>
                    </w:rPr>
                    <w:t>1841</w:t>
                  </w:r>
                </w:p>
              </w:tc>
              <w:tc>
                <w:tcPr>
                  <w:tcW w:w="1771" w:type="dxa"/>
                  <w:tcBorders>
                    <w:top w:val="single" w:sz="8" w:space="0" w:color="FFFFFF"/>
                    <w:left w:val="single" w:sz="8" w:space="0" w:color="FFFFFF"/>
                    <w:bottom w:val="single" w:sz="8" w:space="0" w:color="FFFFFF"/>
                    <w:right w:val="single" w:sz="8" w:space="0" w:color="FFFFFF"/>
                  </w:tcBorders>
                  <w:shd w:val="clear" w:color="auto" w:fill="18324A"/>
                  <w:tcMar>
                    <w:top w:w="75" w:type="dxa"/>
                    <w:left w:w="70" w:type="dxa"/>
                    <w:bottom w:w="75" w:type="dxa"/>
                    <w:right w:w="70" w:type="dxa"/>
                  </w:tcMar>
                </w:tcPr>
                <w:p w14:paraId="2A1FDAC1" w14:textId="77777777" w:rsidR="00747559" w:rsidRDefault="0035318F">
                  <w:pPr>
                    <w:jc w:val="center"/>
                  </w:pPr>
                  <w:r>
                    <w:rPr>
                      <w:b/>
                      <w:color w:val="FFFFFF"/>
                      <w:sz w:val="18"/>
                    </w:rPr>
                    <w:t>1852/1868</w:t>
                  </w:r>
                </w:p>
              </w:tc>
              <w:tc>
                <w:tcPr>
                  <w:tcW w:w="1728" w:type="dxa"/>
                  <w:tcBorders>
                    <w:top w:val="single" w:sz="8" w:space="0" w:color="FFFFFF"/>
                    <w:left w:val="single" w:sz="8" w:space="0" w:color="FFFFFF"/>
                    <w:bottom w:val="single" w:sz="8" w:space="0" w:color="FFFFFF"/>
                    <w:right w:val="single" w:sz="8" w:space="0" w:color="FFFFFF"/>
                  </w:tcBorders>
                  <w:shd w:val="clear" w:color="auto" w:fill="70558B"/>
                  <w:tcMar>
                    <w:top w:w="75" w:type="dxa"/>
                    <w:left w:w="70" w:type="dxa"/>
                    <w:bottom w:w="75" w:type="dxa"/>
                    <w:right w:w="70" w:type="dxa"/>
                  </w:tcMar>
                </w:tcPr>
                <w:p w14:paraId="2317E72C" w14:textId="77777777" w:rsidR="00747559" w:rsidRDefault="0035318F">
                  <w:pPr>
                    <w:jc w:val="center"/>
                  </w:pPr>
                  <w:r>
                    <w:rPr>
                      <w:b/>
                      <w:color w:val="FFFFFF"/>
                      <w:sz w:val="18"/>
                    </w:rPr>
                    <w:t>1948</w:t>
                  </w:r>
                </w:p>
              </w:tc>
              <w:tc>
                <w:tcPr>
                  <w:tcW w:w="1771" w:type="dxa"/>
                  <w:tcBorders>
                    <w:top w:val="single" w:sz="8" w:space="0" w:color="FFFFFF"/>
                    <w:left w:val="single" w:sz="8" w:space="0" w:color="FFFFFF"/>
                    <w:bottom w:val="single" w:sz="8" w:space="0" w:color="FFFFFF"/>
                    <w:right w:val="single" w:sz="8" w:space="0" w:color="FFFFFF"/>
                  </w:tcBorders>
                  <w:shd w:val="clear" w:color="auto" w:fill="18324A"/>
                  <w:tcMar>
                    <w:top w:w="75" w:type="dxa"/>
                    <w:left w:w="70" w:type="dxa"/>
                    <w:bottom w:w="75" w:type="dxa"/>
                    <w:right w:w="70" w:type="dxa"/>
                  </w:tcMar>
                </w:tcPr>
                <w:p w14:paraId="670C3A48" w14:textId="77777777" w:rsidR="00747559" w:rsidRDefault="0035318F">
                  <w:pPr>
                    <w:jc w:val="center"/>
                  </w:pPr>
                  <w:r>
                    <w:rPr>
                      <w:b/>
                      <w:color w:val="FFFFFF"/>
                      <w:sz w:val="18"/>
                    </w:rPr>
                    <w:t>2003/2006</w:t>
                  </w:r>
                </w:p>
              </w:tc>
              <w:tc>
                <w:tcPr>
                  <w:tcW w:w="1843" w:type="dxa"/>
                  <w:tcBorders>
                    <w:top w:val="single" w:sz="8" w:space="0" w:color="FFFFFF"/>
                    <w:left w:val="single" w:sz="8" w:space="0" w:color="FFFFFF"/>
                    <w:bottom w:val="single" w:sz="8" w:space="0" w:color="FFFFFF"/>
                    <w:right w:val="single" w:sz="8" w:space="0" w:color="FFFFFF"/>
                  </w:tcBorders>
                  <w:shd w:val="clear" w:color="auto" w:fill="70558B"/>
                  <w:tcMar>
                    <w:top w:w="75" w:type="dxa"/>
                    <w:left w:w="70" w:type="dxa"/>
                    <w:bottom w:w="75" w:type="dxa"/>
                    <w:right w:w="70" w:type="dxa"/>
                  </w:tcMar>
                </w:tcPr>
                <w:p w14:paraId="5B24B7F1" w14:textId="77777777" w:rsidR="00747559" w:rsidRDefault="0035318F">
                  <w:pPr>
                    <w:jc w:val="center"/>
                  </w:pPr>
                  <w:r>
                    <w:rPr>
                      <w:b/>
                      <w:color w:val="FFFFFF"/>
                      <w:sz w:val="18"/>
                    </w:rPr>
                    <w:t>2010</w:t>
                  </w:r>
                </w:p>
              </w:tc>
              <w:tc>
                <w:tcPr>
                  <w:tcW w:w="1987" w:type="dxa"/>
                  <w:tcBorders>
                    <w:top w:val="single" w:sz="8" w:space="0" w:color="FFFFFF"/>
                    <w:left w:val="single" w:sz="8" w:space="0" w:color="FFFFFF"/>
                    <w:bottom w:val="single" w:sz="8" w:space="0" w:color="FFFFFF"/>
                    <w:right w:val="single" w:sz="8" w:space="0" w:color="FFFFFF"/>
                  </w:tcBorders>
                  <w:shd w:val="clear" w:color="auto" w:fill="18324A"/>
                  <w:tcMar>
                    <w:top w:w="75" w:type="dxa"/>
                    <w:left w:w="70" w:type="dxa"/>
                    <w:bottom w:w="75" w:type="dxa"/>
                    <w:right w:w="70" w:type="dxa"/>
                  </w:tcMar>
                </w:tcPr>
                <w:p w14:paraId="2AB185F3" w14:textId="77777777" w:rsidR="00747559" w:rsidRDefault="0035318F">
                  <w:pPr>
                    <w:jc w:val="center"/>
                  </w:pPr>
                  <w:r>
                    <w:rPr>
                      <w:b/>
                      <w:color w:val="FFFFFF"/>
                      <w:sz w:val="18"/>
                    </w:rPr>
                    <w:t>Today</w:t>
                  </w:r>
                </w:p>
              </w:tc>
            </w:tr>
            <w:tr w:rsidR="00747559" w14:paraId="0137E8A1" w14:textId="77777777">
              <w:trPr>
                <w:jc w:val="center"/>
              </w:trPr>
              <w:tc>
                <w:tcPr>
                  <w:tcW w:w="1613" w:type="dxa"/>
                  <w:tcBorders>
                    <w:top w:val="single" w:sz="8" w:space="0" w:color="FFFFFF"/>
                    <w:left w:val="single" w:sz="8" w:space="0" w:color="FFFFFF"/>
                    <w:bottom w:val="single" w:sz="8" w:space="0" w:color="FFFFFF"/>
                    <w:right w:val="single" w:sz="8" w:space="0" w:color="FFFFFF"/>
                  </w:tcBorders>
                  <w:shd w:val="clear" w:color="auto" w:fill="F1ECF5"/>
                  <w:tcMar>
                    <w:top w:w="75" w:type="dxa"/>
                    <w:left w:w="70" w:type="dxa"/>
                    <w:bottom w:w="75" w:type="dxa"/>
                    <w:right w:w="70" w:type="dxa"/>
                  </w:tcMar>
                </w:tcPr>
                <w:p w14:paraId="170126DB" w14:textId="70D4E341" w:rsidR="00747559" w:rsidRDefault="0035318F">
                  <w:pPr>
                    <w:spacing w:after="0" w:line="228" w:lineRule="auto"/>
                    <w:jc w:val="center"/>
                  </w:pPr>
                  <w:r>
                    <w:rPr>
                      <w:sz w:val="15"/>
                    </w:rPr>
                    <w:t xml:space="preserve">Guild of Peppers helped regulate the trade </w:t>
                  </w:r>
                  <w:r w:rsidR="00E21BDF">
                    <w:rPr>
                      <w:sz w:val="15"/>
                    </w:rPr>
                    <w:t>in</w:t>
                  </w:r>
                  <w:r>
                    <w:rPr>
                      <w:sz w:val="15"/>
                    </w:rPr>
                    <w:t xml:space="preserve"> medicinal substances.</w:t>
                  </w:r>
                </w:p>
              </w:tc>
              <w:tc>
                <w:tcPr>
                  <w:tcW w:w="1786" w:type="dxa"/>
                  <w:tcBorders>
                    <w:top w:val="single" w:sz="8" w:space="0" w:color="FFFFFF"/>
                    <w:left w:val="single" w:sz="8" w:space="0" w:color="FFFFFF"/>
                    <w:bottom w:val="single" w:sz="8" w:space="0" w:color="FFFFFF"/>
                    <w:right w:val="single" w:sz="8" w:space="0" w:color="FFFFFF"/>
                  </w:tcBorders>
                  <w:shd w:val="clear" w:color="auto" w:fill="EAF2F8"/>
                  <w:tcMar>
                    <w:top w:w="75" w:type="dxa"/>
                    <w:left w:w="70" w:type="dxa"/>
                    <w:bottom w:w="75" w:type="dxa"/>
                    <w:right w:w="70" w:type="dxa"/>
                  </w:tcMar>
                </w:tcPr>
                <w:p w14:paraId="223C5CA1" w14:textId="77777777" w:rsidR="00747559" w:rsidRDefault="0035318F">
                  <w:pPr>
                    <w:spacing w:after="0" w:line="228" w:lineRule="auto"/>
                    <w:jc w:val="center"/>
                  </w:pPr>
                  <w:r>
                    <w:rPr>
                      <w:sz w:val="15"/>
                    </w:rPr>
                    <w:t>A royal charter created the Society of Apothecaries, separating apothecaries from grocers.</w:t>
                  </w:r>
                </w:p>
              </w:tc>
              <w:tc>
                <w:tcPr>
                  <w:tcW w:w="1800" w:type="dxa"/>
                  <w:tcBorders>
                    <w:top w:val="single" w:sz="8" w:space="0" w:color="FFFFFF"/>
                    <w:left w:val="single" w:sz="8" w:space="0" w:color="FFFFFF"/>
                    <w:bottom w:val="single" w:sz="8" w:space="0" w:color="FFFFFF"/>
                    <w:right w:val="single" w:sz="8" w:space="0" w:color="FFFFFF"/>
                  </w:tcBorders>
                  <w:shd w:val="clear" w:color="auto" w:fill="F1ECF5"/>
                  <w:tcMar>
                    <w:top w:w="75" w:type="dxa"/>
                    <w:left w:w="70" w:type="dxa"/>
                    <w:bottom w:w="75" w:type="dxa"/>
                    <w:right w:w="70" w:type="dxa"/>
                  </w:tcMar>
                </w:tcPr>
                <w:p w14:paraId="00BA4164" w14:textId="77777777" w:rsidR="00747559" w:rsidRDefault="0035318F">
                  <w:pPr>
                    <w:spacing w:after="0" w:line="228" w:lineRule="auto"/>
                    <w:jc w:val="center"/>
                  </w:pPr>
                  <w:r>
                    <w:rPr>
                      <w:sz w:val="15"/>
                    </w:rPr>
                    <w:t>The Pharmaceutical Society of Great Britain promoted education and professional standards.</w:t>
                  </w:r>
                </w:p>
              </w:tc>
              <w:tc>
                <w:tcPr>
                  <w:tcW w:w="1771" w:type="dxa"/>
                  <w:tcBorders>
                    <w:top w:val="single" w:sz="8" w:space="0" w:color="FFFFFF"/>
                    <w:left w:val="single" w:sz="8" w:space="0" w:color="FFFFFF"/>
                    <w:bottom w:val="single" w:sz="8" w:space="0" w:color="FFFFFF"/>
                    <w:right w:val="single" w:sz="8" w:space="0" w:color="FFFFFF"/>
                  </w:tcBorders>
                  <w:shd w:val="clear" w:color="auto" w:fill="EAF2F8"/>
                  <w:tcMar>
                    <w:top w:w="75" w:type="dxa"/>
                    <w:left w:w="70" w:type="dxa"/>
                    <w:bottom w:w="75" w:type="dxa"/>
                    <w:right w:w="70" w:type="dxa"/>
                  </w:tcMar>
                </w:tcPr>
                <w:p w14:paraId="046B55F3" w14:textId="77777777" w:rsidR="00747559" w:rsidRDefault="0035318F">
                  <w:pPr>
                    <w:spacing w:after="0" w:line="228" w:lineRule="auto"/>
                    <w:jc w:val="center"/>
                  </w:pPr>
                  <w:r>
                    <w:rPr>
                      <w:sz w:val="15"/>
                    </w:rPr>
                    <w:t>Pharmacy Acts created registration and restricted the sale of scheduled poisons.</w:t>
                  </w:r>
                </w:p>
              </w:tc>
              <w:tc>
                <w:tcPr>
                  <w:tcW w:w="1728" w:type="dxa"/>
                  <w:tcBorders>
                    <w:top w:val="single" w:sz="8" w:space="0" w:color="FFFFFF"/>
                    <w:left w:val="single" w:sz="8" w:space="0" w:color="FFFFFF"/>
                    <w:bottom w:val="single" w:sz="8" w:space="0" w:color="FFFFFF"/>
                    <w:right w:val="single" w:sz="8" w:space="0" w:color="FFFFFF"/>
                  </w:tcBorders>
                  <w:shd w:val="clear" w:color="auto" w:fill="F1ECF5"/>
                  <w:tcMar>
                    <w:top w:w="75" w:type="dxa"/>
                    <w:left w:w="70" w:type="dxa"/>
                    <w:bottom w:w="75" w:type="dxa"/>
                    <w:right w:w="70" w:type="dxa"/>
                  </w:tcMar>
                </w:tcPr>
                <w:p w14:paraId="24CCFCBC" w14:textId="63EDF090" w:rsidR="00747559" w:rsidRDefault="0035318F">
                  <w:pPr>
                    <w:spacing w:after="0" w:line="228" w:lineRule="auto"/>
                    <w:jc w:val="center"/>
                  </w:pPr>
                  <w:r>
                    <w:rPr>
                      <w:sz w:val="15"/>
                    </w:rPr>
                    <w:t xml:space="preserve">The NHS integrated community and hospital medicine supply into </w:t>
                  </w:r>
                  <w:r w:rsidR="00E21BDF">
                    <w:rPr>
                      <w:sz w:val="15"/>
                    </w:rPr>
                    <w:t>universal</w:t>
                  </w:r>
                  <w:r>
                    <w:rPr>
                      <w:sz w:val="15"/>
                    </w:rPr>
                    <w:t xml:space="preserve"> healthcare.</w:t>
                  </w:r>
                </w:p>
              </w:tc>
              <w:tc>
                <w:tcPr>
                  <w:tcW w:w="1771" w:type="dxa"/>
                  <w:tcBorders>
                    <w:top w:val="single" w:sz="8" w:space="0" w:color="FFFFFF"/>
                    <w:left w:val="single" w:sz="8" w:space="0" w:color="FFFFFF"/>
                    <w:bottom w:val="single" w:sz="8" w:space="0" w:color="FFFFFF"/>
                    <w:right w:val="single" w:sz="8" w:space="0" w:color="FFFFFF"/>
                  </w:tcBorders>
                  <w:shd w:val="clear" w:color="auto" w:fill="EAF2F8"/>
                  <w:tcMar>
                    <w:top w:w="75" w:type="dxa"/>
                    <w:left w:w="70" w:type="dxa"/>
                    <w:bottom w:w="75" w:type="dxa"/>
                    <w:right w:w="70" w:type="dxa"/>
                  </w:tcMar>
                </w:tcPr>
                <w:p w14:paraId="670872C6" w14:textId="77777777" w:rsidR="00747559" w:rsidRDefault="0035318F">
                  <w:pPr>
                    <w:spacing w:after="0" w:line="228" w:lineRule="auto"/>
                    <w:jc w:val="center"/>
                  </w:pPr>
                  <w:r>
                    <w:rPr>
                      <w:sz w:val="15"/>
                    </w:rPr>
                    <w:t>Pharmacists gained supplementary, then independent, prescribing rights.</w:t>
                  </w:r>
                </w:p>
              </w:tc>
              <w:tc>
                <w:tcPr>
                  <w:tcW w:w="1843" w:type="dxa"/>
                  <w:tcBorders>
                    <w:top w:val="single" w:sz="8" w:space="0" w:color="FFFFFF"/>
                    <w:left w:val="single" w:sz="8" w:space="0" w:color="FFFFFF"/>
                    <w:bottom w:val="single" w:sz="8" w:space="0" w:color="FFFFFF"/>
                    <w:right w:val="single" w:sz="8" w:space="0" w:color="FFFFFF"/>
                  </w:tcBorders>
                  <w:shd w:val="clear" w:color="auto" w:fill="F1ECF5"/>
                  <w:tcMar>
                    <w:top w:w="75" w:type="dxa"/>
                    <w:left w:w="70" w:type="dxa"/>
                    <w:bottom w:w="75" w:type="dxa"/>
                    <w:right w:w="70" w:type="dxa"/>
                  </w:tcMar>
                </w:tcPr>
                <w:p w14:paraId="4A27F281" w14:textId="77777777" w:rsidR="00747559" w:rsidRDefault="0035318F">
                  <w:pPr>
                    <w:spacing w:after="0" w:line="228" w:lineRule="auto"/>
                    <w:jc w:val="center"/>
                  </w:pPr>
                  <w:r>
                    <w:rPr>
                      <w:sz w:val="15"/>
                    </w:rPr>
                    <w:t>The GPhC became the regulator; the RPS became the professional leadership body.</w:t>
                  </w:r>
                </w:p>
              </w:tc>
              <w:tc>
                <w:tcPr>
                  <w:tcW w:w="1987" w:type="dxa"/>
                  <w:tcBorders>
                    <w:top w:val="single" w:sz="8" w:space="0" w:color="FFFFFF"/>
                    <w:left w:val="single" w:sz="8" w:space="0" w:color="FFFFFF"/>
                    <w:bottom w:val="single" w:sz="8" w:space="0" w:color="FFFFFF"/>
                    <w:right w:val="single" w:sz="8" w:space="0" w:color="FFFFFF"/>
                  </w:tcBorders>
                  <w:shd w:val="clear" w:color="auto" w:fill="EAF2F8"/>
                  <w:tcMar>
                    <w:top w:w="75" w:type="dxa"/>
                    <w:left w:w="70" w:type="dxa"/>
                    <w:bottom w:w="75" w:type="dxa"/>
                    <w:right w:w="70" w:type="dxa"/>
                  </w:tcMar>
                </w:tcPr>
                <w:p w14:paraId="798F157A" w14:textId="77D94FDD" w:rsidR="00747559" w:rsidRDefault="0035318F">
                  <w:pPr>
                    <w:spacing w:after="0" w:line="228" w:lineRule="auto"/>
                    <w:jc w:val="center"/>
                  </w:pPr>
                  <w:r>
                    <w:rPr>
                      <w:sz w:val="15"/>
                    </w:rPr>
                    <w:t xml:space="preserve">Pharmacy combines medicine supply with clinical care, prevention and </w:t>
                  </w:r>
                  <w:r w:rsidR="00E21BDF">
                    <w:rPr>
                      <w:sz w:val="15"/>
                    </w:rPr>
                    <w:t>public health</w:t>
                  </w:r>
                  <w:r>
                    <w:rPr>
                      <w:sz w:val="15"/>
                    </w:rPr>
                    <w:t xml:space="preserve"> services.</w:t>
                  </w:r>
                </w:p>
              </w:tc>
            </w:tr>
          </w:tbl>
          <w:p w14:paraId="58E40CFA" w14:textId="77777777" w:rsidR="00747559" w:rsidRDefault="00747559"/>
          <w:p w14:paraId="3FD2BE45" w14:textId="77777777" w:rsidR="00747559" w:rsidRDefault="0035318F">
            <w:pPr>
              <w:spacing w:before="40" w:after="0" w:line="240" w:lineRule="auto"/>
            </w:pPr>
            <w:r>
              <w:rPr>
                <w:i/>
                <w:color w:val="52616B"/>
                <w:sz w:val="15"/>
              </w:rPr>
              <w:t>Sources: Holloway (1991); Anderson (2007); Department of Health (2008); GPhC (2010).</w:t>
            </w:r>
          </w:p>
        </w:tc>
      </w:tr>
    </w:tbl>
    <w:p w14:paraId="5728E315" w14:textId="1394EA3D" w:rsidR="00747559" w:rsidRDefault="0035318F">
      <w:r>
        <w:br w:type="page"/>
      </w:r>
      <w:r w:rsidR="005A5444">
        <w:t xml:space="preserve"> </w:t>
      </w:r>
    </w:p>
    <w:p w14:paraId="34A695BC" w14:textId="77777777" w:rsidR="00747559" w:rsidRDefault="00747559">
      <w:pPr>
        <w:spacing w:after="60" w:line="240" w:lineRule="auto"/>
      </w:pPr>
    </w:p>
    <w:tbl>
      <w:tblPr>
        <w:tblW w:w="15047" w:type="dxa"/>
        <w:jc w:val="center"/>
        <w:tblLayout w:type="fixed"/>
        <w:tblLook w:val="04A0" w:firstRow="1" w:lastRow="0" w:firstColumn="1" w:lastColumn="0" w:noHBand="0" w:noVBand="1"/>
      </w:tblPr>
      <w:tblGrid>
        <w:gridCol w:w="15047"/>
      </w:tblGrid>
      <w:tr w:rsidR="00747559" w14:paraId="1021B11E" w14:textId="77777777">
        <w:trPr>
          <w:jc w:val="center"/>
        </w:trPr>
        <w:tc>
          <w:tcPr>
            <w:tcW w:w="15048" w:type="dxa"/>
            <w:tcBorders>
              <w:top w:val="single" w:sz="12" w:space="0" w:color="007F7B"/>
              <w:left w:val="single" w:sz="12" w:space="0" w:color="007F7B"/>
              <w:bottom w:val="single" w:sz="12" w:space="0" w:color="007F7B"/>
              <w:right w:val="single" w:sz="12" w:space="0" w:color="007F7B"/>
            </w:tcBorders>
            <w:tcMar>
              <w:top w:w="150" w:type="dxa"/>
              <w:left w:w="170" w:type="dxa"/>
              <w:bottom w:w="140" w:type="dxa"/>
              <w:right w:w="170" w:type="dxa"/>
            </w:tcMar>
          </w:tcPr>
          <w:p w14:paraId="75CB12D4" w14:textId="77777777" w:rsidR="00747559" w:rsidRDefault="0035318F">
            <w:pPr>
              <w:keepNext/>
              <w:spacing w:after="100" w:line="240" w:lineRule="auto"/>
            </w:pPr>
            <w:r>
              <w:rPr>
                <w:b/>
                <w:color w:val="007F7B"/>
                <w:sz w:val="26"/>
              </w:rPr>
              <w:t>How pharmacy services function today</w:t>
            </w:r>
          </w:p>
          <w:tbl>
            <w:tblPr>
              <w:tblW w:w="14544" w:type="dxa"/>
              <w:jc w:val="center"/>
              <w:tblLayout w:type="fixed"/>
              <w:tblLook w:val="04A0" w:firstRow="1" w:lastRow="0" w:firstColumn="1" w:lastColumn="0" w:noHBand="0" w:noVBand="1"/>
            </w:tblPr>
            <w:tblGrid>
              <w:gridCol w:w="2908"/>
              <w:gridCol w:w="2909"/>
              <w:gridCol w:w="2909"/>
              <w:gridCol w:w="2909"/>
              <w:gridCol w:w="2909"/>
            </w:tblGrid>
            <w:tr w:rsidR="00747559" w14:paraId="0DDB8BF6" w14:textId="77777777">
              <w:trPr>
                <w:jc w:val="center"/>
              </w:trPr>
              <w:tc>
                <w:tcPr>
                  <w:tcW w:w="2909" w:type="dxa"/>
                  <w:tcBorders>
                    <w:top w:val="single" w:sz="8" w:space="0" w:color="FFFFFF"/>
                    <w:left w:val="single" w:sz="8" w:space="0" w:color="FFFFFF"/>
                    <w:bottom w:val="single" w:sz="8" w:space="0" w:color="FFFFFF"/>
                    <w:right w:val="single" w:sz="8" w:space="0" w:color="FFFFFF"/>
                  </w:tcBorders>
                  <w:shd w:val="clear" w:color="auto" w:fill="007F7B"/>
                  <w:tcMar>
                    <w:top w:w="65" w:type="dxa"/>
                    <w:left w:w="85" w:type="dxa"/>
                    <w:bottom w:w="65" w:type="dxa"/>
                    <w:right w:w="85" w:type="dxa"/>
                  </w:tcMar>
                </w:tcPr>
                <w:p w14:paraId="0A9E3E70" w14:textId="77777777" w:rsidR="00747559" w:rsidRDefault="0035318F">
                  <w:pPr>
                    <w:jc w:val="center"/>
                  </w:pPr>
                  <w:r>
                    <w:rPr>
                      <w:b/>
                      <w:color w:val="FFFFFF"/>
                      <w:sz w:val="17"/>
                    </w:rPr>
                    <w:t>1  ACCESS</w:t>
                  </w:r>
                </w:p>
              </w:tc>
              <w:tc>
                <w:tcPr>
                  <w:tcW w:w="2909" w:type="dxa"/>
                  <w:tcBorders>
                    <w:top w:val="single" w:sz="8" w:space="0" w:color="FFFFFF"/>
                    <w:left w:val="single" w:sz="8" w:space="0" w:color="FFFFFF"/>
                    <w:bottom w:val="single" w:sz="8" w:space="0" w:color="FFFFFF"/>
                    <w:right w:val="single" w:sz="8" w:space="0" w:color="FFFFFF"/>
                  </w:tcBorders>
                  <w:shd w:val="clear" w:color="auto" w:fill="2F6B8A"/>
                  <w:tcMar>
                    <w:top w:w="65" w:type="dxa"/>
                    <w:left w:w="85" w:type="dxa"/>
                    <w:bottom w:w="65" w:type="dxa"/>
                    <w:right w:w="85" w:type="dxa"/>
                  </w:tcMar>
                </w:tcPr>
                <w:p w14:paraId="73CE060F" w14:textId="77777777" w:rsidR="00747559" w:rsidRDefault="0035318F">
                  <w:pPr>
                    <w:jc w:val="center"/>
                  </w:pPr>
                  <w:r>
                    <w:rPr>
                      <w:b/>
                      <w:color w:val="FFFFFF"/>
                      <w:sz w:val="17"/>
                    </w:rPr>
                    <w:t>2  ASSESS</w:t>
                  </w:r>
                </w:p>
              </w:tc>
              <w:tc>
                <w:tcPr>
                  <w:tcW w:w="2909" w:type="dxa"/>
                  <w:tcBorders>
                    <w:top w:val="single" w:sz="8" w:space="0" w:color="FFFFFF"/>
                    <w:left w:val="single" w:sz="8" w:space="0" w:color="FFFFFF"/>
                    <w:bottom w:val="single" w:sz="8" w:space="0" w:color="FFFFFF"/>
                    <w:right w:val="single" w:sz="8" w:space="0" w:color="FFFFFF"/>
                  </w:tcBorders>
                  <w:shd w:val="clear" w:color="auto" w:fill="70558B"/>
                  <w:tcMar>
                    <w:top w:w="65" w:type="dxa"/>
                    <w:left w:w="85" w:type="dxa"/>
                    <w:bottom w:w="65" w:type="dxa"/>
                    <w:right w:w="85" w:type="dxa"/>
                  </w:tcMar>
                </w:tcPr>
                <w:p w14:paraId="41CB5034" w14:textId="77777777" w:rsidR="00747559" w:rsidRDefault="0035318F">
                  <w:pPr>
                    <w:jc w:val="center"/>
                  </w:pPr>
                  <w:r>
                    <w:rPr>
                      <w:b/>
                      <w:color w:val="FFFFFF"/>
                      <w:sz w:val="17"/>
                    </w:rPr>
                    <w:t>3  ACT</w:t>
                  </w:r>
                </w:p>
              </w:tc>
              <w:tc>
                <w:tcPr>
                  <w:tcW w:w="2909" w:type="dxa"/>
                  <w:tcBorders>
                    <w:top w:val="single" w:sz="8" w:space="0" w:color="FFFFFF"/>
                    <w:left w:val="single" w:sz="8" w:space="0" w:color="FFFFFF"/>
                    <w:bottom w:val="single" w:sz="8" w:space="0" w:color="FFFFFF"/>
                    <w:right w:val="single" w:sz="8" w:space="0" w:color="FFFFFF"/>
                  </w:tcBorders>
                  <w:shd w:val="clear" w:color="auto" w:fill="9A6B00"/>
                  <w:tcMar>
                    <w:top w:w="65" w:type="dxa"/>
                    <w:left w:w="85" w:type="dxa"/>
                    <w:bottom w:w="65" w:type="dxa"/>
                    <w:right w:w="85" w:type="dxa"/>
                  </w:tcMar>
                </w:tcPr>
                <w:p w14:paraId="2FD0C451" w14:textId="77777777" w:rsidR="00747559" w:rsidRDefault="0035318F">
                  <w:pPr>
                    <w:jc w:val="center"/>
                  </w:pPr>
                  <w:r>
                    <w:rPr>
                      <w:b/>
                      <w:color w:val="FFFFFF"/>
                      <w:sz w:val="17"/>
                    </w:rPr>
                    <w:t>4  REFER</w:t>
                  </w:r>
                </w:p>
              </w:tc>
              <w:tc>
                <w:tcPr>
                  <w:tcW w:w="2909" w:type="dxa"/>
                  <w:tcBorders>
                    <w:top w:val="single" w:sz="8" w:space="0" w:color="FFFFFF"/>
                    <w:left w:val="single" w:sz="8" w:space="0" w:color="FFFFFF"/>
                    <w:bottom w:val="single" w:sz="8" w:space="0" w:color="FFFFFF"/>
                    <w:right w:val="single" w:sz="8" w:space="0" w:color="FFFFFF"/>
                  </w:tcBorders>
                  <w:shd w:val="clear" w:color="auto" w:fill="18324A"/>
                  <w:tcMar>
                    <w:top w:w="65" w:type="dxa"/>
                    <w:left w:w="85" w:type="dxa"/>
                    <w:bottom w:w="65" w:type="dxa"/>
                    <w:right w:w="85" w:type="dxa"/>
                  </w:tcMar>
                </w:tcPr>
                <w:p w14:paraId="770820B4" w14:textId="77777777" w:rsidR="00747559" w:rsidRDefault="0035318F">
                  <w:pPr>
                    <w:jc w:val="center"/>
                  </w:pPr>
                  <w:r>
                    <w:rPr>
                      <w:b/>
                      <w:color w:val="FFFFFF"/>
                      <w:sz w:val="17"/>
                    </w:rPr>
                    <w:t>5  RECORD</w:t>
                  </w:r>
                </w:p>
              </w:tc>
            </w:tr>
            <w:tr w:rsidR="00747559" w14:paraId="2A23870E" w14:textId="77777777">
              <w:trPr>
                <w:jc w:val="center"/>
              </w:trPr>
              <w:tc>
                <w:tcPr>
                  <w:tcW w:w="2909" w:type="dxa"/>
                  <w:tcBorders>
                    <w:top w:val="single" w:sz="8" w:space="0" w:color="FFFFFF"/>
                    <w:left w:val="single" w:sz="8" w:space="0" w:color="FFFFFF"/>
                    <w:bottom w:val="single" w:sz="8" w:space="0" w:color="FFFFFF"/>
                    <w:right w:val="single" w:sz="8" w:space="0" w:color="FFFFFF"/>
                  </w:tcBorders>
                  <w:shd w:val="clear" w:color="auto" w:fill="E8F5F3"/>
                  <w:tcMar>
                    <w:top w:w="65" w:type="dxa"/>
                    <w:left w:w="85" w:type="dxa"/>
                    <w:bottom w:w="65" w:type="dxa"/>
                    <w:right w:w="85" w:type="dxa"/>
                  </w:tcMar>
                </w:tcPr>
                <w:p w14:paraId="3A950581" w14:textId="77777777" w:rsidR="00747559" w:rsidRPr="005E3ED7" w:rsidRDefault="0035318F">
                  <w:pPr>
                    <w:spacing w:after="0" w:line="235" w:lineRule="auto"/>
                    <w:jc w:val="center"/>
                    <w:rPr>
                      <w:color w:val="215868" w:themeColor="accent5" w:themeShade="80"/>
                    </w:rPr>
                  </w:pPr>
                  <w:r w:rsidRPr="005E3ED7">
                    <w:rPr>
                      <w:color w:val="215868" w:themeColor="accent5" w:themeShade="80"/>
                      <w:sz w:val="15"/>
                    </w:rPr>
                    <w:t>A person attends directly or is referred by a GP, NHS 111 or another service.</w:t>
                  </w:r>
                </w:p>
              </w:tc>
              <w:tc>
                <w:tcPr>
                  <w:tcW w:w="2909" w:type="dxa"/>
                  <w:tcBorders>
                    <w:top w:val="single" w:sz="8" w:space="0" w:color="FFFFFF"/>
                    <w:left w:val="single" w:sz="8" w:space="0" w:color="FFFFFF"/>
                    <w:bottom w:val="single" w:sz="8" w:space="0" w:color="FFFFFF"/>
                    <w:right w:val="single" w:sz="8" w:space="0" w:color="FFFFFF"/>
                  </w:tcBorders>
                  <w:shd w:val="clear" w:color="auto" w:fill="EAF2F8"/>
                  <w:tcMar>
                    <w:top w:w="65" w:type="dxa"/>
                    <w:left w:w="85" w:type="dxa"/>
                    <w:bottom w:w="65" w:type="dxa"/>
                    <w:right w:w="85" w:type="dxa"/>
                  </w:tcMar>
                </w:tcPr>
                <w:p w14:paraId="0200F4FE" w14:textId="77777777" w:rsidR="00747559" w:rsidRPr="005E3ED7" w:rsidRDefault="0035318F">
                  <w:pPr>
                    <w:spacing w:after="0" w:line="235" w:lineRule="auto"/>
                    <w:jc w:val="center"/>
                    <w:rPr>
                      <w:color w:val="215868" w:themeColor="accent5" w:themeShade="80"/>
                    </w:rPr>
                  </w:pPr>
                  <w:r w:rsidRPr="005E3ED7">
                    <w:rPr>
                      <w:color w:val="215868" w:themeColor="accent5" w:themeShade="80"/>
                      <w:sz w:val="15"/>
                    </w:rPr>
                    <w:t>The pharmacist gathers information, checks symptoms, medicines and clinical risk.</w:t>
                  </w:r>
                </w:p>
              </w:tc>
              <w:tc>
                <w:tcPr>
                  <w:tcW w:w="2909" w:type="dxa"/>
                  <w:tcBorders>
                    <w:top w:val="single" w:sz="8" w:space="0" w:color="FFFFFF"/>
                    <w:left w:val="single" w:sz="8" w:space="0" w:color="FFFFFF"/>
                    <w:bottom w:val="single" w:sz="8" w:space="0" w:color="FFFFFF"/>
                    <w:right w:val="single" w:sz="8" w:space="0" w:color="FFFFFF"/>
                  </w:tcBorders>
                  <w:shd w:val="clear" w:color="auto" w:fill="F1ECF5"/>
                  <w:tcMar>
                    <w:top w:w="65" w:type="dxa"/>
                    <w:left w:w="85" w:type="dxa"/>
                    <w:bottom w:w="65" w:type="dxa"/>
                    <w:right w:w="85" w:type="dxa"/>
                  </w:tcMar>
                </w:tcPr>
                <w:p w14:paraId="79C3608E" w14:textId="77777777" w:rsidR="00747559" w:rsidRPr="005E3ED7" w:rsidRDefault="0035318F">
                  <w:pPr>
                    <w:spacing w:after="0" w:line="235" w:lineRule="auto"/>
                    <w:jc w:val="center"/>
                    <w:rPr>
                      <w:color w:val="215868" w:themeColor="accent5" w:themeShade="80"/>
                    </w:rPr>
                  </w:pPr>
                  <w:r w:rsidRPr="005E3ED7">
                    <w:rPr>
                      <w:color w:val="215868" w:themeColor="accent5" w:themeShade="80"/>
                      <w:sz w:val="15"/>
                    </w:rPr>
                    <w:t>Advice, treatment, dispensing, vaccination or another commissioned service is provided.</w:t>
                  </w:r>
                </w:p>
              </w:tc>
              <w:tc>
                <w:tcPr>
                  <w:tcW w:w="2909" w:type="dxa"/>
                  <w:tcBorders>
                    <w:top w:val="single" w:sz="8" w:space="0" w:color="FFFFFF"/>
                    <w:left w:val="single" w:sz="8" w:space="0" w:color="FFFFFF"/>
                    <w:bottom w:val="single" w:sz="8" w:space="0" w:color="FFFFFF"/>
                    <w:right w:val="single" w:sz="8" w:space="0" w:color="FFFFFF"/>
                  </w:tcBorders>
                  <w:shd w:val="clear" w:color="auto" w:fill="FFF7DF"/>
                  <w:tcMar>
                    <w:top w:w="65" w:type="dxa"/>
                    <w:left w:w="85" w:type="dxa"/>
                    <w:bottom w:w="65" w:type="dxa"/>
                    <w:right w:w="85" w:type="dxa"/>
                  </w:tcMar>
                </w:tcPr>
                <w:p w14:paraId="575C0ED7" w14:textId="77777777" w:rsidR="00747559" w:rsidRPr="005E3ED7" w:rsidRDefault="0035318F">
                  <w:pPr>
                    <w:spacing w:after="0" w:line="235" w:lineRule="auto"/>
                    <w:jc w:val="center"/>
                    <w:rPr>
                      <w:color w:val="215868" w:themeColor="accent5" w:themeShade="80"/>
                    </w:rPr>
                  </w:pPr>
                  <w:r w:rsidRPr="005E3ED7">
                    <w:rPr>
                      <w:color w:val="215868" w:themeColor="accent5" w:themeShade="80"/>
                      <w:sz w:val="15"/>
                    </w:rPr>
                    <w:t>Urgent, complex or out-of-scope needs are referred to an appropriate professional.</w:t>
                  </w:r>
                </w:p>
              </w:tc>
              <w:tc>
                <w:tcPr>
                  <w:tcW w:w="2909" w:type="dxa"/>
                  <w:tcBorders>
                    <w:top w:val="single" w:sz="8" w:space="0" w:color="FFFFFF"/>
                    <w:left w:val="single" w:sz="8" w:space="0" w:color="FFFFFF"/>
                    <w:bottom w:val="single" w:sz="8" w:space="0" w:color="FFFFFF"/>
                    <w:right w:val="single" w:sz="8" w:space="0" w:color="FFFFFF"/>
                  </w:tcBorders>
                  <w:shd w:val="clear" w:color="auto" w:fill="E7EDF2"/>
                  <w:tcMar>
                    <w:top w:w="65" w:type="dxa"/>
                    <w:left w:w="85" w:type="dxa"/>
                    <w:bottom w:w="65" w:type="dxa"/>
                    <w:right w:w="85" w:type="dxa"/>
                  </w:tcMar>
                </w:tcPr>
                <w:p w14:paraId="01B22434" w14:textId="79090C95" w:rsidR="00747559" w:rsidRPr="005E3ED7" w:rsidRDefault="0035318F">
                  <w:pPr>
                    <w:spacing w:after="0" w:line="235" w:lineRule="auto"/>
                    <w:jc w:val="center"/>
                    <w:rPr>
                      <w:color w:val="215868" w:themeColor="accent5" w:themeShade="80"/>
                    </w:rPr>
                  </w:pPr>
                  <w:r w:rsidRPr="005E3ED7">
                    <w:rPr>
                      <w:color w:val="215868" w:themeColor="accent5" w:themeShade="80"/>
                      <w:sz w:val="15"/>
                    </w:rPr>
                    <w:t>Care is documented</w:t>
                  </w:r>
                  <w:r w:rsidR="00E21BDF">
                    <w:rPr>
                      <w:color w:val="215868" w:themeColor="accent5" w:themeShade="80"/>
                      <w:sz w:val="15"/>
                    </w:rPr>
                    <w:t>,</w:t>
                  </w:r>
                  <w:r w:rsidRPr="005E3ED7">
                    <w:rPr>
                      <w:color w:val="215868" w:themeColor="accent5" w:themeShade="80"/>
                      <w:sz w:val="15"/>
                    </w:rPr>
                    <w:t xml:space="preserve"> and relevant information is securely</w:t>
                  </w:r>
                  <w:r w:rsidR="00E21BDF">
                    <w:rPr>
                      <w:color w:val="215868" w:themeColor="accent5" w:themeShade="80"/>
                      <w:sz w:val="15"/>
                    </w:rPr>
                    <w:t xml:space="preserve"> shared</w:t>
                  </w:r>
                  <w:r w:rsidRPr="005E3ED7">
                    <w:rPr>
                      <w:color w:val="215868" w:themeColor="accent5" w:themeShade="80"/>
                      <w:sz w:val="15"/>
                    </w:rPr>
                    <w:t xml:space="preserve"> with the GP or NHS.</w:t>
                  </w:r>
                </w:p>
              </w:tc>
            </w:tr>
          </w:tbl>
          <w:p w14:paraId="3000E55A" w14:textId="77777777" w:rsidR="00747559" w:rsidRDefault="00747559"/>
          <w:p w14:paraId="2D6B8031" w14:textId="77777777" w:rsidR="00747559" w:rsidRDefault="0035318F">
            <w:pPr>
              <w:spacing w:before="40" w:after="0" w:line="240" w:lineRule="auto"/>
            </w:pPr>
            <w:r>
              <w:rPr>
                <w:i/>
                <w:color w:val="52616B"/>
                <w:sz w:val="15"/>
              </w:rPr>
              <w:t>Sources: GPhC (2018); DHSC and NHS England (2025).</w:t>
            </w:r>
          </w:p>
        </w:tc>
      </w:tr>
    </w:tbl>
    <w:p w14:paraId="77949327" w14:textId="77777777" w:rsidR="00747559" w:rsidRDefault="00747559">
      <w:pPr>
        <w:spacing w:after="60" w:line="240" w:lineRule="auto"/>
      </w:pPr>
    </w:p>
    <w:tbl>
      <w:tblPr>
        <w:tblW w:w="15098" w:type="dxa"/>
        <w:jc w:val="center"/>
        <w:tblLayout w:type="fixed"/>
        <w:tblLook w:val="04A0" w:firstRow="1" w:lastRow="0" w:firstColumn="1" w:lastColumn="0" w:noHBand="0" w:noVBand="1"/>
      </w:tblPr>
      <w:tblGrid>
        <w:gridCol w:w="7398"/>
        <w:gridCol w:w="7700"/>
      </w:tblGrid>
      <w:tr w:rsidR="00747559" w14:paraId="3FF843B8" w14:textId="77777777" w:rsidTr="008C31FC">
        <w:trPr>
          <w:jc w:val="center"/>
        </w:trPr>
        <w:tc>
          <w:tcPr>
            <w:tcW w:w="7398" w:type="dxa"/>
            <w:tcBorders>
              <w:top w:val="single" w:sz="12" w:space="0" w:color="A33A3A"/>
              <w:left w:val="single" w:sz="12" w:space="0" w:color="A33A3A"/>
              <w:bottom w:val="single" w:sz="12" w:space="0" w:color="A33A3A"/>
              <w:right w:val="single" w:sz="12" w:space="0" w:color="A33A3A"/>
            </w:tcBorders>
            <w:tcMar>
              <w:top w:w="150" w:type="dxa"/>
              <w:left w:w="170" w:type="dxa"/>
              <w:bottom w:w="140" w:type="dxa"/>
              <w:right w:w="170" w:type="dxa"/>
            </w:tcMar>
          </w:tcPr>
          <w:p w14:paraId="19DE3568" w14:textId="77777777" w:rsidR="00747559" w:rsidRDefault="0035318F">
            <w:pPr>
              <w:keepNext/>
              <w:spacing w:after="100" w:line="240" w:lineRule="auto"/>
            </w:pPr>
            <w:r>
              <w:rPr>
                <w:b/>
                <w:color w:val="A33A3A"/>
                <w:sz w:val="26"/>
              </w:rPr>
              <w:t>Challenge 1: funding and financial sustainability</w:t>
            </w:r>
          </w:p>
          <w:p w14:paraId="7CB3A288" w14:textId="77777777" w:rsidR="00747559" w:rsidRPr="008C31FC" w:rsidRDefault="0035318F">
            <w:pPr>
              <w:spacing w:after="20" w:line="240" w:lineRule="auto"/>
              <w:jc w:val="center"/>
            </w:pPr>
            <w:r w:rsidRPr="008C31FC">
              <w:rPr>
                <w:noProof/>
              </w:rPr>
              <w:drawing>
                <wp:inline distT="0" distB="0" distL="0" distR="0" wp14:anchorId="2717191F" wp14:editId="3C2B8E08">
                  <wp:extent cx="4096512" cy="14328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rmacy_financial_pressures_2026.png"/>
                          <pic:cNvPicPr/>
                        </pic:nvPicPr>
                        <pic:blipFill>
                          <a:blip r:embed="rId11"/>
                          <a:stretch>
                            <a:fillRect/>
                          </a:stretch>
                        </pic:blipFill>
                        <pic:spPr>
                          <a:xfrm>
                            <a:off x="0" y="0"/>
                            <a:ext cx="4096512" cy="1432887"/>
                          </a:xfrm>
                          <a:prstGeom prst="rect">
                            <a:avLst/>
                          </a:prstGeom>
                        </pic:spPr>
                      </pic:pic>
                    </a:graphicData>
                  </a:graphic>
                </wp:inline>
              </w:drawing>
            </w:r>
          </w:p>
          <w:p w14:paraId="126F2DC0" w14:textId="77777777" w:rsidR="00747559" w:rsidRPr="00F6002B" w:rsidRDefault="0035318F">
            <w:pPr>
              <w:spacing w:after="80" w:line="240" w:lineRule="auto"/>
              <w:rPr>
                <w:color w:val="215868" w:themeColor="accent5" w:themeShade="80"/>
                <w:sz w:val="16"/>
                <w:szCs w:val="16"/>
              </w:rPr>
            </w:pPr>
            <w:r w:rsidRPr="00F6002B">
              <w:rPr>
                <w:color w:val="215868" w:themeColor="accent5" w:themeShade="80"/>
                <w:sz w:val="16"/>
                <w:szCs w:val="16"/>
              </w:rPr>
              <w:t>The 2026 survey indicates that funding and reimbursement remain misaligned with operating and medicine costs. Although the 2026/27 settlement increased funding, continued losses can restrict investment, opening hours and capacity to expand clinical care.</w:t>
            </w:r>
          </w:p>
          <w:p w14:paraId="4E3AD96B" w14:textId="268DD3F8" w:rsidR="00747559" w:rsidRPr="008C31FC" w:rsidRDefault="0035318F">
            <w:pPr>
              <w:spacing w:before="40" w:after="0" w:line="240" w:lineRule="auto"/>
              <w:rPr>
                <w:sz w:val="18"/>
                <w:szCs w:val="18"/>
              </w:rPr>
            </w:pPr>
            <w:r w:rsidRPr="008C31FC">
              <w:rPr>
                <w:i/>
                <w:color w:val="52616B"/>
                <w:sz w:val="18"/>
                <w:szCs w:val="18"/>
              </w:rPr>
              <w:t>Chart recreated from original data</w:t>
            </w:r>
            <w:r w:rsidR="00E21BDF">
              <w:rPr>
                <w:i/>
                <w:color w:val="52616B"/>
                <w:sz w:val="18"/>
                <w:szCs w:val="18"/>
              </w:rPr>
              <w:t>—source</w:t>
            </w:r>
            <w:r w:rsidRPr="008C31FC">
              <w:rPr>
                <w:i/>
                <w:color w:val="52616B"/>
                <w:sz w:val="18"/>
                <w:szCs w:val="18"/>
              </w:rPr>
              <w:t>: Community Pharmacy England (2026a; 2026b).</w:t>
            </w:r>
          </w:p>
        </w:tc>
        <w:tc>
          <w:tcPr>
            <w:tcW w:w="7700" w:type="dxa"/>
            <w:tcBorders>
              <w:top w:val="single" w:sz="12" w:space="0" w:color="2F6B8A"/>
              <w:left w:val="single" w:sz="12" w:space="0" w:color="2F6B8A"/>
              <w:bottom w:val="single" w:sz="12" w:space="0" w:color="2F6B8A"/>
              <w:right w:val="single" w:sz="12" w:space="0" w:color="2F6B8A"/>
            </w:tcBorders>
            <w:tcMar>
              <w:top w:w="150" w:type="dxa"/>
              <w:left w:w="170" w:type="dxa"/>
              <w:bottom w:w="140" w:type="dxa"/>
              <w:right w:w="170" w:type="dxa"/>
            </w:tcMar>
          </w:tcPr>
          <w:p w14:paraId="42B3C054" w14:textId="77777777" w:rsidR="00747559" w:rsidRDefault="0035318F">
            <w:pPr>
              <w:keepNext/>
              <w:spacing w:after="100" w:line="240" w:lineRule="auto"/>
            </w:pPr>
            <w:r>
              <w:rPr>
                <w:b/>
                <w:color w:val="2F6B8A"/>
                <w:sz w:val="26"/>
              </w:rPr>
              <w:t>Challenge 2: operational capacity and patient access</w:t>
            </w:r>
          </w:p>
          <w:p w14:paraId="04E623EC" w14:textId="77777777" w:rsidR="00747559" w:rsidRPr="008C31FC" w:rsidRDefault="0035318F">
            <w:pPr>
              <w:spacing w:after="20" w:line="240" w:lineRule="auto"/>
              <w:jc w:val="center"/>
            </w:pPr>
            <w:r w:rsidRPr="008C31FC">
              <w:rPr>
                <w:noProof/>
              </w:rPr>
              <w:drawing>
                <wp:inline distT="0" distB="0" distL="0" distR="0" wp14:anchorId="6DF4A597" wp14:editId="5D818625">
                  <wp:extent cx="4160520" cy="15777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rmacy_patient_access_2026.png"/>
                          <pic:cNvPicPr/>
                        </pic:nvPicPr>
                        <pic:blipFill>
                          <a:blip r:embed="rId12"/>
                          <a:stretch>
                            <a:fillRect/>
                          </a:stretch>
                        </pic:blipFill>
                        <pic:spPr>
                          <a:xfrm>
                            <a:off x="0" y="0"/>
                            <a:ext cx="4160520" cy="1577789"/>
                          </a:xfrm>
                          <a:prstGeom prst="rect">
                            <a:avLst/>
                          </a:prstGeom>
                        </pic:spPr>
                      </pic:pic>
                    </a:graphicData>
                  </a:graphic>
                </wp:inline>
              </w:drawing>
            </w:r>
          </w:p>
          <w:p w14:paraId="0BFCBA34" w14:textId="77777777" w:rsidR="00747559" w:rsidRPr="00F6002B" w:rsidRDefault="0035318F">
            <w:pPr>
              <w:spacing w:after="80" w:line="240" w:lineRule="auto"/>
              <w:rPr>
                <w:color w:val="215868" w:themeColor="accent5" w:themeShade="80"/>
                <w:sz w:val="16"/>
                <w:szCs w:val="16"/>
              </w:rPr>
            </w:pPr>
            <w:r w:rsidRPr="00F6002B">
              <w:rPr>
                <w:color w:val="215868" w:themeColor="accent5" w:themeShade="80"/>
                <w:sz w:val="16"/>
                <w:szCs w:val="16"/>
              </w:rPr>
              <w:t>Growing clinical responsibilities compete with time spent sourcing medicines and managing cost pressures. The consequences are visible to patients through delayed responses, longer waits and less time for advice, weakening pharmacy’s role as an accessible first point of care.</w:t>
            </w:r>
          </w:p>
          <w:p w14:paraId="79800978" w14:textId="4E48D782" w:rsidR="00747559" w:rsidRPr="008C31FC" w:rsidRDefault="0035318F">
            <w:pPr>
              <w:spacing w:before="40" w:after="0" w:line="240" w:lineRule="auto"/>
              <w:rPr>
                <w:sz w:val="18"/>
                <w:szCs w:val="18"/>
              </w:rPr>
            </w:pPr>
            <w:r w:rsidRPr="008C31FC">
              <w:rPr>
                <w:i/>
                <w:color w:val="52616B"/>
                <w:sz w:val="18"/>
                <w:szCs w:val="18"/>
              </w:rPr>
              <w:t>Chart recreated from original data</w:t>
            </w:r>
            <w:r w:rsidR="00E21BDF">
              <w:rPr>
                <w:i/>
                <w:color w:val="52616B"/>
                <w:sz w:val="18"/>
                <w:szCs w:val="18"/>
              </w:rPr>
              <w:t>—source</w:t>
            </w:r>
            <w:r w:rsidRPr="008C31FC">
              <w:rPr>
                <w:i/>
                <w:color w:val="52616B"/>
                <w:sz w:val="18"/>
                <w:szCs w:val="18"/>
              </w:rPr>
              <w:t>: Community Pharmacy England (2026b).</w:t>
            </w:r>
          </w:p>
        </w:tc>
      </w:tr>
    </w:tbl>
    <w:tbl>
      <w:tblPr>
        <w:tblpPr w:leftFromText="180" w:rightFromText="180" w:vertAnchor="text" w:horzAnchor="margin" w:tblpX="120" w:tblpY="333"/>
        <w:tblW w:w="15168" w:type="dxa"/>
        <w:tblLayout w:type="fixed"/>
        <w:tblLook w:val="04A0" w:firstRow="1" w:lastRow="0" w:firstColumn="1" w:lastColumn="0" w:noHBand="0" w:noVBand="1"/>
      </w:tblPr>
      <w:tblGrid>
        <w:gridCol w:w="2256"/>
        <w:gridCol w:w="12912"/>
      </w:tblGrid>
      <w:tr w:rsidR="008C31FC" w14:paraId="5DF6EB46" w14:textId="77777777" w:rsidTr="008C31FC">
        <w:tc>
          <w:tcPr>
            <w:tcW w:w="2256" w:type="dxa"/>
            <w:tcBorders>
              <w:top w:val="single" w:sz="11" w:space="0" w:color="D6A51D"/>
              <w:left w:val="single" w:sz="11" w:space="0" w:color="D6A51D"/>
              <w:bottom w:val="single" w:sz="11" w:space="0" w:color="D6A51D"/>
              <w:right w:val="single" w:sz="11" w:space="0" w:color="D6A51D"/>
            </w:tcBorders>
            <w:shd w:val="clear" w:color="auto" w:fill="D6A51D"/>
            <w:tcMar>
              <w:top w:w="85" w:type="dxa"/>
              <w:left w:w="120" w:type="dxa"/>
              <w:bottom w:w="85" w:type="dxa"/>
              <w:right w:w="120" w:type="dxa"/>
            </w:tcMar>
          </w:tcPr>
          <w:p w14:paraId="324ABEE3" w14:textId="77777777" w:rsidR="008C31FC" w:rsidRDefault="008C31FC" w:rsidP="008C31FC">
            <w:pPr>
              <w:jc w:val="center"/>
            </w:pPr>
            <w:r>
              <w:rPr>
                <w:b/>
                <w:color w:val="18324A"/>
                <w:sz w:val="18"/>
              </w:rPr>
              <w:t>KEY MESSAGE</w:t>
            </w:r>
          </w:p>
        </w:tc>
        <w:tc>
          <w:tcPr>
            <w:tcW w:w="12912" w:type="dxa"/>
            <w:tcBorders>
              <w:top w:val="single" w:sz="11" w:space="0" w:color="D6A51D"/>
              <w:left w:val="single" w:sz="11" w:space="0" w:color="D6A51D"/>
              <w:bottom w:val="single" w:sz="11" w:space="0" w:color="D6A51D"/>
              <w:right w:val="single" w:sz="11" w:space="0" w:color="D6A51D"/>
            </w:tcBorders>
            <w:shd w:val="clear" w:color="auto" w:fill="FFF7DF"/>
            <w:tcMar>
              <w:top w:w="85" w:type="dxa"/>
              <w:left w:w="120" w:type="dxa"/>
              <w:bottom w:w="85" w:type="dxa"/>
              <w:right w:w="120" w:type="dxa"/>
            </w:tcMar>
          </w:tcPr>
          <w:p w14:paraId="7889EA85" w14:textId="23D8BA52" w:rsidR="008C31FC" w:rsidRPr="00F6002B" w:rsidRDefault="008C31FC" w:rsidP="008C31FC">
            <w:pPr>
              <w:spacing w:after="0" w:line="240" w:lineRule="auto"/>
              <w:rPr>
                <w:b/>
                <w:color w:val="215868" w:themeColor="accent5" w:themeShade="80"/>
                <w:sz w:val="18"/>
                <w:szCs w:val="18"/>
              </w:rPr>
            </w:pPr>
            <w:r w:rsidRPr="00F6002B">
              <w:rPr>
                <w:b/>
                <w:color w:val="215868" w:themeColor="accent5" w:themeShade="80"/>
                <w:sz w:val="18"/>
                <w:szCs w:val="18"/>
              </w:rPr>
              <w:t>Pharmacy has developed from a medicine-supply profession into an accessible clinical service. Its contribution to prevention and NHS capacity depends on funding and staffing</w:t>
            </w:r>
            <w:r w:rsidR="00E21BDF">
              <w:rPr>
                <w:b/>
                <w:color w:val="215868" w:themeColor="accent5" w:themeShade="80"/>
                <w:sz w:val="18"/>
                <w:szCs w:val="18"/>
              </w:rPr>
              <w:t xml:space="preserve"> to</w:t>
            </w:r>
            <w:r w:rsidRPr="00F6002B">
              <w:rPr>
                <w:b/>
                <w:color w:val="215868" w:themeColor="accent5" w:themeShade="80"/>
                <w:sz w:val="18"/>
                <w:szCs w:val="18"/>
              </w:rPr>
              <w:t xml:space="preserve"> keep pace with its expanded role.</w:t>
            </w:r>
          </w:p>
        </w:tc>
      </w:tr>
    </w:tbl>
    <w:p w14:paraId="514681D3" w14:textId="77777777" w:rsidR="00747559" w:rsidRDefault="00747559">
      <w:pPr>
        <w:sectPr w:rsidR="00747559" w:rsidSect="003976A2">
          <w:headerReference w:type="default" r:id="rId13"/>
          <w:footerReference w:type="default" r:id="rId14"/>
          <w:pgSz w:w="16834" w:h="11909" w:orient="landscape"/>
          <w:pgMar w:top="792" w:right="792" w:bottom="792" w:left="792" w:header="504" w:footer="504" w:gutter="0"/>
          <w:pgBorders w:offsetFrom="page">
            <w:top w:val="single" w:sz="2" w:space="24" w:color="8DB3E2" w:themeColor="text2" w:themeTint="66"/>
            <w:left w:val="single" w:sz="2" w:space="24" w:color="8DB3E2" w:themeColor="text2" w:themeTint="66"/>
            <w:bottom w:val="single" w:sz="2" w:space="24" w:color="8DB3E2" w:themeColor="text2" w:themeTint="66"/>
            <w:right w:val="single" w:sz="2" w:space="24" w:color="8DB3E2" w:themeColor="text2" w:themeTint="66"/>
          </w:pgBorders>
          <w:cols w:space="720"/>
          <w:docGrid w:linePitch="360"/>
        </w:sectPr>
      </w:pPr>
    </w:p>
    <w:p w14:paraId="18EF51E6" w14:textId="3EA3C855" w:rsidR="000D6F94" w:rsidRDefault="000D6F94"/>
    <w:p w14:paraId="30259AA7" w14:textId="77777777" w:rsidR="00747559" w:rsidRPr="009142BD" w:rsidRDefault="0035318F" w:rsidP="008C31FC">
      <w:pPr>
        <w:pStyle w:val="Title"/>
        <w:keepNext w:val="0"/>
        <w:jc w:val="center"/>
        <w:rPr>
          <w:color w:val="215868" w:themeColor="accent5" w:themeShade="80"/>
        </w:rPr>
      </w:pPr>
      <w:r w:rsidRPr="009142BD">
        <w:rPr>
          <w:rFonts w:ascii="Arial" w:hAnsi="Arial"/>
          <w:color w:val="215868" w:themeColor="accent5" w:themeShade="80"/>
          <w:sz w:val="44"/>
        </w:rPr>
        <w:t>Community Mental Health Services</w:t>
      </w:r>
    </w:p>
    <w:p w14:paraId="2DAAD80E" w14:textId="77777777" w:rsidR="00933BCC" w:rsidRPr="008F0E9E" w:rsidRDefault="00933BCC" w:rsidP="00933BCC">
      <w:pPr>
        <w:spacing w:after="160"/>
        <w:rPr>
          <w:color w:val="215868" w:themeColor="accent5" w:themeShade="80"/>
        </w:rPr>
      </w:pPr>
      <w:r w:rsidRPr="008F0E9E">
        <w:rPr>
          <w:color w:val="215868" w:themeColor="accent5" w:themeShade="80"/>
        </w:rPr>
        <w:t>Community mental health services provide assessment, treatment and social support while enabling people to remain in their homes and communities. This essay examines their historical development in England, evaluates contemporary delivery and considers their contribution to quality of life.</w:t>
      </w:r>
    </w:p>
    <w:p w14:paraId="0E2F4D55" w14:textId="19EC8C18" w:rsidR="00933BCC" w:rsidRPr="008F0E9E" w:rsidRDefault="00933BCC" w:rsidP="00933BCC">
      <w:pPr>
        <w:spacing w:after="160"/>
        <w:rPr>
          <w:color w:val="215868" w:themeColor="accent5" w:themeShade="80"/>
        </w:rPr>
      </w:pPr>
      <w:r w:rsidRPr="008F0E9E">
        <w:rPr>
          <w:color w:val="215868" w:themeColor="accent5" w:themeShade="80"/>
        </w:rPr>
        <w:t xml:space="preserve">Before community provision became dominant, people with severe mental illness were commonly treated in large, long-stay psychiatric hospitals. Although these institutions offered shelter and specialist care, segregation could restrict autonomy and separate people from family and community life (Wright, Bartlett and Callaghan, 2008). Post-war changes in treatment and social attitudes encouraged deinstitutionalisation, but the transition was neither automatic nor consistently progressive (Calabria and Cullen, 2024). The development of effective psychiatric medications and growing criticism of long-term institutional care also supported the shift towards treating people in less restrictive, community-based settings (Calabria and Cullen, 2024; Wright, Bartlett and Callaghan, 2008). The </w:t>
      </w:r>
      <w:r w:rsidRPr="008F0E9E">
        <w:rPr>
          <w:i/>
          <w:iCs/>
          <w:color w:val="215868" w:themeColor="accent5" w:themeShade="80"/>
        </w:rPr>
        <w:t>Mental Health Act 1959</w:t>
      </w:r>
      <w:r w:rsidRPr="008F0E9E">
        <w:rPr>
          <w:color w:val="215868" w:themeColor="accent5" w:themeShade="80"/>
        </w:rPr>
        <w:t xml:space="preserve"> supported informal treatment and a movement towards community provision (</w:t>
      </w:r>
      <w:r w:rsidRPr="008F0E9E">
        <w:rPr>
          <w:i/>
          <w:iCs/>
          <w:color w:val="215868" w:themeColor="accent5" w:themeShade="80"/>
        </w:rPr>
        <w:t>Mental Health Act 1959</w:t>
      </w:r>
      <w:r w:rsidRPr="008F0E9E">
        <w:rPr>
          <w:color w:val="215868" w:themeColor="accent5" w:themeShade="80"/>
        </w:rPr>
        <w:t xml:space="preserve">; Wright, Bartlett and Callaghan, 2008). Powell’s 1961 ‘Water Tower’ speech then anticipated closure of much of the asylum system and greater use of local and </w:t>
      </w:r>
      <w:r w:rsidR="00F83621" w:rsidRPr="008F0E9E">
        <w:rPr>
          <w:color w:val="215868" w:themeColor="accent5" w:themeShade="80"/>
        </w:rPr>
        <w:t>general hospital</w:t>
      </w:r>
      <w:r w:rsidRPr="008F0E9E">
        <w:rPr>
          <w:color w:val="215868" w:themeColor="accent5" w:themeShade="80"/>
        </w:rPr>
        <w:t xml:space="preserve"> services (Nuffield Trust, n.d.). Implementation was slow as financial constraints meant community services remained limited even after national policy had changed (Calabria and Cullen, 2024).</w:t>
      </w:r>
    </w:p>
    <w:p w14:paraId="47B66ADA" w14:textId="77777777" w:rsidR="00933BCC" w:rsidRPr="008F0E9E" w:rsidRDefault="00933BCC" w:rsidP="00933BCC">
      <w:pPr>
        <w:spacing w:after="160"/>
        <w:rPr>
          <w:color w:val="215868" w:themeColor="accent5" w:themeShade="80"/>
        </w:rPr>
      </w:pPr>
      <w:r w:rsidRPr="008F0E9E">
        <w:rPr>
          <w:color w:val="215868" w:themeColor="accent5" w:themeShade="80"/>
        </w:rPr>
        <w:t xml:space="preserve">The 1989 white paper </w:t>
      </w:r>
      <w:r w:rsidRPr="008F0E9E">
        <w:rPr>
          <w:i/>
          <w:iCs/>
          <w:color w:val="215868" w:themeColor="accent5" w:themeShade="80"/>
        </w:rPr>
        <w:t>Caring for People</w:t>
      </w:r>
      <w:r w:rsidRPr="008F0E9E">
        <w:rPr>
          <w:color w:val="215868" w:themeColor="accent5" w:themeShade="80"/>
        </w:rPr>
        <w:t xml:space="preserve"> sought clearer assessment, care management and local accountability, and these principles were later reinforced through the </w:t>
      </w:r>
      <w:r w:rsidRPr="008F0E9E">
        <w:rPr>
          <w:i/>
          <w:iCs/>
          <w:color w:val="215868" w:themeColor="accent5" w:themeShade="80"/>
        </w:rPr>
        <w:t>National Health Service and Community Care Act 1990</w:t>
      </w:r>
      <w:r w:rsidRPr="008F0E9E">
        <w:rPr>
          <w:color w:val="215868" w:themeColor="accent5" w:themeShade="80"/>
        </w:rPr>
        <w:t xml:space="preserve"> (Department of Health, 1989; Langan, 1990; </w:t>
      </w:r>
      <w:r w:rsidRPr="008F0E9E">
        <w:rPr>
          <w:i/>
          <w:iCs/>
          <w:color w:val="215868" w:themeColor="accent5" w:themeShade="80"/>
        </w:rPr>
        <w:t>National Health Service and Community Care Act 1990</w:t>
      </w:r>
      <w:r w:rsidRPr="008F0E9E">
        <w:rPr>
          <w:color w:val="215868" w:themeColor="accent5" w:themeShade="80"/>
        </w:rPr>
        <w:t>). The reforms created a mixed system involving the NHS, local authorities, voluntary organisations and informal carers. However, closing hospital beds without equivalent investment in housing, social care and continuing treatment exposed gaps between policy ambitions and service users’ experiences (Jones, 1993; Calabria and Cullen, 2024). Modern community services therefore emerged not simply as a replacement for hospitals but as a means of coordinating clinical and social support within everyday life.</w:t>
      </w:r>
    </w:p>
    <w:p w14:paraId="3C2E1725" w14:textId="77777777" w:rsidR="00933BCC" w:rsidRPr="008F0E9E" w:rsidRDefault="00933BCC" w:rsidP="00933BCC">
      <w:pPr>
        <w:spacing w:after="160"/>
        <w:rPr>
          <w:color w:val="215868" w:themeColor="accent5" w:themeShade="80"/>
        </w:rPr>
      </w:pPr>
      <w:r w:rsidRPr="008F0E9E">
        <w:rPr>
          <w:color w:val="215868" w:themeColor="accent5" w:themeShade="80"/>
        </w:rPr>
        <w:t xml:space="preserve">Today, community provision includes Community Mental Health Teams (CMHTs), Crisis Resolution and Home Treatment Teams, Early Intervention in Psychosis services and NHS Talking Therapies for anxiety and depression. Referral may occur through primary care, self-referral or urgent pathways. Multidisciplinary teams can combine psychiatry, nursing, psychology, occupational therapy, social work, medicines management and peer support. NHS England (2019) argues that this place-based model should provide personalised, trauma-informed care alongside </w:t>
      </w:r>
      <w:r w:rsidR="001B439D" w:rsidRPr="008F0E9E">
        <w:rPr>
          <w:color w:val="215868" w:themeColor="accent5" w:themeShade="80"/>
        </w:rPr>
        <w:t>physical health</w:t>
      </w:r>
      <w:r w:rsidRPr="008F0E9E">
        <w:rPr>
          <w:color w:val="215868" w:themeColor="accent5" w:themeShade="80"/>
        </w:rPr>
        <w:t>, employment and social support. NHS Talking Therapies also offers evidence-based interventions for common anxiety and depression, often through self-referral (NHS England, 2024). These arrangements can be more accessible and holistic than care organised solely around hospital treatment.</w:t>
      </w:r>
    </w:p>
    <w:p w14:paraId="4F3ABA23" w14:textId="77777777" w:rsidR="00933BCC" w:rsidRPr="008F0E9E" w:rsidRDefault="00933BCC" w:rsidP="00933BCC">
      <w:pPr>
        <w:spacing w:after="160"/>
        <w:rPr>
          <w:color w:val="215868" w:themeColor="accent5" w:themeShade="80"/>
        </w:rPr>
      </w:pPr>
      <w:r w:rsidRPr="008F0E9E">
        <w:rPr>
          <w:color w:val="215868" w:themeColor="accent5" w:themeShade="80"/>
        </w:rPr>
        <w:t>Nevertheless, provision remains uneven. Thresholds between primary care, Talking Therapies and specialist CMHTs can leave people with substantial needs in a ‘missing middle’, while workforce vacancies, demand and waiting times restrict continuity and preventive work (House of Commons Library, 2024a; 2026b). A nominally community-based system may therefore become reactive, offering intensive help only after deterioration. Local variation also challenges equitable access, and repeated assessments or transfers can undermine therapeutic relationships. Community location alone does not guarantee timely, coordinated or person-centred care.</w:t>
      </w:r>
    </w:p>
    <w:p w14:paraId="1B03A66F" w14:textId="4B7EEEF4" w:rsidR="00933BCC" w:rsidRPr="008F0E9E" w:rsidRDefault="00933BCC" w:rsidP="00933BCC">
      <w:pPr>
        <w:spacing w:after="160"/>
        <w:rPr>
          <w:color w:val="215868" w:themeColor="accent5" w:themeShade="80"/>
        </w:rPr>
      </w:pPr>
      <w:r w:rsidRPr="008F0E9E">
        <w:rPr>
          <w:color w:val="215868" w:themeColor="accent5" w:themeShade="80"/>
        </w:rPr>
        <w:t>When adequately resourced, these services can improve quality of life by supporting autonomy, housing, family relationships, education and employment. Care in familiar surroundings may reduce disruption, while shared planning can increase choice and control (NHS England, 2019). Crisis and early-intervention services may prevent avoidable admission, but delayed access and fragmented follow-up can increase distress and carer pressure (House of Commons Library, 2024a). Quality of life</w:t>
      </w:r>
      <w:r w:rsidR="000379C6">
        <w:rPr>
          <w:color w:val="215868" w:themeColor="accent5" w:themeShade="80"/>
        </w:rPr>
        <w:t xml:space="preserve">, </w:t>
      </w:r>
      <w:r w:rsidRPr="008F0E9E">
        <w:rPr>
          <w:color w:val="215868" w:themeColor="accent5" w:themeShade="80"/>
        </w:rPr>
        <w:t>therefore</w:t>
      </w:r>
      <w:r w:rsidR="000379C6">
        <w:rPr>
          <w:color w:val="215868" w:themeColor="accent5" w:themeShade="80"/>
        </w:rPr>
        <w:t>, depends</w:t>
      </w:r>
      <w:r w:rsidRPr="008F0E9E">
        <w:rPr>
          <w:color w:val="215868" w:themeColor="accent5" w:themeShade="80"/>
        </w:rPr>
        <w:t xml:space="preserve"> on continuity, cultural responsiveness</w:t>
      </w:r>
      <w:r w:rsidR="00E21BDF">
        <w:rPr>
          <w:color w:val="215868" w:themeColor="accent5" w:themeShade="80"/>
        </w:rPr>
        <w:t xml:space="preserve">, and </w:t>
      </w:r>
      <w:r w:rsidRPr="008F0E9E">
        <w:rPr>
          <w:color w:val="215868" w:themeColor="accent5" w:themeShade="80"/>
        </w:rPr>
        <w:t>integration across health, social care, housing and voluntary services. Overall, deinstitutionalisation enabled a more recovery-focused approach, but its promise is fulfilled only when community support is available before needs escalate into crisis.</w:t>
      </w:r>
    </w:p>
    <w:p w14:paraId="7614C25E" w14:textId="77777777" w:rsidR="00933BCC" w:rsidRDefault="00933BCC" w:rsidP="00933BCC"/>
    <w:p w14:paraId="15718C62" w14:textId="77777777" w:rsidR="00747559" w:rsidRDefault="0035318F">
      <w:r>
        <w:br w:type="page"/>
      </w:r>
    </w:p>
    <w:p w14:paraId="4023455F" w14:textId="77777777" w:rsidR="00747559" w:rsidRPr="009142BD" w:rsidRDefault="0035318F" w:rsidP="009142BD">
      <w:pPr>
        <w:pStyle w:val="Title"/>
        <w:keepNext w:val="0"/>
        <w:jc w:val="center"/>
        <w:rPr>
          <w:color w:val="215868" w:themeColor="accent5" w:themeShade="80"/>
        </w:rPr>
      </w:pPr>
      <w:r w:rsidRPr="009142BD">
        <w:rPr>
          <w:rFonts w:ascii="Arial" w:hAnsi="Arial"/>
          <w:color w:val="215868" w:themeColor="accent5" w:themeShade="80"/>
          <w:sz w:val="44"/>
        </w:rPr>
        <w:t>References</w:t>
      </w:r>
    </w:p>
    <w:p w14:paraId="24292913" w14:textId="285D2F4E" w:rsidR="00F909B2" w:rsidRPr="00D979FE" w:rsidRDefault="00F909B2" w:rsidP="00F45C80">
      <w:pPr>
        <w:spacing w:after="100"/>
        <w:ind w:left="357" w:hanging="357"/>
        <w:rPr>
          <w:color w:val="215868" w:themeColor="accent5" w:themeShade="80"/>
          <w:lang w:val="en-GB"/>
        </w:rPr>
      </w:pPr>
      <w:r w:rsidRPr="00D979FE">
        <w:rPr>
          <w:color w:val="215868" w:themeColor="accent5" w:themeShade="80"/>
          <w:lang w:val="en-GB"/>
        </w:rPr>
        <w:t xml:space="preserve">Anderson, S. (2007) ‘Community pharmacy and public health in Great Britain, 1936 to 2006: how the phoenix rose from the ashes’, </w:t>
      </w:r>
      <w:r w:rsidRPr="00D979FE">
        <w:rPr>
          <w:i/>
          <w:iCs/>
          <w:color w:val="215868" w:themeColor="accent5" w:themeShade="80"/>
          <w:lang w:val="en-GB"/>
        </w:rPr>
        <w:t>Journal of Epidemiology and Community Health</w:t>
      </w:r>
      <w:r w:rsidRPr="00D979FE">
        <w:rPr>
          <w:color w:val="215868" w:themeColor="accent5" w:themeShade="80"/>
          <w:lang w:val="en-GB"/>
        </w:rPr>
        <w:t xml:space="preserve">, 61(10), pp. 844–848. Available at: </w:t>
      </w:r>
      <w:hyperlink r:id="rId15" w:history="1">
        <w:r w:rsidR="005627D7" w:rsidRPr="00393DAB">
          <w:rPr>
            <w:rStyle w:val="Hyperlink"/>
            <w:lang w:val="en-GB"/>
          </w:rPr>
          <w:t>https://doi.org/10.1136/jech.2006.055442</w:t>
        </w:r>
      </w:hyperlink>
      <w:r w:rsidR="005627D7">
        <w:rPr>
          <w:color w:val="215868" w:themeColor="accent5" w:themeShade="80"/>
          <w:lang w:val="en-GB"/>
        </w:rPr>
        <w:t xml:space="preserve"> </w:t>
      </w:r>
      <w:r w:rsidRPr="00D979FE">
        <w:rPr>
          <w:color w:val="215868" w:themeColor="accent5" w:themeShade="80"/>
          <w:lang w:val="en-GB"/>
        </w:rPr>
        <w:t xml:space="preserve"> (Accessed: 30 July 2026).</w:t>
      </w:r>
    </w:p>
    <w:p w14:paraId="5A199664" w14:textId="7F94970B" w:rsidR="00F909B2" w:rsidRPr="00D979FE" w:rsidRDefault="00F909B2" w:rsidP="00F45C80">
      <w:pPr>
        <w:spacing w:after="100"/>
        <w:ind w:left="357" w:hanging="357"/>
        <w:rPr>
          <w:color w:val="215868" w:themeColor="accent5" w:themeShade="80"/>
          <w:lang w:val="en-GB"/>
        </w:rPr>
      </w:pPr>
      <w:r w:rsidRPr="00D979FE">
        <w:rPr>
          <w:color w:val="215868" w:themeColor="accent5" w:themeShade="80"/>
          <w:lang w:val="en-GB"/>
        </w:rPr>
        <w:t xml:space="preserve">Calabria, V. and Cullen, L.T. (2024) ‘Deinstitutionalisation and the move to community care: comparing the changing dimensions of mental healthcare after 1922 in the Republic of Ireland and England’, </w:t>
      </w:r>
      <w:r w:rsidRPr="00D979FE">
        <w:rPr>
          <w:i/>
          <w:iCs/>
          <w:color w:val="215868" w:themeColor="accent5" w:themeShade="80"/>
          <w:lang w:val="en-GB"/>
        </w:rPr>
        <w:t>History of Psychiatry</w:t>
      </w:r>
      <w:r w:rsidRPr="00D979FE">
        <w:rPr>
          <w:color w:val="215868" w:themeColor="accent5" w:themeShade="80"/>
          <w:lang w:val="en-GB"/>
        </w:rPr>
        <w:t xml:space="preserve">, 35(2), pp. 141–157. Available at: </w:t>
      </w:r>
      <w:hyperlink r:id="rId16" w:history="1">
        <w:r w:rsidR="005627D7" w:rsidRPr="00393DAB">
          <w:rPr>
            <w:rStyle w:val="Hyperlink"/>
            <w:lang w:val="en-GB"/>
          </w:rPr>
          <w:t>https://doi.org/10.1177/0957154X241231057</w:t>
        </w:r>
      </w:hyperlink>
      <w:r w:rsidR="005627D7">
        <w:rPr>
          <w:color w:val="215868" w:themeColor="accent5" w:themeShade="80"/>
          <w:lang w:val="en-GB"/>
        </w:rPr>
        <w:t xml:space="preserve"> </w:t>
      </w:r>
      <w:r w:rsidRPr="00D979FE">
        <w:rPr>
          <w:color w:val="215868" w:themeColor="accent5" w:themeShade="80"/>
          <w:lang w:val="en-GB"/>
        </w:rPr>
        <w:t xml:space="preserve"> (Accessed: 3 August 2026).</w:t>
      </w:r>
    </w:p>
    <w:p w14:paraId="22AB6806" w14:textId="15EF5111" w:rsidR="00F909B2" w:rsidRPr="00D979FE" w:rsidRDefault="00F909B2" w:rsidP="00F45C80">
      <w:pPr>
        <w:spacing w:after="100"/>
        <w:ind w:left="357" w:hanging="357"/>
        <w:rPr>
          <w:color w:val="215868" w:themeColor="accent5" w:themeShade="80"/>
          <w:lang w:val="en-GB"/>
        </w:rPr>
      </w:pPr>
      <w:r w:rsidRPr="00D979FE">
        <w:rPr>
          <w:color w:val="215868" w:themeColor="accent5" w:themeShade="80"/>
          <w:lang w:val="en-GB"/>
        </w:rPr>
        <w:t>Community Pharmacy England (2026a)</w:t>
      </w:r>
      <w:r w:rsidR="00C34752">
        <w:rPr>
          <w:color w:val="215868" w:themeColor="accent5" w:themeShade="80"/>
          <w:lang w:val="en-GB"/>
        </w:rPr>
        <w:t>.</w:t>
      </w:r>
      <w:r w:rsidRPr="00D979FE">
        <w:rPr>
          <w:color w:val="215868" w:themeColor="accent5" w:themeShade="80"/>
          <w:lang w:val="en-GB"/>
        </w:rPr>
        <w:t xml:space="preserve"> </w:t>
      </w:r>
      <w:r w:rsidRPr="00D979FE">
        <w:rPr>
          <w:i/>
          <w:iCs/>
          <w:color w:val="215868" w:themeColor="accent5" w:themeShade="80"/>
          <w:lang w:val="en-GB"/>
        </w:rPr>
        <w:t xml:space="preserve">CPE secures 10% funding </w:t>
      </w:r>
      <w:r w:rsidR="00D263E0" w:rsidRPr="00D979FE">
        <w:rPr>
          <w:i/>
          <w:iCs/>
          <w:color w:val="215868" w:themeColor="accent5" w:themeShade="80"/>
          <w:lang w:val="en-GB"/>
        </w:rPr>
        <w:t>rise but</w:t>
      </w:r>
      <w:r w:rsidRPr="00D979FE">
        <w:rPr>
          <w:i/>
          <w:iCs/>
          <w:color w:val="215868" w:themeColor="accent5" w:themeShade="80"/>
          <w:lang w:val="en-GB"/>
        </w:rPr>
        <w:t xml:space="preserve"> pushes for reform</w:t>
      </w:r>
      <w:r w:rsidRPr="00D979FE">
        <w:rPr>
          <w:color w:val="215868" w:themeColor="accent5" w:themeShade="80"/>
          <w:lang w:val="en-GB"/>
        </w:rPr>
        <w:t xml:space="preserve">. Available at: </w:t>
      </w:r>
      <w:hyperlink r:id="rId17" w:history="1">
        <w:r w:rsidR="00C34752" w:rsidRPr="00393DAB">
          <w:rPr>
            <w:rStyle w:val="Hyperlink"/>
            <w:lang w:val="en-GB"/>
          </w:rPr>
          <w:t>https://cpe.org.uk/our-news/cpe-secures-10-funding-rise-but-pushes-for-reform/</w:t>
        </w:r>
      </w:hyperlink>
      <w:r w:rsidR="00C34752">
        <w:rPr>
          <w:color w:val="215868" w:themeColor="accent5" w:themeShade="80"/>
          <w:lang w:val="en-GB"/>
        </w:rPr>
        <w:t xml:space="preserve"> </w:t>
      </w:r>
      <w:r w:rsidRPr="00D979FE">
        <w:rPr>
          <w:color w:val="215868" w:themeColor="accent5" w:themeShade="80"/>
          <w:lang w:val="en-GB"/>
        </w:rPr>
        <w:t xml:space="preserve"> (Accessed: 3 August 2026).</w:t>
      </w:r>
    </w:p>
    <w:p w14:paraId="24C28506" w14:textId="4FA65AFB" w:rsidR="00F909B2" w:rsidRPr="00D979FE" w:rsidRDefault="00F909B2" w:rsidP="00F45C80">
      <w:pPr>
        <w:spacing w:after="100"/>
        <w:ind w:left="357" w:hanging="357"/>
        <w:rPr>
          <w:color w:val="215868" w:themeColor="accent5" w:themeShade="80"/>
          <w:lang w:val="en-GB"/>
        </w:rPr>
      </w:pPr>
      <w:r w:rsidRPr="00D979FE">
        <w:rPr>
          <w:color w:val="215868" w:themeColor="accent5" w:themeShade="80"/>
          <w:lang w:val="en-GB"/>
        </w:rPr>
        <w:t>Community Pharmacy England (2026b)</w:t>
      </w:r>
      <w:r w:rsidR="00C34752">
        <w:rPr>
          <w:color w:val="215868" w:themeColor="accent5" w:themeShade="80"/>
          <w:lang w:val="en-GB"/>
        </w:rPr>
        <w:t>.</w:t>
      </w:r>
      <w:r w:rsidRPr="00D979FE">
        <w:rPr>
          <w:color w:val="215868" w:themeColor="accent5" w:themeShade="80"/>
          <w:lang w:val="en-GB"/>
        </w:rPr>
        <w:t xml:space="preserve"> </w:t>
      </w:r>
      <w:r w:rsidRPr="00D979FE">
        <w:rPr>
          <w:i/>
          <w:iCs/>
          <w:color w:val="215868" w:themeColor="accent5" w:themeShade="80"/>
          <w:lang w:val="en-GB"/>
        </w:rPr>
        <w:t>Pharmacy pressures hitting patients</w:t>
      </w:r>
      <w:r w:rsidRPr="00D979FE">
        <w:rPr>
          <w:color w:val="215868" w:themeColor="accent5" w:themeShade="80"/>
          <w:lang w:val="en-GB"/>
        </w:rPr>
        <w:t xml:space="preserve">. Available at: </w:t>
      </w:r>
      <w:hyperlink r:id="rId18" w:history="1">
        <w:r w:rsidR="00C34752" w:rsidRPr="00393DAB">
          <w:rPr>
            <w:rStyle w:val="Hyperlink"/>
            <w:lang w:val="en-GB"/>
          </w:rPr>
          <w:t>https://cpe.org.uk/pharmacy-pressures-hitting-patients/</w:t>
        </w:r>
      </w:hyperlink>
      <w:r w:rsidR="00C34752">
        <w:rPr>
          <w:color w:val="215868" w:themeColor="accent5" w:themeShade="80"/>
          <w:lang w:val="en-GB"/>
        </w:rPr>
        <w:t xml:space="preserve"> </w:t>
      </w:r>
      <w:r w:rsidRPr="00D979FE">
        <w:rPr>
          <w:color w:val="215868" w:themeColor="accent5" w:themeShade="80"/>
          <w:lang w:val="en-GB"/>
        </w:rPr>
        <w:t>(Accessed: 3 August 2026).</w:t>
      </w:r>
    </w:p>
    <w:p w14:paraId="5575FEA9" w14:textId="3C842C95" w:rsidR="00F909B2" w:rsidRPr="00D979FE" w:rsidRDefault="00F909B2" w:rsidP="00F45C80">
      <w:pPr>
        <w:spacing w:after="100"/>
        <w:ind w:left="357" w:hanging="357"/>
        <w:rPr>
          <w:color w:val="215868" w:themeColor="accent5" w:themeShade="80"/>
          <w:lang w:val="en-GB"/>
        </w:rPr>
      </w:pPr>
      <w:r w:rsidRPr="00D979FE">
        <w:rPr>
          <w:color w:val="215868" w:themeColor="accent5" w:themeShade="80"/>
          <w:lang w:val="en-GB"/>
        </w:rPr>
        <w:t xml:space="preserve">Cunha Leal, M.L.G., Rodrigues, A.R., Bell, V. and Forrester, M. (2025) ‘Exploring the evolving role of pharmaceutical services in community pharmacies: insights from the USA, England, and Portugal’, </w:t>
      </w:r>
      <w:r w:rsidRPr="00D979FE">
        <w:rPr>
          <w:i/>
          <w:iCs/>
          <w:color w:val="215868" w:themeColor="accent5" w:themeShade="80"/>
          <w:lang w:val="en-GB"/>
        </w:rPr>
        <w:t>Healthcare</w:t>
      </w:r>
      <w:r w:rsidRPr="00D979FE">
        <w:rPr>
          <w:color w:val="215868" w:themeColor="accent5" w:themeShade="80"/>
          <w:lang w:val="en-GB"/>
        </w:rPr>
        <w:t xml:space="preserve">, 13(15), 1786. Available at: </w:t>
      </w:r>
      <w:hyperlink r:id="rId19" w:history="1">
        <w:r w:rsidR="00C34752" w:rsidRPr="00393DAB">
          <w:rPr>
            <w:rStyle w:val="Hyperlink"/>
            <w:lang w:val="en-GB"/>
          </w:rPr>
          <w:t>https://doi.org/10.3390/healthcare13151786</w:t>
        </w:r>
      </w:hyperlink>
      <w:r w:rsidR="00C34752">
        <w:rPr>
          <w:color w:val="215868" w:themeColor="accent5" w:themeShade="80"/>
          <w:lang w:val="en-GB"/>
        </w:rPr>
        <w:t xml:space="preserve"> </w:t>
      </w:r>
      <w:r w:rsidRPr="00D979FE">
        <w:rPr>
          <w:color w:val="215868" w:themeColor="accent5" w:themeShade="80"/>
          <w:lang w:val="en-GB"/>
        </w:rPr>
        <w:t xml:space="preserve"> (Accessed: 30 July 2026).</w:t>
      </w:r>
    </w:p>
    <w:p w14:paraId="2AB77E2D" w14:textId="2276DDBC" w:rsidR="00F909B2" w:rsidRPr="00D979FE" w:rsidRDefault="00F909B2" w:rsidP="00F45C80">
      <w:pPr>
        <w:spacing w:after="100"/>
        <w:ind w:left="357" w:hanging="357"/>
        <w:rPr>
          <w:color w:val="215868" w:themeColor="accent5" w:themeShade="80"/>
          <w:lang w:val="en-GB"/>
        </w:rPr>
      </w:pPr>
      <w:r w:rsidRPr="00D979FE">
        <w:rPr>
          <w:color w:val="215868" w:themeColor="accent5" w:themeShade="80"/>
          <w:lang w:val="en-GB"/>
        </w:rPr>
        <w:t>Department of Health (1989)</w:t>
      </w:r>
      <w:r w:rsidR="00C34752">
        <w:rPr>
          <w:color w:val="215868" w:themeColor="accent5" w:themeShade="80"/>
          <w:lang w:val="en-GB"/>
        </w:rPr>
        <w:t>.</w:t>
      </w:r>
      <w:r w:rsidRPr="00D979FE">
        <w:rPr>
          <w:color w:val="215868" w:themeColor="accent5" w:themeShade="80"/>
          <w:lang w:val="en-GB"/>
        </w:rPr>
        <w:t xml:space="preserve"> </w:t>
      </w:r>
      <w:r w:rsidRPr="00D979FE">
        <w:rPr>
          <w:i/>
          <w:iCs/>
          <w:color w:val="215868" w:themeColor="accent5" w:themeShade="80"/>
          <w:lang w:val="en-GB"/>
        </w:rPr>
        <w:t>Caring for People: Community Care in the Next Decade and Beyond</w:t>
      </w:r>
      <w:r w:rsidRPr="00D979FE">
        <w:rPr>
          <w:color w:val="215868" w:themeColor="accent5" w:themeShade="80"/>
          <w:lang w:val="en-GB"/>
        </w:rPr>
        <w:t>. London: HMSO.</w:t>
      </w:r>
    </w:p>
    <w:p w14:paraId="5C704396" w14:textId="7EBC6B91" w:rsidR="00F909B2" w:rsidRPr="00D979FE" w:rsidRDefault="00F909B2" w:rsidP="00F45C80">
      <w:pPr>
        <w:spacing w:after="100"/>
        <w:ind w:left="357" w:hanging="357"/>
        <w:rPr>
          <w:color w:val="215868" w:themeColor="accent5" w:themeShade="80"/>
          <w:lang w:val="en-GB"/>
        </w:rPr>
      </w:pPr>
      <w:r w:rsidRPr="00D979FE">
        <w:rPr>
          <w:color w:val="215868" w:themeColor="accent5" w:themeShade="80"/>
          <w:lang w:val="en-GB"/>
        </w:rPr>
        <w:t>Department of Health (2008)</w:t>
      </w:r>
      <w:r w:rsidR="00C34752">
        <w:rPr>
          <w:color w:val="215868" w:themeColor="accent5" w:themeShade="80"/>
          <w:lang w:val="en-GB"/>
        </w:rPr>
        <w:t>.</w:t>
      </w:r>
      <w:r w:rsidRPr="00D979FE">
        <w:rPr>
          <w:color w:val="215868" w:themeColor="accent5" w:themeShade="80"/>
          <w:lang w:val="en-GB"/>
        </w:rPr>
        <w:t xml:space="preserve"> </w:t>
      </w:r>
      <w:r w:rsidRPr="00D979FE">
        <w:rPr>
          <w:i/>
          <w:iCs/>
          <w:color w:val="215868" w:themeColor="accent5" w:themeShade="80"/>
          <w:lang w:val="en-GB"/>
        </w:rPr>
        <w:t>Pharmacy in England: Building on Strengths – Delivering the Future</w:t>
      </w:r>
      <w:r w:rsidRPr="00D979FE">
        <w:rPr>
          <w:color w:val="215868" w:themeColor="accent5" w:themeShade="80"/>
          <w:lang w:val="en-GB"/>
        </w:rPr>
        <w:t>. London: Department of Health. Available at:</w:t>
      </w:r>
      <w:r w:rsidR="00C34752">
        <w:rPr>
          <w:color w:val="215868" w:themeColor="accent5" w:themeShade="80"/>
          <w:lang w:val="en-GB"/>
        </w:rPr>
        <w:t xml:space="preserve"> </w:t>
      </w:r>
      <w:hyperlink r:id="rId20" w:history="1">
        <w:r w:rsidR="00C34752" w:rsidRPr="00393DAB">
          <w:rPr>
            <w:rStyle w:val="Hyperlink"/>
            <w:lang w:val="en-GB"/>
          </w:rPr>
          <w:t>https://assets.publishing.service.gov.uk/media/5a7bff2340f0b645</w:t>
        </w:r>
      </w:hyperlink>
      <w:r w:rsidR="00C34752">
        <w:rPr>
          <w:color w:val="215868" w:themeColor="accent5" w:themeShade="80"/>
          <w:lang w:val="en-GB"/>
        </w:rPr>
        <w:t xml:space="preserve"> </w:t>
      </w:r>
      <w:r w:rsidRPr="00D979FE">
        <w:rPr>
          <w:color w:val="215868" w:themeColor="accent5" w:themeShade="80"/>
          <w:lang w:val="en-GB"/>
        </w:rPr>
        <w:t xml:space="preserve"> (Accessed: 30 July 2026).</w:t>
      </w:r>
    </w:p>
    <w:p w14:paraId="59DDB705" w14:textId="11200F4B" w:rsidR="00F909B2" w:rsidRPr="00D979FE" w:rsidRDefault="00F909B2" w:rsidP="00F45C80">
      <w:pPr>
        <w:spacing w:after="100"/>
        <w:ind w:left="357" w:hanging="357"/>
        <w:rPr>
          <w:color w:val="215868" w:themeColor="accent5" w:themeShade="80"/>
          <w:lang w:val="en-GB"/>
        </w:rPr>
      </w:pPr>
      <w:r w:rsidRPr="00D979FE">
        <w:rPr>
          <w:color w:val="215868" w:themeColor="accent5" w:themeShade="80"/>
          <w:lang w:val="en-GB"/>
        </w:rPr>
        <w:t>Department of Health and Social Care and NHS England (2025)</w:t>
      </w:r>
      <w:r w:rsidR="001950DE">
        <w:rPr>
          <w:color w:val="215868" w:themeColor="accent5" w:themeShade="80"/>
          <w:lang w:val="en-GB"/>
        </w:rPr>
        <w:t>.</w:t>
      </w:r>
      <w:r w:rsidRPr="00D979FE">
        <w:rPr>
          <w:color w:val="215868" w:themeColor="accent5" w:themeShade="80"/>
          <w:lang w:val="en-GB"/>
        </w:rPr>
        <w:t xml:space="preserve"> </w:t>
      </w:r>
      <w:r w:rsidRPr="00D979FE">
        <w:rPr>
          <w:i/>
          <w:iCs/>
          <w:color w:val="215868" w:themeColor="accent5" w:themeShade="80"/>
          <w:lang w:val="en-GB"/>
        </w:rPr>
        <w:t>Community Pharmacy Contractual Framework: 2024 to 2025 and 2025 to 2026</w:t>
      </w:r>
      <w:r w:rsidRPr="00D979FE">
        <w:rPr>
          <w:color w:val="215868" w:themeColor="accent5" w:themeShade="80"/>
          <w:lang w:val="en-GB"/>
        </w:rPr>
        <w:t xml:space="preserve">. Available at: </w:t>
      </w:r>
      <w:hyperlink r:id="rId21" w:history="1">
        <w:r w:rsidR="00C34752" w:rsidRPr="00393DAB">
          <w:rPr>
            <w:rStyle w:val="Hyperlink"/>
            <w:lang w:val="en-GB"/>
          </w:rPr>
          <w:t>https://www.gov.uk/government/publications/community-pharmacy-contractual-framework-2024-to-2025-and-2025-to-2026</w:t>
        </w:r>
      </w:hyperlink>
      <w:r w:rsidR="00C34752">
        <w:rPr>
          <w:color w:val="215868" w:themeColor="accent5" w:themeShade="80"/>
          <w:lang w:val="en-GB"/>
        </w:rPr>
        <w:t xml:space="preserve"> </w:t>
      </w:r>
      <w:r w:rsidRPr="00D979FE">
        <w:rPr>
          <w:color w:val="215868" w:themeColor="accent5" w:themeShade="80"/>
          <w:lang w:val="en-GB"/>
        </w:rPr>
        <w:t xml:space="preserve"> (Accessed: 30 July 2026).</w:t>
      </w:r>
    </w:p>
    <w:p w14:paraId="29C31961" w14:textId="15D582B0" w:rsidR="00F909B2" w:rsidRPr="00D979FE" w:rsidRDefault="00F909B2" w:rsidP="00F45C80">
      <w:pPr>
        <w:spacing w:after="100"/>
        <w:ind w:left="357" w:hanging="357"/>
        <w:rPr>
          <w:color w:val="215868" w:themeColor="accent5" w:themeShade="80"/>
          <w:lang w:val="en-GB"/>
        </w:rPr>
      </w:pPr>
      <w:r w:rsidRPr="00D979FE">
        <w:rPr>
          <w:color w:val="215868" w:themeColor="accent5" w:themeShade="80"/>
          <w:lang w:val="en-GB"/>
        </w:rPr>
        <w:t>General Pharmaceutical Council (2010)</w:t>
      </w:r>
      <w:r w:rsidR="001950DE">
        <w:rPr>
          <w:color w:val="215868" w:themeColor="accent5" w:themeShade="80"/>
          <w:lang w:val="en-GB"/>
        </w:rPr>
        <w:t>.</w:t>
      </w:r>
      <w:r w:rsidRPr="00D979FE">
        <w:rPr>
          <w:color w:val="215868" w:themeColor="accent5" w:themeShade="80"/>
          <w:lang w:val="en-GB"/>
        </w:rPr>
        <w:t xml:space="preserve"> </w:t>
      </w:r>
      <w:r w:rsidRPr="00D979FE">
        <w:rPr>
          <w:i/>
          <w:iCs/>
          <w:color w:val="215868" w:themeColor="accent5" w:themeShade="80"/>
          <w:lang w:val="en-GB"/>
        </w:rPr>
        <w:t>The Pharmacy Order 2010: The Establishment of the General Pharmaceutical Council</w:t>
      </w:r>
      <w:r w:rsidRPr="00D979FE">
        <w:rPr>
          <w:color w:val="215868" w:themeColor="accent5" w:themeShade="80"/>
          <w:lang w:val="en-GB"/>
        </w:rPr>
        <w:t xml:space="preserve">. Available at: </w:t>
      </w:r>
      <w:hyperlink r:id="rId22" w:history="1">
        <w:r w:rsidR="001950DE" w:rsidRPr="00393DAB">
          <w:rPr>
            <w:rStyle w:val="Hyperlink"/>
            <w:lang w:val="en-GB"/>
          </w:rPr>
          <w:t>https://www.legislation.gov.uk/uksi/2010/231/contents</w:t>
        </w:r>
      </w:hyperlink>
      <w:r w:rsidR="001950DE">
        <w:rPr>
          <w:color w:val="215868" w:themeColor="accent5" w:themeShade="80"/>
          <w:lang w:val="en-GB"/>
        </w:rPr>
        <w:t xml:space="preserve"> </w:t>
      </w:r>
      <w:r w:rsidRPr="00D979FE">
        <w:rPr>
          <w:color w:val="215868" w:themeColor="accent5" w:themeShade="80"/>
          <w:lang w:val="en-GB"/>
        </w:rPr>
        <w:t xml:space="preserve"> (Accessed: 30 July 2026).</w:t>
      </w:r>
    </w:p>
    <w:p w14:paraId="3CB15A8E" w14:textId="6E3F84C6" w:rsidR="00F909B2" w:rsidRPr="00D979FE" w:rsidRDefault="00F909B2" w:rsidP="00F45C80">
      <w:pPr>
        <w:spacing w:after="100"/>
        <w:ind w:left="357" w:hanging="357"/>
        <w:rPr>
          <w:color w:val="215868" w:themeColor="accent5" w:themeShade="80"/>
          <w:lang w:val="en-GB"/>
        </w:rPr>
      </w:pPr>
      <w:r w:rsidRPr="00D979FE">
        <w:rPr>
          <w:color w:val="215868" w:themeColor="accent5" w:themeShade="80"/>
          <w:lang w:val="en-GB"/>
        </w:rPr>
        <w:t>General Pharmaceutical Council (2018)</w:t>
      </w:r>
      <w:r w:rsidR="001950DE">
        <w:rPr>
          <w:color w:val="215868" w:themeColor="accent5" w:themeShade="80"/>
          <w:lang w:val="en-GB"/>
        </w:rPr>
        <w:t>.</w:t>
      </w:r>
      <w:r w:rsidRPr="00D979FE">
        <w:rPr>
          <w:color w:val="215868" w:themeColor="accent5" w:themeShade="80"/>
          <w:lang w:val="en-GB"/>
        </w:rPr>
        <w:t xml:space="preserve"> </w:t>
      </w:r>
      <w:r w:rsidRPr="00D979FE">
        <w:rPr>
          <w:i/>
          <w:iCs/>
          <w:color w:val="215868" w:themeColor="accent5" w:themeShade="80"/>
          <w:lang w:val="en-GB"/>
        </w:rPr>
        <w:t>Standards for Registered Pharmacies</w:t>
      </w:r>
      <w:r w:rsidRPr="00D979FE">
        <w:rPr>
          <w:color w:val="215868" w:themeColor="accent5" w:themeShade="80"/>
          <w:lang w:val="en-GB"/>
        </w:rPr>
        <w:t xml:space="preserve">. Revised June 2018. Available at: </w:t>
      </w:r>
      <w:hyperlink r:id="rId23" w:history="1">
        <w:r w:rsidR="001950DE" w:rsidRPr="00393DAB">
          <w:rPr>
            <w:rStyle w:val="Hyperlink"/>
            <w:lang w:val="en-GB"/>
          </w:rPr>
          <w:t>https://assets.pharmacyregulation.org/files/document/standards_for_registered_pharmacies_june_2018_0.pdf</w:t>
        </w:r>
      </w:hyperlink>
      <w:r w:rsidR="001950DE">
        <w:rPr>
          <w:color w:val="215868" w:themeColor="accent5" w:themeShade="80"/>
          <w:lang w:val="en-GB"/>
        </w:rPr>
        <w:t xml:space="preserve"> </w:t>
      </w:r>
      <w:r w:rsidRPr="00D979FE">
        <w:rPr>
          <w:color w:val="215868" w:themeColor="accent5" w:themeShade="80"/>
          <w:lang w:val="en-GB"/>
        </w:rPr>
        <w:t>(Accessed: 30 July 2026).</w:t>
      </w:r>
    </w:p>
    <w:p w14:paraId="7AEBDBE3" w14:textId="67777E92" w:rsidR="00F909B2" w:rsidRPr="00D979FE" w:rsidRDefault="00F909B2" w:rsidP="00F45C80">
      <w:pPr>
        <w:spacing w:after="100"/>
        <w:ind w:left="357" w:hanging="357"/>
        <w:rPr>
          <w:color w:val="215868" w:themeColor="accent5" w:themeShade="80"/>
          <w:lang w:val="en-GB"/>
        </w:rPr>
      </w:pPr>
      <w:r w:rsidRPr="00D979FE">
        <w:rPr>
          <w:color w:val="215868" w:themeColor="accent5" w:themeShade="80"/>
          <w:lang w:val="en-GB"/>
        </w:rPr>
        <w:t>Holloway, S.W.F. (1991)</w:t>
      </w:r>
      <w:r w:rsidR="001950DE">
        <w:rPr>
          <w:color w:val="215868" w:themeColor="accent5" w:themeShade="80"/>
          <w:lang w:val="en-GB"/>
        </w:rPr>
        <w:t>.</w:t>
      </w:r>
      <w:r w:rsidRPr="00D979FE">
        <w:rPr>
          <w:color w:val="215868" w:themeColor="accent5" w:themeShade="80"/>
          <w:lang w:val="en-GB"/>
        </w:rPr>
        <w:t xml:space="preserve"> </w:t>
      </w:r>
      <w:r w:rsidRPr="00D979FE">
        <w:rPr>
          <w:i/>
          <w:iCs/>
          <w:color w:val="215868" w:themeColor="accent5" w:themeShade="80"/>
          <w:lang w:val="en-GB"/>
        </w:rPr>
        <w:t>The Royal Pharmaceutical Society of Great Britain 1841–1991: A Political and Social History</w:t>
      </w:r>
      <w:r w:rsidRPr="00D979FE">
        <w:rPr>
          <w:color w:val="215868" w:themeColor="accent5" w:themeShade="80"/>
          <w:lang w:val="en-GB"/>
        </w:rPr>
        <w:t>. London: Pharmaceutical Press.</w:t>
      </w:r>
    </w:p>
    <w:p w14:paraId="455F9FA8" w14:textId="39009C43" w:rsidR="00F909B2" w:rsidRPr="00D979FE" w:rsidRDefault="00F909B2" w:rsidP="00F45C80">
      <w:pPr>
        <w:spacing w:after="100"/>
        <w:ind w:left="357" w:hanging="357"/>
        <w:rPr>
          <w:color w:val="215868" w:themeColor="accent5" w:themeShade="80"/>
          <w:lang w:val="en-GB"/>
        </w:rPr>
      </w:pPr>
      <w:r w:rsidRPr="00D979FE">
        <w:rPr>
          <w:color w:val="215868" w:themeColor="accent5" w:themeShade="80"/>
          <w:lang w:val="en-GB"/>
        </w:rPr>
        <w:t>House of Commons Library (2024a)</w:t>
      </w:r>
      <w:r w:rsidR="001950DE">
        <w:rPr>
          <w:color w:val="215868" w:themeColor="accent5" w:themeShade="80"/>
          <w:lang w:val="en-GB"/>
        </w:rPr>
        <w:t>.</w:t>
      </w:r>
      <w:r w:rsidRPr="00D979FE">
        <w:rPr>
          <w:color w:val="215868" w:themeColor="accent5" w:themeShade="80"/>
          <w:lang w:val="en-GB"/>
        </w:rPr>
        <w:t xml:space="preserve"> </w:t>
      </w:r>
      <w:r w:rsidRPr="00D979FE">
        <w:rPr>
          <w:i/>
          <w:iCs/>
          <w:color w:val="215868" w:themeColor="accent5" w:themeShade="80"/>
          <w:lang w:val="en-GB"/>
        </w:rPr>
        <w:t>Mental Health Policy and Services in England</w:t>
      </w:r>
      <w:r w:rsidRPr="00D979FE">
        <w:rPr>
          <w:color w:val="215868" w:themeColor="accent5" w:themeShade="80"/>
          <w:lang w:val="en-GB"/>
        </w:rPr>
        <w:t xml:space="preserve">. Research Briefing CBP-7547. Available at: </w:t>
      </w:r>
      <w:hyperlink r:id="rId24" w:history="1">
        <w:r w:rsidR="004E33DA" w:rsidRPr="00393DAB">
          <w:rPr>
            <w:rStyle w:val="Hyperlink"/>
            <w:lang w:val="en-GB"/>
          </w:rPr>
          <w:t>https://commonslibrary.parliament.uk/research-briefings/cbp-7547/</w:t>
        </w:r>
      </w:hyperlink>
      <w:r w:rsidR="004E33DA">
        <w:rPr>
          <w:color w:val="215868" w:themeColor="accent5" w:themeShade="80"/>
          <w:lang w:val="en-GB"/>
        </w:rPr>
        <w:t xml:space="preserve"> </w:t>
      </w:r>
      <w:r w:rsidRPr="00D979FE">
        <w:rPr>
          <w:color w:val="215868" w:themeColor="accent5" w:themeShade="80"/>
          <w:lang w:val="en-GB"/>
        </w:rPr>
        <w:t>(Accessed: 30 July 2026).</w:t>
      </w:r>
    </w:p>
    <w:p w14:paraId="007CC42E" w14:textId="2F67B7BD" w:rsidR="00F909B2" w:rsidRDefault="00F909B2" w:rsidP="00F45C80">
      <w:pPr>
        <w:spacing w:after="100"/>
        <w:ind w:left="357" w:hanging="357"/>
        <w:rPr>
          <w:color w:val="215868" w:themeColor="accent5" w:themeShade="80"/>
          <w:lang w:val="en-GB"/>
        </w:rPr>
      </w:pPr>
      <w:r w:rsidRPr="00D979FE">
        <w:rPr>
          <w:color w:val="215868" w:themeColor="accent5" w:themeShade="80"/>
          <w:lang w:val="en-GB"/>
        </w:rPr>
        <w:t>House of Commons Library (2026a)</w:t>
      </w:r>
      <w:r w:rsidR="001950DE">
        <w:rPr>
          <w:color w:val="215868" w:themeColor="accent5" w:themeShade="80"/>
          <w:lang w:val="en-GB"/>
        </w:rPr>
        <w:t>.</w:t>
      </w:r>
      <w:r w:rsidRPr="00D979FE">
        <w:rPr>
          <w:color w:val="215868" w:themeColor="accent5" w:themeShade="80"/>
          <w:lang w:val="en-GB"/>
        </w:rPr>
        <w:t xml:space="preserve"> </w:t>
      </w:r>
      <w:r w:rsidRPr="00D979FE">
        <w:rPr>
          <w:i/>
          <w:iCs/>
          <w:color w:val="215868" w:themeColor="accent5" w:themeShade="80"/>
          <w:lang w:val="en-GB"/>
        </w:rPr>
        <w:t>Community Pharmacy in England</w:t>
      </w:r>
      <w:r w:rsidRPr="00D979FE">
        <w:rPr>
          <w:color w:val="215868" w:themeColor="accent5" w:themeShade="80"/>
          <w:lang w:val="en-GB"/>
        </w:rPr>
        <w:t xml:space="preserve">. Research Briefing CBP-9854. Available at: </w:t>
      </w:r>
      <w:hyperlink r:id="rId25" w:history="1">
        <w:r w:rsidR="004E33DA" w:rsidRPr="00393DAB">
          <w:rPr>
            <w:rStyle w:val="Hyperlink"/>
            <w:lang w:val="en-GB"/>
          </w:rPr>
          <w:t>https://commonslibrary.parliament.uk/research-briefings/cbp-9854/</w:t>
        </w:r>
      </w:hyperlink>
      <w:r w:rsidR="004E33DA">
        <w:rPr>
          <w:color w:val="215868" w:themeColor="accent5" w:themeShade="80"/>
          <w:lang w:val="en-GB"/>
        </w:rPr>
        <w:t xml:space="preserve"> </w:t>
      </w:r>
      <w:r w:rsidRPr="00D979FE">
        <w:rPr>
          <w:color w:val="215868" w:themeColor="accent5" w:themeShade="80"/>
          <w:lang w:val="en-GB"/>
        </w:rPr>
        <w:t xml:space="preserve"> (Accessed: 30 July 2026).</w:t>
      </w:r>
    </w:p>
    <w:p w14:paraId="501323AC" w14:textId="63F454D7" w:rsidR="00F651F5" w:rsidRPr="00F651F5" w:rsidRDefault="00F651F5" w:rsidP="00F45C80">
      <w:pPr>
        <w:spacing w:after="100"/>
        <w:ind w:left="357" w:hanging="357"/>
        <w:rPr>
          <w:color w:val="002060"/>
          <w:lang w:val="en-GB"/>
        </w:rPr>
      </w:pPr>
      <w:r w:rsidRPr="00F651F5">
        <w:rPr>
          <w:rFonts w:eastAsia="Aptos" w:cs="Arial"/>
          <w:color w:val="002060"/>
          <w:kern w:val="2"/>
          <w:lang w:val="en-GB"/>
          <w14:ligatures w14:val="standardContextual"/>
        </w:rPr>
        <w:t xml:space="preserve">House of Commons Library (2026b) </w:t>
      </w:r>
      <w:r w:rsidRPr="00F651F5">
        <w:rPr>
          <w:rFonts w:eastAsia="Aptos" w:cs="Arial"/>
          <w:i/>
          <w:iCs/>
          <w:color w:val="002060"/>
          <w:kern w:val="2"/>
          <w:lang w:val="en-GB"/>
          <w14:ligatures w14:val="standardContextual"/>
        </w:rPr>
        <w:t>Mental Health Statistics: Prevalence, Services and Funding in England</w:t>
      </w:r>
      <w:r w:rsidRPr="00F651F5">
        <w:rPr>
          <w:rFonts w:eastAsia="Aptos" w:cs="Arial"/>
          <w:color w:val="002060"/>
          <w:kern w:val="2"/>
          <w:lang w:val="en-GB"/>
          <w14:ligatures w14:val="standardContextual"/>
        </w:rPr>
        <w:t xml:space="preserve">. Research Briefing SN06988. Available at: </w:t>
      </w:r>
      <w:hyperlink r:id="rId26" w:history="1">
        <w:r w:rsidR="004E33DA" w:rsidRPr="00393DAB">
          <w:rPr>
            <w:rStyle w:val="Hyperlink"/>
            <w:rFonts w:eastAsia="Aptos" w:cs="Arial"/>
            <w:kern w:val="2"/>
            <w:lang w:val="en-GB"/>
            <w14:ligatures w14:val="standardContextual"/>
          </w:rPr>
          <w:t>https://commonslibrary.parliament.uk/research-briefings/sn06988/</w:t>
        </w:r>
      </w:hyperlink>
      <w:r w:rsidR="001950DE">
        <w:rPr>
          <w:rFonts w:eastAsia="Aptos" w:cs="Arial"/>
          <w:color w:val="002060"/>
          <w:kern w:val="2"/>
          <w:lang w:val="en-GB"/>
          <w14:ligatures w14:val="standardContextual"/>
        </w:rPr>
        <w:t xml:space="preserve"> </w:t>
      </w:r>
      <w:r w:rsidR="001950DE" w:rsidRPr="00F651F5">
        <w:rPr>
          <w:rFonts w:eastAsia="Aptos" w:cs="Arial"/>
          <w:color w:val="002060"/>
          <w:kern w:val="2"/>
          <w:lang w:val="en-GB"/>
          <w14:ligatures w14:val="standardContextual"/>
        </w:rPr>
        <w:t xml:space="preserve"> </w:t>
      </w:r>
      <w:r w:rsidR="001950DE">
        <w:rPr>
          <w:rFonts w:eastAsia="Aptos" w:cs="Arial"/>
          <w:color w:val="002060"/>
          <w:kern w:val="2"/>
          <w:lang w:val="en-GB"/>
          <w14:ligatures w14:val="standardContextual"/>
        </w:rPr>
        <w:t>(</w:t>
      </w:r>
      <w:r w:rsidRPr="00F651F5">
        <w:rPr>
          <w:rFonts w:eastAsia="Aptos" w:cs="Arial"/>
          <w:color w:val="002060"/>
          <w:kern w:val="2"/>
          <w:lang w:val="en-GB"/>
          <w14:ligatures w14:val="standardContextual"/>
        </w:rPr>
        <w:t xml:space="preserve">Accessed: 30 July 2026). </w:t>
      </w:r>
    </w:p>
    <w:p w14:paraId="4D7ECB83" w14:textId="77777777" w:rsidR="00F909B2" w:rsidRPr="00D979FE" w:rsidRDefault="00F909B2" w:rsidP="00F45C80">
      <w:pPr>
        <w:spacing w:after="100"/>
        <w:ind w:left="357" w:hanging="357"/>
        <w:rPr>
          <w:color w:val="215868" w:themeColor="accent5" w:themeShade="80"/>
          <w:lang w:val="en-GB"/>
        </w:rPr>
      </w:pPr>
      <w:r w:rsidRPr="00D979FE">
        <w:rPr>
          <w:color w:val="215868" w:themeColor="accent5" w:themeShade="80"/>
          <w:lang w:val="en-GB"/>
        </w:rPr>
        <w:t xml:space="preserve">Jones, K. (1993) </w:t>
      </w:r>
      <w:r w:rsidRPr="00D979FE">
        <w:rPr>
          <w:i/>
          <w:iCs/>
          <w:color w:val="215868" w:themeColor="accent5" w:themeShade="80"/>
          <w:lang w:val="en-GB"/>
        </w:rPr>
        <w:t>Asylums and After: A Revised History of Mental Health Services</w:t>
      </w:r>
      <w:r w:rsidRPr="00D979FE">
        <w:rPr>
          <w:color w:val="215868" w:themeColor="accent5" w:themeShade="80"/>
          <w:lang w:val="en-GB"/>
        </w:rPr>
        <w:t>. London: Athlone Press.</w:t>
      </w:r>
    </w:p>
    <w:p w14:paraId="14524047" w14:textId="3F562F1D" w:rsidR="00F909B2" w:rsidRPr="00D979FE" w:rsidRDefault="00F909B2" w:rsidP="00F45C80">
      <w:pPr>
        <w:spacing w:after="100"/>
        <w:ind w:left="357" w:hanging="357"/>
        <w:rPr>
          <w:color w:val="215868" w:themeColor="accent5" w:themeShade="80"/>
          <w:lang w:val="en-GB"/>
        </w:rPr>
      </w:pPr>
      <w:r w:rsidRPr="00D979FE">
        <w:rPr>
          <w:color w:val="215868" w:themeColor="accent5" w:themeShade="80"/>
          <w:lang w:val="en-GB"/>
        </w:rPr>
        <w:t>Langan, M. (1990)</w:t>
      </w:r>
      <w:r w:rsidR="004E33DA">
        <w:rPr>
          <w:color w:val="215868" w:themeColor="accent5" w:themeShade="80"/>
          <w:lang w:val="en-GB"/>
        </w:rPr>
        <w:t xml:space="preserve">. </w:t>
      </w:r>
      <w:proofErr w:type="gramStart"/>
      <w:r w:rsidRPr="00D979FE">
        <w:rPr>
          <w:color w:val="215868" w:themeColor="accent5" w:themeShade="80"/>
          <w:lang w:val="en-GB"/>
        </w:rPr>
        <w:t>‘</w:t>
      </w:r>
      <w:proofErr w:type="gramEnd"/>
      <w:r w:rsidRPr="00D979FE">
        <w:rPr>
          <w:color w:val="215868" w:themeColor="accent5" w:themeShade="80"/>
          <w:lang w:val="en-GB"/>
        </w:rPr>
        <w:t xml:space="preserve">Community care in the 1990s: the community care White Paper: </w:t>
      </w:r>
      <w:r w:rsidRPr="00D979FE">
        <w:rPr>
          <w:i/>
          <w:iCs/>
          <w:color w:val="215868" w:themeColor="accent5" w:themeShade="80"/>
          <w:lang w:val="en-GB"/>
        </w:rPr>
        <w:t>Caring for People</w:t>
      </w:r>
      <w:r w:rsidRPr="00D979FE">
        <w:rPr>
          <w:color w:val="215868" w:themeColor="accent5" w:themeShade="80"/>
          <w:lang w:val="en-GB"/>
        </w:rPr>
        <w:t xml:space="preserve">’, </w:t>
      </w:r>
      <w:r w:rsidRPr="00D979FE">
        <w:rPr>
          <w:i/>
          <w:iCs/>
          <w:color w:val="215868" w:themeColor="accent5" w:themeShade="80"/>
          <w:lang w:val="en-GB"/>
        </w:rPr>
        <w:t>Critical Social Policy</w:t>
      </w:r>
      <w:r w:rsidRPr="00D979FE">
        <w:rPr>
          <w:color w:val="215868" w:themeColor="accent5" w:themeShade="80"/>
          <w:lang w:val="en-GB"/>
        </w:rPr>
        <w:t xml:space="preserve">, 10(29), pp. 58–70. Available at: </w:t>
      </w:r>
      <w:hyperlink r:id="rId27" w:history="1">
        <w:r w:rsidR="007D569B" w:rsidRPr="00393DAB">
          <w:rPr>
            <w:rStyle w:val="Hyperlink"/>
            <w:lang w:val="en-GB"/>
          </w:rPr>
          <w:t>https://doi.org/10.1177/026101839001002904</w:t>
        </w:r>
      </w:hyperlink>
      <w:r w:rsidR="007D569B">
        <w:rPr>
          <w:color w:val="215868" w:themeColor="accent5" w:themeShade="80"/>
          <w:lang w:val="en-GB"/>
        </w:rPr>
        <w:t xml:space="preserve"> </w:t>
      </w:r>
      <w:r w:rsidRPr="00D979FE">
        <w:rPr>
          <w:color w:val="215868" w:themeColor="accent5" w:themeShade="80"/>
          <w:lang w:val="en-GB"/>
        </w:rPr>
        <w:t>(Accessed: 3 August 2026).</w:t>
      </w:r>
    </w:p>
    <w:p w14:paraId="3278A103" w14:textId="2FE69E7B" w:rsidR="00F909B2" w:rsidRPr="00D979FE" w:rsidRDefault="00F909B2" w:rsidP="00F45C80">
      <w:pPr>
        <w:spacing w:after="100"/>
        <w:ind w:left="357" w:hanging="357"/>
        <w:rPr>
          <w:color w:val="215868" w:themeColor="accent5" w:themeShade="80"/>
          <w:lang w:val="en-GB"/>
        </w:rPr>
      </w:pPr>
      <w:r w:rsidRPr="00D979FE">
        <w:rPr>
          <w:i/>
          <w:iCs/>
          <w:color w:val="215868" w:themeColor="accent5" w:themeShade="80"/>
          <w:lang w:val="en-GB"/>
        </w:rPr>
        <w:t>Mental Health Act 1959</w:t>
      </w:r>
      <w:r w:rsidRPr="00D979FE">
        <w:rPr>
          <w:color w:val="215868" w:themeColor="accent5" w:themeShade="80"/>
          <w:lang w:val="en-GB"/>
        </w:rPr>
        <w:t xml:space="preserve"> (1959)</w:t>
      </w:r>
      <w:r w:rsidR="007D569B">
        <w:rPr>
          <w:color w:val="215868" w:themeColor="accent5" w:themeShade="80"/>
          <w:lang w:val="en-GB"/>
        </w:rPr>
        <w:t>.</w:t>
      </w:r>
      <w:r w:rsidRPr="00D979FE">
        <w:rPr>
          <w:color w:val="215868" w:themeColor="accent5" w:themeShade="80"/>
          <w:lang w:val="en-GB"/>
        </w:rPr>
        <w:t xml:space="preserve"> c.72. Available at: </w:t>
      </w:r>
      <w:hyperlink r:id="rId28" w:history="1">
        <w:r w:rsidR="007D569B" w:rsidRPr="00393DAB">
          <w:rPr>
            <w:rStyle w:val="Hyperlink"/>
            <w:lang w:val="en-GB"/>
          </w:rPr>
          <w:t>https://www.legislation.gov.uk/ukpga/Eliz2/7-8/72/contents</w:t>
        </w:r>
      </w:hyperlink>
      <w:r w:rsidR="007D569B">
        <w:rPr>
          <w:color w:val="215868" w:themeColor="accent5" w:themeShade="80"/>
          <w:lang w:val="en-GB"/>
        </w:rPr>
        <w:t xml:space="preserve"> </w:t>
      </w:r>
      <w:r w:rsidRPr="00D979FE">
        <w:rPr>
          <w:color w:val="215868" w:themeColor="accent5" w:themeShade="80"/>
          <w:lang w:val="en-GB"/>
        </w:rPr>
        <w:t xml:space="preserve"> (Accessed: 3 August 2026).</w:t>
      </w:r>
    </w:p>
    <w:p w14:paraId="58C5B2ED" w14:textId="6F2A00D9" w:rsidR="00F909B2" w:rsidRPr="00D979FE" w:rsidRDefault="00F909B2" w:rsidP="00F45C80">
      <w:pPr>
        <w:spacing w:after="100"/>
        <w:ind w:left="357" w:hanging="357"/>
        <w:rPr>
          <w:color w:val="215868" w:themeColor="accent5" w:themeShade="80"/>
          <w:lang w:val="en-GB"/>
        </w:rPr>
      </w:pPr>
      <w:r w:rsidRPr="00D979FE">
        <w:rPr>
          <w:i/>
          <w:iCs/>
          <w:color w:val="215868" w:themeColor="accent5" w:themeShade="80"/>
          <w:lang w:val="en-GB"/>
        </w:rPr>
        <w:t>National Health Service and Community Care Act 1990</w:t>
      </w:r>
      <w:r w:rsidRPr="00D979FE">
        <w:rPr>
          <w:color w:val="215868" w:themeColor="accent5" w:themeShade="80"/>
          <w:lang w:val="en-GB"/>
        </w:rPr>
        <w:t xml:space="preserve"> (1990) c.19. Available at: </w:t>
      </w:r>
      <w:hyperlink r:id="rId29" w:history="1">
        <w:r w:rsidR="007D569B" w:rsidRPr="00393DAB">
          <w:rPr>
            <w:rStyle w:val="Hyperlink"/>
          </w:rPr>
          <w:t>https://www.legislation.gov.uk/ukpga/1990/19/contents</w:t>
        </w:r>
      </w:hyperlink>
      <w:r w:rsidR="007D569B">
        <w:t xml:space="preserve"> </w:t>
      </w:r>
      <w:r w:rsidRPr="00D979FE">
        <w:rPr>
          <w:color w:val="215868" w:themeColor="accent5" w:themeShade="80"/>
          <w:lang w:val="en-GB"/>
        </w:rPr>
        <w:t xml:space="preserve"> (Accessed: 30 July 2026).</w:t>
      </w:r>
    </w:p>
    <w:p w14:paraId="336E08D6" w14:textId="127F121D" w:rsidR="00F909B2" w:rsidRPr="00D979FE" w:rsidRDefault="00F909B2" w:rsidP="00F45C80">
      <w:pPr>
        <w:spacing w:after="100"/>
        <w:ind w:left="357" w:hanging="357"/>
        <w:rPr>
          <w:color w:val="215868" w:themeColor="accent5" w:themeShade="80"/>
          <w:lang w:val="en-GB"/>
        </w:rPr>
      </w:pPr>
      <w:r w:rsidRPr="00D979FE">
        <w:rPr>
          <w:color w:val="215868" w:themeColor="accent5" w:themeShade="80"/>
          <w:lang w:val="en-GB"/>
        </w:rPr>
        <w:t>NHS England (2019)</w:t>
      </w:r>
      <w:r w:rsidR="007D569B">
        <w:rPr>
          <w:color w:val="215868" w:themeColor="accent5" w:themeShade="80"/>
          <w:lang w:val="en-GB"/>
        </w:rPr>
        <w:t>.</w:t>
      </w:r>
      <w:r w:rsidRPr="00D979FE">
        <w:rPr>
          <w:color w:val="215868" w:themeColor="accent5" w:themeShade="80"/>
          <w:lang w:val="en-GB"/>
        </w:rPr>
        <w:t xml:space="preserve"> </w:t>
      </w:r>
      <w:r w:rsidRPr="00D979FE">
        <w:rPr>
          <w:i/>
          <w:iCs/>
          <w:color w:val="215868" w:themeColor="accent5" w:themeShade="80"/>
          <w:lang w:val="en-GB"/>
        </w:rPr>
        <w:t>The Community Mental Health Framework for Adults and Older Adults</w:t>
      </w:r>
      <w:r w:rsidRPr="00D979FE">
        <w:rPr>
          <w:color w:val="215868" w:themeColor="accent5" w:themeShade="80"/>
          <w:lang w:val="en-GB"/>
        </w:rPr>
        <w:t xml:space="preserve">. Available at: </w:t>
      </w:r>
      <w:hyperlink r:id="rId30" w:history="1">
        <w:r w:rsidR="007D569B" w:rsidRPr="00393DAB">
          <w:rPr>
            <w:rStyle w:val="Hyperlink"/>
            <w:lang w:val="en-GB"/>
          </w:rPr>
          <w:t>https://www.england.nhs.uk/wp-content/uploads/2019/09/community-mental-health-framework-for-adults.pdf</w:t>
        </w:r>
      </w:hyperlink>
      <w:r w:rsidR="007D569B">
        <w:rPr>
          <w:color w:val="215868" w:themeColor="accent5" w:themeShade="80"/>
          <w:lang w:val="en-GB"/>
        </w:rPr>
        <w:t xml:space="preserve"> </w:t>
      </w:r>
      <w:r w:rsidRPr="00D979FE">
        <w:rPr>
          <w:color w:val="215868" w:themeColor="accent5" w:themeShade="80"/>
          <w:lang w:val="en-GB"/>
        </w:rPr>
        <w:t>(Accessed: 30 July 2026).</w:t>
      </w:r>
    </w:p>
    <w:p w14:paraId="1F55D24F" w14:textId="3CE75A46" w:rsidR="00F909B2" w:rsidRPr="00D979FE" w:rsidRDefault="00F909B2" w:rsidP="00F45C80">
      <w:pPr>
        <w:spacing w:after="100"/>
        <w:ind w:left="357" w:hanging="357"/>
        <w:rPr>
          <w:color w:val="215868" w:themeColor="accent5" w:themeShade="80"/>
          <w:lang w:val="en-GB"/>
        </w:rPr>
      </w:pPr>
      <w:r w:rsidRPr="00D979FE">
        <w:rPr>
          <w:color w:val="215868" w:themeColor="accent5" w:themeShade="80"/>
          <w:lang w:val="en-GB"/>
        </w:rPr>
        <w:t>NHS England (2024)</w:t>
      </w:r>
      <w:r w:rsidR="00EB3ADF">
        <w:rPr>
          <w:color w:val="215868" w:themeColor="accent5" w:themeShade="80"/>
          <w:lang w:val="en-GB"/>
        </w:rPr>
        <w:t xml:space="preserve">. </w:t>
      </w:r>
      <w:r w:rsidRPr="00D979FE">
        <w:rPr>
          <w:i/>
          <w:iCs/>
          <w:color w:val="215868" w:themeColor="accent5" w:themeShade="80"/>
          <w:lang w:val="en-GB"/>
        </w:rPr>
        <w:t>NHS Talking Therapies for Anxiety and Depression Manual</w:t>
      </w:r>
      <w:r w:rsidRPr="00D979FE">
        <w:rPr>
          <w:color w:val="215868" w:themeColor="accent5" w:themeShade="80"/>
          <w:lang w:val="en-GB"/>
        </w:rPr>
        <w:t xml:space="preserve">. Version 7.1. Available at: </w:t>
      </w:r>
      <w:hyperlink r:id="rId31" w:history="1">
        <w:r w:rsidR="00647DDD" w:rsidRPr="00393DAB">
          <w:rPr>
            <w:rStyle w:val="Hyperlink"/>
            <w:lang w:val="en-GB"/>
          </w:rPr>
          <w:t>https://www.england.nhs.uk/wp-content/uploads/2018/06/nhs-talking-therapies-manual-v7.1-updated.pdf</w:t>
        </w:r>
      </w:hyperlink>
      <w:r w:rsidR="007D569B">
        <w:rPr>
          <w:color w:val="215868" w:themeColor="accent5" w:themeShade="80"/>
          <w:lang w:val="en-GB"/>
        </w:rPr>
        <w:t xml:space="preserve"> </w:t>
      </w:r>
      <w:r w:rsidR="007D569B">
        <w:t xml:space="preserve"> (</w:t>
      </w:r>
      <w:r w:rsidRPr="00D979FE">
        <w:rPr>
          <w:color w:val="215868" w:themeColor="accent5" w:themeShade="80"/>
          <w:lang w:val="en-GB"/>
        </w:rPr>
        <w:t>Accessed: 30 July 2026).</w:t>
      </w:r>
    </w:p>
    <w:p w14:paraId="3A71EF00" w14:textId="76294A69" w:rsidR="00F909B2" w:rsidRDefault="00F909B2" w:rsidP="00F45C80">
      <w:pPr>
        <w:spacing w:after="100"/>
        <w:ind w:left="357" w:hanging="357"/>
        <w:rPr>
          <w:color w:val="215868" w:themeColor="accent5" w:themeShade="80"/>
          <w:lang w:val="en-GB"/>
        </w:rPr>
      </w:pPr>
      <w:r w:rsidRPr="00D979FE">
        <w:rPr>
          <w:color w:val="215868" w:themeColor="accent5" w:themeShade="80"/>
          <w:lang w:val="en-GB"/>
        </w:rPr>
        <w:t>Nuffield Trust (n.d.)</w:t>
      </w:r>
      <w:r w:rsidR="00EB3ADF">
        <w:rPr>
          <w:color w:val="215868" w:themeColor="accent5" w:themeShade="80"/>
          <w:lang w:val="en-GB"/>
        </w:rPr>
        <w:t>.</w:t>
      </w:r>
      <w:r w:rsidRPr="00D979FE">
        <w:rPr>
          <w:color w:val="215868" w:themeColor="accent5" w:themeShade="80"/>
          <w:lang w:val="en-GB"/>
        </w:rPr>
        <w:t xml:space="preserve"> </w:t>
      </w:r>
      <w:r w:rsidRPr="00D979FE">
        <w:rPr>
          <w:i/>
          <w:iCs/>
          <w:color w:val="215868" w:themeColor="accent5" w:themeShade="80"/>
          <w:lang w:val="en-GB"/>
        </w:rPr>
        <w:t>NHS Reform Timeline</w:t>
      </w:r>
      <w:r w:rsidRPr="00D979FE">
        <w:rPr>
          <w:color w:val="215868" w:themeColor="accent5" w:themeShade="80"/>
          <w:lang w:val="en-GB"/>
        </w:rPr>
        <w:t>. Available at:</w:t>
      </w:r>
      <w:r w:rsidR="00EB3ADF">
        <w:rPr>
          <w:color w:val="215868" w:themeColor="accent5" w:themeShade="80"/>
          <w:lang w:val="en-GB"/>
        </w:rPr>
        <w:t xml:space="preserve"> </w:t>
      </w:r>
      <w:hyperlink r:id="rId32" w:history="1">
        <w:r w:rsidR="00EB3ADF" w:rsidRPr="00393DAB">
          <w:rPr>
            <w:rStyle w:val="Hyperlink"/>
            <w:lang w:val="en-GB"/>
          </w:rPr>
          <w:t>https://www.nuffieldrust.org.uk/features/nhs-reform-timeline</w:t>
        </w:r>
      </w:hyperlink>
      <w:r w:rsidR="00EB3ADF">
        <w:rPr>
          <w:color w:val="215868" w:themeColor="accent5" w:themeShade="80"/>
          <w:lang w:val="en-GB"/>
        </w:rPr>
        <w:t xml:space="preserve"> (Accessed: 3 August 2026);</w:t>
      </w:r>
    </w:p>
    <w:p w14:paraId="5DDA9B20" w14:textId="2E065EF3" w:rsidR="000379C6" w:rsidRPr="00D979FE" w:rsidRDefault="000379C6" w:rsidP="00F45C80">
      <w:pPr>
        <w:spacing w:after="100"/>
        <w:ind w:left="357" w:hanging="357"/>
        <w:rPr>
          <w:color w:val="215868" w:themeColor="accent5" w:themeShade="80"/>
          <w:lang w:val="en-GB"/>
        </w:rPr>
      </w:pPr>
      <w:r>
        <w:rPr>
          <w:color w:val="215868" w:themeColor="accent5" w:themeShade="80"/>
          <w:lang w:val="en-GB"/>
        </w:rPr>
        <w:t>Wright, N., Bartlett, P. and Callaghan, P. (20080. ‘A review of the literature on the historical development of community mental health services in the United Kingdom’, Journal of Psychiatric and Mental Health Nursing, 15(3), pp. 229-237. Av</w:t>
      </w:r>
      <w:r w:rsidR="00EB3ADF">
        <w:rPr>
          <w:color w:val="215868" w:themeColor="accent5" w:themeShade="80"/>
          <w:lang w:val="en-GB"/>
        </w:rPr>
        <w:t xml:space="preserve">ailable at: </w:t>
      </w:r>
      <w:hyperlink r:id="rId33" w:history="1">
        <w:r w:rsidR="00EB3ADF" w:rsidRPr="00393DAB">
          <w:rPr>
            <w:rStyle w:val="Hyperlink"/>
            <w:lang w:val="en-GB"/>
          </w:rPr>
          <w:t>https://doi.org/10.1111/j.1365-2850.2007.01218.x</w:t>
        </w:r>
      </w:hyperlink>
      <w:r w:rsidR="00EB3ADF">
        <w:rPr>
          <w:color w:val="215868" w:themeColor="accent5" w:themeShade="80"/>
          <w:lang w:val="en-GB"/>
        </w:rPr>
        <w:t xml:space="preserve"> (Accessed: 3 August 2026).</w:t>
      </w:r>
      <w:r>
        <w:rPr>
          <w:color w:val="215868" w:themeColor="accent5" w:themeShade="80"/>
          <w:lang w:val="en-GB"/>
        </w:rPr>
        <w:t xml:space="preserve"> </w:t>
      </w:r>
    </w:p>
    <w:p w14:paraId="3FEAA5B9" w14:textId="77777777" w:rsidR="00747559" w:rsidRPr="00AC6814" w:rsidRDefault="00747559" w:rsidP="00F45C80">
      <w:pPr>
        <w:spacing w:after="100"/>
        <w:ind w:left="357" w:hanging="357"/>
      </w:pPr>
    </w:p>
    <w:sectPr w:rsidR="00747559" w:rsidRPr="00AC6814" w:rsidSect="003976A2">
      <w:headerReference w:type="default" r:id="rId34"/>
      <w:footerReference w:type="default" r:id="rId35"/>
      <w:pgSz w:w="11909" w:h="16834"/>
      <w:pgMar w:top="1037" w:right="1224" w:bottom="1037" w:left="1224" w:header="504" w:footer="504" w:gutter="0"/>
      <w:pgBorders w:offsetFrom="page">
        <w:top w:val="single" w:sz="2" w:space="24" w:color="8DB3E2" w:themeColor="text2" w:themeTint="66"/>
        <w:left w:val="single" w:sz="2" w:space="24" w:color="8DB3E2" w:themeColor="text2" w:themeTint="66"/>
        <w:bottom w:val="single" w:sz="2" w:space="24" w:color="8DB3E2" w:themeColor="text2" w:themeTint="66"/>
        <w:right w:val="single" w:sz="2" w:space="24" w:color="8DB3E2" w:themeColor="text2" w:themeTint="6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4966B" w14:textId="77777777" w:rsidR="005C5C58" w:rsidRDefault="005C5C58">
      <w:pPr>
        <w:spacing w:after="0" w:line="240" w:lineRule="auto"/>
      </w:pPr>
      <w:r>
        <w:separator/>
      </w:r>
    </w:p>
  </w:endnote>
  <w:endnote w:type="continuationSeparator" w:id="0">
    <w:p w14:paraId="56E70D84" w14:textId="77777777" w:rsidR="005C5C58" w:rsidRDefault="005C5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8198276"/>
      <w:docPartObj>
        <w:docPartGallery w:val="Page Numbers (Bottom of Page)"/>
        <w:docPartUnique/>
      </w:docPartObj>
    </w:sdtPr>
    <w:sdtEndPr>
      <w:rPr>
        <w:noProof/>
      </w:rPr>
    </w:sdtEndPr>
    <w:sdtContent>
      <w:p w14:paraId="6B277907" w14:textId="77777777" w:rsidR="00BB47A2" w:rsidRDefault="00BB47A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5AE20C" w14:textId="77777777" w:rsidR="00BB47A2" w:rsidRDefault="00BB47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3B0CA" w14:textId="77777777" w:rsidR="00747559" w:rsidRDefault="00747559">
    <w:pPr>
      <w:pStyle w:val="Footer"/>
    </w:pPr>
  </w:p>
  <w:tbl>
    <w:tblPr>
      <w:tblW w:w="9461" w:type="dxa"/>
      <w:jc w:val="center"/>
      <w:tblLayout w:type="fixed"/>
      <w:tblLook w:val="04A0" w:firstRow="1" w:lastRow="0" w:firstColumn="1" w:lastColumn="0" w:noHBand="0" w:noVBand="1"/>
    </w:tblPr>
    <w:tblGrid>
      <w:gridCol w:w="8237"/>
      <w:gridCol w:w="1224"/>
    </w:tblGrid>
    <w:tr w:rsidR="00747559" w14:paraId="35D5074F" w14:textId="77777777">
      <w:trPr>
        <w:jc w:val="center"/>
      </w:trPr>
      <w:tc>
        <w:tcPr>
          <w:tcW w:w="8237" w:type="dxa"/>
          <w:tcBorders>
            <w:top w:val="single" w:sz="1" w:space="0" w:color="FFFFFF"/>
            <w:left w:val="single" w:sz="1" w:space="0" w:color="FFFFFF"/>
            <w:bottom w:val="single" w:sz="1" w:space="0" w:color="FFFFFF"/>
            <w:right w:val="single" w:sz="1" w:space="0" w:color="FFFFFF"/>
          </w:tcBorders>
          <w:tcMar>
            <w:top w:w="0" w:type="dxa"/>
            <w:left w:w="0" w:type="dxa"/>
            <w:bottom w:w="0" w:type="dxa"/>
            <w:right w:w="0" w:type="dxa"/>
          </w:tcMar>
        </w:tcPr>
        <w:p w14:paraId="69C22D6A" w14:textId="77777777" w:rsidR="00747559" w:rsidRDefault="0035318F">
          <w:r>
            <w:rPr>
              <w:color w:val="52616B"/>
              <w:sz w:val="17"/>
            </w:rPr>
            <w:t>Introduction to Health and Social Care</w:t>
          </w:r>
        </w:p>
      </w:tc>
      <w:tc>
        <w:tcPr>
          <w:tcW w:w="1224" w:type="dxa"/>
          <w:tcBorders>
            <w:top w:val="single" w:sz="1" w:space="0" w:color="FFFFFF"/>
            <w:left w:val="single" w:sz="1" w:space="0" w:color="FFFFFF"/>
            <w:bottom w:val="single" w:sz="1" w:space="0" w:color="FFFFFF"/>
            <w:right w:val="single" w:sz="1" w:space="0" w:color="FFFFFF"/>
          </w:tcBorders>
          <w:tcMar>
            <w:top w:w="0" w:type="dxa"/>
            <w:left w:w="0" w:type="dxa"/>
            <w:bottom w:w="0" w:type="dxa"/>
            <w:right w:w="0" w:type="dxa"/>
          </w:tcMar>
        </w:tcPr>
        <w:p w14:paraId="59553B69" w14:textId="77777777" w:rsidR="00747559" w:rsidRDefault="0035318F">
          <w:pPr>
            <w:jc w:val="right"/>
          </w:pPr>
          <w:r>
            <w:rPr>
              <w:color w:val="52616B"/>
              <w:sz w:val="18"/>
            </w:rPr>
            <w:fldChar w:fldCharType="begin"/>
          </w:r>
          <w:r>
            <w:rPr>
              <w:color w:val="52616B"/>
              <w:sz w:val="18"/>
            </w:rPr>
            <w:instrText xml:space="preserve"> PAGE </w:instrText>
          </w:r>
          <w:r>
            <w:rPr>
              <w:color w:val="52616B"/>
              <w:sz w:val="18"/>
            </w:rPr>
            <w:fldChar w:fldCharType="separate"/>
          </w:r>
          <w:r w:rsidR="00AC6814">
            <w:rPr>
              <w:noProof/>
              <w:color w:val="52616B"/>
              <w:sz w:val="18"/>
            </w:rPr>
            <w:t>1</w:t>
          </w:r>
          <w:r>
            <w:rPr>
              <w:color w:val="52616B"/>
              <w:sz w:val="18"/>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8D8DF" w14:textId="77777777" w:rsidR="00747559" w:rsidRDefault="00747559">
    <w:pPr>
      <w:pStyle w:val="Footer"/>
    </w:pPr>
  </w:p>
  <w:tbl>
    <w:tblPr>
      <w:tblW w:w="15250" w:type="dxa"/>
      <w:jc w:val="center"/>
      <w:tblLayout w:type="fixed"/>
      <w:tblLook w:val="04A0" w:firstRow="1" w:lastRow="0" w:firstColumn="1" w:lastColumn="0" w:noHBand="0" w:noVBand="1"/>
    </w:tblPr>
    <w:tblGrid>
      <w:gridCol w:w="14026"/>
      <w:gridCol w:w="1224"/>
    </w:tblGrid>
    <w:tr w:rsidR="00747559" w14:paraId="71D94AB1" w14:textId="77777777">
      <w:trPr>
        <w:jc w:val="center"/>
      </w:trPr>
      <w:tc>
        <w:tcPr>
          <w:tcW w:w="14026" w:type="dxa"/>
          <w:tcBorders>
            <w:top w:val="single" w:sz="1" w:space="0" w:color="FFFFFF"/>
            <w:left w:val="single" w:sz="1" w:space="0" w:color="FFFFFF"/>
            <w:bottom w:val="single" w:sz="1" w:space="0" w:color="FFFFFF"/>
            <w:right w:val="single" w:sz="1" w:space="0" w:color="FFFFFF"/>
          </w:tcBorders>
          <w:tcMar>
            <w:top w:w="0" w:type="dxa"/>
            <w:left w:w="0" w:type="dxa"/>
            <w:bottom w:w="0" w:type="dxa"/>
            <w:right w:w="0" w:type="dxa"/>
          </w:tcMar>
        </w:tcPr>
        <w:p w14:paraId="46E4BC67" w14:textId="77777777" w:rsidR="00747559" w:rsidRDefault="0035318F">
          <w:r>
            <w:rPr>
              <w:color w:val="52616B"/>
              <w:sz w:val="17"/>
            </w:rPr>
            <w:t>Task 1: Pharmacy Services</w:t>
          </w:r>
        </w:p>
      </w:tc>
      <w:tc>
        <w:tcPr>
          <w:tcW w:w="1224" w:type="dxa"/>
          <w:tcBorders>
            <w:top w:val="single" w:sz="1" w:space="0" w:color="FFFFFF"/>
            <w:left w:val="single" w:sz="1" w:space="0" w:color="FFFFFF"/>
            <w:bottom w:val="single" w:sz="1" w:space="0" w:color="FFFFFF"/>
            <w:right w:val="single" w:sz="1" w:space="0" w:color="FFFFFF"/>
          </w:tcBorders>
          <w:tcMar>
            <w:top w:w="0" w:type="dxa"/>
            <w:left w:w="0" w:type="dxa"/>
            <w:bottom w:w="0" w:type="dxa"/>
            <w:right w:w="0" w:type="dxa"/>
          </w:tcMar>
        </w:tcPr>
        <w:p w14:paraId="501C89A4" w14:textId="77777777" w:rsidR="00747559" w:rsidRDefault="0035318F">
          <w:pPr>
            <w:jc w:val="right"/>
          </w:pPr>
          <w:r>
            <w:rPr>
              <w:color w:val="52616B"/>
              <w:sz w:val="18"/>
            </w:rPr>
            <w:fldChar w:fldCharType="begin"/>
          </w:r>
          <w:r>
            <w:rPr>
              <w:color w:val="52616B"/>
              <w:sz w:val="18"/>
            </w:rPr>
            <w:instrText xml:space="preserve"> PAGE </w:instrText>
          </w:r>
          <w:r>
            <w:rPr>
              <w:color w:val="52616B"/>
              <w:sz w:val="18"/>
            </w:rPr>
            <w:fldChar w:fldCharType="separate"/>
          </w:r>
          <w:r w:rsidR="00AC6814">
            <w:rPr>
              <w:noProof/>
              <w:color w:val="52616B"/>
              <w:sz w:val="18"/>
            </w:rPr>
            <w:t>3</w:t>
          </w:r>
          <w:r>
            <w:rPr>
              <w:color w:val="52616B"/>
              <w:sz w:val="18"/>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CEC64" w14:textId="77777777" w:rsidR="00747559" w:rsidRDefault="00747559">
    <w:pPr>
      <w:pStyle w:val="Footer"/>
    </w:pPr>
  </w:p>
  <w:tbl>
    <w:tblPr>
      <w:tblW w:w="9461" w:type="dxa"/>
      <w:jc w:val="center"/>
      <w:tblLayout w:type="fixed"/>
      <w:tblLook w:val="04A0" w:firstRow="1" w:lastRow="0" w:firstColumn="1" w:lastColumn="0" w:noHBand="0" w:noVBand="1"/>
    </w:tblPr>
    <w:tblGrid>
      <w:gridCol w:w="8237"/>
      <w:gridCol w:w="1224"/>
    </w:tblGrid>
    <w:tr w:rsidR="00747559" w14:paraId="0EBA1FFA" w14:textId="77777777">
      <w:trPr>
        <w:jc w:val="center"/>
      </w:trPr>
      <w:tc>
        <w:tcPr>
          <w:tcW w:w="8237" w:type="dxa"/>
          <w:tcBorders>
            <w:top w:val="single" w:sz="1" w:space="0" w:color="FFFFFF"/>
            <w:left w:val="single" w:sz="1" w:space="0" w:color="FFFFFF"/>
            <w:bottom w:val="single" w:sz="1" w:space="0" w:color="FFFFFF"/>
            <w:right w:val="single" w:sz="1" w:space="0" w:color="FFFFFF"/>
          </w:tcBorders>
          <w:tcMar>
            <w:top w:w="0" w:type="dxa"/>
            <w:left w:w="0" w:type="dxa"/>
            <w:bottom w:w="0" w:type="dxa"/>
            <w:right w:w="0" w:type="dxa"/>
          </w:tcMar>
        </w:tcPr>
        <w:p w14:paraId="5C35843B" w14:textId="77777777" w:rsidR="00747559" w:rsidRDefault="0035318F">
          <w:r>
            <w:rPr>
              <w:color w:val="52616B"/>
              <w:sz w:val="17"/>
            </w:rPr>
            <w:t>Introduction to Health and Social Care</w:t>
          </w:r>
        </w:p>
      </w:tc>
      <w:tc>
        <w:tcPr>
          <w:tcW w:w="1224" w:type="dxa"/>
          <w:tcBorders>
            <w:top w:val="single" w:sz="1" w:space="0" w:color="FFFFFF"/>
            <w:left w:val="single" w:sz="1" w:space="0" w:color="FFFFFF"/>
            <w:bottom w:val="single" w:sz="1" w:space="0" w:color="FFFFFF"/>
            <w:right w:val="single" w:sz="1" w:space="0" w:color="FFFFFF"/>
          </w:tcBorders>
          <w:tcMar>
            <w:top w:w="0" w:type="dxa"/>
            <w:left w:w="0" w:type="dxa"/>
            <w:bottom w:w="0" w:type="dxa"/>
            <w:right w:w="0" w:type="dxa"/>
          </w:tcMar>
        </w:tcPr>
        <w:p w14:paraId="0C1EA55A" w14:textId="77777777" w:rsidR="00747559" w:rsidRDefault="0035318F">
          <w:pPr>
            <w:jc w:val="right"/>
          </w:pPr>
          <w:r>
            <w:rPr>
              <w:color w:val="52616B"/>
              <w:sz w:val="18"/>
            </w:rPr>
            <w:fldChar w:fldCharType="begin"/>
          </w:r>
          <w:r>
            <w:rPr>
              <w:color w:val="52616B"/>
              <w:sz w:val="18"/>
            </w:rPr>
            <w:instrText xml:space="preserve"> PAGE </w:instrText>
          </w:r>
          <w:r>
            <w:rPr>
              <w:color w:val="52616B"/>
              <w:sz w:val="18"/>
            </w:rPr>
            <w:fldChar w:fldCharType="separate"/>
          </w:r>
          <w:r w:rsidR="00AC6814">
            <w:rPr>
              <w:noProof/>
              <w:color w:val="52616B"/>
              <w:sz w:val="18"/>
            </w:rPr>
            <w:t>5</w:t>
          </w:r>
          <w:r>
            <w:rPr>
              <w:color w:val="52616B"/>
              <w:sz w:val="18"/>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F0CC1" w14:textId="77777777" w:rsidR="005C5C58" w:rsidRDefault="005C5C58">
      <w:pPr>
        <w:spacing w:after="0" w:line="240" w:lineRule="auto"/>
      </w:pPr>
      <w:r>
        <w:separator/>
      </w:r>
    </w:p>
  </w:footnote>
  <w:footnote w:type="continuationSeparator" w:id="0">
    <w:p w14:paraId="5F6CEA3B" w14:textId="77777777" w:rsidR="005C5C58" w:rsidRDefault="005C5C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22773" w14:textId="77777777" w:rsidR="00747559" w:rsidRDefault="00747559">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E5558" w14:textId="77777777" w:rsidR="00747559" w:rsidRDefault="00747559">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9269C" w14:textId="77777777" w:rsidR="00747559" w:rsidRDefault="0074755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AA465BB"/>
    <w:multiLevelType w:val="multilevel"/>
    <w:tmpl w:val="101C4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2143939">
    <w:abstractNumId w:val="8"/>
  </w:num>
  <w:num w:numId="2" w16cid:durableId="1186023880">
    <w:abstractNumId w:val="6"/>
  </w:num>
  <w:num w:numId="3" w16cid:durableId="74058615">
    <w:abstractNumId w:val="5"/>
  </w:num>
  <w:num w:numId="4" w16cid:durableId="442380779">
    <w:abstractNumId w:val="4"/>
  </w:num>
  <w:num w:numId="5" w16cid:durableId="1526360556">
    <w:abstractNumId w:val="7"/>
  </w:num>
  <w:num w:numId="6" w16cid:durableId="498933480">
    <w:abstractNumId w:val="3"/>
  </w:num>
  <w:num w:numId="7" w16cid:durableId="1249968180">
    <w:abstractNumId w:val="2"/>
  </w:num>
  <w:num w:numId="8" w16cid:durableId="639581777">
    <w:abstractNumId w:val="1"/>
  </w:num>
  <w:num w:numId="9" w16cid:durableId="835196060">
    <w:abstractNumId w:val="0"/>
  </w:num>
  <w:num w:numId="10" w16cid:durableId="10521214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1B47"/>
    <w:rsid w:val="00034616"/>
    <w:rsid w:val="000379C6"/>
    <w:rsid w:val="00052733"/>
    <w:rsid w:val="0006063C"/>
    <w:rsid w:val="000719FC"/>
    <w:rsid w:val="000C52AC"/>
    <w:rsid w:val="000D0FB7"/>
    <w:rsid w:val="000D6F94"/>
    <w:rsid w:val="00123B28"/>
    <w:rsid w:val="0015074B"/>
    <w:rsid w:val="001950DE"/>
    <w:rsid w:val="001B439D"/>
    <w:rsid w:val="001F2AAB"/>
    <w:rsid w:val="0029639D"/>
    <w:rsid w:val="00297EBF"/>
    <w:rsid w:val="003266B1"/>
    <w:rsid w:val="00326F90"/>
    <w:rsid w:val="0035132D"/>
    <w:rsid w:val="0035318F"/>
    <w:rsid w:val="003976A2"/>
    <w:rsid w:val="003D1D11"/>
    <w:rsid w:val="00474C18"/>
    <w:rsid w:val="004C213E"/>
    <w:rsid w:val="004E33DA"/>
    <w:rsid w:val="005627D7"/>
    <w:rsid w:val="005A5444"/>
    <w:rsid w:val="005C5C58"/>
    <w:rsid w:val="005E3ED7"/>
    <w:rsid w:val="00647DDD"/>
    <w:rsid w:val="006A4A8E"/>
    <w:rsid w:val="00747559"/>
    <w:rsid w:val="007624F9"/>
    <w:rsid w:val="007A2F20"/>
    <w:rsid w:val="007D569B"/>
    <w:rsid w:val="00857124"/>
    <w:rsid w:val="008B7538"/>
    <w:rsid w:val="008C31FC"/>
    <w:rsid w:val="008F0E9E"/>
    <w:rsid w:val="009142BD"/>
    <w:rsid w:val="00933BCC"/>
    <w:rsid w:val="00960FE6"/>
    <w:rsid w:val="00A1789A"/>
    <w:rsid w:val="00AA1D8D"/>
    <w:rsid w:val="00AC6814"/>
    <w:rsid w:val="00AD1139"/>
    <w:rsid w:val="00B47730"/>
    <w:rsid w:val="00BA10EF"/>
    <w:rsid w:val="00BB47A2"/>
    <w:rsid w:val="00C34752"/>
    <w:rsid w:val="00C67CD5"/>
    <w:rsid w:val="00CB0664"/>
    <w:rsid w:val="00CD2A5E"/>
    <w:rsid w:val="00CE0E3A"/>
    <w:rsid w:val="00D263E0"/>
    <w:rsid w:val="00D979FE"/>
    <w:rsid w:val="00E03A02"/>
    <w:rsid w:val="00E21BDF"/>
    <w:rsid w:val="00E224E4"/>
    <w:rsid w:val="00E31A19"/>
    <w:rsid w:val="00EB3ADF"/>
    <w:rsid w:val="00F306D3"/>
    <w:rsid w:val="00F45C80"/>
    <w:rsid w:val="00F6002B"/>
    <w:rsid w:val="00F651F5"/>
    <w:rsid w:val="00F83621"/>
    <w:rsid w:val="00F909B2"/>
    <w:rsid w:val="00FC693F"/>
    <w:rsid w:val="00FF77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14A1B6"/>
  <w14:defaultImageDpi w14:val="300"/>
  <w15:docId w15:val="{C3A9546B-D33F-4BC5-8AFB-7ACC5EDDF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hAnsi="Arial"/>
      <w:color w:val="1F2933"/>
    </w:rPr>
  </w:style>
  <w:style w:type="paragraph" w:styleId="Heading1">
    <w:name w:val="heading 1"/>
    <w:basedOn w:val="Normal"/>
    <w:next w:val="Normal"/>
    <w:link w:val="Heading1Char"/>
    <w:uiPriority w:val="9"/>
    <w:qFormat/>
    <w:rsid w:val="00FC693F"/>
    <w:pPr>
      <w:keepNext/>
      <w:keepLines/>
      <w:spacing w:before="280" w:after="160"/>
      <w:outlineLvl w:val="0"/>
    </w:pPr>
    <w:rPr>
      <w:rFonts w:asciiTheme="majorHAnsi" w:eastAsiaTheme="majorEastAsia" w:hAnsiTheme="majorHAnsi" w:cstheme="majorBidi"/>
      <w:b/>
      <w:bCs/>
      <w:color w:val="18324A"/>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007F7B"/>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color w:val="2F6B8A"/>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00" w:line="240" w:lineRule="auto"/>
      <w:contextualSpacing/>
    </w:pPr>
    <w:rPr>
      <w:rFonts w:asciiTheme="majorHAnsi" w:eastAsiaTheme="majorEastAsia" w:hAnsiTheme="majorHAnsi" w:cstheme="majorBidi"/>
      <w:b/>
      <w:color w:val="18324A"/>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osterBullet">
    <w:name w:val="Poster Bullet"/>
    <w:pPr>
      <w:tabs>
        <w:tab w:val="num" w:pos="360"/>
      </w:tabs>
      <w:spacing w:after="40" w:line="240" w:lineRule="auto"/>
      <w:ind w:left="259" w:hanging="187"/>
    </w:pPr>
    <w:rPr>
      <w:rFonts w:ascii="Arial" w:hAnsi="Arial"/>
      <w:sz w:val="19"/>
    </w:rPr>
  </w:style>
  <w:style w:type="character" w:styleId="Hyperlink">
    <w:name w:val="Hyperlink"/>
    <w:basedOn w:val="DefaultParagraphFont"/>
    <w:uiPriority w:val="99"/>
    <w:unhideWhenUsed/>
    <w:rsid w:val="00F909B2"/>
    <w:rPr>
      <w:color w:val="0000FF" w:themeColor="hyperlink"/>
      <w:u w:val="single"/>
    </w:rPr>
  </w:style>
  <w:style w:type="character" w:styleId="UnresolvedMention">
    <w:name w:val="Unresolved Mention"/>
    <w:basedOn w:val="DefaultParagraphFont"/>
    <w:uiPriority w:val="99"/>
    <w:semiHidden/>
    <w:unhideWhenUsed/>
    <w:rsid w:val="00F909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cpe.org.uk/pharmacy-pressures-hitting-patients/" TargetMode="External"/><Relationship Id="rId26" Type="http://schemas.openxmlformats.org/officeDocument/2006/relationships/hyperlink" Target="https://commonslibrary.parliament.uk/research-briefings/sn06988/" TargetMode="External"/><Relationship Id="rId21" Type="http://schemas.openxmlformats.org/officeDocument/2006/relationships/hyperlink" Target="https://www.gov.uk/government/publications/community-pharmacy-contractual-framework-2024-to-2025-and-2025-to-2026"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cpe.org.uk/our-news/cpe-secures-10-funding-rise-but-pushes-for-reform/" TargetMode="External"/><Relationship Id="rId25" Type="http://schemas.openxmlformats.org/officeDocument/2006/relationships/hyperlink" Target="https://commonslibrary.parliament.uk/research-briefings/cbp-9854/" TargetMode="External"/><Relationship Id="rId33" Type="http://schemas.openxmlformats.org/officeDocument/2006/relationships/hyperlink" Target="https://doi.org/10.1111/j.1365-2850.2007.01218.x" TargetMode="External"/><Relationship Id="rId2" Type="http://schemas.openxmlformats.org/officeDocument/2006/relationships/numbering" Target="numbering.xml"/><Relationship Id="rId16" Type="http://schemas.openxmlformats.org/officeDocument/2006/relationships/hyperlink" Target="https://doi.org/10.1177/0957154X241231057" TargetMode="External"/><Relationship Id="rId20" Type="http://schemas.openxmlformats.org/officeDocument/2006/relationships/hyperlink" Target="https://assets.publishing.service.gov.uk/media/5a7bff2340f0b645" TargetMode="External"/><Relationship Id="rId29" Type="http://schemas.openxmlformats.org/officeDocument/2006/relationships/hyperlink" Target="https://www.legislation.gov.uk/ukpga/1990/19/cont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commonslibrary.parliament.uk/research-briefings/cbp-7547/" TargetMode="External"/><Relationship Id="rId32" Type="http://schemas.openxmlformats.org/officeDocument/2006/relationships/hyperlink" Target="https://www.nuffieldrust.org.uk/features/nhs-reform-timeline"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36/jech.2006.055442" TargetMode="External"/><Relationship Id="rId23" Type="http://schemas.openxmlformats.org/officeDocument/2006/relationships/hyperlink" Target="https://assets.pharmacyregulation.org/files/document/standards_for_registered_pharmacies_june_2018_0.pdf" TargetMode="External"/><Relationship Id="rId28" Type="http://schemas.openxmlformats.org/officeDocument/2006/relationships/hyperlink" Target="https://www.legislation.gov.uk/ukpga/Eliz2/7-8/72/contents"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doi.org/10.3390/healthcare13151786" TargetMode="External"/><Relationship Id="rId31" Type="http://schemas.openxmlformats.org/officeDocument/2006/relationships/hyperlink" Target="https://www.england.nhs.uk/wp-content/uploads/2018/06/nhs-talking-therapies-manual-v7.1-updated.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legislation.gov.uk/uksi/2010/231/contents" TargetMode="External"/><Relationship Id="rId27" Type="http://schemas.openxmlformats.org/officeDocument/2006/relationships/hyperlink" Target="https://doi.org/10.1177/026101839001002904" TargetMode="External"/><Relationship Id="rId30" Type="http://schemas.openxmlformats.org/officeDocument/2006/relationships/hyperlink" Target="https://www.england.nhs.uk/wp-content/uploads/2019/09/community-mental-health-framework-for-adults.pdf" TargetMode="External"/><Relationship Id="rId35" Type="http://schemas.openxmlformats.org/officeDocument/2006/relationships/footer" Target="footer4.xml"/><Relationship Id="rId8"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7da2fa3d-d34a-48cd-8eb1-f49099902904}" enabled="0" method="" siteId="{7da2fa3d-d34a-48cd-8eb1-f49099902904}" removed="1"/>
</clbl:labelList>
</file>

<file path=docProps/app.xml><?xml version="1.0" encoding="utf-8"?>
<Properties xmlns="http://schemas.openxmlformats.org/officeDocument/2006/extended-properties" xmlns:vt="http://schemas.openxmlformats.org/officeDocument/2006/docPropsVTypes">
  <Template>Normal</Template>
  <TotalTime>31</TotalTime>
  <Pages>1</Pages>
  <Words>2312</Words>
  <Characters>13179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Coursework Portfolio: Pharmacy Services and Community Mental Health Services</vt:lpstr>
    </vt:vector>
  </TitlesOfParts>
  <Manager/>
  <Company/>
  <LinksUpToDate>false</LinksUpToDate>
  <CharactersWithSpaces>15461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Coursework Portfolio: Pharmacy Services and Community Mental Health Services</dc:title>
  <dc:subject>Introduction to Health and Social Care</dc:subject>
  <dc:creator>Donna Keise</dc:creator>
  <cp:keywords/>
  <dc:description>generated by python-docx</dc:description>
  <cp:lastModifiedBy>gillian gibbs</cp:lastModifiedBy>
  <cp:revision>6</cp:revision>
  <dcterms:created xsi:type="dcterms:W3CDTF">2026-08-14T07:15:00Z</dcterms:created>
  <dcterms:modified xsi:type="dcterms:W3CDTF">2026-08-14T07:42:00Z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57beed8c-ea0b-4059-b718-056922f782e1</vt:lpwstr>
  </property>
</Properties>
</file>