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09996" w14:textId="77777777" w:rsidR="00AA3D80" w:rsidRDefault="00CF3159">
      <w:pPr>
        <w:jc w:val="center"/>
      </w:pPr>
      <w:r>
        <w:rPr>
          <w:noProof/>
          <w:lang w:val="en-US"/>
        </w:rPr>
        <w:drawing>
          <wp:inline distT="0" distB="0" distL="0" distR="0" wp14:anchorId="7FB94599" wp14:editId="01B00BD4">
            <wp:extent cx="2742565" cy="998220"/>
            <wp:effectExtent l="0" t="0" r="635" b="7620"/>
            <wp:docPr id="10" name="Picture 10"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1F0112FE" w14:textId="77777777" w:rsidR="00AA3D80" w:rsidRDefault="00AA3D80">
      <w:pPr>
        <w:spacing w:before="240" w:after="240"/>
        <w:rPr>
          <w:b/>
          <w:bCs/>
          <w:sz w:val="32"/>
        </w:rPr>
      </w:pPr>
    </w:p>
    <w:p w14:paraId="07426BB9" w14:textId="77777777" w:rsidR="00AA3D80" w:rsidRDefault="00CF3159">
      <w:pPr>
        <w:spacing w:before="240" w:after="240"/>
        <w:jc w:val="center"/>
        <w:rPr>
          <w:b/>
          <w:bCs/>
          <w:sz w:val="32"/>
        </w:rPr>
      </w:pPr>
      <w:r>
        <w:rPr>
          <w:b/>
          <w:bCs/>
          <w:sz w:val="32"/>
        </w:rPr>
        <w:t>Programme: Master of Business Administration</w:t>
      </w:r>
    </w:p>
    <w:p w14:paraId="1A2B5CB2" w14:textId="77777777" w:rsidR="00AA3D80" w:rsidRDefault="00CF3159">
      <w:pPr>
        <w:spacing w:before="240" w:after="240"/>
        <w:jc w:val="center"/>
        <w:rPr>
          <w:b/>
          <w:bCs/>
          <w:sz w:val="32"/>
          <w:lang w:val="en-US"/>
        </w:rPr>
      </w:pPr>
      <w:r>
        <w:rPr>
          <w:b/>
          <w:bCs/>
          <w:sz w:val="32"/>
        </w:rPr>
        <w:t>Module Name: Marketing Management</w:t>
      </w:r>
    </w:p>
    <w:p w14:paraId="0C8FCCE4" w14:textId="77777777" w:rsidR="00AA3D80" w:rsidRDefault="00CF3159">
      <w:pPr>
        <w:spacing w:before="240" w:after="240"/>
        <w:jc w:val="center"/>
        <w:rPr>
          <w:b/>
          <w:bCs/>
          <w:sz w:val="32"/>
        </w:rPr>
      </w:pPr>
      <w:r>
        <w:rPr>
          <w:b/>
          <w:bCs/>
          <w:sz w:val="32"/>
        </w:rPr>
        <w:t>Module code: LCMB7024</w:t>
      </w:r>
    </w:p>
    <w:p w14:paraId="03B41176" w14:textId="77777777" w:rsidR="00AA3D80" w:rsidRDefault="00CF3159">
      <w:pPr>
        <w:spacing w:before="240" w:after="240"/>
        <w:jc w:val="center"/>
        <w:rPr>
          <w:b/>
          <w:bCs/>
          <w:sz w:val="32"/>
        </w:rPr>
      </w:pPr>
      <w:r>
        <w:rPr>
          <w:b/>
          <w:bCs/>
          <w:sz w:val="32"/>
          <w:lang w:val="en-US"/>
        </w:rPr>
        <w:t xml:space="preserve">Module </w:t>
      </w:r>
      <w:proofErr w:type="spellStart"/>
      <w:proofErr w:type="gramStart"/>
      <w:r>
        <w:rPr>
          <w:b/>
          <w:bCs/>
          <w:sz w:val="32"/>
          <w:lang w:val="en-US"/>
        </w:rPr>
        <w:t>Lecturer:Taonga</w:t>
      </w:r>
      <w:proofErr w:type="spellEnd"/>
      <w:proofErr w:type="gramEnd"/>
      <w:r>
        <w:rPr>
          <w:b/>
          <w:bCs/>
          <w:sz w:val="32"/>
          <w:lang w:val="en-US"/>
        </w:rPr>
        <w:t xml:space="preserve"> </w:t>
      </w:r>
      <w:proofErr w:type="spellStart"/>
      <w:r>
        <w:rPr>
          <w:b/>
          <w:bCs/>
          <w:sz w:val="32"/>
          <w:lang w:val="en-US"/>
        </w:rPr>
        <w:t>Kaonga</w:t>
      </w:r>
      <w:proofErr w:type="spellEnd"/>
      <w:r>
        <w:rPr>
          <w:b/>
          <w:bCs/>
          <w:sz w:val="32"/>
          <w:lang w:val="en-US"/>
        </w:rPr>
        <w:t xml:space="preserve"> </w:t>
      </w:r>
      <w:proofErr w:type="spellStart"/>
      <w:r>
        <w:rPr>
          <w:b/>
          <w:bCs/>
          <w:sz w:val="32"/>
          <w:lang w:val="en-US"/>
        </w:rPr>
        <w:t>Sobere-Snithers</w:t>
      </w:r>
      <w:proofErr w:type="spellEnd"/>
      <w:r>
        <w:rPr>
          <w:b/>
          <w:bCs/>
          <w:sz w:val="32"/>
          <w:lang w:val="en-US"/>
        </w:rPr>
        <w:t xml:space="preserve"> </w:t>
      </w:r>
    </w:p>
    <w:p w14:paraId="2E0E8C0C" w14:textId="77777777" w:rsidR="00AA3D80" w:rsidRDefault="00CF3159">
      <w:pPr>
        <w:spacing w:before="240" w:after="240"/>
        <w:jc w:val="center"/>
        <w:rPr>
          <w:b/>
          <w:bCs/>
          <w:i/>
          <w:sz w:val="32"/>
        </w:rPr>
      </w:pPr>
      <w:r>
        <w:rPr>
          <w:b/>
          <w:bCs/>
          <w:i/>
          <w:sz w:val="32"/>
        </w:rPr>
        <w:t>“Title: Sustainability-Driven Growth Strategy: A Marketing Environment Analysis of BHP”</w:t>
      </w:r>
    </w:p>
    <w:p w14:paraId="7F1F7A54" w14:textId="77777777" w:rsidR="00AA3D80" w:rsidRDefault="00CF3159">
      <w:pPr>
        <w:spacing w:before="240" w:after="240"/>
        <w:jc w:val="center"/>
        <w:rPr>
          <w:b/>
          <w:bCs/>
          <w:i/>
          <w:sz w:val="32"/>
          <w:lang w:val="en-US"/>
        </w:rPr>
      </w:pPr>
      <w:r>
        <w:rPr>
          <w:b/>
          <w:bCs/>
          <w:sz w:val="32"/>
        </w:rPr>
        <w:t xml:space="preserve">Student </w:t>
      </w:r>
      <w:proofErr w:type="spellStart"/>
      <w:proofErr w:type="gramStart"/>
      <w:r>
        <w:rPr>
          <w:b/>
          <w:bCs/>
          <w:sz w:val="32"/>
        </w:rPr>
        <w:t>Name:</w:t>
      </w:r>
      <w:r>
        <w:rPr>
          <w:b/>
          <w:bCs/>
          <w:sz w:val="32"/>
        </w:rPr>
        <w:t>Jaynilkumar</w:t>
      </w:r>
      <w:proofErr w:type="spellEnd"/>
      <w:proofErr w:type="gramEnd"/>
      <w:r>
        <w:rPr>
          <w:b/>
          <w:bCs/>
          <w:sz w:val="32"/>
        </w:rPr>
        <w:t xml:space="preserve"> </w:t>
      </w:r>
      <w:proofErr w:type="spellStart"/>
      <w:r>
        <w:rPr>
          <w:b/>
          <w:bCs/>
          <w:sz w:val="32"/>
        </w:rPr>
        <w:t>Rameshbhai</w:t>
      </w:r>
      <w:proofErr w:type="spellEnd"/>
      <w:r>
        <w:rPr>
          <w:b/>
          <w:bCs/>
          <w:sz w:val="32"/>
        </w:rPr>
        <w:t xml:space="preserve"> </w:t>
      </w:r>
      <w:proofErr w:type="spellStart"/>
      <w:r>
        <w:rPr>
          <w:b/>
          <w:bCs/>
          <w:sz w:val="32"/>
        </w:rPr>
        <w:t>Barot</w:t>
      </w:r>
      <w:proofErr w:type="spellEnd"/>
    </w:p>
    <w:p w14:paraId="75A4DDC7" w14:textId="77777777" w:rsidR="00AA3D80" w:rsidRDefault="00CF3159">
      <w:pPr>
        <w:jc w:val="center"/>
      </w:pPr>
      <w:r>
        <w:rPr>
          <w:b/>
          <w:bCs/>
          <w:sz w:val="32"/>
        </w:rPr>
        <w:t xml:space="preserve">Student ID: </w:t>
      </w:r>
      <w:r>
        <w:rPr>
          <w:b/>
          <w:bCs/>
          <w:sz w:val="32"/>
        </w:rPr>
        <w:t>2537840</w:t>
      </w:r>
      <w:r>
        <w:br w:type="page"/>
      </w:r>
    </w:p>
    <w:p w14:paraId="50DCFF79" w14:textId="77777777" w:rsidR="00AA3D80" w:rsidRDefault="00CF3159">
      <w:pPr>
        <w:jc w:val="center"/>
        <w:rPr>
          <w:b/>
          <w:bCs/>
          <w:sz w:val="28"/>
          <w:szCs w:val="28"/>
        </w:rPr>
      </w:pPr>
      <w:r>
        <w:rPr>
          <w:b/>
          <w:bCs/>
          <w:sz w:val="28"/>
          <w:szCs w:val="28"/>
        </w:rPr>
        <w:lastRenderedPageBreak/>
        <w:t>Table of Contents</w:t>
      </w:r>
    </w:p>
    <w:sdt>
      <w:sdtPr>
        <w:id w:val="-1708873874"/>
        <w:docPartObj>
          <w:docPartGallery w:val="Table of Contents"/>
          <w:docPartUnique/>
        </w:docPartObj>
      </w:sdtPr>
      <w:sdtEndPr/>
      <w:sdtContent>
        <w:p w14:paraId="49419940" w14:textId="77777777" w:rsidR="00AA3D80" w:rsidRDefault="00CF3159">
          <w:pPr>
            <w:tabs>
              <w:tab w:val="right" w:leader="dot" w:pos="9350"/>
            </w:tabs>
            <w:spacing w:after="10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dvzsvzobs3gf">
            <w:r>
              <w:rPr>
                <w:color w:val="000000"/>
              </w:rPr>
              <w:t>Task 1: Marketing Environment Analysis</w:t>
            </w:r>
            <w:r>
              <w:rPr>
                <w:color w:val="000000"/>
              </w:rPr>
              <w:tab/>
              <w:t>3</w:t>
            </w:r>
          </w:hyperlink>
        </w:p>
        <w:p w14:paraId="74A11359" w14:textId="77777777" w:rsidR="00AA3D80" w:rsidRDefault="00CF3159">
          <w:pPr>
            <w:tabs>
              <w:tab w:val="right" w:leader="dot" w:pos="9350"/>
            </w:tabs>
            <w:spacing w:after="100"/>
            <w:ind w:left="240"/>
            <w:rPr>
              <w:rFonts w:ascii="Cambria" w:eastAsia="Cambria" w:hAnsi="Cambria" w:cs="Cambria"/>
              <w:color w:val="000000"/>
            </w:rPr>
          </w:pPr>
          <w:hyperlink w:anchor="_6mfvyn6otzyl">
            <w:r>
              <w:rPr>
                <w:color w:val="000000"/>
              </w:rPr>
              <w:t>Introduction</w:t>
            </w:r>
            <w:r>
              <w:rPr>
                <w:color w:val="000000"/>
              </w:rPr>
              <w:tab/>
              <w:t>3</w:t>
            </w:r>
          </w:hyperlink>
        </w:p>
        <w:p w14:paraId="62703B23" w14:textId="77777777" w:rsidR="00AA3D80" w:rsidRDefault="00CF3159">
          <w:pPr>
            <w:tabs>
              <w:tab w:val="right" w:leader="dot" w:pos="9350"/>
            </w:tabs>
            <w:spacing w:after="100"/>
            <w:ind w:left="240"/>
            <w:rPr>
              <w:rFonts w:ascii="Cambria" w:eastAsia="Cambria" w:hAnsi="Cambria" w:cs="Cambria"/>
              <w:color w:val="000000"/>
            </w:rPr>
          </w:pPr>
          <w:hyperlink w:anchor="_3gnto51es7xs">
            <w:r>
              <w:rPr>
                <w:color w:val="000000"/>
              </w:rPr>
              <w:t>Natural Environment Actor</w:t>
            </w:r>
            <w:r>
              <w:rPr>
                <w:color w:val="000000"/>
              </w:rPr>
              <w:tab/>
              <w:t>3</w:t>
            </w:r>
          </w:hyperlink>
        </w:p>
        <w:p w14:paraId="069986A9" w14:textId="77777777" w:rsidR="00AA3D80" w:rsidRDefault="00CF3159">
          <w:pPr>
            <w:tabs>
              <w:tab w:val="right" w:leader="dot" w:pos="9350"/>
            </w:tabs>
            <w:spacing w:after="100"/>
            <w:ind w:left="240"/>
            <w:rPr>
              <w:rFonts w:ascii="Cambria" w:eastAsia="Cambria" w:hAnsi="Cambria" w:cs="Cambria"/>
              <w:color w:val="000000"/>
            </w:rPr>
          </w:pPr>
          <w:hyperlink w:anchor="_wkqojgezs3g6">
            <w:r>
              <w:rPr>
                <w:color w:val="000000"/>
              </w:rPr>
              <w:t>Political and Regulatory Actor</w:t>
            </w:r>
            <w:r>
              <w:rPr>
                <w:color w:val="000000"/>
              </w:rPr>
              <w:tab/>
              <w:t>4</w:t>
            </w:r>
          </w:hyperlink>
        </w:p>
        <w:p w14:paraId="4ACFA5CF" w14:textId="77777777" w:rsidR="00AA3D80" w:rsidRDefault="00CF3159">
          <w:pPr>
            <w:tabs>
              <w:tab w:val="right" w:leader="dot" w:pos="9350"/>
            </w:tabs>
            <w:spacing w:after="100"/>
            <w:rPr>
              <w:rFonts w:ascii="Cambria" w:eastAsia="Cambria" w:hAnsi="Cambria" w:cs="Cambria"/>
              <w:color w:val="000000"/>
            </w:rPr>
          </w:pPr>
          <w:hyperlink w:anchor="_1lthbtngyts7">
            <w:r>
              <w:rPr>
                <w:color w:val="000000"/>
              </w:rPr>
              <w:t>Task 2: Strategic Growth and Competitiv</w:t>
            </w:r>
            <w:r>
              <w:rPr>
                <w:color w:val="000000"/>
              </w:rPr>
              <w:t>e Positioning</w:t>
            </w:r>
            <w:r>
              <w:rPr>
                <w:color w:val="000000"/>
              </w:rPr>
              <w:tab/>
              <w:t>5</w:t>
            </w:r>
          </w:hyperlink>
        </w:p>
        <w:p w14:paraId="1B18DAAE" w14:textId="77777777" w:rsidR="00AA3D80" w:rsidRDefault="00CF3159">
          <w:pPr>
            <w:tabs>
              <w:tab w:val="right" w:leader="dot" w:pos="9350"/>
            </w:tabs>
            <w:spacing w:after="100"/>
            <w:ind w:left="240"/>
            <w:rPr>
              <w:rFonts w:ascii="Cambria" w:eastAsia="Cambria" w:hAnsi="Cambria" w:cs="Cambria"/>
              <w:color w:val="000000"/>
            </w:rPr>
          </w:pPr>
          <w:hyperlink w:anchor="_rgmitf7bnfw">
            <w:r>
              <w:rPr>
                <w:color w:val="000000"/>
              </w:rPr>
              <w:t>Ansoff Matrix as a Strategic Framework</w:t>
            </w:r>
            <w:r>
              <w:rPr>
                <w:color w:val="000000"/>
              </w:rPr>
              <w:tab/>
              <w:t>5</w:t>
            </w:r>
          </w:hyperlink>
        </w:p>
        <w:p w14:paraId="238A0EF1" w14:textId="77777777" w:rsidR="00AA3D80" w:rsidRDefault="00CF3159">
          <w:pPr>
            <w:tabs>
              <w:tab w:val="right" w:leader="dot" w:pos="9350"/>
            </w:tabs>
            <w:spacing w:after="100"/>
            <w:ind w:left="240"/>
            <w:rPr>
              <w:rFonts w:ascii="Cambria" w:eastAsia="Cambria" w:hAnsi="Cambria" w:cs="Cambria"/>
              <w:color w:val="000000"/>
            </w:rPr>
          </w:pPr>
          <w:hyperlink w:anchor="_5nwhentxz0sr">
            <w:r>
              <w:rPr>
                <w:color w:val="000000"/>
              </w:rPr>
              <w:t>Recommended Strategy: Market Development</w:t>
            </w:r>
            <w:r>
              <w:rPr>
                <w:color w:val="000000"/>
              </w:rPr>
              <w:tab/>
              <w:t>6</w:t>
            </w:r>
          </w:hyperlink>
        </w:p>
        <w:p w14:paraId="026C0334" w14:textId="77777777" w:rsidR="00AA3D80" w:rsidRDefault="00CF3159">
          <w:pPr>
            <w:tabs>
              <w:tab w:val="right" w:leader="dot" w:pos="9350"/>
            </w:tabs>
            <w:spacing w:after="100"/>
            <w:ind w:left="240"/>
            <w:rPr>
              <w:rFonts w:ascii="Cambria" w:eastAsia="Cambria" w:hAnsi="Cambria" w:cs="Cambria"/>
              <w:color w:val="000000"/>
            </w:rPr>
          </w:pPr>
          <w:hyperlink w:anchor="_9bl9s2wkshfa">
            <w:r>
              <w:rPr>
                <w:color w:val="000000"/>
              </w:rPr>
              <w:t>Complementary Strategy: Product Development</w:t>
            </w:r>
            <w:r>
              <w:rPr>
                <w:color w:val="000000"/>
              </w:rPr>
              <w:tab/>
              <w:t>7</w:t>
            </w:r>
          </w:hyperlink>
        </w:p>
        <w:p w14:paraId="04C39898" w14:textId="77777777" w:rsidR="00AA3D80" w:rsidRDefault="00CF3159">
          <w:pPr>
            <w:tabs>
              <w:tab w:val="right" w:leader="dot" w:pos="9350"/>
            </w:tabs>
            <w:spacing w:after="100"/>
            <w:ind w:left="240"/>
            <w:rPr>
              <w:rFonts w:ascii="Cambria" w:eastAsia="Cambria" w:hAnsi="Cambria" w:cs="Cambria"/>
              <w:color w:val="000000"/>
            </w:rPr>
          </w:pPr>
          <w:hyperlink w:anchor="_i0umrrc97m8c">
            <w:r>
              <w:rPr>
                <w:color w:val="000000"/>
              </w:rPr>
              <w:t>Competitive Positioning and Differentiation</w:t>
            </w:r>
            <w:r>
              <w:rPr>
                <w:color w:val="000000"/>
              </w:rPr>
              <w:tab/>
              <w:t>8</w:t>
            </w:r>
          </w:hyperlink>
        </w:p>
        <w:p w14:paraId="5EC1A343" w14:textId="77777777" w:rsidR="00AA3D80" w:rsidRDefault="00CF3159">
          <w:pPr>
            <w:tabs>
              <w:tab w:val="right" w:leader="dot" w:pos="9350"/>
            </w:tabs>
            <w:spacing w:after="100"/>
            <w:rPr>
              <w:rFonts w:ascii="Cambria" w:eastAsia="Cambria" w:hAnsi="Cambria" w:cs="Cambria"/>
              <w:color w:val="000000"/>
            </w:rPr>
          </w:pPr>
          <w:hyperlink w:anchor="_qyp0by7i47uu">
            <w:r>
              <w:rPr>
                <w:color w:val="000000"/>
              </w:rPr>
              <w:t>Task 3: Critical Reflection on AI Usage</w:t>
            </w:r>
            <w:r>
              <w:rPr>
                <w:color w:val="000000"/>
              </w:rPr>
              <w:tab/>
              <w:t>9</w:t>
            </w:r>
          </w:hyperlink>
        </w:p>
        <w:p w14:paraId="45A119F8" w14:textId="77777777" w:rsidR="00AA3D80" w:rsidRDefault="00CF3159">
          <w:pPr>
            <w:tabs>
              <w:tab w:val="right" w:leader="dot" w:pos="9350"/>
            </w:tabs>
            <w:spacing w:after="100"/>
            <w:ind w:left="240"/>
            <w:rPr>
              <w:rFonts w:ascii="Cambria" w:eastAsia="Cambria" w:hAnsi="Cambria" w:cs="Cambria"/>
              <w:color w:val="000000"/>
            </w:rPr>
          </w:pPr>
          <w:hyperlink w:anchor="_sou4mf8zvv59">
            <w:r>
              <w:rPr>
                <w:color w:val="000000"/>
              </w:rPr>
              <w:t>a. Tool Disclosure</w:t>
            </w:r>
            <w:r>
              <w:rPr>
                <w:color w:val="000000"/>
              </w:rPr>
              <w:tab/>
              <w:t>9</w:t>
            </w:r>
          </w:hyperlink>
        </w:p>
        <w:p w14:paraId="506E2B70" w14:textId="77777777" w:rsidR="00AA3D80" w:rsidRDefault="00CF3159">
          <w:pPr>
            <w:tabs>
              <w:tab w:val="right" w:leader="dot" w:pos="9350"/>
            </w:tabs>
            <w:spacing w:after="100"/>
            <w:ind w:left="240"/>
            <w:rPr>
              <w:rFonts w:ascii="Cambria" w:eastAsia="Cambria" w:hAnsi="Cambria" w:cs="Cambria"/>
              <w:color w:val="000000"/>
            </w:rPr>
          </w:pPr>
          <w:hyperlink w:anchor="_8gsfa5xsmsa3">
            <w:r>
              <w:rPr>
                <w:color w:val="000000"/>
              </w:rPr>
              <w:t>b. Cri</w:t>
            </w:r>
            <w:r>
              <w:rPr>
                <w:color w:val="000000"/>
              </w:rPr>
              <w:t>tical Evaluation of AI Output</w:t>
            </w:r>
            <w:r>
              <w:rPr>
                <w:color w:val="000000"/>
              </w:rPr>
              <w:tab/>
              <w:t>9</w:t>
            </w:r>
          </w:hyperlink>
        </w:p>
        <w:p w14:paraId="2D855A8E" w14:textId="77777777" w:rsidR="00AA3D80" w:rsidRDefault="00CF3159">
          <w:pPr>
            <w:tabs>
              <w:tab w:val="right" w:leader="dot" w:pos="9350"/>
            </w:tabs>
            <w:spacing w:after="100"/>
            <w:ind w:left="240"/>
            <w:rPr>
              <w:rFonts w:ascii="Cambria" w:eastAsia="Cambria" w:hAnsi="Cambria" w:cs="Cambria"/>
              <w:color w:val="000000"/>
            </w:rPr>
          </w:pPr>
          <w:hyperlink w:anchor="_csxbf8xm2ugv">
            <w:r>
              <w:rPr>
                <w:color w:val="000000"/>
              </w:rPr>
              <w:t>c. Contribution Analysis</w:t>
            </w:r>
            <w:r>
              <w:rPr>
                <w:color w:val="000000"/>
              </w:rPr>
              <w:tab/>
              <w:t>10</w:t>
            </w:r>
          </w:hyperlink>
        </w:p>
        <w:p w14:paraId="6FEFBE84" w14:textId="77777777" w:rsidR="00AA3D80" w:rsidRDefault="00CF3159">
          <w:pPr>
            <w:tabs>
              <w:tab w:val="right" w:leader="dot" w:pos="9350"/>
            </w:tabs>
            <w:spacing w:after="100"/>
            <w:ind w:left="240"/>
            <w:rPr>
              <w:rFonts w:ascii="Cambria" w:eastAsia="Cambria" w:hAnsi="Cambria" w:cs="Cambria"/>
              <w:color w:val="000000"/>
            </w:rPr>
          </w:pPr>
          <w:hyperlink w:anchor="_3ojnax4m8rj0">
            <w:r>
              <w:rPr>
                <w:color w:val="000000"/>
              </w:rPr>
              <w:t>d. Ethical and Professional Reflection</w:t>
            </w:r>
            <w:r>
              <w:rPr>
                <w:color w:val="000000"/>
              </w:rPr>
              <w:tab/>
              <w:t>10</w:t>
            </w:r>
          </w:hyperlink>
        </w:p>
        <w:p w14:paraId="5B6CD25A" w14:textId="77777777" w:rsidR="00AA3D80" w:rsidRDefault="00CF3159">
          <w:pPr>
            <w:tabs>
              <w:tab w:val="right" w:leader="dot" w:pos="9350"/>
            </w:tabs>
            <w:spacing w:after="100"/>
            <w:rPr>
              <w:rFonts w:ascii="Cambria" w:eastAsia="Cambria" w:hAnsi="Cambria" w:cs="Cambria"/>
              <w:color w:val="000000"/>
            </w:rPr>
          </w:pPr>
          <w:hyperlink w:anchor="_meai11je972h">
            <w:r>
              <w:rPr>
                <w:color w:val="000000"/>
              </w:rPr>
              <w:t>References</w:t>
            </w:r>
            <w:r>
              <w:rPr>
                <w:color w:val="000000"/>
              </w:rPr>
              <w:tab/>
              <w:t>11</w:t>
            </w:r>
          </w:hyperlink>
        </w:p>
        <w:p w14:paraId="78CE9F08" w14:textId="77777777" w:rsidR="00AA3D80" w:rsidRDefault="00CF3159">
          <w:pPr>
            <w:tabs>
              <w:tab w:val="right" w:leader="dot" w:pos="9350"/>
            </w:tabs>
            <w:spacing w:after="100"/>
            <w:rPr>
              <w:rFonts w:ascii="Cambria" w:eastAsia="Cambria" w:hAnsi="Cambria" w:cs="Cambria"/>
              <w:color w:val="000000"/>
            </w:rPr>
          </w:pPr>
          <w:hyperlink w:anchor="_8or0m8rltevh">
            <w:r>
              <w:rPr>
                <w:color w:val="000000"/>
              </w:rPr>
              <w:t>Appendices</w:t>
            </w:r>
            <w:r>
              <w:rPr>
                <w:color w:val="000000"/>
              </w:rPr>
              <w:tab/>
              <w:t>14</w:t>
            </w:r>
          </w:hyperlink>
        </w:p>
        <w:p w14:paraId="29B7FC08" w14:textId="77777777" w:rsidR="00AA3D80" w:rsidRDefault="00CF3159">
          <w:pPr>
            <w:tabs>
              <w:tab w:val="right" w:leader="dot" w:pos="9350"/>
            </w:tabs>
            <w:spacing w:after="100"/>
            <w:ind w:left="240"/>
            <w:rPr>
              <w:rFonts w:ascii="Cambria" w:eastAsia="Cambria" w:hAnsi="Cambria" w:cs="Cambria"/>
              <w:color w:val="000000"/>
            </w:rPr>
          </w:pPr>
          <w:hyperlink w:anchor="_tz0jqrgb02ki">
            <w:r>
              <w:rPr>
                <w:color w:val="000000"/>
              </w:rPr>
              <w:t>Appendix 1: AI Prompt and Output</w:t>
            </w:r>
            <w:r>
              <w:rPr>
                <w:color w:val="000000"/>
              </w:rPr>
              <w:tab/>
              <w:t>14</w:t>
            </w:r>
          </w:hyperlink>
        </w:p>
        <w:p w14:paraId="124C77C8" w14:textId="77777777" w:rsidR="00AA3D80" w:rsidRDefault="00CF3159">
          <w:pPr>
            <w:widowControl w:val="0"/>
            <w:tabs>
              <w:tab w:val="right" w:pos="9360"/>
            </w:tabs>
            <w:spacing w:before="60" w:after="0"/>
            <w:ind w:left="360"/>
            <w:jc w:val="left"/>
            <w:rPr>
              <w:color w:val="000000"/>
            </w:rPr>
          </w:pPr>
          <w:r>
            <w:fldChar w:fldCharType="end"/>
          </w:r>
        </w:p>
      </w:sdtContent>
    </w:sdt>
    <w:p w14:paraId="1A9BE1F7" w14:textId="77777777" w:rsidR="00AA3D80" w:rsidRDefault="00CF3159">
      <w:r>
        <w:br w:type="page"/>
      </w:r>
    </w:p>
    <w:p w14:paraId="69387DF2" w14:textId="77777777" w:rsidR="00AA3D80" w:rsidRDefault="00CF3159">
      <w:pPr>
        <w:pStyle w:val="Heading1"/>
      </w:pPr>
      <w:bookmarkStart w:id="0" w:name="_dvzsvzobs3gf" w:colFirst="0" w:colLast="0"/>
      <w:bookmarkEnd w:id="0"/>
      <w:r>
        <w:lastRenderedPageBreak/>
        <w:t>Task 1: Marketing Environment Analysis</w:t>
      </w:r>
    </w:p>
    <w:p w14:paraId="3744961D" w14:textId="77777777" w:rsidR="00AA3D80" w:rsidRDefault="00CF3159">
      <w:pPr>
        <w:pStyle w:val="Heading2"/>
      </w:pPr>
      <w:bookmarkStart w:id="1" w:name="_6mfvyn6otzyl" w:colFirst="0" w:colLast="0"/>
      <w:bookmarkEnd w:id="1"/>
      <w:r>
        <w:t>Introduction</w:t>
      </w:r>
    </w:p>
    <w:p w14:paraId="5D3FB146" w14:textId="77777777" w:rsidR="00AA3D80" w:rsidRDefault="00CF3159">
      <w:r>
        <w:t>BHP Group is one of the largest diversified resources companies in the wor</w:t>
      </w:r>
      <w:r>
        <w:t>ld which are located in Australia and Chile and in copper, nickel and metallurgical coal. Since the metals and mining industry contributes about 25% of known greenhouse gas emissions of the 12,000 largest companies globally, a growing push by regulators, i</w:t>
      </w:r>
      <w:r>
        <w:t>nvestors, and civil society on organisations like BHP to hasten a plausible shift to facilitate lower-carbon operations (Kotler et al., 2024). According to Kotler et al. (2024), the marketing environment of a company encompasses the external actors and for</w:t>
      </w:r>
      <w:r>
        <w:t>ces that affect the capability of the marketing management to build and maintain strong relationships with its target customers, thus important to evaluate environmental changes at all times, where firms can make corresponding changes. This discussion will</w:t>
      </w:r>
      <w:r>
        <w:t xml:space="preserve"> cover two macro (external) environmental factors impacting BHP, and are reshaping the strategic and marketing environment: Natural Environment, and Political/Regulatory Environment. </w:t>
      </w:r>
    </w:p>
    <w:p w14:paraId="6F80A2FE" w14:textId="77777777" w:rsidR="00AA3D80" w:rsidRDefault="00CF3159">
      <w:pPr>
        <w:pStyle w:val="Heading2"/>
      </w:pPr>
      <w:bookmarkStart w:id="2" w:name="_3gnto51es7xs" w:colFirst="0" w:colLast="0"/>
      <w:bookmarkEnd w:id="2"/>
      <w:r>
        <w:t>Natural Environment Actor</w:t>
      </w:r>
    </w:p>
    <w:p w14:paraId="34F9DEF0" w14:textId="77777777" w:rsidR="00AA3D80" w:rsidRDefault="00CF3159">
      <w:r>
        <w:t>The natural environmental factor has become in</w:t>
      </w:r>
      <w:r>
        <w:t>creasingly important due to environmental issues and global warming, including resources availability, sustainability trends, greenhouse gas emission, and carbon footprint (Kotler et al., 2024). For BHP, this actor is perhaps the most impactful external ac</w:t>
      </w:r>
      <w:r>
        <w:t>tor influencing its operative licence as well as its future appearance in the market. The Intergovernmental Panel on Climate Change (IPCC, 2023) has stated that anthropogenic climate change is leading to unwarranted upheavals, imperative regulation and inv</w:t>
      </w:r>
      <w:r>
        <w:t>estor alarm in extractive sectors.</w:t>
      </w:r>
    </w:p>
    <w:p w14:paraId="70EA6FFB" w14:textId="77777777" w:rsidR="00AA3D80" w:rsidRDefault="00CF3159">
      <w:r>
        <w:t xml:space="preserve">The sustainability reporting of BHP itself also admits to a strong exposure to Scope 1 and 2 a lot of its emissions, and its Scope 3 mainly due to the consumption of iron ore to make steel, are far greater than its </w:t>
      </w:r>
      <w:r>
        <w:t>actual direct emissions (BHP, 2024b). This endemic issue cannot be resolved by mere operation efficiency but is a value chain transformation issue. According to Reuters (2024), the carbon emissions produced by BHP will in fact increase, rather than decreas</w:t>
      </w:r>
      <w:r>
        <w:t xml:space="preserve">e, in 2024 which is in direct opposition to its declared objectives of a 30% decrease in its operational greenhouse gas emissions by financial year 2030. This disparity underscores a very damaging disjuncture </w:t>
      </w:r>
      <w:r>
        <w:lastRenderedPageBreak/>
        <w:t>between environmental hope and operational fact</w:t>
      </w:r>
      <w:r>
        <w:t xml:space="preserve"> which is an implementation gap, which is gaining more attention on the side of ESG-conscious investors and the environmental populace.</w:t>
      </w:r>
    </w:p>
    <w:p w14:paraId="6CD6E55E" w14:textId="77777777" w:rsidR="00AA3D80" w:rsidRDefault="00CF3159">
      <w:r>
        <w:t>BHP also has a great opportunity with the natural environment actor. The International Energy Agency (IEA, 2021) determi</w:t>
      </w:r>
      <w:r>
        <w:t>ned that clean energy conversion would demand significant amounts of copper, nickel and lithium, of which BHP has strategic assets. The IEA (2023) also predicted that copper demand would potentially only continue to double by 2040 due to electrification of</w:t>
      </w:r>
      <w:r>
        <w:t xml:space="preserve"> transport and renewable energy infrastructure. McKinsey &amp; Company (2023) observed that the net-zero materials shift is on the verge of transforming global supply chains in fundamental ways, making miners capable of reliably delivering lower-carbon critica</w:t>
      </w:r>
      <w:r>
        <w:t xml:space="preserve">l minerals more strategic. Investment in copper property especially, by BHP, in </w:t>
      </w:r>
      <w:proofErr w:type="spellStart"/>
      <w:r>
        <w:t>Escondida</w:t>
      </w:r>
      <w:proofErr w:type="spellEnd"/>
      <w:r>
        <w:t xml:space="preserve"> mine in Chile and its offer to acquire Anglo American can therefore be seen not just as management of the commercial portfolio, but as a reaction to changing natural </w:t>
      </w:r>
      <w:r>
        <w:t>environment and the necessity that is compelled by the sustainability requirement.</w:t>
      </w:r>
    </w:p>
    <w:p w14:paraId="0B2A4AA7" w14:textId="77777777" w:rsidR="00AA3D80" w:rsidRDefault="00CF3159">
      <w:r>
        <w:t>Water shortage, tailing treatment, and land rehabilitation are other aspects of the natural environment. BHP (2023) has undertaken nature-positive outcomes, and at least 30%</w:t>
      </w:r>
      <w:r>
        <w:t xml:space="preserve"> of its land is under active stewardship by 2030. Even though these commitments indicate conformity to the new biodiversity demands, there are significant cost and reputational consequences in case they are not fulfilled (UNEP, 2022). The natural environme</w:t>
      </w:r>
      <w:r>
        <w:t xml:space="preserve">nt actor, therefore, also limits the old production model of BHP and provides new opportunities to differentiate around low-carbon mineral supply when transition commitments are plausible and implemented. </w:t>
      </w:r>
    </w:p>
    <w:p w14:paraId="707E93C0" w14:textId="77777777" w:rsidR="00AA3D80" w:rsidRDefault="00CF3159">
      <w:pPr>
        <w:pStyle w:val="Heading2"/>
      </w:pPr>
      <w:bookmarkStart w:id="3" w:name="_wkqojgezs3g6" w:colFirst="0" w:colLast="0"/>
      <w:bookmarkEnd w:id="3"/>
      <w:r>
        <w:t>Political and Regulatory Actor</w:t>
      </w:r>
    </w:p>
    <w:p w14:paraId="42F71799" w14:textId="77777777" w:rsidR="00AA3D80" w:rsidRDefault="00CF3159">
      <w:r>
        <w:t>The political actor</w:t>
      </w:r>
      <w:r>
        <w:t xml:space="preserve"> includes the compliance with regulations, government policy, rules that protect the consumer and changes to trade policy, and that companies need to expect and take care of (Kotler et al., 2024). For BHP, the second most impactful external actor is politi</w:t>
      </w:r>
      <w:r>
        <w:t>cal and regulatory dynamics because the company operates across the globe and the rate at which the global community is developing this support, climate policies is on the rise. The International Renewable Energy Agency (IRENA, 2023) estimates the investme</w:t>
      </w:r>
      <w:r>
        <w:t>nt in clean energy necessary to meet the 1.5</w:t>
      </w:r>
      <w:r>
        <w:rPr>
          <w:vertAlign w:val="superscript"/>
        </w:rPr>
        <w:t>o</w:t>
      </w:r>
      <w:r>
        <w:t>C pathway at around USD 5 trillion/year by 2030, which is to be completed through an all-embracive regulatory transformation to the energy, industry, and transport sectors.</w:t>
      </w:r>
    </w:p>
    <w:p w14:paraId="1C512353" w14:textId="77777777" w:rsidR="00AA3D80" w:rsidRDefault="00CF3159">
      <w:r>
        <w:lastRenderedPageBreak/>
        <w:t>BHP is subject to various regulatory a</w:t>
      </w:r>
      <w:r>
        <w:t>uthorities such as Australia, Chile and the US. The Safeguard Mechanism in Australia (reformed in 2023) establishes straight out declining emissions baselines to large industrial facilities and establishes a compliance obligation, which can gradually incre</w:t>
      </w:r>
      <w:r>
        <w:t xml:space="preserve">ase up to 2050. </w:t>
      </w:r>
      <w:proofErr w:type="spellStart"/>
      <w:r>
        <w:t>Codelco's</w:t>
      </w:r>
      <w:proofErr w:type="spellEnd"/>
      <w:r>
        <w:t xml:space="preserve"> publicly-supported decarbonisation programmes in Chile are an indication of a competitive aspect of political pressure: state-sponsored mining firms are publicly displaying low-carbon promises that put pressure on any significant </w:t>
      </w:r>
      <w:r>
        <w:t>player in the industry (</w:t>
      </w:r>
      <w:proofErr w:type="spellStart"/>
      <w:r>
        <w:t>Cobre</w:t>
      </w:r>
      <w:proofErr w:type="spellEnd"/>
      <w:r>
        <w:t xml:space="preserve">, 2025). According to Ahmad, Foo and Carlson (2024), though regulatory frameworks are getting stricter, the rate of sector-wide decarbonisation is still not high enough to reach net-zero by 2050, creating a chronic credibility </w:t>
      </w:r>
      <w:r>
        <w:t>gap which is likely to be bridged by more prescriptive legislation.</w:t>
      </w:r>
    </w:p>
    <w:p w14:paraId="6FC4D95A" w14:textId="77777777" w:rsidR="00AA3D80" w:rsidRDefault="00CF3159">
      <w:r>
        <w:t>The political actor poses geopolitical unpredictability as well. Supply chains of copper and nickel are concentrated in politically sensitive jurisdictions, and resource nationalism, the t</w:t>
      </w:r>
      <w:r>
        <w:t>endency by host governments to have greater claim on the revenues of natural resources, has become more pronounced in the world. BHP (2024a) recognises that political risk management is part and parcel of its strategic planning, especially in Chile and Sou</w:t>
      </w:r>
      <w:r>
        <w:t>th America at large. These dynamics influence the possibility of BHP to increase production capacity, based on demand signals generated by the natural environment transition, thus the political actor is an enabler and limiting factor of its low-carbon stra</w:t>
      </w:r>
      <w:r>
        <w:t xml:space="preserve">tegy. </w:t>
      </w:r>
    </w:p>
    <w:p w14:paraId="6DD3465B" w14:textId="77777777" w:rsidR="00AA3D80" w:rsidRDefault="00CF3159">
      <w:pPr>
        <w:pStyle w:val="Heading1"/>
      </w:pPr>
      <w:bookmarkStart w:id="4" w:name="_1lthbtngyts7" w:colFirst="0" w:colLast="0"/>
      <w:bookmarkEnd w:id="4"/>
      <w:r>
        <w:t>Task 2: Strategic Growth and Competitive Positioning</w:t>
      </w:r>
    </w:p>
    <w:p w14:paraId="5D3F0A37" w14:textId="77777777" w:rsidR="00AA3D80" w:rsidRDefault="00CF3159">
      <w:pPr>
        <w:pStyle w:val="Heading2"/>
      </w:pPr>
      <w:bookmarkStart w:id="5" w:name="_rgmitf7bnfw" w:colFirst="0" w:colLast="0"/>
      <w:bookmarkEnd w:id="5"/>
      <w:r>
        <w:t>Ansoff Matrix as a Strategic Framework</w:t>
      </w:r>
    </w:p>
    <w:p w14:paraId="5677D53E" w14:textId="77777777" w:rsidR="00AA3D80" w:rsidRDefault="00CF3159">
      <w:r>
        <w:t xml:space="preserve">The Ansoff Matrix is a methodical way of finding growth options by placing the existing and new products and existing and new markets in place, resulting in </w:t>
      </w:r>
      <w:r>
        <w:t>four strategic options: market penetration, market development, product development, and diversification (Whittington et al., 2023). For BHP, the matrix is a useful tool with which to analyse how the company can develop strategically and at the same time a</w:t>
      </w:r>
      <w:r>
        <w:t>ddress its transition into a lower-carbon business model. This can be discussed through environmental analysis done in Task 1 that shows that the defensive approach alone can hardly work and hence, BHP needs to take the initiative to achieve growth strateg</w:t>
      </w:r>
      <w:r>
        <w:t>ies to ensure that its commercial goals are in line with the natural and political environment.</w:t>
      </w:r>
    </w:p>
    <w:p w14:paraId="4E3C8FA1" w14:textId="77777777" w:rsidR="00AA3D80" w:rsidRDefault="00CF3159">
      <w:pPr>
        <w:pStyle w:val="Heading2"/>
      </w:pPr>
      <w:bookmarkStart w:id="6" w:name="_5nwhentxz0sr" w:colFirst="0" w:colLast="0"/>
      <w:bookmarkEnd w:id="6"/>
      <w:r>
        <w:lastRenderedPageBreak/>
        <w:t>Recommended Strategy: Market Development</w:t>
      </w:r>
    </w:p>
    <w:p w14:paraId="045EE0BE" w14:textId="77777777" w:rsidR="00AA3D80" w:rsidRDefault="00CF3159">
      <w:r>
        <w:t>The main strategic recommendation to BHP is market development: to transfer its existing high-quality copper and nickel</w:t>
      </w:r>
      <w:r>
        <w:t xml:space="preserve"> properties to the new markets, namely, the green energy supply chains and the electric vehicles supply chains in Europe, India and South-East Asia. The IEA (2023) adds that copper as a key energy infrastructure material is the most rapidly increasing sess</w:t>
      </w:r>
      <w:r>
        <w:t xml:space="preserve">ion of demand in clean energy, and it is developing new, high-growth market segments that BHP would easily serve, since it already has operations in </w:t>
      </w:r>
      <w:proofErr w:type="spellStart"/>
      <w:r>
        <w:t>Escondida</w:t>
      </w:r>
      <w:proofErr w:type="spellEnd"/>
      <w:r>
        <w:t xml:space="preserve"> copper in Chile. This is further emphasised by Yahoo Finance (2024) analysis of the copper shorta</w:t>
      </w:r>
      <w:r>
        <w:t>ges, that is, the structural supply deficit that gives BHP an advantaged market entry point.</w:t>
      </w:r>
    </w:p>
    <w:p w14:paraId="46E096EA" w14:textId="77777777" w:rsidR="00AA3D80" w:rsidRDefault="00CF3159">
      <w:r>
        <w:t>The low-carbon transition by expanding into new geographies is not the only aspect of market development. It entails BHP taking a proactive interest in new custome</w:t>
      </w:r>
      <w:r>
        <w:t>r groups including renewable energy developers, battery producers, and green steel producers who are ever more demanding supply chain provenance and data on the intensity of their emissions as part of their procurement (McKinsey &amp; Company, 2023). BHP can p</w:t>
      </w:r>
      <w:r>
        <w:t>ursue institutionalised green supply alliances which will ensure that its products of copper and nickel achieve emissions-intensity certification, establishing a differentiation lead which will be hard to counterfeit by competitors who cannot certify low-c</w:t>
      </w:r>
      <w:r>
        <w:t xml:space="preserve">arbon provenance of their products. The chosen strategy has a direct focus on the identified in Task 1 execution gap: since creating verifiable low-carbon credentials in its product and market positioning, BHP can translate its environmental promises into </w:t>
      </w:r>
      <w:r>
        <w:t>a commercial gain.</w:t>
      </w:r>
    </w:p>
    <w:p w14:paraId="310A6A32" w14:textId="77777777" w:rsidR="00AA3D80" w:rsidRDefault="00CF3159">
      <w:r>
        <w:t xml:space="preserve">Such a plan needs to be supported by true financial commitment to operational decarbonisation as opposed to incorporating carbon credits. According to BHP (2024b), it continues to electrify its haulage and fine-tune renewable agreements </w:t>
      </w:r>
      <w:r>
        <w:t>to supply its mines. The IRENA (2023) pathway analysis verifies that both the real emission-cutting and technology investment are credible net-zero strategies in the industrial sector, offset-heavy strategies are increasingly considered inadequate by the r</w:t>
      </w:r>
      <w:r>
        <w:t>egulators and sustainability-conscious buyers. The development of BHP into a market where battery-electric haulage and on-site renewable energy are accelerated would then fortify its market development approach whereby it will be in a position to deliver i</w:t>
      </w:r>
      <w:r>
        <w:t xml:space="preserve">ts critical minerals into the market with a verifiably lower lifecycle carbon footprint. </w:t>
      </w:r>
    </w:p>
    <w:p w14:paraId="7798DC2C" w14:textId="77777777" w:rsidR="00AA3D80" w:rsidRDefault="00CF3159">
      <w:pPr>
        <w:pStyle w:val="Heading2"/>
      </w:pPr>
      <w:bookmarkStart w:id="7" w:name="_9bl9s2wkshfa" w:colFirst="0" w:colLast="0"/>
      <w:bookmarkEnd w:id="7"/>
      <w:r>
        <w:lastRenderedPageBreak/>
        <w:t>Complementary Strategy: Product Development</w:t>
      </w:r>
    </w:p>
    <w:p w14:paraId="3E438649" w14:textId="77777777" w:rsidR="00AA3D80" w:rsidRDefault="00CF3159">
      <w:r>
        <w:t xml:space="preserve">It is suggested to have a complementary product development strategy that introduces new or improved products to the </w:t>
      </w:r>
      <w:r>
        <w:t>existing markets. Particularly, BHP can invest in refining iron ore to have more high-grade and low-emissions-dense products that can help promote lower-carbon steel manufacturing. Globally, the steel industry accounts for around 7-8% of the global greenho</w:t>
      </w:r>
      <w:r>
        <w:t>use emissions and steel manufacturers are under continued pressure to mitigate Scope 3 emissions, of which iron ore produced by BHP is a direct feedstock in it (Statista, 2026). With steel makers investing in hydrogen-to-based direct reduced iron (DRI) met</w:t>
      </w:r>
      <w:r>
        <w:t>allurgy and electric arc furnaces, iron ore with an Fe content greater than 65% grades which BHP is not presently generating in large amounts in Pilbara become increasingly demanded by them (Gleeson, 2026). BHP can keep its customers by developing higher-g</w:t>
      </w:r>
      <w:r>
        <w:t>rade iron ore products or processing alliances to produce a truly lower-carbon product.</w:t>
      </w:r>
    </w:p>
    <w:p w14:paraId="3F837390" w14:textId="77777777" w:rsidR="00AA3D80" w:rsidRDefault="00CF3159">
      <w:pPr>
        <w:jc w:val="center"/>
      </w:pPr>
      <w:r>
        <w:rPr>
          <w:noProof/>
        </w:rPr>
        <w:drawing>
          <wp:inline distT="114300" distB="114300" distL="114300" distR="114300" wp14:anchorId="59C26BCD" wp14:editId="12AE82A0">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5943600" cy="3568700"/>
                    </a:xfrm>
                    <a:prstGeom prst="rect">
                      <a:avLst/>
                    </a:prstGeom>
                  </pic:spPr>
                </pic:pic>
              </a:graphicData>
            </a:graphic>
          </wp:inline>
        </w:drawing>
      </w:r>
    </w:p>
    <w:p w14:paraId="30F53B5F" w14:textId="77777777" w:rsidR="00AA3D80" w:rsidRDefault="00CF3159">
      <w:pPr>
        <w:jc w:val="center"/>
        <w:rPr>
          <w:b/>
          <w:bCs/>
          <w:i/>
          <w:iCs/>
        </w:rPr>
      </w:pPr>
      <w:r>
        <w:rPr>
          <w:b/>
          <w:bCs/>
          <w:i/>
          <w:iCs/>
        </w:rPr>
        <w:t>Figure 1: Annual GHG emissions worldwide (1990-2024)</w:t>
      </w:r>
    </w:p>
    <w:p w14:paraId="4AF3801B" w14:textId="77777777" w:rsidR="00AA3D80" w:rsidRDefault="00CF3159">
      <w:pPr>
        <w:jc w:val="center"/>
      </w:pPr>
      <w:r>
        <w:t xml:space="preserve">(Source: Statista, 2026) </w:t>
      </w:r>
    </w:p>
    <w:p w14:paraId="7A86686B" w14:textId="77777777" w:rsidR="00AA3D80" w:rsidRDefault="00CF3159">
      <w:r>
        <w:lastRenderedPageBreak/>
        <w:t>This product development plan fits into the analysis of the political actors in Task 1:</w:t>
      </w:r>
      <w:r>
        <w:t xml:space="preserve"> with regulatory frameworks becoming stricter in Scope 3 emissions reporting and decarbonisation of steel supply chains, steel customers of BHP will be under a higher pressure to ensure the emissions of their inputs are lower than currently embedded in the</w:t>
      </w:r>
      <w:r>
        <w:t xml:space="preserve"> finished product. By taking the initiative to produce a lower-carbon iron ore product, BHP can be at the forefront of these regulation policies, generating customer loyalty and regulatory strength. According to </w:t>
      </w:r>
      <w:proofErr w:type="spellStart"/>
      <w:r>
        <w:t>Sasu</w:t>
      </w:r>
      <w:proofErr w:type="spellEnd"/>
      <w:r>
        <w:t xml:space="preserve"> (2025), the emissions due to mining of </w:t>
      </w:r>
      <w:r>
        <w:t xml:space="preserve">iron ore are among the largest sources of emissions of the commodity globally, which supports business and reputational strategic need of BHP to differentiate. </w:t>
      </w:r>
    </w:p>
    <w:p w14:paraId="1160BE32" w14:textId="77777777" w:rsidR="00AA3D80" w:rsidRDefault="00CF3159">
      <w:r>
        <w:rPr>
          <w:noProof/>
        </w:rPr>
        <w:drawing>
          <wp:inline distT="114300" distB="114300" distL="114300" distR="114300" wp14:anchorId="4BD5F4DD" wp14:editId="6A1F99B9">
            <wp:extent cx="5943600" cy="35433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8"/>
                    <a:srcRect/>
                    <a:stretch>
                      <a:fillRect/>
                    </a:stretch>
                  </pic:blipFill>
                  <pic:spPr>
                    <a:xfrm>
                      <a:off x="0" y="0"/>
                      <a:ext cx="5943600" cy="3543300"/>
                    </a:xfrm>
                    <a:prstGeom prst="rect">
                      <a:avLst/>
                    </a:prstGeom>
                  </pic:spPr>
                </pic:pic>
              </a:graphicData>
            </a:graphic>
          </wp:inline>
        </w:drawing>
      </w:r>
    </w:p>
    <w:p w14:paraId="476D383D" w14:textId="77777777" w:rsidR="00AA3D80" w:rsidRDefault="00CF3159">
      <w:pPr>
        <w:jc w:val="center"/>
        <w:rPr>
          <w:b/>
          <w:bCs/>
          <w:i/>
          <w:iCs/>
        </w:rPr>
      </w:pPr>
      <w:r>
        <w:rPr>
          <w:b/>
          <w:bCs/>
          <w:i/>
          <w:iCs/>
        </w:rPr>
        <w:t>Figure 2: Emissions from mining activities worldwide as of 2019</w:t>
      </w:r>
    </w:p>
    <w:p w14:paraId="44135F37" w14:textId="77777777" w:rsidR="00AA3D80" w:rsidRDefault="00CF3159">
      <w:pPr>
        <w:jc w:val="center"/>
      </w:pPr>
      <w:r>
        <w:t xml:space="preserve">(Source: </w:t>
      </w:r>
      <w:proofErr w:type="spellStart"/>
      <w:r>
        <w:t>Sasu</w:t>
      </w:r>
      <w:proofErr w:type="spellEnd"/>
      <w:r>
        <w:t xml:space="preserve">, 2025) </w:t>
      </w:r>
    </w:p>
    <w:p w14:paraId="36389FC4" w14:textId="77777777" w:rsidR="00AA3D80" w:rsidRDefault="00CF3159">
      <w:pPr>
        <w:pStyle w:val="Heading2"/>
      </w:pPr>
      <w:bookmarkStart w:id="8" w:name="_i0umrrc97m8c" w:colFirst="0" w:colLast="0"/>
      <w:bookmarkEnd w:id="8"/>
      <w:r>
        <w:t>Competi</w:t>
      </w:r>
      <w:r>
        <w:t>tive Positioning and Differentiation</w:t>
      </w:r>
    </w:p>
    <w:p w14:paraId="3555F36D" w14:textId="77777777" w:rsidR="00AA3D80" w:rsidRDefault="00CF3159">
      <w:r>
        <w:t>The strategic framework recommended above is based on competitive advantage in terms of differentiation (Whittington et al., 2023). BHP is large, technically skilled and has access to Tier 1 assets in the form of minera</w:t>
      </w:r>
      <w:r>
        <w:t xml:space="preserve">l and thus offers a good background of differentiation but these are not as effective anymore in a market where it is becoming a requirement and not a preference to </w:t>
      </w:r>
      <w:r>
        <w:lastRenderedPageBreak/>
        <w:t xml:space="preserve">procure ESG credibility. In order to maintain competitive advantage, BHP needs to make its </w:t>
      </w:r>
      <w:r>
        <w:t>transition journey transparent and credible, by using independently verified emission intensity information and Paris agreement aligned science-based targets.</w:t>
      </w:r>
    </w:p>
    <w:p w14:paraId="3D68728A" w14:textId="77777777" w:rsidR="00AA3D80" w:rsidRDefault="00CF3159">
      <w:r>
        <w:t>According to Burton (2024) and Reuters (2024), the short-term path of emissions in BHP is not yet</w:t>
      </w:r>
      <w:r>
        <w:t xml:space="preserve"> commensurate to the level of reduction it has long-term obligations. This is the largest reputational risk of a differentiation strategy of BHP, which is called the green credibility gap. When BHP lets its ESG performance far outpacing their operational r</w:t>
      </w:r>
      <w:r>
        <w:t xml:space="preserve">eality, it stands to face the risk of regulatory and investor backlash that would undermine the trust required to make market development effective. An important marketing observation is that BHP shift needs to be reported with due modesty and accuracy in </w:t>
      </w:r>
      <w:r>
        <w:t>recognition of the near-term emissions problems whilst presenting tangible, time-based investment strategies accumulating long-term credibility with the new segments of the market targeted above.</w:t>
      </w:r>
    </w:p>
    <w:p w14:paraId="6AFEFF15" w14:textId="77777777" w:rsidR="00AA3D80" w:rsidRDefault="00CF3159">
      <w:r>
        <w:t>The strategic growth strategy advised to be adopted by BHP i</w:t>
      </w:r>
      <w:r>
        <w:t xml:space="preserve">nvolves a combination of developing the primary market based on the need to expand into the green supply chain segments and development of complementary products based on the low-carbon mineral grades. Both strategies rest on environmental pressures found </w:t>
      </w:r>
      <w:r>
        <w:t>in Task 1, address structural demand signals driven by the natural environment actor, and ensure that BHP is positioned to maintain competitive advantage by differentiated, verifiable ESG credentials, instead of scale alone.</w:t>
      </w:r>
    </w:p>
    <w:p w14:paraId="538CB87F" w14:textId="77777777" w:rsidR="00AA3D80" w:rsidRDefault="00CF3159">
      <w:pPr>
        <w:pStyle w:val="Heading1"/>
      </w:pPr>
      <w:bookmarkStart w:id="9" w:name="_qyp0by7i47uu" w:colFirst="0" w:colLast="0"/>
      <w:bookmarkEnd w:id="9"/>
      <w:r>
        <w:t xml:space="preserve">Task 3: Critical Reflection on </w:t>
      </w:r>
      <w:r>
        <w:t>AI Usage</w:t>
      </w:r>
    </w:p>
    <w:p w14:paraId="588EC151" w14:textId="77777777" w:rsidR="00AA3D80" w:rsidRDefault="00CF3159">
      <w:pPr>
        <w:pStyle w:val="Heading2"/>
      </w:pPr>
      <w:bookmarkStart w:id="10" w:name="_sou4mf8zvv59" w:colFirst="0" w:colLast="0"/>
      <w:bookmarkEnd w:id="10"/>
      <w:r>
        <w:t>a. Tool Disclosure</w:t>
      </w:r>
    </w:p>
    <w:p w14:paraId="779B30D1" w14:textId="77777777" w:rsidR="00AA3D80" w:rsidRDefault="00CF3159">
      <w:r>
        <w:t xml:space="preserve">This report was prepared by using an AI language model as </w:t>
      </w:r>
      <w:proofErr w:type="gramStart"/>
      <w:r>
        <w:t>a research</w:t>
      </w:r>
      <w:proofErr w:type="gramEnd"/>
      <w:r>
        <w:t xml:space="preserve"> and writing support tool. It has been asked to help with overseeing marketing environment frameworks, creating primary structural outlines of the Ansoff Matrix</w:t>
      </w:r>
      <w:r>
        <w:t xml:space="preserve">, and proofreading grammar and academic tone. </w:t>
      </w:r>
    </w:p>
    <w:p w14:paraId="17ACAD73" w14:textId="77777777" w:rsidR="00AA3D80" w:rsidRDefault="00CF3159">
      <w:pPr>
        <w:pStyle w:val="Heading2"/>
      </w:pPr>
      <w:bookmarkStart w:id="11" w:name="_8gsfa5xsmsa3" w:colFirst="0" w:colLast="0"/>
      <w:bookmarkEnd w:id="11"/>
      <w:r>
        <w:t>b. Critical Evaluation of AI Output</w:t>
      </w:r>
    </w:p>
    <w:p w14:paraId="5686E16E" w14:textId="77777777" w:rsidR="00AA3D80" w:rsidRDefault="00CF3159">
      <w:r>
        <w:t>The AI output was not usable without verification. Several hallucinations were revealed: the AI mentioned academic papers - such as Resources Policy and Journal of Cleaner P</w:t>
      </w:r>
      <w:r>
        <w:t xml:space="preserve">roduction that were not found in the approved reference list and were impossible to verify alone. These were </w:t>
      </w:r>
      <w:r>
        <w:lastRenderedPageBreak/>
        <w:t>deleted and substituted with validated sources. The AI produced unattributed statistical assertions regarding the emissions trend at BHP, which was</w:t>
      </w:r>
      <w:r>
        <w:t xml:space="preserve"> then cross-validated with those of BHP (BHP, 2024a; 2024b) and Reuters (2024) prior to any number being stored. The Ansoff analysis of the AI gave equal importance to all four quadrants, without analysis being prioritised as required at the university lev</w:t>
      </w:r>
      <w:r>
        <w:t>el. It was an independent decision to foreground market development and make the product development and development complementary instead of recommending diversification, since what AI had suggested to diversify was not justified by the past experience of</w:t>
      </w:r>
      <w:r>
        <w:t xml:space="preserve"> BHP being operationally competent in the renewable energy industry. </w:t>
      </w:r>
    </w:p>
    <w:p w14:paraId="0F830BD6" w14:textId="77777777" w:rsidR="00AA3D80" w:rsidRDefault="00CF3159">
      <w:pPr>
        <w:pStyle w:val="Heading2"/>
      </w:pPr>
      <w:bookmarkStart w:id="12" w:name="_csxbf8xm2ugv" w:colFirst="0" w:colLast="0"/>
      <w:bookmarkEnd w:id="12"/>
      <w:r>
        <w:t>c. Contribution Analysis</w:t>
      </w:r>
    </w:p>
    <w:p w14:paraId="3169C02C" w14:textId="77777777" w:rsidR="00AA3D80" w:rsidRDefault="00CF3159">
      <w:r>
        <w:t>The AI offered a rough architectural framework and bullet point concepts. Substantive arguments like absence of an execution gap between the BHP commitments on t</w:t>
      </w:r>
      <w:r>
        <w:t>he peg and its short-term emission path, the priority of the green supply chain credentialing differentiation strategy, and the argument against offset-based transition plans have been formulated in isolation by close reading of the approved sources. Adapt</w:t>
      </w:r>
      <w:r>
        <w:t>ation of BHP specific evidence together with lecture material on the natural environment actor was done separately. The evaluative conclusions were not created by the AI, it only provided a starting guideline, which was largely revised and reordered, and s</w:t>
      </w:r>
      <w:r>
        <w:t xml:space="preserve">upported. </w:t>
      </w:r>
    </w:p>
    <w:p w14:paraId="40FE3100" w14:textId="77777777" w:rsidR="00AA3D80" w:rsidRDefault="00CF3159">
      <w:pPr>
        <w:pStyle w:val="Heading2"/>
      </w:pPr>
      <w:bookmarkStart w:id="13" w:name="_3ojnax4m8rj0" w:colFirst="0" w:colLast="0"/>
      <w:bookmarkEnd w:id="13"/>
      <w:r>
        <w:t>d. Ethical and Professional Reflection</w:t>
      </w:r>
    </w:p>
    <w:p w14:paraId="72AA9EBE" w14:textId="77777777" w:rsidR="00AA3D80" w:rsidRDefault="00CF3159">
      <w:r>
        <w:t>Blind use of AI is dangerous to replacing actual intellectual activity with machine generated responses, despite required disclosure. In this report, AI was being used as a support tool helpful in structuri</w:t>
      </w:r>
      <w:r>
        <w:t xml:space="preserve">ng and proofreading but analysis, judgement and verification of sources remained the students' own. The skills to critically assess AI outputs are also essential competencies in professional marketing practice. Otherwise, practitioners with limited skills </w:t>
      </w:r>
      <w:r>
        <w:t xml:space="preserve">in identifying incorrect AI-generated claims may find themselves offering biased analysis to consumers. The moral obligation is not to evade AI however, but to apply it clearly and critically. </w:t>
      </w:r>
      <w:r>
        <w:br w:type="page"/>
      </w:r>
    </w:p>
    <w:p w14:paraId="1698E5BF" w14:textId="77777777" w:rsidR="00AA3D80" w:rsidRDefault="00CF3159">
      <w:pPr>
        <w:pStyle w:val="Heading1"/>
      </w:pPr>
      <w:bookmarkStart w:id="14" w:name="_meai11je972h" w:colFirst="0" w:colLast="0"/>
      <w:bookmarkEnd w:id="14"/>
      <w:r>
        <w:lastRenderedPageBreak/>
        <w:t xml:space="preserve">References </w:t>
      </w:r>
    </w:p>
    <w:p w14:paraId="02B29AA5" w14:textId="77777777" w:rsidR="00AA3D80" w:rsidRDefault="00CF3159">
      <w:pPr>
        <w:spacing w:after="240"/>
      </w:pPr>
      <w:proofErr w:type="spellStart"/>
      <w:r>
        <w:t>AHmad</w:t>
      </w:r>
      <w:proofErr w:type="spellEnd"/>
      <w:r>
        <w:t xml:space="preserve">, K., Foo, J. and Carlson, H. (2024). </w:t>
      </w:r>
      <w:r>
        <w:rPr>
          <w:i/>
          <w:iCs/>
        </w:rPr>
        <w:t>Net-ze</w:t>
      </w:r>
      <w:r>
        <w:rPr>
          <w:i/>
          <w:iCs/>
        </w:rPr>
        <w:t>ro by 2050: is the mining &amp; metals sector on track to reduce greenhouse gas emissions? | White &amp; Case LLP</w:t>
      </w:r>
      <w:r>
        <w:t>. [online] Whitecase.com. Available at: https://www.whitecase.com/insight-our-thinking/net-zero-2050-mining-metals-sector-track-reduce-greenhouse-gas-e</w:t>
      </w:r>
      <w:r>
        <w:t>missions.</w:t>
      </w:r>
    </w:p>
    <w:p w14:paraId="18E35FA5" w14:textId="77777777" w:rsidR="00AA3D80" w:rsidRDefault="00CF3159">
      <w:pPr>
        <w:spacing w:after="240"/>
      </w:pPr>
      <w:r>
        <w:t xml:space="preserve">BHP (2023). </w:t>
      </w:r>
      <w:r>
        <w:rPr>
          <w:i/>
          <w:iCs/>
        </w:rPr>
        <w:t>Community and sustainability reports</w:t>
      </w:r>
      <w:r>
        <w:t>. [online] Bhp.com. Available at: https://www.bhp.com/sustainability/community-sustainability-reports [Accessed 17 Jun. 2026].</w:t>
      </w:r>
    </w:p>
    <w:p w14:paraId="65D8FD28" w14:textId="77777777" w:rsidR="00AA3D80" w:rsidRDefault="00CF3159">
      <w:pPr>
        <w:spacing w:after="240"/>
      </w:pPr>
      <w:r>
        <w:t xml:space="preserve">BHP (2024a). </w:t>
      </w:r>
      <w:r>
        <w:rPr>
          <w:i/>
          <w:iCs/>
        </w:rPr>
        <w:t>Annual report 2024</w:t>
      </w:r>
      <w:r>
        <w:t xml:space="preserve">. [online] Available at: </w:t>
      </w:r>
      <w:r>
        <w:t>https://www.bhp.com/-/media/documents/investors/annual-reports/2024/240827_bhpannualreport2024.pdf [Accessed 17 Jun. 2026].</w:t>
      </w:r>
    </w:p>
    <w:p w14:paraId="5074CB8F" w14:textId="77777777" w:rsidR="00AA3D80" w:rsidRDefault="00CF3159">
      <w:pPr>
        <w:spacing w:after="240"/>
      </w:pPr>
      <w:r>
        <w:t xml:space="preserve">BHP (2024b). </w:t>
      </w:r>
      <w:r>
        <w:rPr>
          <w:i/>
          <w:iCs/>
        </w:rPr>
        <w:t>Climate change</w:t>
      </w:r>
      <w:r>
        <w:t>. [online] Bhp.com. Available at: https://www.bhp.com/sustainability/climate-change [Accessed 17 Jun. 202</w:t>
      </w:r>
      <w:r>
        <w:t>6].</w:t>
      </w:r>
    </w:p>
    <w:p w14:paraId="2BB21999" w14:textId="77777777" w:rsidR="00AA3D80" w:rsidRDefault="00CF3159">
      <w:pPr>
        <w:spacing w:after="240"/>
      </w:pPr>
      <w:r>
        <w:t xml:space="preserve">Burton, M. (2024). </w:t>
      </w:r>
      <w:r>
        <w:rPr>
          <w:i/>
          <w:iCs/>
        </w:rPr>
        <w:t>Miner BHP’s carbon emissions to rise slightly this year</w:t>
      </w:r>
      <w:r>
        <w:t>. [online] Reuters. Available at: https://www.reuters.com/sustainability/boards-policy-regulation/bhp-groups-carbon-emissions-set-see-small-increase-2024-2024-06-25/ [Accessed 17</w:t>
      </w:r>
      <w:r>
        <w:t xml:space="preserve"> Jun. 2026].</w:t>
      </w:r>
    </w:p>
    <w:p w14:paraId="6A8CC497" w14:textId="77777777" w:rsidR="00AA3D80" w:rsidRDefault="00CF3159">
      <w:pPr>
        <w:spacing w:after="240"/>
      </w:pPr>
      <w:proofErr w:type="spellStart"/>
      <w:r>
        <w:t>Cobre</w:t>
      </w:r>
      <w:proofErr w:type="spellEnd"/>
      <w:r>
        <w:t xml:space="preserve">, del (2025). </w:t>
      </w:r>
      <w:proofErr w:type="spellStart"/>
      <w:r>
        <w:rPr>
          <w:i/>
          <w:iCs/>
        </w:rPr>
        <w:t>Codelco</w:t>
      </w:r>
      <w:proofErr w:type="spellEnd"/>
      <w:r>
        <w:rPr>
          <w:i/>
          <w:iCs/>
        </w:rPr>
        <w:t xml:space="preserve"> launches its first Climate Change Report and consolidates its strategy toward more resilient and low-emission mining</w:t>
      </w:r>
      <w:r>
        <w:t>. [online] Codelco.com. Available at: https://www.codelco.com/en/prensa/2025/codelco-lanza-su-primer</w:t>
      </w:r>
      <w:r>
        <w:t>-reporte-de-cambio-climatico-y-consolida-su [Accessed 18 Jun. 2026].</w:t>
      </w:r>
    </w:p>
    <w:p w14:paraId="355ED608" w14:textId="77777777" w:rsidR="00AA3D80" w:rsidRDefault="00CF3159">
      <w:pPr>
        <w:spacing w:after="240"/>
      </w:pPr>
      <w:r>
        <w:t xml:space="preserve">Gleeson, D. (2026). </w:t>
      </w:r>
      <w:r>
        <w:rPr>
          <w:i/>
          <w:iCs/>
        </w:rPr>
        <w:t xml:space="preserve">China </w:t>
      </w:r>
      <w:proofErr w:type="spellStart"/>
      <w:r>
        <w:rPr>
          <w:i/>
          <w:iCs/>
        </w:rPr>
        <w:t>Baowu</w:t>
      </w:r>
      <w:proofErr w:type="spellEnd"/>
      <w:r>
        <w:rPr>
          <w:i/>
          <w:iCs/>
        </w:rPr>
        <w:t xml:space="preserve"> and Rio Tinto herald results of latest lower carbon steelmaking trials - International Mining</w:t>
      </w:r>
      <w:r>
        <w:t xml:space="preserve">. [online] International Mining. Available at: </w:t>
      </w:r>
      <w:r>
        <w:t>https://im-mining.com/2026/06/15/china-baowu-and-rio-tinto-herald-results-of-latest-lower-carbon-steelmaking-trials/ [Accessed 18 Jun. 2026].</w:t>
      </w:r>
    </w:p>
    <w:p w14:paraId="1245D071" w14:textId="77777777" w:rsidR="00AA3D80" w:rsidRDefault="00CF3159">
      <w:pPr>
        <w:spacing w:after="240"/>
      </w:pPr>
      <w:r>
        <w:t xml:space="preserve">IEA (2021). </w:t>
      </w:r>
      <w:r>
        <w:rPr>
          <w:i/>
          <w:iCs/>
        </w:rPr>
        <w:t>Executive Summary – the Role of Critical Minerals in Clean Energy Transitions – Analysis</w:t>
      </w:r>
      <w:r>
        <w:t>. [online] IEA</w:t>
      </w:r>
      <w:r>
        <w:t>. Available at: https://www.iea.org/reports/the-role-of-critical-minerals-in-clean-energy-transitions/executive-summary [Accessed 17 Jun. 2026].</w:t>
      </w:r>
    </w:p>
    <w:p w14:paraId="1B5A493B" w14:textId="77777777" w:rsidR="00AA3D80" w:rsidRDefault="00CF3159">
      <w:pPr>
        <w:spacing w:after="240"/>
      </w:pPr>
      <w:r>
        <w:lastRenderedPageBreak/>
        <w:t xml:space="preserve">International Energy Agency (2023). </w:t>
      </w:r>
      <w:r>
        <w:rPr>
          <w:i/>
          <w:iCs/>
        </w:rPr>
        <w:t>Critical Minerals Market Review 2023 – Analysis</w:t>
      </w:r>
      <w:r>
        <w:t>. [online] IEA. Available at</w:t>
      </w:r>
      <w:r>
        <w:t>: https://www.iea.org/reports/critical-minerals-market-review-2023 [Accessed 17 Jun. 2026].</w:t>
      </w:r>
    </w:p>
    <w:p w14:paraId="71B82F87" w14:textId="77777777" w:rsidR="00AA3D80" w:rsidRDefault="00CF3159">
      <w:pPr>
        <w:spacing w:after="240"/>
      </w:pPr>
      <w:r>
        <w:t xml:space="preserve">International Renewable Energy Agency (IRENA) (2023). </w:t>
      </w:r>
      <w:r>
        <w:rPr>
          <w:i/>
          <w:iCs/>
        </w:rPr>
        <w:t>WORLD ENERGY TRANSITIONS OUTLOOK 2023 1.5°C PATHWAY EXECUTIVE SUMMARY</w:t>
      </w:r>
      <w:r>
        <w:t>. [online] Available at: https://www.iren</w:t>
      </w:r>
      <w:r>
        <w:t>a.org/-/media/Files/IRENA/Agency/Publication/2023/Jun/IRENA_World_energy_transitions_outlook_summary_2023.pdf [Accessed 17 Jun. 2026].</w:t>
      </w:r>
    </w:p>
    <w:p w14:paraId="420438BE" w14:textId="77777777" w:rsidR="00AA3D80" w:rsidRDefault="00CF3159">
      <w:pPr>
        <w:spacing w:after="240"/>
      </w:pPr>
      <w:r>
        <w:t xml:space="preserve">IPCC (2023). </w:t>
      </w:r>
      <w:r>
        <w:rPr>
          <w:i/>
          <w:iCs/>
        </w:rPr>
        <w:t>AR6 Synthesis Report: Climate Change 2023</w:t>
      </w:r>
      <w:r>
        <w:t>. [online] www.ipcc.ch. Available at: https://www.ipcc.ch/report/ar</w:t>
      </w:r>
      <w:r>
        <w:t>6/syr/ [Accessed 17 Jun. 2026].</w:t>
      </w:r>
    </w:p>
    <w:p w14:paraId="37019DAD" w14:textId="77777777" w:rsidR="00AA3D80" w:rsidRDefault="00CF3159">
      <w:pPr>
        <w:spacing w:after="240"/>
      </w:pPr>
      <w:r>
        <w:t xml:space="preserve">Kotler, P., Armstrong, G., Harris, L.C. and Piercy, N. (2024). </w:t>
      </w:r>
      <w:r>
        <w:rPr>
          <w:i/>
          <w:iCs/>
        </w:rPr>
        <w:t>Principles of marketing</w:t>
      </w:r>
      <w:r>
        <w:t>. 19th ed. Harlow: Pearson Education Limited.</w:t>
      </w:r>
    </w:p>
    <w:p w14:paraId="540AC8B8" w14:textId="77777777" w:rsidR="00AA3D80" w:rsidRDefault="00CF3159">
      <w:pPr>
        <w:spacing w:after="240"/>
      </w:pPr>
      <w:r>
        <w:t xml:space="preserve">McKinsey &amp; Company (2023). </w:t>
      </w:r>
      <w:r>
        <w:rPr>
          <w:i/>
          <w:iCs/>
        </w:rPr>
        <w:t>How the energy transition could affect material supply chains | M</w:t>
      </w:r>
      <w:r>
        <w:rPr>
          <w:i/>
          <w:iCs/>
        </w:rPr>
        <w:t>cKinsey</w:t>
      </w:r>
      <w:r>
        <w:t>. [online] www.mckinsey.com. Available at: https://www.mckinsey.com/industries/metals-and-mining/our-insights/the-net-zero-materials-transition-implications-for-global-supply-chains [Accessed 17 Jun. 2026].</w:t>
      </w:r>
    </w:p>
    <w:p w14:paraId="3CC310A3" w14:textId="77777777" w:rsidR="00AA3D80" w:rsidRDefault="00CF3159">
      <w:pPr>
        <w:spacing w:after="240"/>
      </w:pPr>
      <w:r>
        <w:t xml:space="preserve">Reuters (2024). </w:t>
      </w:r>
      <w:r>
        <w:rPr>
          <w:i/>
          <w:iCs/>
        </w:rPr>
        <w:t>BHP Group’s carbon emissio</w:t>
      </w:r>
      <w:r>
        <w:rPr>
          <w:i/>
          <w:iCs/>
        </w:rPr>
        <w:t>ns set to see a small increase in 2024</w:t>
      </w:r>
      <w:r>
        <w:t xml:space="preserve">. [online] </w:t>
      </w:r>
      <w:proofErr w:type="spellStart"/>
      <w:r>
        <w:t>ThePrint</w:t>
      </w:r>
      <w:proofErr w:type="spellEnd"/>
      <w:r>
        <w:t>. Available at: https://theprint.in/environment/bhp-groups-carbon-emissions-set-to-see-a-small-increase-in-2024/2147552/ [Accessed 17 Jun. 2026].</w:t>
      </w:r>
    </w:p>
    <w:p w14:paraId="2262163B" w14:textId="77777777" w:rsidR="00AA3D80" w:rsidRDefault="00CF3159">
      <w:pPr>
        <w:spacing w:after="240"/>
      </w:pPr>
      <w:proofErr w:type="spellStart"/>
      <w:r>
        <w:t>Sasu</w:t>
      </w:r>
      <w:proofErr w:type="spellEnd"/>
      <w:r>
        <w:t xml:space="preserve">, D.D. (2025). </w:t>
      </w:r>
      <w:r>
        <w:rPr>
          <w:i/>
          <w:iCs/>
        </w:rPr>
        <w:t>Mining emissions by mineral commod</w:t>
      </w:r>
      <w:r>
        <w:rPr>
          <w:i/>
          <w:iCs/>
        </w:rPr>
        <w:t>ity worldwide| Statista</w:t>
      </w:r>
      <w:r>
        <w:t>. [online] Statista. Available at: https://www.statista.com/statistics/1078671/global-emissions-from-mining-by-mineral-commodity/?srsltid=AfmBOorFcEDF82fiQf_PTAb-FH19I8BSnp7qN2ZDvPOrfbveHLHBfIN9 [Accessed 17 Jun. 2026].</w:t>
      </w:r>
    </w:p>
    <w:p w14:paraId="27FBA72F" w14:textId="77777777" w:rsidR="00AA3D80" w:rsidRDefault="00CF3159">
      <w:pPr>
        <w:spacing w:after="240"/>
      </w:pPr>
      <w:r>
        <w:t>Statista (202</w:t>
      </w:r>
      <w:r>
        <w:t xml:space="preserve">6). </w:t>
      </w:r>
      <w:r>
        <w:rPr>
          <w:i/>
          <w:iCs/>
        </w:rPr>
        <w:t>Global GHG emissions by sector 1990-2024| Statista</w:t>
      </w:r>
      <w:r>
        <w:t>. [online] Statista. Available at: https://www.statista.com/statistics/1423179/global-ghg-emissions-by-sector-annual/?srsltid=AfmBOorB-0eN1ZdlVBp2N-AidWOvXy92b8_PZzMj-9UenhYSiBo_Rqg6 [Accessed 17 Jun. 2</w:t>
      </w:r>
      <w:r>
        <w:t>026].</w:t>
      </w:r>
    </w:p>
    <w:p w14:paraId="7C497011" w14:textId="77777777" w:rsidR="00AA3D80" w:rsidRDefault="00CF3159">
      <w:pPr>
        <w:spacing w:after="240"/>
      </w:pPr>
      <w:r>
        <w:lastRenderedPageBreak/>
        <w:t xml:space="preserve">UNEP (2022). </w:t>
      </w:r>
      <w:r>
        <w:rPr>
          <w:i/>
          <w:iCs/>
        </w:rPr>
        <w:t>Emissions Gap Report 2022</w:t>
      </w:r>
      <w:r>
        <w:t>. [online] UNEP - UN Environment Programme. Available at: https://www.unep.org/resources/emissions-gap-report-2022 [Accessed 17 Jun. 2026].</w:t>
      </w:r>
    </w:p>
    <w:p w14:paraId="285D2CA5" w14:textId="77777777" w:rsidR="00AA3D80" w:rsidRDefault="00CF3159">
      <w:pPr>
        <w:spacing w:after="240"/>
      </w:pPr>
      <w:r>
        <w:t xml:space="preserve">Whittington, R., Angwin, D., </w:t>
      </w:r>
      <w:proofErr w:type="spellStart"/>
      <w:r>
        <w:t>Regner</w:t>
      </w:r>
      <w:proofErr w:type="spellEnd"/>
      <w:r>
        <w:t>, P., Scholes, K. and Johnson, G. (20</w:t>
      </w:r>
      <w:r>
        <w:t xml:space="preserve">23). </w:t>
      </w:r>
      <w:r>
        <w:rPr>
          <w:i/>
          <w:iCs/>
        </w:rPr>
        <w:t>Exploring strategy: Text and Cases</w:t>
      </w:r>
      <w:r>
        <w:t>. 13th ed. Harlow, England: Pearson.</w:t>
      </w:r>
    </w:p>
    <w:p w14:paraId="19868225" w14:textId="77777777" w:rsidR="00AA3D80" w:rsidRDefault="00CF3159">
      <w:pPr>
        <w:spacing w:after="240"/>
      </w:pPr>
      <w:r>
        <w:t xml:space="preserve">Yahoo Finance (2024). </w:t>
      </w:r>
      <w:r>
        <w:rPr>
          <w:i/>
          <w:iCs/>
        </w:rPr>
        <w:t>Stamping Out Copper Shortages: Stamper’s High-Grade Assets Positioned to Meet Increased Demand</w:t>
      </w:r>
      <w:r>
        <w:t>. [online] Yahoo Finance. Available at: https://finance.yahoo.co</w:t>
      </w:r>
      <w:r>
        <w:t>m/news/stamping-copper-shortages-stampers-high-110700860.html [Accessed 17 Jun. 2026].</w:t>
      </w:r>
    </w:p>
    <w:p w14:paraId="583B94DD" w14:textId="77777777" w:rsidR="00AA3D80" w:rsidRDefault="00CF3159">
      <w:pPr>
        <w:spacing w:after="240"/>
      </w:pPr>
      <w:r>
        <w:br w:type="page"/>
      </w:r>
    </w:p>
    <w:p w14:paraId="00CAD0CF" w14:textId="77777777" w:rsidR="00AA3D80" w:rsidRDefault="00CF3159">
      <w:pPr>
        <w:pStyle w:val="Heading1"/>
        <w:jc w:val="left"/>
        <w:rPr>
          <w:rFonts w:ascii="Arial" w:eastAsia="Arial" w:hAnsi="Arial" w:cs="Arial"/>
          <w:highlight w:val="white"/>
        </w:rPr>
      </w:pPr>
      <w:bookmarkStart w:id="15" w:name="_8or0m8rltevh" w:colFirst="0" w:colLast="0"/>
      <w:bookmarkEnd w:id="15"/>
      <w:proofErr w:type="gramStart"/>
      <w:r>
        <w:lastRenderedPageBreak/>
        <w:t xml:space="preserve">Appendices </w:t>
      </w:r>
      <w:bookmarkStart w:id="16" w:name="_tz0jqrgb02ki" w:colFirst="0" w:colLast="0"/>
      <w:bookmarkEnd w:id="16"/>
      <w:r>
        <w:rPr>
          <w:lang w:val="en-US"/>
        </w:rPr>
        <w:t>:</w:t>
      </w:r>
      <w:proofErr w:type="gramEnd"/>
      <w:r>
        <w:rPr>
          <w:lang w:val="en-US"/>
        </w:rPr>
        <w:t xml:space="preserve"> </w:t>
      </w:r>
      <w:r>
        <w:t>Appendix1:AI</w:t>
      </w:r>
      <w:r>
        <w:rPr>
          <w:lang w:val="en-US"/>
        </w:rPr>
        <w:t xml:space="preserve"> </w:t>
      </w:r>
      <w:r>
        <w:t xml:space="preserve">Prompt and Output </w:t>
      </w:r>
      <w:r>
        <w:rPr>
          <w:noProof/>
        </w:rPr>
        <w:drawing>
          <wp:inline distT="114300" distB="114300" distL="114300" distR="114300" wp14:anchorId="59594D6F" wp14:editId="51FC857F">
            <wp:extent cx="4938395" cy="4305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9"/>
                    <a:srcRect/>
                    <a:stretch>
                      <a:fillRect/>
                    </a:stretch>
                  </pic:blipFill>
                  <pic:spPr>
                    <a:xfrm>
                      <a:off x="0" y="0"/>
                      <a:ext cx="4938713" cy="4305544"/>
                    </a:xfrm>
                    <a:prstGeom prst="rect">
                      <a:avLst/>
                    </a:prstGeom>
                  </pic:spPr>
                </pic:pic>
              </a:graphicData>
            </a:graphic>
          </wp:inline>
        </w:drawing>
      </w:r>
      <w:r>
        <w:rPr>
          <w:noProof/>
        </w:rPr>
        <w:lastRenderedPageBreak/>
        <w:drawing>
          <wp:inline distT="114300" distB="114300" distL="114300" distR="114300" wp14:anchorId="5F9A41BC" wp14:editId="3BD8B904">
            <wp:extent cx="5081270" cy="491045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10"/>
                    <a:srcRect/>
                    <a:stretch>
                      <a:fillRect/>
                    </a:stretch>
                  </pic:blipFill>
                  <pic:spPr>
                    <a:xfrm>
                      <a:off x="0" y="0"/>
                      <a:ext cx="5081588" cy="4910573"/>
                    </a:xfrm>
                    <a:prstGeom prst="rect">
                      <a:avLst/>
                    </a:prstGeom>
                  </pic:spPr>
                </pic:pic>
              </a:graphicData>
            </a:graphic>
          </wp:inline>
        </w:drawing>
      </w:r>
      <w:r>
        <w:rPr>
          <w:noProof/>
        </w:rPr>
        <w:lastRenderedPageBreak/>
        <w:drawing>
          <wp:inline distT="114300" distB="114300" distL="114300" distR="114300" wp14:anchorId="043EA1A1" wp14:editId="71CB426D">
            <wp:extent cx="4776470" cy="516699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11"/>
                    <a:srcRect/>
                    <a:stretch>
                      <a:fillRect/>
                    </a:stretch>
                  </pic:blipFill>
                  <pic:spPr>
                    <a:xfrm>
                      <a:off x="0" y="0"/>
                      <a:ext cx="4776788" cy="5167198"/>
                    </a:xfrm>
                    <a:prstGeom prst="rect">
                      <a:avLst/>
                    </a:prstGeom>
                  </pic:spPr>
                </pic:pic>
              </a:graphicData>
            </a:graphic>
          </wp:inline>
        </w:drawing>
      </w:r>
      <w:r>
        <w:rPr>
          <w:noProof/>
        </w:rPr>
        <w:lastRenderedPageBreak/>
        <w:drawing>
          <wp:inline distT="114300" distB="114300" distL="114300" distR="114300" wp14:anchorId="1DC03E7E" wp14:editId="732A3B04">
            <wp:extent cx="4176395" cy="457771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referRelativeResize="0"/>
                  </pic:nvPicPr>
                  <pic:blipFill>
                    <a:blip r:embed="rId12"/>
                    <a:srcRect/>
                    <a:stretch>
                      <a:fillRect/>
                    </a:stretch>
                  </pic:blipFill>
                  <pic:spPr>
                    <a:xfrm>
                      <a:off x="0" y="0"/>
                      <a:ext cx="4176713" cy="4578319"/>
                    </a:xfrm>
                    <a:prstGeom prst="rect">
                      <a:avLst/>
                    </a:prstGeom>
                  </pic:spPr>
                </pic:pic>
              </a:graphicData>
            </a:graphic>
          </wp:inline>
        </w:drawing>
      </w:r>
      <w:r>
        <w:rPr>
          <w:noProof/>
        </w:rPr>
        <w:lastRenderedPageBreak/>
        <w:drawing>
          <wp:inline distT="114300" distB="114300" distL="114300" distR="114300" wp14:anchorId="36270117" wp14:editId="116193EB">
            <wp:extent cx="4528820" cy="453580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referRelativeResize="0"/>
                  </pic:nvPicPr>
                  <pic:blipFill>
                    <a:blip r:embed="rId13"/>
                    <a:srcRect/>
                    <a:stretch>
                      <a:fillRect/>
                    </a:stretch>
                  </pic:blipFill>
                  <pic:spPr>
                    <a:xfrm>
                      <a:off x="0" y="0"/>
                      <a:ext cx="4529138" cy="4536396"/>
                    </a:xfrm>
                    <a:prstGeom prst="rect">
                      <a:avLst/>
                    </a:prstGeom>
                  </pic:spPr>
                </pic:pic>
              </a:graphicData>
            </a:graphic>
          </wp:inline>
        </w:drawing>
      </w:r>
      <w:r>
        <w:rPr>
          <w:noProof/>
        </w:rPr>
        <w:lastRenderedPageBreak/>
        <w:drawing>
          <wp:inline distT="114300" distB="114300" distL="114300" distR="114300" wp14:anchorId="67745990" wp14:editId="759CD62E">
            <wp:extent cx="4576445" cy="462788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referRelativeResize="0"/>
                  </pic:nvPicPr>
                  <pic:blipFill>
                    <a:blip r:embed="rId14"/>
                    <a:srcRect/>
                    <a:stretch>
                      <a:fillRect/>
                    </a:stretch>
                  </pic:blipFill>
                  <pic:spPr>
                    <a:xfrm>
                      <a:off x="0" y="0"/>
                      <a:ext cx="4576763" cy="4628104"/>
                    </a:xfrm>
                    <a:prstGeom prst="rect">
                      <a:avLst/>
                    </a:prstGeom>
                  </pic:spPr>
                </pic:pic>
              </a:graphicData>
            </a:graphic>
          </wp:inline>
        </w:drawing>
      </w:r>
      <w:r>
        <w:rPr>
          <w:noProof/>
        </w:rPr>
        <w:lastRenderedPageBreak/>
        <w:drawing>
          <wp:inline distT="114300" distB="114300" distL="114300" distR="114300" wp14:anchorId="1CD19FFE" wp14:editId="30F3A1B9">
            <wp:extent cx="4100195" cy="357441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referRelativeResize="0"/>
                  </pic:nvPicPr>
                  <pic:blipFill>
                    <a:blip r:embed="rId15"/>
                    <a:srcRect/>
                    <a:stretch>
                      <a:fillRect/>
                    </a:stretch>
                  </pic:blipFill>
                  <pic:spPr>
                    <a:xfrm>
                      <a:off x="0" y="0"/>
                      <a:ext cx="4100513" cy="3574806"/>
                    </a:xfrm>
                    <a:prstGeom prst="rect">
                      <a:avLst/>
                    </a:prstGeom>
                  </pic:spPr>
                </pic:pic>
              </a:graphicData>
            </a:graphic>
          </wp:inline>
        </w:drawing>
      </w:r>
    </w:p>
    <w:sectPr w:rsidR="00AA3D80">
      <w:headerReference w:type="default" r:id="rId16"/>
      <w:footerReference w:type="default" r:id="rId17"/>
      <w:headerReference w:type="first" r:id="rId18"/>
      <w:footerReference w:type="firs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D471A" w14:textId="77777777" w:rsidR="00CF3159" w:rsidRDefault="00CF3159">
      <w:pPr>
        <w:spacing w:line="240" w:lineRule="auto"/>
      </w:pPr>
      <w:r>
        <w:separator/>
      </w:r>
    </w:p>
  </w:endnote>
  <w:endnote w:type="continuationSeparator" w:id="0">
    <w:p w14:paraId="1AC90FA6" w14:textId="77777777" w:rsidR="00CF3159" w:rsidRDefault="00CF31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5B329A8-F40B-4857-9C4B-B9C49378D997}"/>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D4D53D3E-BB62-49C9-A0DD-0EF38BCD6D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5E751" w14:textId="77777777" w:rsidR="00AA3D80" w:rsidRDefault="00CF3159">
    <w:pPr>
      <w:jc w:val="right"/>
    </w:pPr>
    <w:r>
      <w:fldChar w:fldCharType="begin"/>
    </w:r>
    <w:r>
      <w:instrText>PAGE</w:instrText>
    </w:r>
    <w:r>
      <w:fldChar w:fldCharType="separate"/>
    </w:r>
    <w: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A3C74" w14:textId="77777777" w:rsidR="00AA3D80" w:rsidRDefault="00AA3D80">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51ACE" w14:textId="77777777" w:rsidR="00CF3159" w:rsidRDefault="00CF3159">
      <w:pPr>
        <w:spacing w:after="0"/>
      </w:pPr>
      <w:r>
        <w:separator/>
      </w:r>
    </w:p>
  </w:footnote>
  <w:footnote w:type="continuationSeparator" w:id="0">
    <w:p w14:paraId="4C2E78D1" w14:textId="77777777" w:rsidR="00CF3159" w:rsidRDefault="00CF315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0AB93" w14:textId="77777777" w:rsidR="00AA3D80" w:rsidRDefault="00AA3D80">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3BB60" w14:textId="77777777" w:rsidR="00AA3D80" w:rsidRDefault="00AA3D80">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bordersDoNotSurroundHeader/>
  <w:bordersDoNotSurroundFooter/>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09A9"/>
    <w:rsid w:val="00665830"/>
    <w:rsid w:val="007A72DB"/>
    <w:rsid w:val="007D0D05"/>
    <w:rsid w:val="00AA3D80"/>
    <w:rsid w:val="00CF3159"/>
    <w:rsid w:val="00EE09A9"/>
    <w:rsid w:val="00F06C74"/>
    <w:rsid w:val="51ED77F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D9210"/>
  <w15:docId w15:val="{74D46E6F-AD7A-41C7-B37D-F46D6F468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sz w:val="24"/>
      <w:szCs w:val="24"/>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table" w:customStyle="1" w:styleId="TableNormal0">
    <w:name w:val="TableNormal"/>
    <w:qFormat/>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20</Pages>
  <Words>3407</Words>
  <Characters>19424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Jaynil</dc:creator>
  <cp:revision>2</cp:revision>
  <dcterms:created xsi:type="dcterms:W3CDTF">2026-06-18T08:47:00Z</dcterms:created>
  <dcterms:modified xsi:type="dcterms:W3CDTF">2026-06-23T14:09:00Z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eyJoZGlkIjoiZTUzZTNhZDA5MWQ4OWIyNWEyY2ExYzllMWJmYzBjYTAiLCJ1c2VySWQiOiI1NjcxNzg5OTY0MTkifQ==</vt:lpwstr>
  </property>
  <property fmtid="{D5CDD505-2E9C-101B-9397-08002B2CF9AE}" pid="3" name="KSOProductBuildVer">
    <vt:lpwstr>1033-12.1.0.26880</vt:lpwstr>
  </property>
  <property fmtid="{D5CDD505-2E9C-101B-9397-08002B2CF9AE}" pid="4" name="ICV">
    <vt:lpwstr>666541BB224A4243B037B68BE0382388_13</vt:lpwstr>
  </property>
</Properties>
</file>