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6A834" w14:textId="2F3D8722" w:rsidR="00E06B94" w:rsidRPr="00D32600" w:rsidRDefault="00897C08" w:rsidP="00D32600">
      <w:pPr>
        <w:tabs>
          <w:tab w:val="center" w:pos="4680"/>
        </w:tabs>
        <w:spacing w:line="276" w:lineRule="auto"/>
        <w:rPr>
          <w:rFonts w:ascii="Times New Roman" w:hAnsi="Times New Roman" w:cs="Times New Roman"/>
        </w:rPr>
      </w:pPr>
      <w:r w:rsidRPr="00D32600">
        <w:rPr>
          <w:rFonts w:ascii="Times New Roman" w:hAnsi="Times New Roman" w:cs="Times New Roman"/>
          <w:b/>
          <w:bCs/>
          <w:noProof/>
          <w:sz w:val="32"/>
          <w:szCs w:val="32"/>
        </w:rPr>
        <w:drawing>
          <wp:inline distT="0" distB="0" distL="0" distR="0" wp14:anchorId="66760295" wp14:editId="584E0929">
            <wp:extent cx="5662331" cy="1327150"/>
            <wp:effectExtent l="0" t="0" r="0" b="6350"/>
            <wp:docPr id="38444377"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4377" name="Picture 4"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97569" cy="1335409"/>
                    </a:xfrm>
                    <a:prstGeom prst="rect">
                      <a:avLst/>
                    </a:prstGeom>
                  </pic:spPr>
                </pic:pic>
              </a:graphicData>
            </a:graphic>
          </wp:inline>
        </w:drawing>
      </w:r>
    </w:p>
    <w:p w14:paraId="1F723F9F" w14:textId="77777777" w:rsidR="009C12A9" w:rsidRPr="00D32600" w:rsidRDefault="009C12A9" w:rsidP="00D32600">
      <w:pPr>
        <w:spacing w:line="276" w:lineRule="auto"/>
        <w:rPr>
          <w:rFonts w:ascii="Times New Roman" w:hAnsi="Times New Roman" w:cs="Times New Roman"/>
          <w:b/>
          <w:bCs/>
          <w:sz w:val="32"/>
          <w:szCs w:val="32"/>
        </w:rPr>
      </w:pPr>
    </w:p>
    <w:p w14:paraId="6C2F24E4" w14:textId="77777777"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Program: MSC Data and Artificial Intelligence</w:t>
      </w:r>
    </w:p>
    <w:p w14:paraId="67A73271" w14:textId="77777777"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Student ID: 2431449</w:t>
      </w:r>
    </w:p>
    <w:p w14:paraId="1446FD62" w14:textId="77777777"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Student Name: Prexakumari Maganbhai Ahir</w:t>
      </w:r>
    </w:p>
    <w:p w14:paraId="02735466" w14:textId="03510459"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 xml:space="preserve">Module Code: </w:t>
      </w:r>
      <w:r w:rsidR="002A054D" w:rsidRPr="002A054D">
        <w:rPr>
          <w:rFonts w:ascii="Times New Roman" w:hAnsi="Times New Roman" w:cs="Times New Roman"/>
          <w:b/>
          <w:bCs/>
          <w:sz w:val="32"/>
          <w:szCs w:val="32"/>
        </w:rPr>
        <w:t>ACCA7028</w:t>
      </w:r>
    </w:p>
    <w:p w14:paraId="1D797E96" w14:textId="63F1178C"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 xml:space="preserve">Module: </w:t>
      </w:r>
      <w:r w:rsidR="00CE1F0C" w:rsidRPr="00CE1F0C">
        <w:rPr>
          <w:rFonts w:ascii="Times New Roman" w:hAnsi="Times New Roman" w:cs="Times New Roman"/>
          <w:b/>
          <w:bCs/>
          <w:sz w:val="32"/>
          <w:szCs w:val="32"/>
        </w:rPr>
        <w:t>Data Security, Governance and Compliance</w:t>
      </w:r>
    </w:p>
    <w:p w14:paraId="58F9F671" w14:textId="3B3EDEB1" w:rsidR="009C12A9" w:rsidRPr="00D32600" w:rsidRDefault="009C12A9" w:rsidP="00D32600">
      <w:pPr>
        <w:spacing w:line="276" w:lineRule="auto"/>
        <w:rPr>
          <w:rFonts w:ascii="Times New Roman" w:hAnsi="Times New Roman" w:cs="Times New Roman"/>
          <w:b/>
          <w:bCs/>
          <w:sz w:val="32"/>
          <w:szCs w:val="32"/>
        </w:rPr>
      </w:pPr>
      <w:r w:rsidRPr="00D32600">
        <w:rPr>
          <w:rFonts w:ascii="Times New Roman" w:hAnsi="Times New Roman" w:cs="Times New Roman"/>
          <w:b/>
          <w:bCs/>
          <w:sz w:val="32"/>
          <w:szCs w:val="32"/>
        </w:rPr>
        <w:t xml:space="preserve">Lecturer: </w:t>
      </w:r>
      <w:r w:rsidR="00A40A60" w:rsidRPr="00A40A60">
        <w:rPr>
          <w:rFonts w:ascii="Times New Roman" w:hAnsi="Times New Roman" w:cs="Times New Roman"/>
          <w:b/>
          <w:bCs/>
          <w:sz w:val="32"/>
          <w:szCs w:val="32"/>
        </w:rPr>
        <w:t>Dr Muhammad A. Abbas</w:t>
      </w:r>
    </w:p>
    <w:p w14:paraId="31F5B9AB" w14:textId="1FDDD362" w:rsidR="00E06B94" w:rsidRPr="00D32600" w:rsidRDefault="00E06B94" w:rsidP="00D32600">
      <w:pPr>
        <w:tabs>
          <w:tab w:val="center" w:pos="4680"/>
        </w:tabs>
        <w:spacing w:line="276" w:lineRule="auto"/>
        <w:jc w:val="center"/>
        <w:rPr>
          <w:rFonts w:ascii="Times New Roman" w:hAnsi="Times New Roman" w:cs="Times New Roman"/>
        </w:rPr>
      </w:pPr>
    </w:p>
    <w:p w14:paraId="5CE2AA8B" w14:textId="0360C1C1" w:rsidR="00CC6129" w:rsidRPr="00D32600" w:rsidRDefault="00CC6129" w:rsidP="00D32600">
      <w:pPr>
        <w:tabs>
          <w:tab w:val="center" w:pos="4680"/>
        </w:tabs>
        <w:spacing w:line="276" w:lineRule="auto"/>
        <w:rPr>
          <w:rFonts w:ascii="Times New Roman" w:eastAsiaTheme="majorEastAsia" w:hAnsi="Times New Roman" w:cs="Times New Roman"/>
          <w:color w:val="3A7C22" w:themeColor="accent6" w:themeShade="BF"/>
          <w:sz w:val="40"/>
          <w:szCs w:val="40"/>
        </w:rPr>
      </w:pPr>
      <w:r w:rsidRPr="00D32600">
        <w:rPr>
          <w:rFonts w:ascii="Times New Roman" w:hAnsi="Times New Roman" w:cs="Times New Roman"/>
        </w:rPr>
        <w:br w:type="page"/>
      </w:r>
      <w:bookmarkStart w:id="0" w:name="_Toc214141516"/>
      <w:r w:rsidR="00E06B94" w:rsidRPr="00D32600">
        <w:rPr>
          <w:rFonts w:ascii="Times New Roman" w:hAnsi="Times New Roman" w:cs="Times New Roman"/>
        </w:rPr>
        <w:lastRenderedPageBreak/>
        <w:tab/>
      </w:r>
    </w:p>
    <w:sdt>
      <w:sdtPr>
        <w:rPr>
          <w:rFonts w:ascii="Times New Roman" w:eastAsiaTheme="minorEastAsia" w:hAnsi="Times New Roman" w:cs="Times New Roman"/>
          <w:color w:val="auto"/>
          <w:sz w:val="21"/>
          <w:szCs w:val="21"/>
        </w:rPr>
        <w:id w:val="2046480500"/>
        <w:docPartObj>
          <w:docPartGallery w:val="Table of Contents"/>
          <w:docPartUnique/>
        </w:docPartObj>
      </w:sdtPr>
      <w:sdtEndPr>
        <w:rPr>
          <w:b/>
          <w:bCs/>
          <w:noProof/>
        </w:rPr>
      </w:sdtEndPr>
      <w:sdtContent>
        <w:p w14:paraId="7AB7F73D" w14:textId="06065BD5" w:rsidR="00CC6129" w:rsidRPr="00150CA0" w:rsidRDefault="00CC6129" w:rsidP="00D32600">
          <w:pPr>
            <w:pStyle w:val="TOCHeading"/>
            <w:spacing w:line="276" w:lineRule="auto"/>
            <w:rPr>
              <w:rFonts w:ascii="Times New Roman" w:hAnsi="Times New Roman" w:cs="Times New Roman"/>
              <w:sz w:val="52"/>
              <w:szCs w:val="52"/>
            </w:rPr>
          </w:pPr>
          <w:r w:rsidRPr="00150CA0">
            <w:rPr>
              <w:rFonts w:ascii="Times New Roman" w:hAnsi="Times New Roman" w:cs="Times New Roman"/>
              <w:sz w:val="52"/>
              <w:szCs w:val="52"/>
            </w:rPr>
            <w:t>Contents</w:t>
          </w:r>
        </w:p>
        <w:p w14:paraId="5A039722" w14:textId="6B8E640D"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r w:rsidRPr="00150CA0">
            <w:rPr>
              <w:rFonts w:ascii="Times New Roman" w:hAnsi="Times New Roman" w:cs="Times New Roman"/>
              <w:sz w:val="28"/>
              <w:szCs w:val="28"/>
            </w:rPr>
            <w:fldChar w:fldCharType="begin"/>
          </w:r>
          <w:r w:rsidRPr="00150CA0">
            <w:rPr>
              <w:rFonts w:ascii="Times New Roman" w:hAnsi="Times New Roman" w:cs="Times New Roman"/>
              <w:sz w:val="28"/>
              <w:szCs w:val="28"/>
            </w:rPr>
            <w:instrText xml:space="preserve"> TOC \o "1-3" \h \z \u </w:instrText>
          </w:r>
          <w:r w:rsidRPr="00150CA0">
            <w:rPr>
              <w:rFonts w:ascii="Times New Roman" w:hAnsi="Times New Roman" w:cs="Times New Roman"/>
              <w:sz w:val="28"/>
              <w:szCs w:val="28"/>
            </w:rPr>
            <w:fldChar w:fldCharType="separate"/>
          </w:r>
          <w:hyperlink w:anchor="_Toc214141653" w:history="1">
            <w:r w:rsidRPr="00150CA0">
              <w:rPr>
                <w:rStyle w:val="Hyperlink"/>
                <w:rFonts w:ascii="Times New Roman" w:hAnsi="Times New Roman" w:cs="Times New Roman"/>
                <w:noProof/>
                <w:sz w:val="28"/>
                <w:szCs w:val="28"/>
              </w:rPr>
              <w:t>1. Introduction</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_Toc214141653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3</w:t>
            </w:r>
            <w:r w:rsidRPr="00150CA0">
              <w:rPr>
                <w:rFonts w:ascii="Times New Roman" w:hAnsi="Times New Roman" w:cs="Times New Roman"/>
                <w:noProof/>
                <w:webHidden/>
                <w:sz w:val="28"/>
                <w:szCs w:val="28"/>
              </w:rPr>
              <w:fldChar w:fldCharType="end"/>
            </w:r>
          </w:hyperlink>
        </w:p>
        <w:p w14:paraId="56C9C9E5" w14:textId="53030842"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4" w:history="1">
            <w:r w:rsidRPr="00150CA0">
              <w:rPr>
                <w:rStyle w:val="Hyperlink"/>
                <w:rFonts w:ascii="Times New Roman" w:hAnsi="Times New Roman" w:cs="Times New Roman"/>
                <w:noProof/>
                <w:sz w:val="28"/>
                <w:szCs w:val="28"/>
              </w:rPr>
              <w:t>2. Literature Review</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_Toc214141654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4</w:t>
            </w:r>
            <w:r w:rsidRPr="00150CA0">
              <w:rPr>
                <w:rFonts w:ascii="Times New Roman" w:hAnsi="Times New Roman" w:cs="Times New Roman"/>
                <w:noProof/>
                <w:webHidden/>
                <w:sz w:val="28"/>
                <w:szCs w:val="28"/>
              </w:rPr>
              <w:fldChar w:fldCharType="end"/>
            </w:r>
          </w:hyperlink>
        </w:p>
        <w:p w14:paraId="1653282A" w14:textId="37DC9109"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5" w:history="1">
            <w:r w:rsidRPr="00150CA0">
              <w:rPr>
                <w:rStyle w:val="Hyperlink"/>
                <w:rFonts w:ascii="Times New Roman" w:hAnsi="Times New Roman" w:cs="Times New Roman"/>
                <w:noProof/>
                <w:sz w:val="28"/>
                <w:szCs w:val="28"/>
              </w:rPr>
              <w:t>2.1 ISO/IEC 27000 Family</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_Toc214141655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4</w:t>
            </w:r>
            <w:r w:rsidRPr="00150CA0">
              <w:rPr>
                <w:rFonts w:ascii="Times New Roman" w:hAnsi="Times New Roman" w:cs="Times New Roman"/>
                <w:noProof/>
                <w:webHidden/>
                <w:sz w:val="28"/>
                <w:szCs w:val="28"/>
              </w:rPr>
              <w:fldChar w:fldCharType="end"/>
            </w:r>
          </w:hyperlink>
        </w:p>
        <w:p w14:paraId="0F38A229" w14:textId="69D8E871"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6" w:history="1">
            <w:r w:rsidRPr="00150CA0">
              <w:rPr>
                <w:rStyle w:val="Hyperlink"/>
                <w:rFonts w:ascii="Times New Roman" w:hAnsi="Times New Roman" w:cs="Times New Roman"/>
                <w:noProof/>
                <w:sz w:val="28"/>
                <w:szCs w:val="28"/>
              </w:rPr>
              <w:t>2.2 NIST Cybersecurity Framework (CSF)</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_Toc214141656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4</w:t>
            </w:r>
            <w:r w:rsidRPr="00150CA0">
              <w:rPr>
                <w:rFonts w:ascii="Times New Roman" w:hAnsi="Times New Roman" w:cs="Times New Roman"/>
                <w:noProof/>
                <w:webHidden/>
                <w:sz w:val="28"/>
                <w:szCs w:val="28"/>
              </w:rPr>
              <w:fldChar w:fldCharType="end"/>
            </w:r>
          </w:hyperlink>
        </w:p>
        <w:p w14:paraId="0AB1BCA4" w14:textId="3982D2C4"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7" w:history="1">
            <w:r w:rsidRPr="00150CA0">
              <w:rPr>
                <w:rStyle w:val="Hyperlink"/>
                <w:rFonts w:ascii="Times New Roman" w:hAnsi="Times New Roman" w:cs="Times New Roman"/>
                <w:noProof/>
                <w:sz w:val="28"/>
                <w:szCs w:val="28"/>
              </w:rPr>
              <w:t>2.3 ITIL Framework for IT Service Management</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_Toc214141657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6</w:t>
            </w:r>
            <w:r w:rsidRPr="00150CA0">
              <w:rPr>
                <w:rFonts w:ascii="Times New Roman" w:hAnsi="Times New Roman" w:cs="Times New Roman"/>
                <w:noProof/>
                <w:webHidden/>
                <w:sz w:val="28"/>
                <w:szCs w:val="28"/>
              </w:rPr>
              <w:fldChar w:fldCharType="end"/>
            </w:r>
          </w:hyperlink>
        </w:p>
        <w:p w14:paraId="5F9E8677" w14:textId="26600868"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8" w:history="1">
            <w:r w:rsidRPr="00150CA0">
              <w:rPr>
                <w:rStyle w:val="Hyperlink"/>
                <w:rFonts w:ascii="Times New Roman" w:hAnsi="Times New Roman" w:cs="Times New Roman"/>
                <w:noProof/>
                <w:sz w:val="28"/>
                <w:szCs w:val="28"/>
              </w:rPr>
              <w:t>2.4 COBIT (Control Objectives for Information and Related Technology)</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_Toc214141658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7</w:t>
            </w:r>
            <w:r w:rsidRPr="00150CA0">
              <w:rPr>
                <w:rFonts w:ascii="Times New Roman" w:hAnsi="Times New Roman" w:cs="Times New Roman"/>
                <w:noProof/>
                <w:webHidden/>
                <w:sz w:val="28"/>
                <w:szCs w:val="28"/>
              </w:rPr>
              <w:fldChar w:fldCharType="end"/>
            </w:r>
          </w:hyperlink>
        </w:p>
        <w:p w14:paraId="5F99677C" w14:textId="289DEA56"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59" w:history="1">
            <w:r w:rsidRPr="00150CA0">
              <w:rPr>
                <w:rStyle w:val="Hyperlink"/>
                <w:rFonts w:ascii="Times New Roman" w:hAnsi="Times New Roman" w:cs="Times New Roman"/>
                <w:noProof/>
                <w:sz w:val="28"/>
                <w:szCs w:val="28"/>
              </w:rPr>
              <w:t xml:space="preserve">2.5 Synthesis and Comparison of </w:t>
            </w:r>
            <w:r w:rsidRPr="00150CA0">
              <w:rPr>
                <w:rStyle w:val="Hyperlink"/>
                <w:rFonts w:ascii="Times New Roman" w:hAnsi="Times New Roman" w:cs="Times New Roman"/>
                <w:noProof/>
                <w:sz w:val="32"/>
                <w:szCs w:val="32"/>
              </w:rPr>
              <w:t>Frameworks</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_Toc214141659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8</w:t>
            </w:r>
            <w:r w:rsidRPr="00150CA0">
              <w:rPr>
                <w:rFonts w:ascii="Times New Roman" w:hAnsi="Times New Roman" w:cs="Times New Roman"/>
                <w:noProof/>
                <w:webHidden/>
                <w:sz w:val="28"/>
                <w:szCs w:val="28"/>
              </w:rPr>
              <w:fldChar w:fldCharType="end"/>
            </w:r>
          </w:hyperlink>
        </w:p>
        <w:p w14:paraId="1B23DB3D" w14:textId="5405A802"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0" w:history="1">
            <w:r w:rsidRPr="00150CA0">
              <w:rPr>
                <w:rStyle w:val="Hyperlink"/>
                <w:rFonts w:ascii="Times New Roman" w:hAnsi="Times New Roman" w:cs="Times New Roman"/>
                <w:noProof/>
                <w:sz w:val="28"/>
                <w:szCs w:val="28"/>
              </w:rPr>
              <w:t>3. Proposed Security Governance Framework for NatureGreen</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_Toc214141660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11</w:t>
            </w:r>
            <w:r w:rsidRPr="00150CA0">
              <w:rPr>
                <w:rFonts w:ascii="Times New Roman" w:hAnsi="Times New Roman" w:cs="Times New Roman"/>
                <w:noProof/>
                <w:webHidden/>
                <w:sz w:val="28"/>
                <w:szCs w:val="28"/>
              </w:rPr>
              <w:fldChar w:fldCharType="end"/>
            </w:r>
          </w:hyperlink>
        </w:p>
        <w:p w14:paraId="499E68CF" w14:textId="622E2984"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1" w:history="1">
            <w:r w:rsidRPr="00150CA0">
              <w:rPr>
                <w:rStyle w:val="Hyperlink"/>
                <w:rFonts w:ascii="Times New Roman" w:hAnsi="Times New Roman" w:cs="Times New Roman"/>
                <w:noProof/>
                <w:sz w:val="28"/>
                <w:szCs w:val="28"/>
              </w:rPr>
              <w:t>4. Critical Discussion of Regulations and Standards</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_Toc214141661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14</w:t>
            </w:r>
            <w:r w:rsidRPr="00150CA0">
              <w:rPr>
                <w:rFonts w:ascii="Times New Roman" w:hAnsi="Times New Roman" w:cs="Times New Roman"/>
                <w:noProof/>
                <w:webHidden/>
                <w:sz w:val="28"/>
                <w:szCs w:val="28"/>
              </w:rPr>
              <w:fldChar w:fldCharType="end"/>
            </w:r>
          </w:hyperlink>
        </w:p>
        <w:p w14:paraId="5D27A923" w14:textId="118B531C"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2" w:history="1">
            <w:r w:rsidRPr="00150CA0">
              <w:rPr>
                <w:rStyle w:val="Hyperlink"/>
                <w:rFonts w:ascii="Times New Roman" w:hAnsi="Times New Roman" w:cs="Times New Roman"/>
                <w:noProof/>
                <w:sz w:val="28"/>
                <w:szCs w:val="28"/>
              </w:rPr>
              <w:t>4.1 Dynamic Nature of Cyber Threats</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_Toc214141662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14</w:t>
            </w:r>
            <w:r w:rsidRPr="00150CA0">
              <w:rPr>
                <w:rFonts w:ascii="Times New Roman" w:hAnsi="Times New Roman" w:cs="Times New Roman"/>
                <w:noProof/>
                <w:webHidden/>
                <w:sz w:val="28"/>
                <w:szCs w:val="28"/>
              </w:rPr>
              <w:fldChar w:fldCharType="end"/>
            </w:r>
          </w:hyperlink>
        </w:p>
        <w:p w14:paraId="559078AF" w14:textId="00C15BB0"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3" w:history="1">
            <w:r w:rsidRPr="00150CA0">
              <w:rPr>
                <w:rStyle w:val="Hyperlink"/>
                <w:rFonts w:ascii="Times New Roman" w:hAnsi="Times New Roman" w:cs="Times New Roman"/>
                <w:noProof/>
                <w:sz w:val="28"/>
                <w:szCs w:val="28"/>
              </w:rPr>
              <w:t>4.2 Regulatory Evolution and Compliance Pressure</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_Toc214141663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14</w:t>
            </w:r>
            <w:r w:rsidRPr="00150CA0">
              <w:rPr>
                <w:rFonts w:ascii="Times New Roman" w:hAnsi="Times New Roman" w:cs="Times New Roman"/>
                <w:noProof/>
                <w:webHidden/>
                <w:sz w:val="28"/>
                <w:szCs w:val="28"/>
              </w:rPr>
              <w:fldChar w:fldCharType="end"/>
            </w:r>
          </w:hyperlink>
        </w:p>
        <w:p w14:paraId="2272AAAB" w14:textId="0447F55B"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4" w:history="1">
            <w:r w:rsidRPr="00150CA0">
              <w:rPr>
                <w:rStyle w:val="Hyperlink"/>
                <w:rFonts w:ascii="Times New Roman" w:hAnsi="Times New Roman" w:cs="Times New Roman"/>
                <w:noProof/>
                <w:sz w:val="28"/>
                <w:szCs w:val="28"/>
              </w:rPr>
              <w:t>4.3 Business Continuity and Reputation Management</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_Toc214141664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15</w:t>
            </w:r>
            <w:r w:rsidRPr="00150CA0">
              <w:rPr>
                <w:rFonts w:ascii="Times New Roman" w:hAnsi="Times New Roman" w:cs="Times New Roman"/>
                <w:noProof/>
                <w:webHidden/>
                <w:sz w:val="28"/>
                <w:szCs w:val="28"/>
              </w:rPr>
              <w:fldChar w:fldCharType="end"/>
            </w:r>
          </w:hyperlink>
        </w:p>
        <w:p w14:paraId="240A147A" w14:textId="21E71AC1" w:rsidR="00CC6129" w:rsidRPr="00150CA0" w:rsidRDefault="00CC6129" w:rsidP="00D32600">
          <w:pPr>
            <w:pStyle w:val="TOC2"/>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5" w:history="1">
            <w:r w:rsidRPr="00150CA0">
              <w:rPr>
                <w:rStyle w:val="Hyperlink"/>
                <w:rFonts w:ascii="Times New Roman" w:hAnsi="Times New Roman" w:cs="Times New Roman"/>
                <w:noProof/>
                <w:sz w:val="28"/>
                <w:szCs w:val="28"/>
              </w:rPr>
              <w:t>4.4 Continuous Improvement Philosophy</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_Toc214141665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15</w:t>
            </w:r>
            <w:r w:rsidRPr="00150CA0">
              <w:rPr>
                <w:rFonts w:ascii="Times New Roman" w:hAnsi="Times New Roman" w:cs="Times New Roman"/>
                <w:noProof/>
                <w:webHidden/>
                <w:sz w:val="28"/>
                <w:szCs w:val="28"/>
              </w:rPr>
              <w:fldChar w:fldCharType="end"/>
            </w:r>
          </w:hyperlink>
        </w:p>
        <w:p w14:paraId="31C04232" w14:textId="499B7E5D"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6" w:history="1">
            <w:r w:rsidRPr="00150CA0">
              <w:rPr>
                <w:rStyle w:val="Hyperlink"/>
                <w:rFonts w:ascii="Times New Roman" w:hAnsi="Times New Roman" w:cs="Times New Roman"/>
                <w:noProof/>
                <w:sz w:val="28"/>
                <w:szCs w:val="28"/>
              </w:rPr>
              <w:t>5. Recommendations</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_Toc214141666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15</w:t>
            </w:r>
            <w:r w:rsidRPr="00150CA0">
              <w:rPr>
                <w:rFonts w:ascii="Times New Roman" w:hAnsi="Times New Roman" w:cs="Times New Roman"/>
                <w:noProof/>
                <w:webHidden/>
                <w:sz w:val="28"/>
                <w:szCs w:val="28"/>
              </w:rPr>
              <w:fldChar w:fldCharType="end"/>
            </w:r>
          </w:hyperlink>
        </w:p>
        <w:p w14:paraId="37B842A5" w14:textId="06F15D61" w:rsidR="00CC6129" w:rsidRPr="00150CA0" w:rsidRDefault="00CC6129" w:rsidP="00D32600">
          <w:pPr>
            <w:pStyle w:val="TOC1"/>
            <w:tabs>
              <w:tab w:val="right" w:leader="dot" w:pos="9350"/>
            </w:tabs>
            <w:spacing w:line="276" w:lineRule="auto"/>
            <w:rPr>
              <w:rFonts w:ascii="Times New Roman" w:hAnsi="Times New Roman" w:cs="Times New Roman"/>
              <w:noProof/>
              <w:kern w:val="2"/>
              <w:sz w:val="36"/>
              <w:szCs w:val="36"/>
              <w:lang w:eastAsia="en-GB"/>
              <w14:ligatures w14:val="standardContextual"/>
            </w:rPr>
          </w:pPr>
          <w:hyperlink w:anchor="_Toc214141667" w:history="1">
            <w:r w:rsidRPr="00150CA0">
              <w:rPr>
                <w:rStyle w:val="Hyperlink"/>
                <w:rFonts w:ascii="Times New Roman" w:hAnsi="Times New Roman" w:cs="Times New Roman"/>
                <w:noProof/>
                <w:sz w:val="28"/>
                <w:szCs w:val="28"/>
              </w:rPr>
              <w:t>6. Conclusion</w:t>
            </w:r>
            <w:r w:rsidRPr="00150CA0">
              <w:rPr>
                <w:rFonts w:ascii="Times New Roman" w:hAnsi="Times New Roman" w:cs="Times New Roman"/>
                <w:noProof/>
                <w:webHidden/>
                <w:sz w:val="28"/>
                <w:szCs w:val="28"/>
              </w:rPr>
              <w:tab/>
            </w:r>
            <w:r w:rsidRPr="00150CA0">
              <w:rPr>
                <w:rFonts w:ascii="Times New Roman" w:hAnsi="Times New Roman" w:cs="Times New Roman"/>
                <w:noProof/>
                <w:webHidden/>
                <w:sz w:val="28"/>
                <w:szCs w:val="28"/>
              </w:rPr>
              <w:fldChar w:fldCharType="begin"/>
            </w:r>
            <w:r w:rsidRPr="00150CA0">
              <w:rPr>
                <w:rFonts w:ascii="Times New Roman" w:hAnsi="Times New Roman" w:cs="Times New Roman"/>
                <w:noProof/>
                <w:webHidden/>
                <w:sz w:val="28"/>
                <w:szCs w:val="28"/>
              </w:rPr>
              <w:instrText xml:space="preserve"> PAGEREF _Toc214141667 \h </w:instrText>
            </w:r>
            <w:r w:rsidRPr="00150CA0">
              <w:rPr>
                <w:rFonts w:ascii="Times New Roman" w:hAnsi="Times New Roman" w:cs="Times New Roman"/>
                <w:noProof/>
                <w:webHidden/>
                <w:sz w:val="28"/>
                <w:szCs w:val="28"/>
              </w:rPr>
            </w:r>
            <w:r w:rsidRPr="00150CA0">
              <w:rPr>
                <w:rFonts w:ascii="Times New Roman" w:hAnsi="Times New Roman" w:cs="Times New Roman"/>
                <w:noProof/>
                <w:webHidden/>
                <w:sz w:val="28"/>
                <w:szCs w:val="28"/>
              </w:rPr>
              <w:fldChar w:fldCharType="separate"/>
            </w:r>
            <w:r w:rsidRPr="00150CA0">
              <w:rPr>
                <w:rFonts w:ascii="Times New Roman" w:hAnsi="Times New Roman" w:cs="Times New Roman"/>
                <w:noProof/>
                <w:webHidden/>
                <w:sz w:val="28"/>
                <w:szCs w:val="28"/>
              </w:rPr>
              <w:t>17</w:t>
            </w:r>
            <w:r w:rsidRPr="00150CA0">
              <w:rPr>
                <w:rFonts w:ascii="Times New Roman" w:hAnsi="Times New Roman" w:cs="Times New Roman"/>
                <w:noProof/>
                <w:webHidden/>
                <w:sz w:val="28"/>
                <w:szCs w:val="28"/>
              </w:rPr>
              <w:fldChar w:fldCharType="end"/>
            </w:r>
          </w:hyperlink>
        </w:p>
        <w:p w14:paraId="7E94D0BF" w14:textId="7497FE5E" w:rsidR="00CC6129" w:rsidRPr="00D32600" w:rsidRDefault="00CC6129" w:rsidP="00D32600">
          <w:pPr>
            <w:spacing w:line="276" w:lineRule="auto"/>
            <w:rPr>
              <w:rFonts w:ascii="Times New Roman" w:hAnsi="Times New Roman" w:cs="Times New Roman"/>
            </w:rPr>
          </w:pPr>
          <w:r w:rsidRPr="00150CA0">
            <w:rPr>
              <w:rFonts w:ascii="Times New Roman" w:hAnsi="Times New Roman" w:cs="Times New Roman"/>
              <w:b/>
              <w:bCs/>
              <w:noProof/>
              <w:sz w:val="28"/>
              <w:szCs w:val="28"/>
            </w:rPr>
            <w:fldChar w:fldCharType="end"/>
          </w:r>
        </w:p>
      </w:sdtContent>
    </w:sdt>
    <w:p w14:paraId="11950590" w14:textId="77777777" w:rsidR="00CC6129" w:rsidRPr="00D32600" w:rsidRDefault="00CC6129" w:rsidP="00D32600">
      <w:pPr>
        <w:spacing w:line="276" w:lineRule="auto"/>
        <w:rPr>
          <w:rFonts w:ascii="Times New Roman" w:eastAsiaTheme="majorEastAsia" w:hAnsi="Times New Roman" w:cs="Times New Roman"/>
          <w:color w:val="3A7C22" w:themeColor="accent6" w:themeShade="BF"/>
          <w:sz w:val="28"/>
          <w:szCs w:val="44"/>
        </w:rPr>
      </w:pPr>
    </w:p>
    <w:p w14:paraId="3F1C883C" w14:textId="77777777" w:rsidR="00CC6129" w:rsidRPr="00D32600" w:rsidRDefault="00CC6129" w:rsidP="00C32E67">
      <w:pPr>
        <w:spacing w:line="276" w:lineRule="auto"/>
        <w:jc w:val="both"/>
        <w:rPr>
          <w:rFonts w:ascii="Times New Roman" w:eastAsiaTheme="majorEastAsia" w:hAnsi="Times New Roman" w:cs="Times New Roman"/>
          <w:color w:val="3A7C22" w:themeColor="accent6" w:themeShade="BF"/>
          <w:sz w:val="28"/>
          <w:szCs w:val="44"/>
        </w:rPr>
      </w:pPr>
      <w:bookmarkStart w:id="1" w:name="_Toc214141653"/>
      <w:r w:rsidRPr="00D32600">
        <w:rPr>
          <w:rFonts w:ascii="Times New Roman" w:hAnsi="Times New Roman" w:cs="Times New Roman"/>
          <w:sz w:val="28"/>
          <w:szCs w:val="44"/>
        </w:rPr>
        <w:br w:type="page"/>
      </w:r>
    </w:p>
    <w:p w14:paraId="54A3A5A6" w14:textId="00119F65" w:rsidR="00725155" w:rsidRPr="00C32E67" w:rsidRDefault="00725155" w:rsidP="00D32600">
      <w:pPr>
        <w:pStyle w:val="Heading1"/>
        <w:spacing w:line="276" w:lineRule="auto"/>
        <w:rPr>
          <w:rFonts w:ascii="Times New Roman" w:hAnsi="Times New Roman" w:cs="Times New Roman"/>
          <w:sz w:val="28"/>
          <w:szCs w:val="44"/>
        </w:rPr>
      </w:pPr>
      <w:r w:rsidRPr="00C32E67">
        <w:rPr>
          <w:rFonts w:ascii="Times New Roman" w:hAnsi="Times New Roman" w:cs="Times New Roman"/>
          <w:sz w:val="28"/>
          <w:szCs w:val="44"/>
        </w:rPr>
        <w:lastRenderedPageBreak/>
        <w:t>1. Introduction</w:t>
      </w:r>
      <w:bookmarkEnd w:id="0"/>
      <w:bookmarkEnd w:id="1"/>
    </w:p>
    <w:p w14:paraId="2516B75C" w14:textId="77777777" w:rsidR="00725155" w:rsidRPr="00D32600" w:rsidRDefault="00725155"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growth of worldwide reliance on web-related activities has increased the vulnerability to cybercrime, which requires strong cybersecurity control and adherence. Digital systems and cloud infrastructure play a critical role in modern enterprises, making them susceptible to data breaches, unauthorized intrusion, and violation of compliance. NatureGreen (NG) is a multinational health and wellness corporation and experiences tremendous information security concerns with typical of its typical large cloud-based network, operation on a global scale, and an increasing trend of demand for Bring Your Own Devices (BYOD). A lack of a formal security policy increases the vulnerabilities to data confidentiality, customer privacy, and intellectual property security. This report focusses on investigating established data security frameworks and models (ISO/IEC 27001, NIST, and ITIL) to develop an effective governance and compliance strategy towards NG. This aims at establishing an organized, safe, and flexible information management system, which fosters resilience, security of digital resources, and complying and following international data protection models.</w:t>
      </w:r>
    </w:p>
    <w:p w14:paraId="73850708" w14:textId="77777777" w:rsidR="00725155" w:rsidRPr="00D32600" w:rsidRDefault="00725155" w:rsidP="00D32600">
      <w:pPr>
        <w:pStyle w:val="Heading1"/>
        <w:spacing w:line="276" w:lineRule="auto"/>
        <w:rPr>
          <w:rFonts w:ascii="Times New Roman" w:hAnsi="Times New Roman" w:cs="Times New Roman"/>
          <w:sz w:val="28"/>
          <w:szCs w:val="44"/>
        </w:rPr>
      </w:pPr>
      <w:bookmarkStart w:id="2" w:name="_lo73swj0181p" w:colFirst="0" w:colLast="0"/>
      <w:bookmarkStart w:id="3" w:name="_Toc213758335"/>
      <w:bookmarkStart w:id="4" w:name="_Toc214141517"/>
      <w:bookmarkStart w:id="5" w:name="_Toc214141654"/>
      <w:bookmarkEnd w:id="2"/>
      <w:r w:rsidRPr="00D32600">
        <w:rPr>
          <w:rFonts w:ascii="Times New Roman" w:hAnsi="Times New Roman" w:cs="Times New Roman"/>
          <w:sz w:val="28"/>
          <w:szCs w:val="44"/>
        </w:rPr>
        <w:t>2. Literature Review</w:t>
      </w:r>
      <w:bookmarkEnd w:id="3"/>
      <w:bookmarkEnd w:id="4"/>
      <w:bookmarkEnd w:id="5"/>
    </w:p>
    <w:p w14:paraId="516BAA1A" w14:textId="77777777" w:rsidR="00725155" w:rsidRPr="00D32600" w:rsidRDefault="00725155" w:rsidP="00D32600">
      <w:pPr>
        <w:pStyle w:val="Heading2"/>
        <w:spacing w:line="276" w:lineRule="auto"/>
        <w:rPr>
          <w:rFonts w:ascii="Times New Roman" w:hAnsi="Times New Roman" w:cs="Times New Roman"/>
          <w:szCs w:val="36"/>
        </w:rPr>
      </w:pPr>
      <w:bookmarkStart w:id="6" w:name="_kfze7a7k7tpv" w:colFirst="0" w:colLast="0"/>
      <w:bookmarkStart w:id="7" w:name="_Toc213758336"/>
      <w:bookmarkStart w:id="8" w:name="_Toc214141518"/>
      <w:bookmarkStart w:id="9" w:name="_Toc214141655"/>
      <w:bookmarkEnd w:id="6"/>
      <w:r w:rsidRPr="00D32600">
        <w:rPr>
          <w:rFonts w:ascii="Times New Roman" w:hAnsi="Times New Roman" w:cs="Times New Roman"/>
          <w:szCs w:val="36"/>
        </w:rPr>
        <w:t>2.1 ISO/IEC 27000 Family</w:t>
      </w:r>
      <w:bookmarkEnd w:id="7"/>
      <w:bookmarkEnd w:id="8"/>
      <w:bookmarkEnd w:id="9"/>
    </w:p>
    <w:p w14:paraId="0CD6C813" w14:textId="55FB30C4" w:rsidR="00725155" w:rsidRPr="00D32600" w:rsidRDefault="00725155"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ISO/IEC 27000 family (particularly the ISO 27001 and IS 27002) provides a close-up guideline on the development and maintenance of an Information Security Management System (ISMS).</w:t>
      </w:r>
      <w:r w:rsidRPr="00D32600">
        <w:rPr>
          <w:rFonts w:ascii="Times New Roman" w:hAnsi="Times New Roman" w:cs="Times New Roman"/>
          <w:sz w:val="32"/>
          <w:szCs w:val="32"/>
        </w:rPr>
        <w:t xml:space="preserve"> It offers a </w:t>
      </w:r>
      <w:r w:rsidRPr="00D32600">
        <w:rPr>
          <w:rFonts w:ascii="Times New Roman" w:hAnsi="Times New Roman" w:cs="Times New Roman"/>
          <w:sz w:val="28"/>
          <w:szCs w:val="28"/>
        </w:rPr>
        <w:t>methodological framework for taking care of information property protection to the sub-thrusters of Confidentiality, Integrity, and Availability (CIA) triad [</w:t>
      </w:r>
      <w:r w:rsidR="00492570">
        <w:rPr>
          <w:rFonts w:ascii="Times New Roman" w:hAnsi="Times New Roman" w:cs="Times New Roman"/>
          <w:sz w:val="28"/>
          <w:szCs w:val="28"/>
        </w:rPr>
        <w:t>15</w:t>
      </w:r>
      <w:r w:rsidRPr="00D32600">
        <w:rPr>
          <w:rFonts w:ascii="Times New Roman" w:hAnsi="Times New Roman" w:cs="Times New Roman"/>
          <w:sz w:val="28"/>
          <w:szCs w:val="28"/>
        </w:rPr>
        <w:t>]. The implementation of the security controls is specified under the ISO 2700,1, and a new document is the best practices associated with the selection and implementation of controls under the ISO 27002. The most important attribute of the framework is the Plan-Do-Check-Act (PDCA) cycle that improves the constant improvement of risk management and the effectiveness of policies.</w:t>
      </w:r>
      <w:r w:rsidR="001C6536">
        <w:rPr>
          <w:rFonts w:ascii="Times New Roman" w:hAnsi="Times New Roman" w:cs="Times New Roman"/>
          <w:sz w:val="28"/>
          <w:szCs w:val="28"/>
        </w:rPr>
        <w:t xml:space="preserve"> </w:t>
      </w:r>
      <w:r w:rsidR="001C6536" w:rsidRPr="001C6536">
        <w:rPr>
          <w:rFonts w:ascii="Times New Roman" w:hAnsi="Times New Roman" w:cs="Times New Roman"/>
          <w:sz w:val="28"/>
          <w:szCs w:val="28"/>
        </w:rPr>
        <w:t>However, ISO/IEC 27001 is resource-intensive to implement, and the workload for documentation often is extensive for most organizations to get certified. This makes it less flexible for fast-changing environments such as cloud-based businesses</w:t>
      </w:r>
      <w:r w:rsidR="00564E6D">
        <w:rPr>
          <w:rFonts w:ascii="Times New Roman" w:hAnsi="Times New Roman" w:cs="Times New Roman"/>
          <w:sz w:val="28"/>
          <w:szCs w:val="28"/>
        </w:rPr>
        <w:t>[11]</w:t>
      </w:r>
      <w:r w:rsidR="001C6536" w:rsidRPr="001C6536">
        <w:rPr>
          <w:rFonts w:ascii="Times New Roman" w:hAnsi="Times New Roman" w:cs="Times New Roman"/>
          <w:sz w:val="28"/>
          <w:szCs w:val="28"/>
        </w:rPr>
        <w:t>.</w:t>
      </w:r>
      <w:r w:rsidRPr="00D32600">
        <w:rPr>
          <w:rFonts w:ascii="Times New Roman" w:hAnsi="Times New Roman" w:cs="Times New Roman"/>
          <w:sz w:val="28"/>
          <w:szCs w:val="28"/>
        </w:rPr>
        <w:t xml:space="preserve"> </w:t>
      </w:r>
    </w:p>
    <w:p w14:paraId="7520951D" w14:textId="77777777" w:rsidR="00725155" w:rsidRPr="00D32600" w:rsidRDefault="00725155" w:rsidP="00D32600">
      <w:pPr>
        <w:spacing w:line="276" w:lineRule="auto"/>
        <w:rPr>
          <w:rFonts w:ascii="Times New Roman" w:hAnsi="Times New Roman" w:cs="Times New Roman"/>
        </w:rPr>
      </w:pPr>
    </w:p>
    <w:p w14:paraId="26C62BFD" w14:textId="77777777" w:rsidR="00725155" w:rsidRPr="00D32600" w:rsidRDefault="00725155" w:rsidP="00EA571A">
      <w:pPr>
        <w:spacing w:line="276" w:lineRule="auto"/>
        <w:jc w:val="center"/>
        <w:rPr>
          <w:rFonts w:ascii="Times New Roman" w:hAnsi="Times New Roman" w:cs="Times New Roman"/>
        </w:rPr>
      </w:pPr>
      <w:r w:rsidRPr="00D32600">
        <w:rPr>
          <w:rFonts w:ascii="Times New Roman" w:hAnsi="Times New Roman" w:cs="Times New Roman"/>
          <w:noProof/>
        </w:rPr>
        <w:lastRenderedPageBreak/>
        <w:drawing>
          <wp:inline distT="114300" distB="114300" distL="114300" distR="114300" wp14:anchorId="5F826948" wp14:editId="2D776061">
            <wp:extent cx="4394200" cy="2432050"/>
            <wp:effectExtent l="19050" t="19050" r="25400" b="25400"/>
            <wp:docPr id="2" name="image3.png" descr="A diagram of a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3.png" descr="A diagram of a process&#10;&#10;AI-generated content may be incorrect."/>
                    <pic:cNvPicPr preferRelativeResize="0"/>
                  </pic:nvPicPr>
                  <pic:blipFill>
                    <a:blip r:embed="rId7"/>
                    <a:srcRect/>
                    <a:stretch>
                      <a:fillRect/>
                    </a:stretch>
                  </pic:blipFill>
                  <pic:spPr>
                    <a:xfrm>
                      <a:off x="0" y="0"/>
                      <a:ext cx="4394484" cy="2432207"/>
                    </a:xfrm>
                    <a:prstGeom prst="rect">
                      <a:avLst/>
                    </a:prstGeom>
                    <a:ln w="12700">
                      <a:solidFill>
                        <a:srgbClr val="000000"/>
                      </a:solidFill>
                      <a:prstDash val="solid"/>
                    </a:ln>
                  </pic:spPr>
                </pic:pic>
              </a:graphicData>
            </a:graphic>
          </wp:inline>
        </w:drawing>
      </w:r>
    </w:p>
    <w:p w14:paraId="1B924D66" w14:textId="44D7CEED" w:rsidR="00725155" w:rsidRPr="00C32E67" w:rsidRDefault="00725155" w:rsidP="00EA571A">
      <w:pPr>
        <w:spacing w:line="276" w:lineRule="auto"/>
        <w:jc w:val="center"/>
        <w:rPr>
          <w:rFonts w:ascii="Times New Roman" w:hAnsi="Times New Roman" w:cs="Times New Roman"/>
          <w:b/>
          <w:bCs/>
          <w:sz w:val="24"/>
          <w:szCs w:val="24"/>
        </w:rPr>
      </w:pPr>
      <w:r w:rsidRPr="00C32E67">
        <w:rPr>
          <w:rFonts w:ascii="Times New Roman" w:hAnsi="Times New Roman" w:cs="Times New Roman"/>
          <w:b/>
          <w:bCs/>
          <w:sz w:val="24"/>
          <w:szCs w:val="24"/>
        </w:rPr>
        <w:t>Figure 1: ISMS PDCA process</w:t>
      </w:r>
    </w:p>
    <w:p w14:paraId="23864F0A" w14:textId="77777777" w:rsidR="00725155" w:rsidRPr="00D32600" w:rsidRDefault="00725155" w:rsidP="00D32600">
      <w:pPr>
        <w:spacing w:line="276" w:lineRule="auto"/>
        <w:jc w:val="center"/>
        <w:rPr>
          <w:rFonts w:ascii="Times New Roman" w:hAnsi="Times New Roman" w:cs="Times New Roman"/>
          <w:b/>
          <w:bCs/>
        </w:rPr>
      </w:pPr>
    </w:p>
    <w:p w14:paraId="56AFF647" w14:textId="782BFD28" w:rsidR="00725155" w:rsidRPr="00D32600" w:rsidRDefault="00725155"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It is a cyclical model, and it helps organizations readjust in line with the evolving threats and remain within the frame of reference. The advantages of the ISO 27001 certification are its adherence to the international standards, a sign of faith in the stakeholders, and the legal and reputational guarantee </w:t>
      </w:r>
      <w:r w:rsidR="008344FC">
        <w:rPr>
          <w:rFonts w:ascii="Times New Roman" w:hAnsi="Times New Roman" w:cs="Times New Roman"/>
          <w:sz w:val="28"/>
          <w:szCs w:val="28"/>
        </w:rPr>
        <w:t>[2]</w:t>
      </w:r>
      <w:r w:rsidRPr="00D32600">
        <w:rPr>
          <w:rFonts w:ascii="Times New Roman" w:hAnsi="Times New Roman" w:cs="Times New Roman"/>
          <w:sz w:val="28"/>
          <w:szCs w:val="28"/>
        </w:rPr>
        <w:t>. NatureGreen used to adopt the ISO 27001 in case would establish formalized security governance, cloud and wireless infrastructure risk-based controls, and an auditable compliance route.</w:t>
      </w:r>
    </w:p>
    <w:p w14:paraId="3787F2C9" w14:textId="77777777" w:rsidR="00725155" w:rsidRPr="00D32600" w:rsidRDefault="00725155" w:rsidP="00D32600">
      <w:pPr>
        <w:pStyle w:val="Heading2"/>
        <w:spacing w:line="276" w:lineRule="auto"/>
        <w:rPr>
          <w:rFonts w:ascii="Times New Roman" w:hAnsi="Times New Roman" w:cs="Times New Roman"/>
          <w:szCs w:val="36"/>
        </w:rPr>
      </w:pPr>
      <w:bookmarkStart w:id="10" w:name="_f7owcokja547" w:colFirst="0" w:colLast="0"/>
      <w:bookmarkStart w:id="11" w:name="_Toc213758337"/>
      <w:bookmarkStart w:id="12" w:name="_Toc214141519"/>
      <w:bookmarkStart w:id="13" w:name="_Toc214141656"/>
      <w:bookmarkEnd w:id="10"/>
      <w:r w:rsidRPr="00D32600">
        <w:rPr>
          <w:rFonts w:ascii="Times New Roman" w:hAnsi="Times New Roman" w:cs="Times New Roman"/>
          <w:szCs w:val="36"/>
        </w:rPr>
        <w:t>2.2 NIST Cybersecurity Framework (CSF)</w:t>
      </w:r>
      <w:bookmarkEnd w:id="11"/>
      <w:bookmarkEnd w:id="12"/>
      <w:bookmarkEnd w:id="13"/>
    </w:p>
    <w:p w14:paraId="1049EF17" w14:textId="3C96DF39" w:rsidR="005B031A" w:rsidRDefault="00725155"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NIST Cybersecurity Framework (CSF) is a framework of cyber risk management that</w:t>
      </w:r>
      <w:r w:rsidRPr="00D32600">
        <w:rPr>
          <w:rFonts w:ascii="Times New Roman" w:hAnsi="Times New Roman" w:cs="Times New Roman"/>
          <w:sz w:val="32"/>
          <w:szCs w:val="32"/>
        </w:rPr>
        <w:t xml:space="preserve"> </w:t>
      </w:r>
      <w:r w:rsidRPr="00D32600">
        <w:rPr>
          <w:rFonts w:ascii="Times New Roman" w:hAnsi="Times New Roman" w:cs="Times New Roman"/>
          <w:sz w:val="28"/>
          <w:szCs w:val="28"/>
        </w:rPr>
        <w:t>brings a detailed but flexible approach to the framework through five functions that are conducted, including Identify, Protect, Detect, Respond, and Recover</w:t>
      </w:r>
      <w:r w:rsidR="005D4D76">
        <w:rPr>
          <w:rFonts w:ascii="Times New Roman" w:hAnsi="Times New Roman" w:cs="Times New Roman"/>
          <w:sz w:val="28"/>
          <w:szCs w:val="28"/>
        </w:rPr>
        <w:t>[15]</w:t>
      </w:r>
      <w:r w:rsidRPr="00D32600">
        <w:rPr>
          <w:rFonts w:ascii="Times New Roman" w:hAnsi="Times New Roman" w:cs="Times New Roman"/>
          <w:sz w:val="28"/>
          <w:szCs w:val="28"/>
        </w:rPr>
        <w:t>. It is through these functions that a holistic life-cycle-based approach to managing cybersecurity is created. The NIST CSF assists the organizations in assessing the current security position and in scaling up risk-based, scale security according to business objectives. Its adaptability makes it applicable in diverse contexts, which include cloud-based applications and BYOD (Bring Your Own Device) systems such as NatureGreen.</w:t>
      </w:r>
      <w:r w:rsidR="00095980" w:rsidRPr="00095980">
        <w:t xml:space="preserve"> </w:t>
      </w:r>
      <w:r w:rsidR="00095980" w:rsidRPr="00095980">
        <w:rPr>
          <w:rFonts w:ascii="Times New Roman" w:hAnsi="Times New Roman" w:cs="Times New Roman"/>
          <w:sz w:val="28"/>
          <w:szCs w:val="28"/>
        </w:rPr>
        <w:t>NIST CSF provides practical real-world guidance on cyber defence, is not certifiable, and is fundamentally based upon self-assessment, which often leads to variable implementation within departments</w:t>
      </w:r>
      <w:r w:rsidR="0097203A">
        <w:rPr>
          <w:rFonts w:ascii="Times New Roman" w:hAnsi="Times New Roman" w:cs="Times New Roman"/>
          <w:sz w:val="28"/>
          <w:szCs w:val="28"/>
        </w:rPr>
        <w:t>[12]</w:t>
      </w:r>
      <w:r w:rsidR="00095980" w:rsidRPr="00095980">
        <w:rPr>
          <w:rFonts w:ascii="Times New Roman" w:hAnsi="Times New Roman" w:cs="Times New Roman"/>
          <w:sz w:val="28"/>
          <w:szCs w:val="28"/>
        </w:rPr>
        <w:t>.</w:t>
      </w:r>
    </w:p>
    <w:p w14:paraId="17C89829" w14:textId="77777777" w:rsidR="00D32600" w:rsidRDefault="00D32600" w:rsidP="00D32600">
      <w:pPr>
        <w:spacing w:line="276" w:lineRule="auto"/>
        <w:jc w:val="both"/>
        <w:rPr>
          <w:rFonts w:ascii="Times New Roman" w:hAnsi="Times New Roman" w:cs="Times New Roman"/>
          <w:sz w:val="28"/>
          <w:szCs w:val="28"/>
        </w:rPr>
      </w:pPr>
    </w:p>
    <w:p w14:paraId="6A841521" w14:textId="77777777" w:rsidR="00D32600" w:rsidRPr="00D32600" w:rsidRDefault="00D32600" w:rsidP="00D32600">
      <w:pPr>
        <w:spacing w:line="276" w:lineRule="auto"/>
        <w:jc w:val="both"/>
        <w:rPr>
          <w:rFonts w:ascii="Times New Roman" w:hAnsi="Times New Roman" w:cs="Times New Roman"/>
          <w:sz w:val="28"/>
          <w:szCs w:val="28"/>
        </w:rPr>
      </w:pPr>
    </w:p>
    <w:tbl>
      <w:tblPr>
        <w:tblW w:w="9330" w:type="dxa"/>
        <w:jc w:val="center"/>
        <w:tblBorders>
          <w:top w:val="nil"/>
          <w:left w:val="nil"/>
          <w:bottom w:val="nil"/>
          <w:right w:val="nil"/>
          <w:insideH w:val="nil"/>
          <w:insideV w:val="nil"/>
        </w:tblBorders>
        <w:shd w:val="clear" w:color="auto" w:fill="E59EDC" w:themeFill="accent5" w:themeFillTint="66"/>
        <w:tblLayout w:type="fixed"/>
        <w:tblLook w:val="0600" w:firstRow="0" w:lastRow="0" w:firstColumn="0" w:lastColumn="0" w:noHBand="1" w:noVBand="1"/>
      </w:tblPr>
      <w:tblGrid>
        <w:gridCol w:w="1975"/>
        <w:gridCol w:w="3095"/>
        <w:gridCol w:w="4260"/>
      </w:tblGrid>
      <w:tr w:rsidR="005B031A" w:rsidRPr="00D32600" w14:paraId="3B3AE191" w14:textId="77777777" w:rsidTr="00B97308">
        <w:trPr>
          <w:trHeight w:val="485"/>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45B0E1" w:themeFill="accent1" w:themeFillTint="99"/>
            <w:tcMar>
              <w:top w:w="100" w:type="dxa"/>
              <w:left w:w="100" w:type="dxa"/>
              <w:bottom w:w="100" w:type="dxa"/>
              <w:right w:w="100" w:type="dxa"/>
            </w:tcMar>
          </w:tcPr>
          <w:p w14:paraId="7F66056A" w14:textId="77777777" w:rsidR="005B031A" w:rsidRPr="004B545B" w:rsidRDefault="005B031A" w:rsidP="00D32600">
            <w:pPr>
              <w:spacing w:line="276" w:lineRule="auto"/>
              <w:jc w:val="center"/>
              <w:rPr>
                <w:rFonts w:ascii="Times New Roman" w:hAnsi="Times New Roman" w:cs="Times New Roman"/>
                <w:b/>
                <w:bCs/>
                <w:sz w:val="28"/>
                <w:szCs w:val="28"/>
              </w:rPr>
            </w:pPr>
            <w:bookmarkStart w:id="14" w:name="_Hlk214139502"/>
            <w:r w:rsidRPr="004B545B">
              <w:rPr>
                <w:rFonts w:ascii="Times New Roman" w:hAnsi="Times New Roman" w:cs="Times New Roman"/>
                <w:b/>
                <w:bCs/>
                <w:sz w:val="28"/>
                <w:szCs w:val="28"/>
              </w:rPr>
              <w:t>Aspect</w:t>
            </w:r>
          </w:p>
        </w:tc>
        <w:tc>
          <w:tcPr>
            <w:tcW w:w="3095" w:type="dxa"/>
            <w:tcBorders>
              <w:top w:val="single" w:sz="8" w:space="0" w:color="000000"/>
              <w:left w:val="single" w:sz="8" w:space="0" w:color="000000"/>
              <w:bottom w:val="single" w:sz="8" w:space="0" w:color="000000"/>
              <w:right w:val="single" w:sz="8" w:space="0" w:color="000000"/>
            </w:tcBorders>
            <w:shd w:val="clear" w:color="auto" w:fill="45B0E1" w:themeFill="accent1" w:themeFillTint="99"/>
            <w:tcMar>
              <w:top w:w="100" w:type="dxa"/>
              <w:left w:w="100" w:type="dxa"/>
              <w:bottom w:w="100" w:type="dxa"/>
              <w:right w:w="100" w:type="dxa"/>
            </w:tcMar>
          </w:tcPr>
          <w:p w14:paraId="07EABF54"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ISO 27001</w:t>
            </w:r>
          </w:p>
        </w:tc>
        <w:tc>
          <w:tcPr>
            <w:tcW w:w="4260" w:type="dxa"/>
            <w:tcBorders>
              <w:top w:val="single" w:sz="8" w:space="0" w:color="000000"/>
              <w:left w:val="single" w:sz="8" w:space="0" w:color="000000"/>
              <w:bottom w:val="single" w:sz="8" w:space="0" w:color="000000"/>
              <w:right w:val="single" w:sz="8" w:space="0" w:color="000000"/>
            </w:tcBorders>
            <w:shd w:val="clear" w:color="auto" w:fill="45B0E1" w:themeFill="accent1" w:themeFillTint="99"/>
            <w:tcMar>
              <w:top w:w="100" w:type="dxa"/>
              <w:left w:w="100" w:type="dxa"/>
              <w:bottom w:w="100" w:type="dxa"/>
              <w:right w:w="100" w:type="dxa"/>
            </w:tcMar>
          </w:tcPr>
          <w:p w14:paraId="53BAAAE4"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NIST CSF</w:t>
            </w:r>
          </w:p>
        </w:tc>
      </w:tr>
      <w:tr w:rsidR="005B031A" w:rsidRPr="00D32600" w14:paraId="1FAD52DA" w14:textId="77777777" w:rsidTr="00B97308">
        <w:trPr>
          <w:trHeight w:val="675"/>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5CEC515D"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Focus</w:t>
            </w:r>
          </w:p>
        </w:tc>
        <w:tc>
          <w:tcPr>
            <w:tcW w:w="3095"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70FA46E2"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Formal ISMS for managing information security.</w:t>
            </w:r>
          </w:p>
        </w:tc>
        <w:tc>
          <w:tcPr>
            <w:tcW w:w="4260"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4C7E2DBC"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Risk-based framework for cyber resilience.</w:t>
            </w:r>
          </w:p>
        </w:tc>
      </w:tr>
      <w:tr w:rsidR="005B031A" w:rsidRPr="00D32600" w14:paraId="3CFC16C2" w14:textId="77777777" w:rsidTr="00B97308">
        <w:trPr>
          <w:trHeight w:val="750"/>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57502898"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Structure</w:t>
            </w:r>
          </w:p>
        </w:tc>
        <w:tc>
          <w:tcPr>
            <w:tcW w:w="3095"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39324049"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Follows the PDCA (Plan–Do–Check–Act) cycle.</w:t>
            </w:r>
          </w:p>
        </w:tc>
        <w:tc>
          <w:tcPr>
            <w:tcW w:w="4260"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57D90E07"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Built on five functions: Identify, Protect, Detect, Respond, Recover.</w:t>
            </w:r>
          </w:p>
        </w:tc>
      </w:tr>
      <w:tr w:rsidR="005B031A" w:rsidRPr="00D32600" w14:paraId="5700EA97" w14:textId="77777777" w:rsidTr="00B97308">
        <w:trPr>
          <w:trHeight w:val="585"/>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2E01DFC1"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Scope</w:t>
            </w:r>
          </w:p>
        </w:tc>
        <w:tc>
          <w:tcPr>
            <w:tcW w:w="3095"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18F1A956"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Organization-wide, certifiable standard.</w:t>
            </w:r>
          </w:p>
        </w:tc>
        <w:tc>
          <w:tcPr>
            <w:tcW w:w="4260"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09FA00E4"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Flexible, non-certifiable guidance.</w:t>
            </w:r>
          </w:p>
        </w:tc>
      </w:tr>
      <w:tr w:rsidR="005B031A" w:rsidRPr="00D32600" w14:paraId="014526E6" w14:textId="77777777" w:rsidTr="00B97308">
        <w:trPr>
          <w:trHeight w:val="1025"/>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593492CC"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Risk Approach</w:t>
            </w:r>
          </w:p>
        </w:tc>
        <w:tc>
          <w:tcPr>
            <w:tcW w:w="3095"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50F0842F"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Formal risk assessment (ISO 27005).</w:t>
            </w:r>
          </w:p>
        </w:tc>
        <w:tc>
          <w:tcPr>
            <w:tcW w:w="4260"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360BE461"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Tiered, scalable risk management.</w:t>
            </w:r>
          </w:p>
        </w:tc>
      </w:tr>
      <w:tr w:rsidR="005B031A" w:rsidRPr="00D32600" w14:paraId="39816689" w14:textId="77777777" w:rsidTr="00B97308">
        <w:trPr>
          <w:trHeight w:val="495"/>
          <w:jc w:val="center"/>
        </w:trPr>
        <w:tc>
          <w:tcPr>
            <w:tcW w:w="1975"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54F1E7DF" w14:textId="77777777" w:rsidR="005B031A" w:rsidRPr="004B545B" w:rsidRDefault="005B031A" w:rsidP="00D32600">
            <w:pPr>
              <w:spacing w:line="276" w:lineRule="auto"/>
              <w:jc w:val="center"/>
              <w:rPr>
                <w:rFonts w:ascii="Times New Roman" w:hAnsi="Times New Roman" w:cs="Times New Roman"/>
                <w:b/>
                <w:bCs/>
                <w:sz w:val="28"/>
                <w:szCs w:val="28"/>
              </w:rPr>
            </w:pPr>
            <w:r w:rsidRPr="004B545B">
              <w:rPr>
                <w:rFonts w:ascii="Times New Roman" w:hAnsi="Times New Roman" w:cs="Times New Roman"/>
                <w:b/>
                <w:bCs/>
                <w:sz w:val="28"/>
                <w:szCs w:val="28"/>
              </w:rPr>
              <w:t>Use for NG</w:t>
            </w:r>
          </w:p>
        </w:tc>
        <w:tc>
          <w:tcPr>
            <w:tcW w:w="3095"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5F593731"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Best for governance and compliance.</w:t>
            </w:r>
          </w:p>
        </w:tc>
        <w:tc>
          <w:tcPr>
            <w:tcW w:w="4260"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100" w:type="dxa"/>
              <w:left w:w="100" w:type="dxa"/>
              <w:bottom w:w="100" w:type="dxa"/>
              <w:right w:w="100" w:type="dxa"/>
            </w:tcMar>
          </w:tcPr>
          <w:p w14:paraId="7CA74EA7" w14:textId="77777777" w:rsidR="005B031A" w:rsidRPr="004B545B" w:rsidRDefault="005B031A" w:rsidP="00D32600">
            <w:pPr>
              <w:spacing w:line="276" w:lineRule="auto"/>
              <w:rPr>
                <w:rFonts w:ascii="Times New Roman" w:hAnsi="Times New Roman" w:cs="Times New Roman"/>
                <w:sz w:val="28"/>
                <w:szCs w:val="28"/>
              </w:rPr>
            </w:pPr>
            <w:r w:rsidRPr="004B545B">
              <w:rPr>
                <w:rFonts w:ascii="Times New Roman" w:hAnsi="Times New Roman" w:cs="Times New Roman"/>
                <w:sz w:val="28"/>
                <w:szCs w:val="28"/>
              </w:rPr>
              <w:t>Best for detection and incident response.</w:t>
            </w:r>
          </w:p>
        </w:tc>
      </w:tr>
    </w:tbl>
    <w:bookmarkEnd w:id="14"/>
    <w:p w14:paraId="30FDBB1E" w14:textId="2DA8D018" w:rsidR="000208E6" w:rsidRPr="00D32600" w:rsidRDefault="00A56AD2" w:rsidP="00D32600">
      <w:pPr>
        <w:spacing w:line="276" w:lineRule="auto"/>
        <w:jc w:val="both"/>
        <w:rPr>
          <w:rFonts w:ascii="Times New Roman" w:hAnsi="Times New Roman" w:cs="Times New Roman"/>
          <w:b/>
          <w:bCs/>
          <w:sz w:val="24"/>
          <w:szCs w:val="24"/>
        </w:rPr>
      </w:pPr>
      <w:r w:rsidRPr="00D32600">
        <w:rPr>
          <w:rFonts w:ascii="Times New Roman" w:hAnsi="Times New Roman" w:cs="Times New Roman"/>
          <w:sz w:val="32"/>
          <w:szCs w:val="32"/>
        </w:rPr>
        <w:t xml:space="preserve">                     </w:t>
      </w:r>
      <w:r w:rsidR="000208E6" w:rsidRPr="00D32600">
        <w:rPr>
          <w:rFonts w:ascii="Times New Roman" w:hAnsi="Times New Roman" w:cs="Times New Roman"/>
          <w:b/>
          <w:bCs/>
          <w:sz w:val="24"/>
          <w:szCs w:val="24"/>
        </w:rPr>
        <w:t>Table 1: Comparison between ISO 27001 and NIST CSF</w:t>
      </w:r>
    </w:p>
    <w:p w14:paraId="42B620B5" w14:textId="1A224CBF" w:rsidR="000208E6" w:rsidRPr="00D32600" w:rsidRDefault="000208E6" w:rsidP="00D32600">
      <w:pPr>
        <w:spacing w:line="276" w:lineRule="auto"/>
        <w:jc w:val="both"/>
        <w:rPr>
          <w:rFonts w:ascii="Times New Roman" w:hAnsi="Times New Roman" w:cs="Times New Roman"/>
          <w:sz w:val="36"/>
          <w:szCs w:val="36"/>
        </w:rPr>
      </w:pPr>
      <w:r w:rsidRPr="00D32600">
        <w:rPr>
          <w:rFonts w:ascii="Times New Roman" w:hAnsi="Times New Roman" w:cs="Times New Roman"/>
          <w:sz w:val="28"/>
          <w:szCs w:val="28"/>
        </w:rPr>
        <w:t>The mitigation strategy prioritization framework has a risk-tier approach, which allows organizations to prioritize mitigation strategies and allocate resources efficiently. In addition, an appendix of ISO 27001 is focused on actual practice threat detection and response operations [4]. The NIST functional structure used in the case of NatureGreen would help in constant monitoring, vulnerability detection over time, and immediate restoration of the circumstances. NIST principles can be applied to make the operations more resilient and offer some data confidentiality to distributed and mobile-enabled networks</w:t>
      </w:r>
      <w:r w:rsidR="004C17CA">
        <w:rPr>
          <w:rFonts w:ascii="Times New Roman" w:hAnsi="Times New Roman" w:cs="Times New Roman"/>
          <w:sz w:val="28"/>
          <w:szCs w:val="28"/>
        </w:rPr>
        <w:t>[4]</w:t>
      </w:r>
      <w:r w:rsidRPr="00D32600">
        <w:rPr>
          <w:rFonts w:ascii="Times New Roman" w:hAnsi="Times New Roman" w:cs="Times New Roman"/>
          <w:noProof/>
          <w:sz w:val="36"/>
          <w:szCs w:val="36"/>
          <w14:ligatures w14:val="standardContextual"/>
        </w:rPr>
        <mc:AlternateContent>
          <mc:Choice Requires="wpi">
            <w:drawing>
              <wp:anchor distT="0" distB="0" distL="114300" distR="114300" simplePos="0" relativeHeight="251661312" behindDoc="0" locked="0" layoutInCell="1" allowOverlap="1" wp14:anchorId="4F50677D" wp14:editId="5A9EFA37">
                <wp:simplePos x="0" y="0"/>
                <wp:positionH relativeFrom="column">
                  <wp:posOffset>1263640</wp:posOffset>
                </wp:positionH>
                <wp:positionV relativeFrom="paragraph">
                  <wp:posOffset>-3276520</wp:posOffset>
                </wp:positionV>
                <wp:extent cx="360" cy="360"/>
                <wp:effectExtent l="38100" t="38100" r="38100" b="38100"/>
                <wp:wrapNone/>
                <wp:docPr id="770321636"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477A9F3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9pt;margin-top:-258.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BD6YWQ1QEAAJ0EAAAQAAAA&#10;AAAAAAAAAAAAANMDAABkcnMvaW5rL2luazEueG1sUEsBAi0AFAAGAAgAAAAhAH1SJfjgAAAADQEA&#10;AA8AAAAAAAAAAAAAAAAA1gUAAGRycy9kb3ducmV2LnhtbFBLAQItABQABgAIAAAAIQB5GLydvwAA&#10;ACEBAAAZAAAAAAAAAAAAAAAAAOMGAABkcnMvX3JlbHMvZTJvRG9jLnhtbC5yZWxzUEsFBgAAAAAG&#10;AAYAeAEAANkHAAAAAA==&#10;">
                <v:imagedata r:id="rId9" o:title=""/>
              </v:shape>
            </w:pict>
          </mc:Fallback>
        </mc:AlternateContent>
      </w:r>
      <w:r w:rsidR="006761F2">
        <w:rPr>
          <w:rFonts w:ascii="Times New Roman" w:hAnsi="Times New Roman" w:cs="Times New Roman"/>
          <w:sz w:val="28"/>
          <w:szCs w:val="28"/>
        </w:rPr>
        <w:t>.</w:t>
      </w:r>
    </w:p>
    <w:p w14:paraId="601194CC" w14:textId="77777777" w:rsidR="002648EE" w:rsidRPr="00D32600" w:rsidRDefault="002648EE" w:rsidP="00D32600">
      <w:pPr>
        <w:pStyle w:val="Heading2"/>
        <w:spacing w:line="276" w:lineRule="auto"/>
        <w:rPr>
          <w:rFonts w:ascii="Times New Roman" w:hAnsi="Times New Roman" w:cs="Times New Roman"/>
          <w:szCs w:val="36"/>
        </w:rPr>
      </w:pPr>
      <w:bookmarkStart w:id="15" w:name="_Toc213758338"/>
      <w:bookmarkStart w:id="16" w:name="_Toc214141520"/>
      <w:bookmarkStart w:id="17" w:name="_Toc214141657"/>
      <w:r w:rsidRPr="00D32600">
        <w:rPr>
          <w:rFonts w:ascii="Times New Roman" w:hAnsi="Times New Roman" w:cs="Times New Roman"/>
          <w:szCs w:val="36"/>
        </w:rPr>
        <w:t>2.3 ITIL Framework for IT Service Management</w:t>
      </w:r>
      <w:bookmarkEnd w:id="15"/>
      <w:bookmarkEnd w:id="16"/>
      <w:bookmarkEnd w:id="17"/>
    </w:p>
    <w:p w14:paraId="1D86362B" w14:textId="77777777" w:rsidR="002648EE" w:rsidRPr="00D32600" w:rsidRDefault="002648EE"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The Information Technology Infrastructure Library (ITIL) framework is focused on the provision of optimal IT services by aligning the work of technology with a </w:t>
      </w:r>
      <w:r w:rsidRPr="00D32600">
        <w:rPr>
          <w:rFonts w:ascii="Times New Roman" w:hAnsi="Times New Roman" w:cs="Times New Roman"/>
          <w:sz w:val="28"/>
          <w:szCs w:val="28"/>
        </w:rPr>
        <w:lastRenderedPageBreak/>
        <w:t xml:space="preserve">business strategic purpose [5]. It outlines a structured approach to service management throughout its life cycle, encompassing Service Strategy, Service Design, Service Transition, Service Operation, and Continual Service Improvement. Under the framework of security governance, the Service Operation and Service Transition phases of ITIL become instrumental in the context of sustaining the incident response processes, configuration management, and changes. </w:t>
      </w:r>
    </w:p>
    <w:p w14:paraId="5E751E10" w14:textId="77777777" w:rsidR="002648EE" w:rsidRPr="00D32600" w:rsidRDefault="002648EE" w:rsidP="00D32600">
      <w:pPr>
        <w:spacing w:line="276" w:lineRule="auto"/>
        <w:rPr>
          <w:rFonts w:ascii="Times New Roman" w:hAnsi="Times New Roman" w:cs="Times New Roman"/>
        </w:rPr>
      </w:pPr>
    </w:p>
    <w:p w14:paraId="4E0F3C6E" w14:textId="77777777" w:rsidR="00A56AD2" w:rsidRPr="00D32600" w:rsidRDefault="00A56AD2" w:rsidP="00EA571A">
      <w:pPr>
        <w:spacing w:line="276" w:lineRule="auto"/>
        <w:jc w:val="center"/>
        <w:rPr>
          <w:rFonts w:ascii="Times New Roman" w:hAnsi="Times New Roman" w:cs="Times New Roman"/>
        </w:rPr>
      </w:pPr>
      <w:r w:rsidRPr="00D32600">
        <w:rPr>
          <w:rFonts w:ascii="Times New Roman" w:hAnsi="Times New Roman" w:cs="Times New Roman"/>
          <w:noProof/>
        </w:rPr>
        <w:drawing>
          <wp:inline distT="114300" distB="114300" distL="114300" distR="114300" wp14:anchorId="398E2207" wp14:editId="38F9E83E">
            <wp:extent cx="2805113" cy="2823094"/>
            <wp:effectExtent l="12700" t="12700" r="12700" b="12700"/>
            <wp:docPr id="3" name="image1.png" descr="A diagram of a key benefits&#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1.png" descr="A diagram of a key benefits&#10;&#10;AI-generated content may be incorrect."/>
                    <pic:cNvPicPr preferRelativeResize="0"/>
                  </pic:nvPicPr>
                  <pic:blipFill>
                    <a:blip r:embed="rId10"/>
                    <a:srcRect/>
                    <a:stretch>
                      <a:fillRect/>
                    </a:stretch>
                  </pic:blipFill>
                  <pic:spPr>
                    <a:xfrm>
                      <a:off x="0" y="0"/>
                      <a:ext cx="2805113" cy="2823094"/>
                    </a:xfrm>
                    <a:prstGeom prst="rect">
                      <a:avLst/>
                    </a:prstGeom>
                    <a:ln w="12700">
                      <a:solidFill>
                        <a:srgbClr val="000000"/>
                      </a:solidFill>
                      <a:prstDash val="solid"/>
                    </a:ln>
                  </pic:spPr>
                </pic:pic>
              </a:graphicData>
            </a:graphic>
          </wp:inline>
        </w:drawing>
      </w:r>
    </w:p>
    <w:p w14:paraId="404D1975" w14:textId="6DF8853B" w:rsidR="00F92396" w:rsidRPr="00D32600" w:rsidRDefault="00F92396" w:rsidP="00D32600">
      <w:pPr>
        <w:spacing w:line="276" w:lineRule="auto"/>
        <w:jc w:val="center"/>
        <w:rPr>
          <w:rFonts w:ascii="Times New Roman" w:hAnsi="Times New Roman" w:cs="Times New Roman"/>
          <w:b/>
          <w:bCs/>
          <w:sz w:val="24"/>
          <w:szCs w:val="24"/>
        </w:rPr>
      </w:pPr>
      <w:r w:rsidRPr="00D32600">
        <w:rPr>
          <w:rFonts w:ascii="Times New Roman" w:hAnsi="Times New Roman" w:cs="Times New Roman"/>
          <w:b/>
          <w:bCs/>
          <w:sz w:val="24"/>
          <w:szCs w:val="24"/>
        </w:rPr>
        <w:t>Figure 2: Benefits of the ITIL framework</w:t>
      </w:r>
    </w:p>
    <w:p w14:paraId="6B9F913C" w14:textId="7C55E8A2" w:rsidR="00F92396" w:rsidRPr="00D32600" w:rsidRDefault="00F92396"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These levels allow all service changes to be assessed in terms of risks and within accepted policies. ITIL also strengthens accountability, consistency of the processes, and transparency of governance, as part of the duties have security responsibilities that are obviously distributed between teams. ITIL enables NatureGreen to efficiently manage its cloud and wireless environment by defining standard procedures for user access, service downtimes, and problem prioritization.</w:t>
      </w:r>
    </w:p>
    <w:p w14:paraId="6393A275" w14:textId="77777777" w:rsidR="00F92396" w:rsidRPr="00D32600" w:rsidRDefault="00F92396" w:rsidP="00D32600">
      <w:pPr>
        <w:pStyle w:val="Heading2"/>
        <w:spacing w:line="276" w:lineRule="auto"/>
        <w:rPr>
          <w:rFonts w:ascii="Times New Roman" w:hAnsi="Times New Roman" w:cs="Times New Roman"/>
          <w:szCs w:val="36"/>
        </w:rPr>
      </w:pPr>
      <w:bookmarkStart w:id="18" w:name="_iv3p7ilj0jro" w:colFirst="0" w:colLast="0"/>
      <w:bookmarkStart w:id="19" w:name="_Toc213758339"/>
      <w:bookmarkStart w:id="20" w:name="_Toc214141521"/>
      <w:bookmarkStart w:id="21" w:name="_Toc214141658"/>
      <w:bookmarkEnd w:id="18"/>
      <w:r w:rsidRPr="00D32600">
        <w:rPr>
          <w:rFonts w:ascii="Times New Roman" w:hAnsi="Times New Roman" w:cs="Times New Roman"/>
          <w:szCs w:val="36"/>
        </w:rPr>
        <w:t>2.4 COBIT (Control Objectives for Information and Related Technology)</w:t>
      </w:r>
      <w:bookmarkEnd w:id="19"/>
      <w:bookmarkEnd w:id="20"/>
      <w:bookmarkEnd w:id="21"/>
      <w:r w:rsidRPr="00D32600">
        <w:rPr>
          <w:rFonts w:ascii="Times New Roman" w:hAnsi="Times New Roman" w:cs="Times New Roman"/>
          <w:szCs w:val="36"/>
        </w:rPr>
        <w:t xml:space="preserve"> </w:t>
      </w:r>
    </w:p>
    <w:p w14:paraId="29EB6E6D" w14:textId="77777777" w:rsidR="00F92396" w:rsidRPr="00D32600" w:rsidRDefault="00F92396"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A management and governance system designed by ISACA to ensure that the IT of an enterprise is utilized in supporting strategic business objectives and proper control and compliance. COBIT 2019 organizes its processes into Governance and Management domains, emphasizing Align, Plan, and Organize; Build, Acquire, and</w:t>
      </w:r>
    </w:p>
    <w:p w14:paraId="64FD4A8B" w14:textId="5839BB64" w:rsidR="00FD0FD0" w:rsidRPr="00D32600" w:rsidRDefault="00FD0FD0"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lastRenderedPageBreak/>
        <w:t>Implement; Deliver, Service, and Support; and Monitor, Evaluate, and Assess [</w:t>
      </w:r>
      <w:r w:rsidR="005532FF">
        <w:rPr>
          <w:rFonts w:ascii="Times New Roman" w:hAnsi="Times New Roman" w:cs="Times New Roman"/>
          <w:sz w:val="28"/>
          <w:szCs w:val="28"/>
        </w:rPr>
        <w:t>8</w:t>
      </w:r>
      <w:r w:rsidRPr="00D32600">
        <w:rPr>
          <w:rFonts w:ascii="Times New Roman" w:hAnsi="Times New Roman" w:cs="Times New Roman"/>
          <w:sz w:val="28"/>
          <w:szCs w:val="28"/>
        </w:rPr>
        <w:t xml:space="preserve">]. COBIT can be used in combination with ISO 27001 and </w:t>
      </w:r>
      <w:r w:rsidR="00991602" w:rsidRPr="00D32600">
        <w:rPr>
          <w:rFonts w:ascii="Times New Roman" w:hAnsi="Times New Roman" w:cs="Times New Roman"/>
          <w:sz w:val="28"/>
          <w:szCs w:val="28"/>
        </w:rPr>
        <w:t>ITIL and</w:t>
      </w:r>
      <w:r w:rsidRPr="00D32600">
        <w:rPr>
          <w:rFonts w:ascii="Times New Roman" w:hAnsi="Times New Roman" w:cs="Times New Roman"/>
          <w:sz w:val="28"/>
          <w:szCs w:val="28"/>
        </w:rPr>
        <w:t xml:space="preserve"> offers a more detailed layer of governance based on value creation, compliance ratings, and accountability. An adequate introduction of COBIT in NatureGreen provide the governance structure that enhance the performance assessment and adherence to the data protection requirements, resulting in higher transparency, less inefficiency, and control maturity.</w:t>
      </w:r>
    </w:p>
    <w:p w14:paraId="6421A1B7" w14:textId="77777777" w:rsidR="00FD0FD0" w:rsidRPr="00D32600" w:rsidRDefault="00FD0FD0" w:rsidP="00D32600">
      <w:pPr>
        <w:pStyle w:val="Heading2"/>
        <w:spacing w:line="276" w:lineRule="auto"/>
        <w:rPr>
          <w:rFonts w:ascii="Times New Roman" w:hAnsi="Times New Roman" w:cs="Times New Roman"/>
          <w:szCs w:val="36"/>
        </w:rPr>
      </w:pPr>
      <w:bookmarkStart w:id="22" w:name="_ckytwpoy7cqk" w:colFirst="0" w:colLast="0"/>
      <w:bookmarkStart w:id="23" w:name="_Toc213758340"/>
      <w:bookmarkStart w:id="24" w:name="_Toc214141522"/>
      <w:bookmarkStart w:id="25" w:name="_Toc214141659"/>
      <w:bookmarkEnd w:id="22"/>
      <w:r w:rsidRPr="00D32600">
        <w:rPr>
          <w:rFonts w:ascii="Times New Roman" w:hAnsi="Times New Roman" w:cs="Times New Roman"/>
          <w:szCs w:val="36"/>
        </w:rPr>
        <w:t>2.5 Synthesis and Comparison of Frameworks</w:t>
      </w:r>
      <w:bookmarkEnd w:id="23"/>
      <w:bookmarkEnd w:id="24"/>
      <w:bookmarkEnd w:id="25"/>
    </w:p>
    <w:p w14:paraId="65B45C6D" w14:textId="2ED2EC29" w:rsidR="001A2972" w:rsidRPr="00D32600" w:rsidRDefault="00FD0FD0"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comparative study of the four models, such as “ISO 27001, NIST CSF, ITIL, and COBIT”, it is possible to note that each of them has its own advantages to the information security and governance landscape of an organization [</w:t>
      </w:r>
      <w:r w:rsidR="007537F1">
        <w:rPr>
          <w:rFonts w:ascii="Times New Roman" w:hAnsi="Times New Roman" w:cs="Times New Roman"/>
          <w:sz w:val="28"/>
          <w:szCs w:val="28"/>
        </w:rPr>
        <w:t>5</w:t>
      </w:r>
      <w:r w:rsidRPr="00D32600">
        <w:rPr>
          <w:rFonts w:ascii="Times New Roman" w:hAnsi="Times New Roman" w:cs="Times New Roman"/>
          <w:sz w:val="28"/>
          <w:szCs w:val="28"/>
        </w:rPr>
        <w:t>]. Information Security Management System (ISMS) offered by ISO 27001, offers a solid basis for the governance and compliance of the system and improvement on a continuous basis through the PDCA cycle. In comparison, NIST CSF provides a practical, risk-based model that is aimed at improving the detection, response, and recovery capabilities, and it is reflected more so in the cloud and BYOD setting, like that of NatureGreen. ITIL assists in the operation governance, as it standardizes the process of service management, provides service continuity, and efficient handling of incidents. COBIT provides IT governance and performance measures at an enterprise level, and this achievement aligns strategic goals of technology and business [</w:t>
      </w:r>
      <w:r w:rsidR="007537F1">
        <w:rPr>
          <w:rFonts w:ascii="Times New Roman" w:hAnsi="Times New Roman" w:cs="Times New Roman"/>
          <w:sz w:val="28"/>
          <w:szCs w:val="28"/>
        </w:rPr>
        <w:t>8</w:t>
      </w:r>
      <w:r w:rsidRPr="00D32600">
        <w:rPr>
          <w:rFonts w:ascii="Times New Roman" w:hAnsi="Times New Roman" w:cs="Times New Roman"/>
          <w:sz w:val="28"/>
          <w:szCs w:val="28"/>
        </w:rPr>
        <w:t>]</w:t>
      </w:r>
      <w:r w:rsidR="007537F1">
        <w:rPr>
          <w:rFonts w:ascii="Times New Roman" w:hAnsi="Times New Roman" w:cs="Times New Roman"/>
          <w:sz w:val="28"/>
          <w:szCs w:val="28"/>
        </w:rPr>
        <w:t>[15]</w:t>
      </w:r>
      <w:r w:rsidRPr="00D32600">
        <w:rPr>
          <w:rFonts w:ascii="Times New Roman" w:hAnsi="Times New Roman" w:cs="Times New Roman"/>
          <w:sz w:val="28"/>
          <w:szCs w:val="28"/>
        </w:rPr>
        <w:t xml:space="preserve">. </w:t>
      </w:r>
    </w:p>
    <w:tbl>
      <w:tblPr>
        <w:tblW w:w="9015" w:type="dxa"/>
        <w:jc w:val="center"/>
        <w:tblBorders>
          <w:top w:val="nil"/>
          <w:left w:val="nil"/>
          <w:bottom w:val="nil"/>
          <w:right w:val="nil"/>
          <w:insideH w:val="nil"/>
          <w:insideV w:val="nil"/>
        </w:tblBorders>
        <w:shd w:val="clear" w:color="auto" w:fill="D1D1D1" w:themeFill="background2" w:themeFillShade="E6"/>
        <w:tblLayout w:type="fixed"/>
        <w:tblLook w:val="0600" w:firstRow="0" w:lastRow="0" w:firstColumn="0" w:lastColumn="0" w:noHBand="1" w:noVBand="1"/>
      </w:tblPr>
      <w:tblGrid>
        <w:gridCol w:w="1410"/>
        <w:gridCol w:w="2040"/>
        <w:gridCol w:w="2835"/>
        <w:gridCol w:w="2730"/>
      </w:tblGrid>
      <w:tr w:rsidR="008C5023" w:rsidRPr="00D32600" w14:paraId="49DD5BAE" w14:textId="77777777" w:rsidTr="008C5023">
        <w:trPr>
          <w:trHeight w:val="485"/>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83CAEB" w:themeFill="accent1" w:themeFillTint="66"/>
            <w:tcMar>
              <w:top w:w="100" w:type="dxa"/>
              <w:left w:w="100" w:type="dxa"/>
              <w:bottom w:w="100" w:type="dxa"/>
              <w:right w:w="100" w:type="dxa"/>
            </w:tcMar>
          </w:tcPr>
          <w:p w14:paraId="5C77E14A"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Framework</w:t>
            </w:r>
          </w:p>
        </w:tc>
        <w:tc>
          <w:tcPr>
            <w:tcW w:w="2040" w:type="dxa"/>
            <w:tcBorders>
              <w:top w:val="single" w:sz="8" w:space="0" w:color="000000"/>
              <w:left w:val="single" w:sz="8" w:space="0" w:color="000000"/>
              <w:bottom w:val="single" w:sz="8" w:space="0" w:color="000000"/>
              <w:right w:val="single" w:sz="8" w:space="0" w:color="000000"/>
            </w:tcBorders>
            <w:shd w:val="clear" w:color="auto" w:fill="83CAEB" w:themeFill="accent1" w:themeFillTint="66"/>
            <w:tcMar>
              <w:top w:w="100" w:type="dxa"/>
              <w:left w:w="100" w:type="dxa"/>
              <w:bottom w:w="100" w:type="dxa"/>
              <w:right w:w="100" w:type="dxa"/>
            </w:tcMar>
          </w:tcPr>
          <w:p w14:paraId="7E0AC6AB"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Focus Area</w:t>
            </w:r>
          </w:p>
        </w:tc>
        <w:tc>
          <w:tcPr>
            <w:tcW w:w="2835" w:type="dxa"/>
            <w:tcBorders>
              <w:top w:val="single" w:sz="8" w:space="0" w:color="000000"/>
              <w:left w:val="single" w:sz="8" w:space="0" w:color="000000"/>
              <w:bottom w:val="single" w:sz="8" w:space="0" w:color="000000"/>
              <w:right w:val="single" w:sz="8" w:space="0" w:color="000000"/>
            </w:tcBorders>
            <w:shd w:val="clear" w:color="auto" w:fill="83CAEB" w:themeFill="accent1" w:themeFillTint="66"/>
            <w:tcMar>
              <w:top w:w="100" w:type="dxa"/>
              <w:left w:w="100" w:type="dxa"/>
              <w:bottom w:w="100" w:type="dxa"/>
              <w:right w:w="100" w:type="dxa"/>
            </w:tcMar>
          </w:tcPr>
          <w:p w14:paraId="7E7498CF"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Strengths</w:t>
            </w:r>
          </w:p>
        </w:tc>
        <w:tc>
          <w:tcPr>
            <w:tcW w:w="2730" w:type="dxa"/>
            <w:tcBorders>
              <w:top w:val="single" w:sz="8" w:space="0" w:color="000000"/>
              <w:left w:val="single" w:sz="8" w:space="0" w:color="000000"/>
              <w:bottom w:val="single" w:sz="8" w:space="0" w:color="000000"/>
              <w:right w:val="single" w:sz="8" w:space="0" w:color="000000"/>
            </w:tcBorders>
            <w:shd w:val="clear" w:color="auto" w:fill="83CAEB" w:themeFill="accent1" w:themeFillTint="66"/>
            <w:tcMar>
              <w:top w:w="100" w:type="dxa"/>
              <w:left w:w="100" w:type="dxa"/>
              <w:bottom w:w="100" w:type="dxa"/>
              <w:right w:w="100" w:type="dxa"/>
            </w:tcMar>
          </w:tcPr>
          <w:p w14:paraId="5A1745CB" w14:textId="77777777" w:rsidR="008C5023" w:rsidRPr="00D32600" w:rsidRDefault="008C5023" w:rsidP="00D32600">
            <w:pPr>
              <w:spacing w:line="276" w:lineRule="auto"/>
              <w:jc w:val="center"/>
              <w:rPr>
                <w:rFonts w:ascii="Times New Roman" w:hAnsi="Times New Roman" w:cs="Times New Roman"/>
                <w:b/>
                <w:bCs/>
              </w:rPr>
            </w:pPr>
            <w:r w:rsidRPr="00D32600">
              <w:rPr>
                <w:rFonts w:ascii="Times New Roman" w:hAnsi="Times New Roman" w:cs="Times New Roman"/>
                <w:b/>
                <w:bCs/>
              </w:rPr>
              <w:t>Limitations</w:t>
            </w:r>
          </w:p>
        </w:tc>
      </w:tr>
      <w:tr w:rsidR="008C5023" w:rsidRPr="00D32600" w14:paraId="75F90B95" w14:textId="77777777" w:rsidTr="008C5023">
        <w:trPr>
          <w:trHeight w:val="1850"/>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4C13015F"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ISO 27001</w:t>
            </w:r>
          </w:p>
        </w:tc>
        <w:tc>
          <w:tcPr>
            <w:tcW w:w="204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10286737"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Information Security Management System</w:t>
            </w:r>
          </w:p>
        </w:tc>
        <w:tc>
          <w:tcPr>
            <w:tcW w:w="2835"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790C6A51"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Strong compliance, auditability, PDCA-driven continual improvement</w:t>
            </w:r>
          </w:p>
        </w:tc>
        <w:tc>
          <w:tcPr>
            <w:tcW w:w="273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6C578E40" w14:textId="77777777" w:rsidR="008C5023" w:rsidRPr="00D32600" w:rsidRDefault="008C5023" w:rsidP="00D32600">
            <w:pPr>
              <w:spacing w:line="276" w:lineRule="auto"/>
              <w:rPr>
                <w:rFonts w:ascii="Times New Roman" w:hAnsi="Times New Roman" w:cs="Times New Roman"/>
              </w:rPr>
            </w:pPr>
            <w:r w:rsidRPr="00D32600">
              <w:rPr>
                <w:rFonts w:ascii="Times New Roman" w:hAnsi="Times New Roman" w:cs="Times New Roman"/>
              </w:rPr>
              <w:t>Rigid, resource-intensive implementation</w:t>
            </w:r>
          </w:p>
        </w:tc>
      </w:tr>
      <w:tr w:rsidR="008C5023" w:rsidRPr="00D32600" w14:paraId="0EE9A926" w14:textId="77777777" w:rsidTr="008C5023">
        <w:trPr>
          <w:trHeight w:val="1580"/>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6E3E4757"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lastRenderedPageBreak/>
              <w:t>NIST CSF</w:t>
            </w:r>
          </w:p>
        </w:tc>
        <w:tc>
          <w:tcPr>
            <w:tcW w:w="204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6643CA51"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Cybersecurity Risk Management</w:t>
            </w:r>
          </w:p>
        </w:tc>
        <w:tc>
          <w:tcPr>
            <w:tcW w:w="2835"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51B56D0D"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Flexible, risk-based, enhances detection and recovery</w:t>
            </w:r>
          </w:p>
        </w:tc>
        <w:tc>
          <w:tcPr>
            <w:tcW w:w="273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38256D94" w14:textId="77777777" w:rsidR="008C5023" w:rsidRPr="00D32600" w:rsidRDefault="008C5023" w:rsidP="00D32600">
            <w:pPr>
              <w:spacing w:line="276" w:lineRule="auto"/>
              <w:rPr>
                <w:rFonts w:ascii="Times New Roman" w:hAnsi="Times New Roman" w:cs="Times New Roman"/>
              </w:rPr>
            </w:pPr>
            <w:r w:rsidRPr="00D32600">
              <w:rPr>
                <w:rFonts w:ascii="Times New Roman" w:hAnsi="Times New Roman" w:cs="Times New Roman"/>
              </w:rPr>
              <w:t>Non-certifiable, high reliance on self-assessment</w:t>
            </w:r>
          </w:p>
        </w:tc>
      </w:tr>
      <w:tr w:rsidR="008C5023" w:rsidRPr="00D32600" w14:paraId="7F810393" w14:textId="77777777" w:rsidTr="008C5023">
        <w:trPr>
          <w:trHeight w:val="1125"/>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350ADD3D"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ITIL</w:t>
            </w:r>
          </w:p>
        </w:tc>
        <w:tc>
          <w:tcPr>
            <w:tcW w:w="204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7CD63D1B"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IT Service Management</w:t>
            </w:r>
          </w:p>
        </w:tc>
        <w:tc>
          <w:tcPr>
            <w:tcW w:w="2835"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41F32DBE"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Improves operational efficiency and service continuity</w:t>
            </w:r>
          </w:p>
        </w:tc>
        <w:tc>
          <w:tcPr>
            <w:tcW w:w="273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292EB275" w14:textId="77777777" w:rsidR="008C5023" w:rsidRPr="00D32600" w:rsidRDefault="008C5023" w:rsidP="00D32600">
            <w:pPr>
              <w:spacing w:line="276" w:lineRule="auto"/>
              <w:rPr>
                <w:rFonts w:ascii="Times New Roman" w:hAnsi="Times New Roman" w:cs="Times New Roman"/>
              </w:rPr>
            </w:pPr>
            <w:r w:rsidRPr="00D32600">
              <w:rPr>
                <w:rFonts w:ascii="Times New Roman" w:hAnsi="Times New Roman" w:cs="Times New Roman"/>
              </w:rPr>
              <w:t>Limited coverage of strategic governance</w:t>
            </w:r>
          </w:p>
        </w:tc>
      </w:tr>
      <w:tr w:rsidR="008C5023" w:rsidRPr="00D32600" w14:paraId="5544BEB2" w14:textId="77777777" w:rsidTr="008C5023">
        <w:trPr>
          <w:trHeight w:val="1580"/>
          <w:jc w:val="center"/>
        </w:trPr>
        <w:tc>
          <w:tcPr>
            <w:tcW w:w="1410" w:type="dxa"/>
            <w:tcBorders>
              <w:top w:val="single" w:sz="8" w:space="0" w:color="000000"/>
              <w:left w:val="single" w:sz="8" w:space="0" w:color="000000"/>
              <w:bottom w:val="single" w:sz="8" w:space="0" w:color="000000"/>
              <w:right w:val="single" w:sz="8" w:space="0" w:color="000000"/>
            </w:tcBorders>
            <w:shd w:val="clear" w:color="auto" w:fill="C1E4F5" w:themeFill="accent1" w:themeFillTint="33"/>
            <w:tcMar>
              <w:top w:w="100" w:type="dxa"/>
              <w:left w:w="100" w:type="dxa"/>
              <w:bottom w:w="100" w:type="dxa"/>
              <w:right w:w="100" w:type="dxa"/>
            </w:tcMar>
          </w:tcPr>
          <w:p w14:paraId="13730CC6" w14:textId="77777777" w:rsidR="008C5023" w:rsidRPr="00B935C3" w:rsidRDefault="008C5023" w:rsidP="00D32600">
            <w:pPr>
              <w:spacing w:line="276" w:lineRule="auto"/>
              <w:jc w:val="center"/>
              <w:rPr>
                <w:rFonts w:ascii="Times New Roman" w:hAnsi="Times New Roman" w:cs="Times New Roman"/>
                <w:b/>
                <w:bCs/>
                <w:sz w:val="24"/>
                <w:szCs w:val="24"/>
              </w:rPr>
            </w:pPr>
            <w:r w:rsidRPr="00B935C3">
              <w:rPr>
                <w:rFonts w:ascii="Times New Roman" w:hAnsi="Times New Roman" w:cs="Times New Roman"/>
                <w:b/>
                <w:bCs/>
                <w:sz w:val="24"/>
                <w:szCs w:val="24"/>
              </w:rPr>
              <w:t>COBIT</w:t>
            </w:r>
          </w:p>
        </w:tc>
        <w:tc>
          <w:tcPr>
            <w:tcW w:w="204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3FBDD0D6"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IT Governance and Control</w:t>
            </w:r>
          </w:p>
        </w:tc>
        <w:tc>
          <w:tcPr>
            <w:tcW w:w="2835"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70017177" w14:textId="77777777" w:rsidR="008C5023" w:rsidRPr="00B935C3" w:rsidRDefault="008C5023" w:rsidP="00D32600">
            <w:pPr>
              <w:spacing w:line="276" w:lineRule="auto"/>
              <w:rPr>
                <w:rFonts w:ascii="Times New Roman" w:hAnsi="Times New Roman" w:cs="Times New Roman"/>
                <w:sz w:val="24"/>
                <w:szCs w:val="24"/>
              </w:rPr>
            </w:pPr>
            <w:r w:rsidRPr="00B935C3">
              <w:rPr>
                <w:rFonts w:ascii="Times New Roman" w:hAnsi="Times New Roman" w:cs="Times New Roman"/>
                <w:sz w:val="24"/>
                <w:szCs w:val="24"/>
              </w:rPr>
              <w:t>Strategic alignment, performance monitoring, and accountability</w:t>
            </w:r>
          </w:p>
        </w:tc>
        <w:tc>
          <w:tcPr>
            <w:tcW w:w="2730" w:type="dxa"/>
            <w:tcBorders>
              <w:top w:val="single" w:sz="8" w:space="0" w:color="000000"/>
              <w:left w:val="single" w:sz="8" w:space="0" w:color="000000"/>
              <w:bottom w:val="single" w:sz="8" w:space="0" w:color="000000"/>
              <w:right w:val="single" w:sz="8" w:space="0" w:color="000000"/>
            </w:tcBorders>
            <w:shd w:val="clear" w:color="auto" w:fill="D1D1D1" w:themeFill="background2" w:themeFillShade="E6"/>
            <w:tcMar>
              <w:top w:w="100" w:type="dxa"/>
              <w:left w:w="100" w:type="dxa"/>
              <w:bottom w:w="100" w:type="dxa"/>
              <w:right w:w="100" w:type="dxa"/>
            </w:tcMar>
          </w:tcPr>
          <w:p w14:paraId="026AC644" w14:textId="77777777" w:rsidR="008C5023" w:rsidRPr="00D32600" w:rsidRDefault="008C5023" w:rsidP="00D32600">
            <w:pPr>
              <w:spacing w:line="276" w:lineRule="auto"/>
              <w:rPr>
                <w:rFonts w:ascii="Times New Roman" w:hAnsi="Times New Roman" w:cs="Times New Roman"/>
              </w:rPr>
            </w:pPr>
            <w:r w:rsidRPr="00D32600">
              <w:rPr>
                <w:rFonts w:ascii="Times New Roman" w:hAnsi="Times New Roman" w:cs="Times New Roman"/>
              </w:rPr>
              <w:t>A complex structure requires extensive maturity</w:t>
            </w:r>
          </w:p>
        </w:tc>
      </w:tr>
    </w:tbl>
    <w:p w14:paraId="5D08C308" w14:textId="409CCF34" w:rsidR="004E21B4" w:rsidRPr="00D32600" w:rsidRDefault="00F14F53" w:rsidP="00D32600">
      <w:pPr>
        <w:spacing w:line="276" w:lineRule="auto"/>
        <w:jc w:val="center"/>
        <w:rPr>
          <w:rFonts w:ascii="Times New Roman" w:hAnsi="Times New Roman" w:cs="Times New Roman"/>
          <w:sz w:val="36"/>
          <w:szCs w:val="36"/>
        </w:rPr>
      </w:pPr>
      <w:r w:rsidRPr="00D32600">
        <w:rPr>
          <w:rFonts w:ascii="Times New Roman" w:hAnsi="Times New Roman" w:cs="Times New Roman"/>
          <w:b/>
          <w:bCs/>
          <w:sz w:val="24"/>
          <w:szCs w:val="24"/>
        </w:rPr>
        <w:t>Table 2: Comparison table</w:t>
      </w:r>
    </w:p>
    <w:p w14:paraId="51B43382" w14:textId="77777777" w:rsidR="004E21B4" w:rsidRDefault="004E21B4" w:rsidP="00D3260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When ISO compliance, NIST flexibility, ITIL operational orientation, and COBIT governance are properly integrated. NatureGreen can establish an effective and robust security governance system that can efficiently deal with its complex cloud and wireless threats.</w:t>
      </w:r>
    </w:p>
    <w:p w14:paraId="493BB8B4" w14:textId="77777777" w:rsidR="00D32600" w:rsidRDefault="00D32600" w:rsidP="00D32600">
      <w:pPr>
        <w:pStyle w:val="Heading1"/>
        <w:spacing w:line="276" w:lineRule="auto"/>
        <w:rPr>
          <w:rFonts w:ascii="Times New Roman" w:hAnsi="Times New Roman" w:cs="Times New Roman"/>
          <w:sz w:val="28"/>
          <w:szCs w:val="48"/>
        </w:rPr>
      </w:pPr>
      <w:r w:rsidRPr="00D32600">
        <w:rPr>
          <w:rFonts w:ascii="Times New Roman" w:hAnsi="Times New Roman" w:cs="Times New Roman"/>
          <w:sz w:val="28"/>
          <w:szCs w:val="48"/>
        </w:rPr>
        <w:t>3. Proposed Security Governance Framework for NatureGreen</w:t>
      </w:r>
    </w:p>
    <w:p w14:paraId="1F2D3FBD" w14:textId="7C617AA8" w:rsidR="004026CD" w:rsidRPr="004026CD" w:rsidRDefault="004026CD" w:rsidP="004026CD">
      <w:pPr>
        <w:jc w:val="both"/>
        <w:rPr>
          <w:rFonts w:ascii="Times New Roman" w:hAnsi="Times New Roman" w:cs="Times New Roman"/>
          <w:sz w:val="28"/>
          <w:szCs w:val="28"/>
        </w:rPr>
      </w:pPr>
      <w:r w:rsidRPr="004026CD">
        <w:rPr>
          <w:rFonts w:ascii="Times New Roman" w:hAnsi="Times New Roman" w:cs="Times New Roman"/>
          <w:sz w:val="28"/>
          <w:szCs w:val="28"/>
        </w:rPr>
        <w:t>This multilayered architecture is suitable for NatureGreen since it separates strategic governance from technical controls, thus facilitating the management of its complex environment composed of cloud services, wireless networks, and BYOD devices.</w:t>
      </w:r>
      <w:r>
        <w:rPr>
          <w:rFonts w:ascii="Times New Roman" w:hAnsi="Times New Roman" w:cs="Times New Roman"/>
          <w:sz w:val="28"/>
          <w:szCs w:val="28"/>
        </w:rPr>
        <w:t xml:space="preserve"> </w:t>
      </w:r>
      <w:r w:rsidRPr="004026CD">
        <w:rPr>
          <w:rFonts w:ascii="Times New Roman" w:hAnsi="Times New Roman" w:cs="Times New Roman"/>
          <w:sz w:val="28"/>
          <w:szCs w:val="28"/>
        </w:rPr>
        <w:t>In each of the layers, specific attention is paid to different security needs, thereby reducing the chances that a single weakness could compromise the entire organization. This structure provides stronger protection against both internal and external threats.</w:t>
      </w:r>
      <w:r>
        <w:rPr>
          <w:rFonts w:ascii="Times New Roman" w:hAnsi="Times New Roman" w:cs="Times New Roman"/>
          <w:sz w:val="28"/>
          <w:szCs w:val="28"/>
        </w:rPr>
        <w:t xml:space="preserve"> </w:t>
      </w:r>
      <w:r w:rsidRPr="004026CD">
        <w:rPr>
          <w:rFonts w:ascii="Times New Roman" w:hAnsi="Times New Roman" w:cs="Times New Roman"/>
          <w:sz w:val="28"/>
          <w:szCs w:val="28"/>
        </w:rPr>
        <w:t xml:space="preserve">The Governance and Compliance Layer </w:t>
      </w:r>
      <w:r w:rsidR="00521758" w:rsidRPr="004026CD">
        <w:rPr>
          <w:rFonts w:ascii="Times New Roman" w:hAnsi="Times New Roman" w:cs="Times New Roman"/>
          <w:sz w:val="28"/>
          <w:szCs w:val="28"/>
        </w:rPr>
        <w:t>align</w:t>
      </w:r>
      <w:r w:rsidRPr="004026CD">
        <w:rPr>
          <w:rFonts w:ascii="Times New Roman" w:hAnsi="Times New Roman" w:cs="Times New Roman"/>
          <w:sz w:val="28"/>
          <w:szCs w:val="28"/>
        </w:rPr>
        <w:t xml:space="preserve"> with ISO 27001 by providing policies, roles, risk management processes, and continuous improvement by means of the PDCA cycle.</w:t>
      </w:r>
    </w:p>
    <w:p w14:paraId="6FE1D783" w14:textId="3A1666C0" w:rsidR="004026CD" w:rsidRPr="004026CD" w:rsidRDefault="004026CD" w:rsidP="00770B63">
      <w:pPr>
        <w:jc w:val="both"/>
        <w:rPr>
          <w:rFonts w:ascii="Times New Roman" w:hAnsi="Times New Roman" w:cs="Times New Roman"/>
          <w:sz w:val="28"/>
          <w:szCs w:val="28"/>
        </w:rPr>
      </w:pPr>
      <w:r w:rsidRPr="004026CD">
        <w:rPr>
          <w:rFonts w:ascii="Times New Roman" w:hAnsi="Times New Roman" w:cs="Times New Roman"/>
          <w:sz w:val="28"/>
          <w:szCs w:val="28"/>
        </w:rPr>
        <w:t>The Security Management Layer supports the NIST CSF functions: Identify, Protect, Detect, Respond, and Recover by means of monitoring, incident response, and SOC activities.</w:t>
      </w:r>
      <w:r>
        <w:rPr>
          <w:rFonts w:ascii="Times New Roman" w:hAnsi="Times New Roman" w:cs="Times New Roman"/>
          <w:sz w:val="28"/>
          <w:szCs w:val="28"/>
        </w:rPr>
        <w:t xml:space="preserve"> </w:t>
      </w:r>
      <w:r w:rsidRPr="004026CD">
        <w:rPr>
          <w:rFonts w:ascii="Times New Roman" w:hAnsi="Times New Roman" w:cs="Times New Roman"/>
          <w:sz w:val="28"/>
          <w:szCs w:val="28"/>
        </w:rPr>
        <w:t xml:space="preserve">The User and Device Layer reflects ITIL's service-oriented approach through the assurance that user access, authentication, and device management are </w:t>
      </w:r>
      <w:r w:rsidRPr="004026CD">
        <w:rPr>
          <w:rFonts w:ascii="Times New Roman" w:hAnsi="Times New Roman" w:cs="Times New Roman"/>
          <w:sz w:val="28"/>
          <w:szCs w:val="28"/>
        </w:rPr>
        <w:lastRenderedPageBreak/>
        <w:t>done in controlled, standardized processes</w:t>
      </w:r>
      <w:r w:rsidR="00753D05">
        <w:rPr>
          <w:rFonts w:ascii="Times New Roman" w:hAnsi="Times New Roman" w:cs="Times New Roman"/>
          <w:sz w:val="28"/>
          <w:szCs w:val="28"/>
        </w:rPr>
        <w:t>[7]</w:t>
      </w:r>
      <w:r w:rsidRPr="004026CD">
        <w:rPr>
          <w:rFonts w:ascii="Times New Roman" w:hAnsi="Times New Roman" w:cs="Times New Roman"/>
          <w:sz w:val="28"/>
          <w:szCs w:val="28"/>
        </w:rPr>
        <w:t>.</w:t>
      </w:r>
      <w:r>
        <w:rPr>
          <w:rFonts w:ascii="Times New Roman" w:hAnsi="Times New Roman" w:cs="Times New Roman"/>
          <w:sz w:val="28"/>
          <w:szCs w:val="28"/>
        </w:rPr>
        <w:t xml:space="preserve"> </w:t>
      </w:r>
      <w:r w:rsidRPr="004026CD">
        <w:rPr>
          <w:rFonts w:ascii="Times New Roman" w:hAnsi="Times New Roman" w:cs="Times New Roman"/>
          <w:sz w:val="28"/>
          <w:szCs w:val="28"/>
        </w:rPr>
        <w:t>The Technical Control Layer connects to the ISO 27001 Annex A controls and NIST cloud security practices, therefore giving strong protection for network, applications, and endpoints.</w:t>
      </w:r>
      <w:r w:rsidR="00770B63">
        <w:rPr>
          <w:rFonts w:ascii="Times New Roman" w:hAnsi="Times New Roman" w:cs="Times New Roman"/>
          <w:sz w:val="28"/>
          <w:szCs w:val="28"/>
        </w:rPr>
        <w:t xml:space="preserve"> </w:t>
      </w:r>
      <w:r w:rsidRPr="004026CD">
        <w:rPr>
          <w:rFonts w:ascii="Times New Roman" w:hAnsi="Times New Roman" w:cs="Times New Roman"/>
          <w:sz w:val="28"/>
          <w:szCs w:val="28"/>
        </w:rPr>
        <w:t>Thus, by combining these layers, NatureGreen achieves a model of defence-in-depth that is critical for the protection of its intellectual property, customer data, and global digital services.</w:t>
      </w:r>
    </w:p>
    <w:p w14:paraId="1329B32D" w14:textId="77777777" w:rsidR="00D32600" w:rsidRPr="00D32600" w:rsidRDefault="00D32600" w:rsidP="00D32600">
      <w:pPr>
        <w:spacing w:line="276" w:lineRule="auto"/>
        <w:rPr>
          <w:rFonts w:ascii="Times New Roman" w:hAnsi="Times New Roman" w:cs="Times New Roman"/>
          <w:sz w:val="28"/>
          <w:szCs w:val="28"/>
        </w:rPr>
      </w:pPr>
      <w:r w:rsidRPr="00D32600">
        <w:rPr>
          <w:rFonts w:ascii="Times New Roman" w:hAnsi="Times New Roman" w:cs="Times New Roman"/>
          <w:noProof/>
          <w:sz w:val="28"/>
          <w:szCs w:val="28"/>
        </w:rPr>
        <w:drawing>
          <wp:inline distT="114300" distB="114300" distL="114300" distR="114300" wp14:anchorId="3623659C" wp14:editId="06FDE140">
            <wp:extent cx="5010150" cy="2692400"/>
            <wp:effectExtent l="19050" t="19050" r="19050" b="12700"/>
            <wp:docPr id="149061853" name="image2.png" descr="A diagram of a software system&#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diagram of a software system&#10;&#10;AI-generated content may be incorrect."/>
                    <pic:cNvPicPr preferRelativeResize="0"/>
                  </pic:nvPicPr>
                  <pic:blipFill>
                    <a:blip r:embed="rId11"/>
                    <a:srcRect/>
                    <a:stretch>
                      <a:fillRect/>
                    </a:stretch>
                  </pic:blipFill>
                  <pic:spPr>
                    <a:xfrm>
                      <a:off x="0" y="0"/>
                      <a:ext cx="5090412" cy="2735532"/>
                    </a:xfrm>
                    <a:prstGeom prst="rect">
                      <a:avLst/>
                    </a:prstGeom>
                    <a:ln w="12700">
                      <a:solidFill>
                        <a:srgbClr val="000000"/>
                      </a:solidFill>
                      <a:prstDash val="solid"/>
                    </a:ln>
                  </pic:spPr>
                </pic:pic>
              </a:graphicData>
            </a:graphic>
          </wp:inline>
        </w:drawing>
      </w:r>
    </w:p>
    <w:p w14:paraId="2B3BE834" w14:textId="77777777" w:rsidR="00D32600" w:rsidRDefault="00D32600" w:rsidP="006E1F0B">
      <w:pPr>
        <w:spacing w:line="276" w:lineRule="auto"/>
        <w:rPr>
          <w:rFonts w:ascii="Times New Roman" w:hAnsi="Times New Roman" w:cs="Times New Roman"/>
          <w:b/>
          <w:bCs/>
          <w:sz w:val="24"/>
          <w:szCs w:val="24"/>
        </w:rPr>
      </w:pPr>
      <w:r w:rsidRPr="00D32600">
        <w:rPr>
          <w:rFonts w:ascii="Times New Roman" w:hAnsi="Times New Roman" w:cs="Times New Roman"/>
          <w:b/>
          <w:bCs/>
          <w:sz w:val="24"/>
          <w:szCs w:val="24"/>
        </w:rPr>
        <w:t xml:space="preserve">Figure 3: Architecture diagram of Information Security &amp; Governance of NatureGreen </w:t>
      </w:r>
    </w:p>
    <w:p w14:paraId="42DBDA2C" w14:textId="77777777" w:rsidR="006E1F0B" w:rsidRDefault="006E1F0B"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The Information Security and Governance Architecture of NatureGreen (NG) presented is crafted as a multi-layered </w:t>
      </w:r>
      <w:r w:rsidRPr="00D32600">
        <w:rPr>
          <w:rFonts w:ascii="Times New Roman" w:hAnsi="Times New Roman" w:cs="Times New Roman"/>
          <w:sz w:val="32"/>
          <w:szCs w:val="32"/>
        </w:rPr>
        <w:t xml:space="preserve">structure to </w:t>
      </w:r>
      <w:r w:rsidRPr="00D32600">
        <w:rPr>
          <w:rFonts w:ascii="Times New Roman" w:hAnsi="Times New Roman" w:cs="Times New Roman"/>
          <w:sz w:val="28"/>
          <w:szCs w:val="28"/>
        </w:rPr>
        <w:t>create a resilient yet structured and policy-based security environment. This architecture aligns the strategic oversight with the technical implementation to safeguard NG data, assets, and intellectual property. It has five related layers: Technical Control, User and Device, Data and Asset Protection, Security Management and Governance, and Compliance. These layers in combination create a holistic ecosystem to enable proactive risk management, regulatory compliance, and overall cybersecurity governance improvement.</w:t>
      </w:r>
    </w:p>
    <w:p w14:paraId="539C1C6A" w14:textId="77777777" w:rsidR="001E11EF" w:rsidRDefault="001E11EF" w:rsidP="001E11EF">
      <w:pPr>
        <w:spacing w:line="276" w:lineRule="auto"/>
        <w:jc w:val="both"/>
        <w:rPr>
          <w:rFonts w:ascii="Times New Roman" w:hAnsi="Times New Roman" w:cs="Times New Roman"/>
          <w:sz w:val="28"/>
          <w:szCs w:val="28"/>
        </w:rPr>
      </w:pPr>
    </w:p>
    <w:p w14:paraId="1A4D4D6D" w14:textId="77777777" w:rsidR="00770B63" w:rsidRDefault="00770B63" w:rsidP="001E11EF">
      <w:pPr>
        <w:spacing w:line="276" w:lineRule="auto"/>
        <w:rPr>
          <w:rFonts w:ascii="Times New Roman" w:hAnsi="Times New Roman" w:cs="Times New Roman"/>
          <w:b/>
          <w:bCs/>
          <w:sz w:val="28"/>
          <w:szCs w:val="28"/>
        </w:rPr>
      </w:pPr>
    </w:p>
    <w:p w14:paraId="6EC46CD9" w14:textId="77777777" w:rsidR="00770B63" w:rsidRDefault="00770B63" w:rsidP="001E11EF">
      <w:pPr>
        <w:spacing w:line="276" w:lineRule="auto"/>
        <w:rPr>
          <w:rFonts w:ascii="Times New Roman" w:hAnsi="Times New Roman" w:cs="Times New Roman"/>
          <w:b/>
          <w:bCs/>
          <w:sz w:val="28"/>
          <w:szCs w:val="28"/>
        </w:rPr>
      </w:pPr>
    </w:p>
    <w:p w14:paraId="26FAFB3B" w14:textId="229FFD48"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lastRenderedPageBreak/>
        <w:t>Technical Control Layer:</w:t>
      </w:r>
    </w:p>
    <w:p w14:paraId="5315EC33" w14:textId="6E01D6F3" w:rsidR="001E11EF" w:rsidRPr="00D32600" w:rsidRDefault="001E11EF" w:rsidP="007179F7">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nature of the information security architecture of NatureGreen (NG) is based on the Technical Control Layer, which is the central unit of operation for implementing and enforcing security control in all systems. This layer carries out a real-time defence mechanism, which helps the organization to guard against cyber threats. It has several elements in it, including network security controls, firewalls, intrusion detection and prevention systems (IDS/IPS), and network segmentation to avoid unauthorized access. Cloud security is aimed at protecting cloud-based resources via secure configurations, access controls, and vulnerability testing [10]. End-point security guards protect the user devices, such as laptops, mobile phones with antivirus, endpoint detection and response (EDR), and host-based firewalls. This application security is the addition of protection in the software development life cycle through secure code and web application firewalls.</w:t>
      </w:r>
    </w:p>
    <w:p w14:paraId="0B134070" w14:textId="77777777"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User and Device Layer:</w:t>
      </w:r>
    </w:p>
    <w:p w14:paraId="7C9BCF57" w14:textId="77777777"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User and Device Layer is an interface mostly used between people and the information systems of NatureGreen. Being the most frequently targeted of cyber-attacks, this layer requires a strong security control, especially following the “Bring-Your-Own-Device (BYOD)” policy of the company. It includes both the staff and customer</w:t>
      </w:r>
      <w:r w:rsidRPr="00D32600">
        <w:rPr>
          <w:rFonts w:ascii="Times New Roman" w:hAnsi="Times New Roman" w:cs="Times New Roman"/>
        </w:rPr>
        <w:t xml:space="preserve"> </w:t>
      </w:r>
      <w:r w:rsidRPr="00D32600">
        <w:rPr>
          <w:rFonts w:ascii="Times New Roman" w:hAnsi="Times New Roman" w:cs="Times New Roman"/>
          <w:sz w:val="28"/>
          <w:szCs w:val="28"/>
        </w:rPr>
        <w:t>equipment, personal and corporate, which are connected to the organization's network. This must be intensively controlled by means of access, devices, and data segregation [11]. Constant configuration standards, mobile device management (MDM), and advanced endpoint protection are used to lock up laptops and mobile devices. Also, web applications serve as major points of entry to employees and customers and should require intensive authentication and session maintenance standards. The operations of the layer rely on the Technical Control Layer with efficient access and encryption, and the Data and Asset Protection Layer with compliance and approved data interaction.</w:t>
      </w:r>
    </w:p>
    <w:p w14:paraId="21C63003" w14:textId="318445DD"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Data and Asset Protection Layer:</w:t>
      </w:r>
    </w:p>
    <w:p w14:paraId="4B2CAC12" w14:textId="45CA0EE9"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Data and Asset Protection Layer is the key pivot of the Information Security and Governance Architecture of NatureGreen that works on protecting the critical data and intellectual property of the organization. It could be </w:t>
      </w:r>
      <w:r w:rsidR="00521758" w:rsidRPr="00D32600">
        <w:rPr>
          <w:rFonts w:ascii="Times New Roman" w:hAnsi="Times New Roman" w:cs="Times New Roman"/>
          <w:sz w:val="28"/>
          <w:szCs w:val="28"/>
        </w:rPr>
        <w:t>making</w:t>
      </w:r>
      <w:r w:rsidRPr="00D32600">
        <w:rPr>
          <w:rFonts w:ascii="Times New Roman" w:hAnsi="Times New Roman" w:cs="Times New Roman"/>
          <w:sz w:val="28"/>
          <w:szCs w:val="28"/>
        </w:rPr>
        <w:t xml:space="preserve"> a certain confidentiality, integrity, and availability principles could be maintained </w:t>
      </w:r>
      <w:r w:rsidRPr="00D32600">
        <w:rPr>
          <w:rFonts w:ascii="Times New Roman" w:hAnsi="Times New Roman" w:cs="Times New Roman"/>
          <w:sz w:val="28"/>
          <w:szCs w:val="28"/>
        </w:rPr>
        <w:lastRenderedPageBreak/>
        <w:t>periodically across all the information assets and storage environments. Such a layer has embedded advanced encryption to guarantee the security of data in transit and rest to forestall the illicit access or data leakage [12]. It makes use of Role-Based Access Control (RBAC) as well in that the authorized personnel can merely access or enter sensitive information. To get additional protection of the intellectual property, the layer uses Data Loss Prevention (DLP) and Digital Rights Management (DRM) systems to track, limit and manage the usage of the data. This layer works together with the Technical Control Layer about the application of encryption, and anomalies or attacks reporting</w:t>
      </w:r>
      <w:r w:rsidR="0014016A">
        <w:rPr>
          <w:rFonts w:ascii="Times New Roman" w:hAnsi="Times New Roman" w:cs="Times New Roman"/>
          <w:sz w:val="28"/>
          <w:szCs w:val="28"/>
        </w:rPr>
        <w:t>[11]</w:t>
      </w:r>
      <w:r w:rsidRPr="00D32600">
        <w:rPr>
          <w:rFonts w:ascii="Times New Roman" w:hAnsi="Times New Roman" w:cs="Times New Roman"/>
          <w:sz w:val="28"/>
          <w:szCs w:val="28"/>
        </w:rPr>
        <w:t>.</w:t>
      </w:r>
    </w:p>
    <w:p w14:paraId="0BD210BC" w14:textId="77777777" w:rsidR="001E11EF" w:rsidRPr="00D32600" w:rsidRDefault="001E11EF" w:rsidP="001E11EF">
      <w:pPr>
        <w:spacing w:line="276" w:lineRule="auto"/>
        <w:rPr>
          <w:rFonts w:ascii="Times New Roman" w:hAnsi="Times New Roman" w:cs="Times New Roman"/>
          <w:sz w:val="28"/>
          <w:szCs w:val="28"/>
        </w:rPr>
      </w:pPr>
      <w:r w:rsidRPr="00D32600">
        <w:rPr>
          <w:rFonts w:ascii="Times New Roman" w:hAnsi="Times New Roman" w:cs="Times New Roman"/>
          <w:b/>
          <w:bCs/>
          <w:sz w:val="28"/>
          <w:szCs w:val="28"/>
        </w:rPr>
        <w:t>Security Management Layer:</w:t>
      </w:r>
    </w:p>
    <w:p w14:paraId="14D8C488" w14:textId="16DA9E1B"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Security Management Layer is the main working and analysis centre of the information security of NatureGreen. It manages daily security activities, check</w:t>
      </w:r>
      <w:r w:rsidRPr="00D32600">
        <w:rPr>
          <w:rFonts w:ascii="Times New Roman" w:hAnsi="Times New Roman" w:cs="Times New Roman"/>
        </w:rPr>
        <w:t xml:space="preserve"> </w:t>
      </w:r>
      <w:r w:rsidRPr="00D32600">
        <w:rPr>
          <w:rFonts w:ascii="Times New Roman" w:hAnsi="Times New Roman" w:cs="Times New Roman"/>
          <w:sz w:val="28"/>
          <w:szCs w:val="28"/>
        </w:rPr>
        <w:t>organizational risks and remain within due time in reacting to occurrences with a perspective of maintaining integrity in the system. The “Security Operations Centre (SOC)” is not an exception, and it is one of the large seamless components in this layer to keep a track and detect any threats. “Access and Identity Management” to regulate the procedure of authentication and authorization by the means of minimum of privilege provisions</w:t>
      </w:r>
      <w:r w:rsidR="00E54551">
        <w:rPr>
          <w:rFonts w:ascii="Times New Roman" w:hAnsi="Times New Roman" w:cs="Times New Roman"/>
          <w:sz w:val="28"/>
          <w:szCs w:val="28"/>
        </w:rPr>
        <w:t>[10]</w:t>
      </w:r>
      <w:r w:rsidRPr="00D32600">
        <w:rPr>
          <w:rFonts w:ascii="Times New Roman" w:hAnsi="Times New Roman" w:cs="Times New Roman"/>
          <w:sz w:val="28"/>
          <w:szCs w:val="28"/>
        </w:rPr>
        <w:t>. It also involves risk management initiatives to detect, analyse and suppress all the areas of weaknesses. Well-planned incident response systems also help it by allowing it to contain and recover within the shortest time possible in the case of cyber-attacks. Besides this, security awareness and training programmes will always be available which they practice in instilling a culture of vigilance in the employees. The layer shares the data of the Technical Control Layer with the Governance and Compliance Layer concerning compliance and risk performance.</w:t>
      </w:r>
    </w:p>
    <w:p w14:paraId="5AF84CC7" w14:textId="77777777" w:rsidR="001E11EF" w:rsidRPr="00D32600" w:rsidRDefault="001E11EF" w:rsidP="001E11EF">
      <w:pPr>
        <w:spacing w:line="276" w:lineRule="auto"/>
        <w:rPr>
          <w:rFonts w:ascii="Times New Roman" w:hAnsi="Times New Roman" w:cs="Times New Roman"/>
          <w:sz w:val="28"/>
          <w:szCs w:val="28"/>
        </w:rPr>
      </w:pPr>
    </w:p>
    <w:p w14:paraId="02A6510D" w14:textId="77777777"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Governance and Compliance Layer:</w:t>
      </w:r>
    </w:p>
    <w:p w14:paraId="418022A2" w14:textId="48E716DE" w:rsidR="001E11EF" w:rsidRPr="00D32600" w:rsidRDefault="001E11EF" w:rsidP="001E11EF">
      <w:pPr>
        <w:spacing w:line="276" w:lineRule="auto"/>
        <w:jc w:val="both"/>
        <w:rPr>
          <w:rFonts w:ascii="Times New Roman" w:hAnsi="Times New Roman" w:cs="Times New Roman"/>
          <w:bCs/>
          <w:iCs/>
          <w:sz w:val="28"/>
          <w:szCs w:val="28"/>
        </w:rPr>
      </w:pPr>
      <w:r w:rsidRPr="00D32600">
        <w:rPr>
          <w:rFonts w:ascii="Times New Roman" w:hAnsi="Times New Roman" w:cs="Times New Roman"/>
          <w:bCs/>
          <w:iCs/>
          <w:sz w:val="28"/>
          <w:szCs w:val="28"/>
        </w:rPr>
        <w:t xml:space="preserve">The highest layer of the information security framework of NatureGreen is the Governance and Compliance Layer. It offers a strategic path, policymaking, and international standards and other legal adherence. The “Chief Information Security Officer (CISO)” and the Compliance Board, who are the two executives who handle security programs and regulatory compliance, manage this layer. It describes key </w:t>
      </w:r>
      <w:r w:rsidRPr="00D32600">
        <w:rPr>
          <w:rFonts w:ascii="Times New Roman" w:hAnsi="Times New Roman" w:cs="Times New Roman"/>
          <w:bCs/>
          <w:iCs/>
          <w:sz w:val="28"/>
          <w:szCs w:val="28"/>
        </w:rPr>
        <w:lastRenderedPageBreak/>
        <w:t>organizational policy and procedure, including Acceptable Use, Data Classification and BYOD policy promoting accountability and security awareness [13]. The important aspect on this layer is the conformity to ISO/IEC 27001, which provides a systematic “Information Security Management System (ISMS)” to regulate risks, administration, and constant enhancement</w:t>
      </w:r>
      <w:r w:rsidR="007179F7">
        <w:rPr>
          <w:rFonts w:ascii="Times New Roman" w:hAnsi="Times New Roman" w:cs="Times New Roman"/>
          <w:bCs/>
          <w:iCs/>
          <w:sz w:val="28"/>
          <w:szCs w:val="28"/>
        </w:rPr>
        <w:t>[1]</w:t>
      </w:r>
      <w:r w:rsidRPr="00D32600">
        <w:rPr>
          <w:rFonts w:ascii="Times New Roman" w:hAnsi="Times New Roman" w:cs="Times New Roman"/>
          <w:bCs/>
          <w:iCs/>
          <w:sz w:val="28"/>
          <w:szCs w:val="28"/>
        </w:rPr>
        <w:t>. Besides, the legislation of GDPR and other Data Protection Acts</w:t>
      </w:r>
      <w:r w:rsidRPr="00D32600">
        <w:rPr>
          <w:rFonts w:ascii="Times New Roman" w:hAnsi="Times New Roman" w:cs="Times New Roman"/>
          <w:bCs/>
          <w:iCs/>
          <w:sz w:val="32"/>
          <w:szCs w:val="32"/>
        </w:rPr>
        <w:t xml:space="preserve"> </w:t>
      </w:r>
      <w:r w:rsidRPr="00D32600">
        <w:rPr>
          <w:rFonts w:ascii="Times New Roman" w:hAnsi="Times New Roman" w:cs="Times New Roman"/>
          <w:bCs/>
          <w:iCs/>
          <w:sz w:val="28"/>
          <w:szCs w:val="28"/>
        </w:rPr>
        <w:t>implies that all personal and customer data should be legally processed, reasonably and openly.</w:t>
      </w:r>
    </w:p>
    <w:p w14:paraId="6BBD828F" w14:textId="77777777" w:rsidR="001E11EF" w:rsidRPr="00D32600" w:rsidRDefault="001E11EF" w:rsidP="001E11EF">
      <w:pPr>
        <w:pStyle w:val="Heading1"/>
        <w:spacing w:line="276" w:lineRule="auto"/>
        <w:rPr>
          <w:rFonts w:ascii="Times New Roman" w:hAnsi="Times New Roman" w:cs="Times New Roman"/>
          <w:sz w:val="28"/>
          <w:szCs w:val="44"/>
        </w:rPr>
      </w:pPr>
      <w:r w:rsidRPr="00D32600">
        <w:rPr>
          <w:rFonts w:ascii="Times New Roman" w:hAnsi="Times New Roman" w:cs="Times New Roman"/>
          <w:sz w:val="28"/>
          <w:szCs w:val="44"/>
        </w:rPr>
        <w:t>4. Critical Discussion of Regulations and Standards</w:t>
      </w:r>
    </w:p>
    <w:p w14:paraId="60469365" w14:textId="77777777" w:rsidR="001E11EF" w:rsidRPr="00D32600" w:rsidRDefault="001E11EF" w:rsidP="001E11EF">
      <w:pPr>
        <w:pStyle w:val="Heading2"/>
        <w:spacing w:line="276" w:lineRule="auto"/>
        <w:rPr>
          <w:rFonts w:ascii="Times New Roman" w:hAnsi="Times New Roman" w:cs="Times New Roman"/>
          <w:szCs w:val="36"/>
        </w:rPr>
      </w:pPr>
      <w:r w:rsidRPr="00D32600">
        <w:rPr>
          <w:rFonts w:ascii="Times New Roman" w:hAnsi="Times New Roman" w:cs="Times New Roman"/>
          <w:szCs w:val="36"/>
        </w:rPr>
        <w:t xml:space="preserve">4.1 Dynamic Nature of Cyber Threats </w:t>
      </w:r>
    </w:p>
    <w:p w14:paraId="0E9175D1" w14:textId="516C2E09"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There is a rapid development of the cyber threat environment and advanced attacks such as ransomware, phishing, and zero-day attacks, affecting organizations of any size. Automation, artificial intelligence, and social engineering are using which threat actors now bypass traditional defences and make the old and non-evolving policies ineffective. In the case of a digitally prone business such as NatureGreen that is based on cloud service and wireless networks, the lack of updated security standards leaves important vulnerabilities [</w:t>
      </w:r>
      <w:r w:rsidR="00260F4F">
        <w:rPr>
          <w:rFonts w:ascii="Times New Roman" w:hAnsi="Times New Roman" w:cs="Times New Roman"/>
          <w:sz w:val="28"/>
          <w:szCs w:val="28"/>
        </w:rPr>
        <w:t>9</w:t>
      </w:r>
      <w:r w:rsidRPr="00D32600">
        <w:rPr>
          <w:rFonts w:ascii="Times New Roman" w:hAnsi="Times New Roman" w:cs="Times New Roman"/>
          <w:sz w:val="28"/>
          <w:szCs w:val="28"/>
        </w:rPr>
        <w:t>]. The presence of static structures does not respond to new threats or changes in attacker methods, which can cause a possible data leak and a loss in the functioning. Restricting actions and internal policies to be frequently updated make defence mechanisms proactive instead of reactive. Thus, cybersecurity standards should be constantly adapted to protect information assets in a constantly evolving digital ecosystem.</w:t>
      </w:r>
    </w:p>
    <w:p w14:paraId="7D618A85" w14:textId="77777777" w:rsidR="001E11EF" w:rsidRPr="00D32600" w:rsidRDefault="001E11EF" w:rsidP="001E11EF">
      <w:pPr>
        <w:pStyle w:val="Heading2"/>
        <w:spacing w:line="276" w:lineRule="auto"/>
        <w:rPr>
          <w:rFonts w:ascii="Times New Roman" w:hAnsi="Times New Roman" w:cs="Times New Roman"/>
          <w:szCs w:val="36"/>
        </w:rPr>
      </w:pPr>
      <w:r w:rsidRPr="00D32600">
        <w:rPr>
          <w:rFonts w:ascii="Times New Roman" w:hAnsi="Times New Roman" w:cs="Times New Roman"/>
          <w:szCs w:val="36"/>
        </w:rPr>
        <w:t xml:space="preserve">4.2 Regulatory Evolution and Compliance Pressure </w:t>
      </w:r>
    </w:p>
    <w:p w14:paraId="220C07FB" w14:textId="77777777"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ongoing development of data protection legislation and protection criteria is an indicator of the necessity of organizations to stay in the realm of a shifting legal and ethical environment. Models like the ISO 27001 update (2022), the NIST Cybersecurity Framework update (2018), and the ITIL version 4 are task forces oriented on the current risks of the digital era. Similarly, GDPR and the UK Data Protection Act 2018 have very high requirements of personal data processing, consent, and responsibility [15]. NatureGreen, which is in the business of operating in various jurisdictions, must</w:t>
      </w:r>
      <w:r w:rsidRPr="00D32600">
        <w:rPr>
          <w:rFonts w:ascii="Times New Roman" w:hAnsi="Times New Roman" w:cs="Times New Roman"/>
          <w:sz w:val="24"/>
          <w:szCs w:val="24"/>
        </w:rPr>
        <w:t xml:space="preserve"> </w:t>
      </w:r>
      <w:r w:rsidRPr="00D32600">
        <w:rPr>
          <w:rFonts w:ascii="Times New Roman" w:hAnsi="Times New Roman" w:cs="Times New Roman"/>
          <w:sz w:val="28"/>
          <w:szCs w:val="28"/>
        </w:rPr>
        <w:t xml:space="preserve">follow legal and ethical principles touching on the customer and employee data stored in the cloud to build trust among the stakeholders. The goal of NatureGreen is to improve its governance practices to </w:t>
      </w:r>
      <w:r w:rsidRPr="00D32600">
        <w:rPr>
          <w:rFonts w:ascii="Times New Roman" w:hAnsi="Times New Roman" w:cs="Times New Roman"/>
          <w:sz w:val="28"/>
          <w:szCs w:val="28"/>
        </w:rPr>
        <w:lastRenderedPageBreak/>
        <w:t>address the new regulations, which are likely to foster transparency, enhance the privacy of its data, and reinforce its reputation.</w:t>
      </w:r>
    </w:p>
    <w:p w14:paraId="429ADECE" w14:textId="77777777" w:rsidR="001E11EF" w:rsidRPr="00D32600" w:rsidRDefault="001E11EF" w:rsidP="001E11EF">
      <w:pPr>
        <w:pStyle w:val="Heading2"/>
        <w:spacing w:line="276" w:lineRule="auto"/>
        <w:rPr>
          <w:rFonts w:ascii="Times New Roman" w:hAnsi="Times New Roman" w:cs="Times New Roman"/>
          <w:szCs w:val="36"/>
        </w:rPr>
      </w:pPr>
      <w:r w:rsidRPr="00D32600">
        <w:rPr>
          <w:rFonts w:ascii="Times New Roman" w:hAnsi="Times New Roman" w:cs="Times New Roman"/>
          <w:szCs w:val="36"/>
        </w:rPr>
        <w:t>4.3 Business Continuity and Reputation Management</w:t>
      </w:r>
    </w:p>
    <w:p w14:paraId="4A626EA2" w14:textId="7B5DC10B" w:rsidR="001E11EF" w:rsidRPr="00D32600" w:rsidRDefault="001E11EF" w:rsidP="001E11EF">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presence of old security standards and the insufficiency of new regulations could greatly endanger the continuity of business and the reputation of corporations. Organizations that lag in altering their controls are reporting augmented risks of breach, loss of money, and downtime. The Equifax data breach and the Colonial Pipeline ransomware are examples of the serious outcomes of the lack of compliance and risk management [1</w:t>
      </w:r>
      <w:r w:rsidR="0073743E">
        <w:rPr>
          <w:rFonts w:ascii="Times New Roman" w:hAnsi="Times New Roman" w:cs="Times New Roman"/>
          <w:sz w:val="28"/>
          <w:szCs w:val="28"/>
        </w:rPr>
        <w:t>2</w:t>
      </w:r>
      <w:r w:rsidRPr="00D32600">
        <w:rPr>
          <w:rFonts w:ascii="Times New Roman" w:hAnsi="Times New Roman" w:cs="Times New Roman"/>
          <w:sz w:val="28"/>
          <w:szCs w:val="28"/>
        </w:rPr>
        <w:t>]. In the case of NatureGreen, whose success be anchored on trust and health-centred products, it is important to avoid interruptions in the way services are rendered and the protection of customer data. In addition, the approach of complying with the international regulations regularly demonstrate accountability to the regulators, associates, and customers. Lastly, a security policy revised frequently is important to protect the image of NatureGreen, in addition to the long-term sustainability of the business in the diversity of upcoming cyber threats.</w:t>
      </w:r>
    </w:p>
    <w:p w14:paraId="3D3B28F9" w14:textId="77777777" w:rsidR="001E11EF" w:rsidRPr="00D32600" w:rsidRDefault="001E11EF" w:rsidP="001E11EF">
      <w:pPr>
        <w:pStyle w:val="Heading2"/>
        <w:spacing w:line="276" w:lineRule="auto"/>
        <w:rPr>
          <w:rFonts w:ascii="Times New Roman" w:hAnsi="Times New Roman" w:cs="Times New Roman"/>
          <w:szCs w:val="36"/>
        </w:rPr>
      </w:pPr>
      <w:r w:rsidRPr="00D32600">
        <w:rPr>
          <w:rFonts w:ascii="Times New Roman" w:hAnsi="Times New Roman" w:cs="Times New Roman"/>
          <w:szCs w:val="36"/>
        </w:rPr>
        <w:t xml:space="preserve">4.4 Continuous Improvement Philosophy </w:t>
      </w:r>
    </w:p>
    <w:p w14:paraId="219FB66B" w14:textId="5CF401A9" w:rsidR="001E11EF" w:rsidRPr="00D32600" w:rsidRDefault="001E11EF" w:rsidP="00150CA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The concept of continuous improvement also applies in information security governance. The Plan -Plan-Do-Check-Act (PDCA) cycle that occurs within the standards like ISO 27001 is intended to trigger the constant progress of the security processes, and the Service Improvement Plan (SIP) proposed by the ITIL is expected to trigger the constant evaluation and optimization of the IT services</w:t>
      </w:r>
      <w:r w:rsidR="006F6AE4">
        <w:rPr>
          <w:rFonts w:ascii="Times New Roman" w:hAnsi="Times New Roman" w:cs="Times New Roman"/>
          <w:sz w:val="28"/>
          <w:szCs w:val="28"/>
        </w:rPr>
        <w:t>[</w:t>
      </w:r>
      <w:r w:rsidR="002E47BD">
        <w:rPr>
          <w:rFonts w:ascii="Times New Roman" w:hAnsi="Times New Roman" w:cs="Times New Roman"/>
          <w:sz w:val="28"/>
          <w:szCs w:val="28"/>
        </w:rPr>
        <w:t>11</w:t>
      </w:r>
      <w:r w:rsidR="006F6AE4">
        <w:rPr>
          <w:rFonts w:ascii="Times New Roman" w:hAnsi="Times New Roman" w:cs="Times New Roman"/>
          <w:sz w:val="28"/>
          <w:szCs w:val="28"/>
        </w:rPr>
        <w:t>]</w:t>
      </w:r>
      <w:r w:rsidRPr="00D32600">
        <w:rPr>
          <w:rFonts w:ascii="Times New Roman" w:hAnsi="Times New Roman" w:cs="Times New Roman"/>
          <w:sz w:val="28"/>
          <w:szCs w:val="28"/>
        </w:rPr>
        <w:t>. In the case of NatureGreen, governance mechanisms be adjusted to the change in technology and regulations with the introduction of these improvement philosophies. This constant enhancement ensures that the weak points are identified in advance, the corrective actions to counter them are organized, and the experience of the previous incidents is utilized. To improve efficiency and achieve international standards, NatureGreen can perform periodic reviews and audits, as well as receive feedback on stakeholders</w:t>
      </w:r>
      <w:r w:rsidR="002E47BD">
        <w:rPr>
          <w:rFonts w:ascii="Times New Roman" w:hAnsi="Times New Roman" w:cs="Times New Roman"/>
          <w:sz w:val="28"/>
          <w:szCs w:val="28"/>
        </w:rPr>
        <w:t>[15]</w:t>
      </w:r>
      <w:r w:rsidRPr="00D32600">
        <w:rPr>
          <w:rFonts w:ascii="Times New Roman" w:hAnsi="Times New Roman" w:cs="Times New Roman"/>
          <w:sz w:val="28"/>
          <w:szCs w:val="28"/>
        </w:rPr>
        <w:t>.</w:t>
      </w:r>
    </w:p>
    <w:p w14:paraId="0725F82C" w14:textId="77777777" w:rsidR="001E11EF" w:rsidRPr="00D32600" w:rsidRDefault="001E11EF" w:rsidP="001E11EF">
      <w:pPr>
        <w:pStyle w:val="Heading1"/>
        <w:spacing w:line="276" w:lineRule="auto"/>
        <w:rPr>
          <w:rFonts w:ascii="Times New Roman" w:hAnsi="Times New Roman" w:cs="Times New Roman"/>
          <w:sz w:val="28"/>
          <w:szCs w:val="44"/>
        </w:rPr>
      </w:pPr>
      <w:r w:rsidRPr="00D32600">
        <w:rPr>
          <w:rFonts w:ascii="Times New Roman" w:hAnsi="Times New Roman" w:cs="Times New Roman"/>
          <w:sz w:val="28"/>
          <w:szCs w:val="44"/>
        </w:rPr>
        <w:t>5. Recommendations</w:t>
      </w:r>
    </w:p>
    <w:p w14:paraId="56AE6688" w14:textId="0C1DDA66" w:rsidR="001E11EF" w:rsidRPr="00D32600" w:rsidRDefault="001E11EF" w:rsidP="00150CA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NG needs a systematic and progressive approach to enhance its governance, compliance, operational resilience to the information security challenges, it must deal with. The reliance on cloud-based systems, wireless networks, and BYOD </w:t>
      </w:r>
      <w:r w:rsidRPr="00D32600">
        <w:rPr>
          <w:rFonts w:ascii="Times New Roman" w:hAnsi="Times New Roman" w:cs="Times New Roman"/>
          <w:sz w:val="28"/>
          <w:szCs w:val="28"/>
        </w:rPr>
        <w:lastRenderedPageBreak/>
        <w:t>environment expose the organization to great threats, including data breaches, access by unauthorized personnel, and loss of intellectual properties [1</w:t>
      </w:r>
      <w:r w:rsidR="003B43D7">
        <w:rPr>
          <w:rFonts w:ascii="Times New Roman" w:hAnsi="Times New Roman" w:cs="Times New Roman"/>
          <w:sz w:val="28"/>
          <w:szCs w:val="28"/>
        </w:rPr>
        <w:t>0</w:t>
      </w:r>
      <w:r w:rsidR="0071341D">
        <w:rPr>
          <w:rFonts w:ascii="Times New Roman" w:hAnsi="Times New Roman" w:cs="Times New Roman"/>
          <w:sz w:val="28"/>
          <w:szCs w:val="28"/>
        </w:rPr>
        <w:t xml:space="preserve">] </w:t>
      </w:r>
      <w:r w:rsidRPr="00D32600">
        <w:rPr>
          <w:rFonts w:ascii="Times New Roman" w:hAnsi="Times New Roman" w:cs="Times New Roman"/>
          <w:sz w:val="28"/>
          <w:szCs w:val="28"/>
        </w:rPr>
        <w:t>Thus, policy formulation, technical empowerment, and cultural change should be integrated. The recommended measures are divided into the short, medium-term, and long-term priorities to guarantee immediate and long-term enhancement of the information security posture of NG.</w:t>
      </w:r>
    </w:p>
    <w:p w14:paraId="7BA0523C" w14:textId="77777777"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Short-Term Recommendations:</w:t>
      </w:r>
    </w:p>
    <w:p w14:paraId="507FB80A" w14:textId="78A1FA60" w:rsidR="001E11EF" w:rsidRPr="00D32600" w:rsidRDefault="001E11EF" w:rsidP="00150CA0">
      <w:pPr>
        <w:spacing w:line="276" w:lineRule="auto"/>
        <w:jc w:val="both"/>
        <w:rPr>
          <w:rFonts w:ascii="Times New Roman" w:hAnsi="Times New Roman" w:cs="Times New Roman"/>
          <w:b/>
          <w:bCs/>
          <w:sz w:val="28"/>
          <w:szCs w:val="28"/>
        </w:rPr>
      </w:pPr>
      <w:r w:rsidRPr="00D32600">
        <w:rPr>
          <w:rFonts w:ascii="Times New Roman" w:hAnsi="Times New Roman" w:cs="Times New Roman"/>
          <w:sz w:val="28"/>
          <w:szCs w:val="28"/>
        </w:rPr>
        <w:t>In the short term, NG must develop an official Information Security Policy and a detailed BYOD Policy that contains access restrictions, device use, and encryption requirements. The critical information assets should be evaluated with respect and categorized into high-risk and low risk through immediate risk assessment workshops, and the risks with cloud and wireless systems should be given priority . Furthermore, starting a staff awareness and cybersecurity training programme can be very important in minimizing human error and creating a culture of security consciousness. These</w:t>
      </w:r>
      <w:r w:rsidRPr="00D32600">
        <w:rPr>
          <w:rFonts w:ascii="Times New Roman" w:hAnsi="Times New Roman" w:cs="Times New Roman"/>
        </w:rPr>
        <w:t xml:space="preserve"> </w:t>
      </w:r>
      <w:r w:rsidRPr="00D32600">
        <w:rPr>
          <w:rFonts w:ascii="Times New Roman" w:hAnsi="Times New Roman" w:cs="Times New Roman"/>
          <w:sz w:val="28"/>
          <w:szCs w:val="28"/>
        </w:rPr>
        <w:t>measures form the basis of a uniform set of governance, compliance awareness, and enhanced incident prevention</w:t>
      </w:r>
      <w:r w:rsidR="009F7914">
        <w:rPr>
          <w:rFonts w:ascii="Times New Roman" w:hAnsi="Times New Roman" w:cs="Times New Roman"/>
          <w:sz w:val="28"/>
          <w:szCs w:val="28"/>
        </w:rPr>
        <w:t>[5]</w:t>
      </w:r>
      <w:r w:rsidRPr="00D32600">
        <w:rPr>
          <w:rFonts w:ascii="Times New Roman" w:hAnsi="Times New Roman" w:cs="Times New Roman"/>
          <w:sz w:val="28"/>
          <w:szCs w:val="28"/>
        </w:rPr>
        <w:t>.</w:t>
      </w:r>
    </w:p>
    <w:p w14:paraId="4EC4355E" w14:textId="77777777"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Medium-Term Recommendations:</w:t>
      </w:r>
    </w:p>
    <w:p w14:paraId="584039E7" w14:textId="77777777" w:rsidR="001E11EF" w:rsidRPr="00D32600" w:rsidRDefault="001E11EF" w:rsidP="00150CA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In the medium term, NG ought to have a system of Information Security Management Systems (ISMS) in line with ISO 27001 with a formal governance framework headed by a Chief Information Security Officer (CISO). Multi-layered protection should be built into the organization, such as next-generation firewalls, Intrusion Detection and Prevention System (IDS/IPS), and endpoint protection tools. The introduction of the third-party compliance audits should also occur after some time to ensure the policies are efficient and comply with the ISO and GDPR requirements. This step eliminates the lack of connection between the design of governance and the maturity of operational security.</w:t>
      </w:r>
    </w:p>
    <w:p w14:paraId="32FA3C31" w14:textId="77777777" w:rsidR="001E11EF" w:rsidRPr="00D32600" w:rsidRDefault="001E11EF" w:rsidP="001E11EF">
      <w:pPr>
        <w:spacing w:line="276" w:lineRule="auto"/>
        <w:rPr>
          <w:rFonts w:ascii="Times New Roman" w:hAnsi="Times New Roman" w:cs="Times New Roman"/>
          <w:b/>
          <w:bCs/>
          <w:sz w:val="28"/>
          <w:szCs w:val="28"/>
        </w:rPr>
      </w:pPr>
      <w:r w:rsidRPr="00D32600">
        <w:rPr>
          <w:rFonts w:ascii="Times New Roman" w:hAnsi="Times New Roman" w:cs="Times New Roman"/>
          <w:b/>
          <w:bCs/>
          <w:sz w:val="28"/>
          <w:szCs w:val="28"/>
        </w:rPr>
        <w:t>Long-Term Recommendations:</w:t>
      </w:r>
    </w:p>
    <w:p w14:paraId="44E40582" w14:textId="46DC5C55" w:rsidR="001E11EF" w:rsidRPr="00D32600" w:rsidRDefault="001E11EF" w:rsidP="00150CA0">
      <w:pPr>
        <w:spacing w:line="276" w:lineRule="auto"/>
        <w:jc w:val="both"/>
        <w:rPr>
          <w:rFonts w:ascii="Times New Roman" w:hAnsi="Times New Roman" w:cs="Times New Roman"/>
          <w:sz w:val="28"/>
          <w:szCs w:val="28"/>
        </w:rPr>
      </w:pPr>
      <w:r w:rsidRPr="00D32600">
        <w:rPr>
          <w:rFonts w:ascii="Times New Roman" w:hAnsi="Times New Roman" w:cs="Times New Roman"/>
          <w:sz w:val="28"/>
          <w:szCs w:val="28"/>
        </w:rPr>
        <w:t xml:space="preserve">In general, the possible use of NG to attain the ISO 27001 certification in the end can be the demonstration of its global avoidance with data security and regulatory policies. Towards measure the effectiveness of the corporate security policy, the corporation must engage in automated compliance monitoring policy </w:t>
      </w:r>
      <w:r w:rsidR="006B5176" w:rsidRPr="00D32600">
        <w:rPr>
          <w:rFonts w:ascii="Times New Roman" w:hAnsi="Times New Roman" w:cs="Times New Roman"/>
          <w:sz w:val="28"/>
          <w:szCs w:val="28"/>
        </w:rPr>
        <w:t>to</w:t>
      </w:r>
      <w:r w:rsidRPr="00D32600">
        <w:rPr>
          <w:rFonts w:ascii="Times New Roman" w:hAnsi="Times New Roman" w:cs="Times New Roman"/>
          <w:sz w:val="28"/>
          <w:szCs w:val="28"/>
        </w:rPr>
        <w:t xml:space="preserve"> manage the </w:t>
      </w:r>
      <w:r w:rsidRPr="00D32600">
        <w:rPr>
          <w:rFonts w:ascii="Times New Roman" w:hAnsi="Times New Roman" w:cs="Times New Roman"/>
          <w:sz w:val="28"/>
          <w:szCs w:val="28"/>
        </w:rPr>
        <w:lastRenderedPageBreak/>
        <w:t xml:space="preserve">performance metrics of security in a continuous </w:t>
      </w:r>
      <w:r w:rsidR="0040288F" w:rsidRPr="00D32600">
        <w:rPr>
          <w:rFonts w:ascii="Times New Roman" w:hAnsi="Times New Roman" w:cs="Times New Roman"/>
          <w:sz w:val="28"/>
          <w:szCs w:val="28"/>
        </w:rPr>
        <w:t>manner and</w:t>
      </w:r>
      <w:r w:rsidRPr="00D32600">
        <w:rPr>
          <w:rFonts w:ascii="Times New Roman" w:hAnsi="Times New Roman" w:cs="Times New Roman"/>
          <w:sz w:val="28"/>
          <w:szCs w:val="28"/>
        </w:rPr>
        <w:t xml:space="preserve"> revise the governance structures and incident response plans.</w:t>
      </w:r>
    </w:p>
    <w:p w14:paraId="7AB420AB" w14:textId="77777777" w:rsidR="001E11EF" w:rsidRPr="00D32600" w:rsidRDefault="001E11EF" w:rsidP="001E11EF">
      <w:pPr>
        <w:pStyle w:val="Heading1"/>
        <w:spacing w:line="276" w:lineRule="auto"/>
        <w:rPr>
          <w:rFonts w:ascii="Times New Roman" w:hAnsi="Times New Roman" w:cs="Times New Roman"/>
          <w:sz w:val="28"/>
          <w:szCs w:val="44"/>
        </w:rPr>
      </w:pPr>
      <w:r w:rsidRPr="00D32600">
        <w:rPr>
          <w:rFonts w:ascii="Times New Roman" w:hAnsi="Times New Roman" w:cs="Times New Roman"/>
          <w:sz w:val="28"/>
          <w:szCs w:val="44"/>
        </w:rPr>
        <w:t>6. Conclusion</w:t>
      </w:r>
    </w:p>
    <w:p w14:paraId="6B563528" w14:textId="6E500FC3" w:rsidR="001E11EF" w:rsidRPr="00D32600" w:rsidRDefault="001E11EF" w:rsidP="00150CA0">
      <w:pPr>
        <w:spacing w:line="276" w:lineRule="auto"/>
        <w:jc w:val="both"/>
        <w:rPr>
          <w:rFonts w:ascii="Times New Roman" w:hAnsi="Times New Roman" w:cs="Times New Roman"/>
        </w:rPr>
      </w:pPr>
      <w:r w:rsidRPr="00D32600">
        <w:rPr>
          <w:rFonts w:ascii="Times New Roman" w:hAnsi="Times New Roman" w:cs="Times New Roman"/>
          <w:sz w:val="28"/>
          <w:szCs w:val="28"/>
        </w:rPr>
        <w:t>The analysis indicates that NG needs to have a structured and detailed journey to improve its information security, model of governance and compliance. NG is under threat since it operates worldwide with cloud infrastructural reliance and wireless connectivity and encounters growing risks in data confidentiality, integrity, and availability. An established framework through the implementation of standardi</w:t>
      </w:r>
      <w:r w:rsidR="00B8386B">
        <w:rPr>
          <w:rFonts w:ascii="Times New Roman" w:hAnsi="Times New Roman" w:cs="Times New Roman"/>
          <w:sz w:val="28"/>
          <w:szCs w:val="28"/>
        </w:rPr>
        <w:t>s</w:t>
      </w:r>
      <w:r w:rsidRPr="00D32600">
        <w:rPr>
          <w:rFonts w:ascii="Times New Roman" w:hAnsi="Times New Roman" w:cs="Times New Roman"/>
          <w:sz w:val="28"/>
          <w:szCs w:val="28"/>
        </w:rPr>
        <w:t xml:space="preserve">ed tools like ISO/IEC 27001, NIST, and ITIL can enable the secure establishment of the risk management organization, regulatory adherence, and perpetual growth. The adoption of these frameworks is likely to enable NG to have well-defined governance policies, good risk management practices, and </w:t>
      </w:r>
      <w:r w:rsidR="0040288F" w:rsidRPr="00D32600">
        <w:rPr>
          <w:rFonts w:ascii="Times New Roman" w:hAnsi="Times New Roman" w:cs="Times New Roman"/>
          <w:sz w:val="28"/>
          <w:szCs w:val="28"/>
        </w:rPr>
        <w:t>well</w:t>
      </w:r>
      <w:r w:rsidR="0040288F">
        <w:rPr>
          <w:rFonts w:ascii="Times New Roman" w:hAnsi="Times New Roman" w:cs="Times New Roman"/>
          <w:sz w:val="28"/>
          <w:szCs w:val="28"/>
        </w:rPr>
        <w:t>-established</w:t>
      </w:r>
      <w:r w:rsidRPr="00D32600">
        <w:rPr>
          <w:rFonts w:ascii="Times New Roman" w:hAnsi="Times New Roman" w:cs="Times New Roman"/>
          <w:sz w:val="28"/>
          <w:szCs w:val="28"/>
        </w:rPr>
        <w:t xml:space="preserve"> incident response mechanisms. </w:t>
      </w:r>
      <w:r w:rsidRPr="00D32600">
        <w:rPr>
          <w:rFonts w:ascii="Times New Roman" w:hAnsi="Times New Roman" w:cs="Times New Roman"/>
          <w:color w:val="000000" w:themeColor="text1"/>
          <w:sz w:val="28"/>
          <w:szCs w:val="28"/>
        </w:rPr>
        <w:t>Moreover, it also promotes longer-term resilience by developing a culture of cybersecurity awareness amongst the staff and updating the framework on a regular basis.</w:t>
      </w:r>
    </w:p>
    <w:p w14:paraId="6542353E" w14:textId="77777777" w:rsidR="001E11EF" w:rsidRPr="00D32600" w:rsidRDefault="001E11EF" w:rsidP="001E11EF">
      <w:pPr>
        <w:spacing w:line="276" w:lineRule="auto"/>
        <w:rPr>
          <w:rFonts w:ascii="Times New Roman" w:hAnsi="Times New Roman" w:cs="Times New Roman"/>
          <w:b/>
        </w:rPr>
      </w:pPr>
    </w:p>
    <w:p w14:paraId="03F29F38" w14:textId="77777777" w:rsidR="000B0A82" w:rsidRDefault="000B0A82" w:rsidP="001E11EF">
      <w:pPr>
        <w:spacing w:line="276" w:lineRule="auto"/>
        <w:rPr>
          <w:rFonts w:ascii="Times New Roman" w:hAnsi="Times New Roman" w:cs="Times New Roman"/>
          <w:b/>
          <w:sz w:val="28"/>
          <w:szCs w:val="28"/>
        </w:rPr>
      </w:pPr>
    </w:p>
    <w:p w14:paraId="38017326" w14:textId="4D45A5B3" w:rsidR="001E11EF" w:rsidRPr="00D32600" w:rsidRDefault="001E11EF" w:rsidP="001E11EF">
      <w:pPr>
        <w:spacing w:line="276" w:lineRule="auto"/>
        <w:rPr>
          <w:rFonts w:ascii="Times New Roman" w:hAnsi="Times New Roman" w:cs="Times New Roman"/>
          <w:b/>
        </w:rPr>
      </w:pPr>
      <w:r w:rsidRPr="00D32600">
        <w:rPr>
          <w:rFonts w:ascii="Times New Roman" w:hAnsi="Times New Roman" w:cs="Times New Roman"/>
          <w:b/>
          <w:sz w:val="28"/>
          <w:szCs w:val="28"/>
        </w:rPr>
        <w:t>References:</w:t>
      </w:r>
    </w:p>
    <w:p w14:paraId="2AAB5AAA" w14:textId="77777777" w:rsidR="001E11EF" w:rsidRPr="00D32600" w:rsidRDefault="001E11EF" w:rsidP="00150CA0">
      <w:pPr>
        <w:spacing w:before="200" w:line="276" w:lineRule="auto"/>
        <w:jc w:val="both"/>
        <w:rPr>
          <w:rFonts w:ascii="Times New Roman" w:hAnsi="Times New Roman" w:cs="Times New Roman"/>
          <w:color w:val="000000" w:themeColor="text1"/>
          <w:sz w:val="28"/>
          <w:szCs w:val="28"/>
        </w:rPr>
      </w:pPr>
      <w:r w:rsidRPr="00D32600">
        <w:rPr>
          <w:rFonts w:ascii="Times New Roman" w:hAnsi="Times New Roman" w:cs="Times New Roman"/>
          <w:color w:val="000000" w:themeColor="text1"/>
          <w:sz w:val="28"/>
          <w:szCs w:val="28"/>
        </w:rPr>
        <w:t>[1] Agarwal, A., Kumar, S., Chilakapati, P. and Abhichandani, S., 2023. Artificial intelligence in data governance: Enhancing security and compliance in enterprise environments. Nanotechnology Perceptions, 19, pp.235-252.</w:t>
      </w:r>
    </w:p>
    <w:p w14:paraId="0AC1E7C7"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[2] Albarami, S., Al-Hijji, K.Z. and Anwar, R.W., 2024. Assessing Information Security Practices in Omani Ministries: Challenges and Pathways to International Standards Compliance. </w:t>
      </w:r>
      <w:r w:rsidRPr="00D32600">
        <w:rPr>
          <w:rFonts w:ascii="Times New Roman" w:hAnsi="Times New Roman" w:cs="Times New Roman"/>
          <w:i/>
          <w:iCs/>
          <w:color w:val="000000" w:themeColor="text1"/>
          <w:sz w:val="28"/>
          <w:szCs w:val="28"/>
          <w:highlight w:val="white"/>
        </w:rPr>
        <w:t>Journal of Arts and Social Sciences</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15</w:t>
      </w:r>
      <w:r w:rsidRPr="00D32600">
        <w:rPr>
          <w:rFonts w:ascii="Times New Roman" w:hAnsi="Times New Roman" w:cs="Times New Roman"/>
          <w:color w:val="000000" w:themeColor="text1"/>
          <w:sz w:val="28"/>
          <w:szCs w:val="28"/>
          <w:highlight w:val="white"/>
        </w:rPr>
        <w:t>(3), pp.3-17.</w:t>
      </w:r>
    </w:p>
    <w:p w14:paraId="4BE583BA" w14:textId="24D2EA4D"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[3] Coppola, G., Varde, A.S. and Shang, J., 2023, October. Enhancing cloud security posture for ubiquitous data access with a cybersecurity </w:t>
      </w:r>
      <w:r w:rsidR="0040288F" w:rsidRPr="00D32600">
        <w:rPr>
          <w:rFonts w:ascii="Times New Roman" w:hAnsi="Times New Roman" w:cs="Times New Roman"/>
          <w:color w:val="000000" w:themeColor="text1"/>
          <w:sz w:val="28"/>
          <w:szCs w:val="28"/>
          <w:highlight w:val="white"/>
        </w:rPr>
        <w:t>framework-based</w:t>
      </w:r>
      <w:r w:rsidRPr="00D32600">
        <w:rPr>
          <w:rFonts w:ascii="Times New Roman" w:hAnsi="Times New Roman" w:cs="Times New Roman"/>
          <w:color w:val="000000" w:themeColor="text1"/>
          <w:sz w:val="28"/>
          <w:szCs w:val="28"/>
          <w:highlight w:val="white"/>
        </w:rPr>
        <w:t xml:space="preserve"> management tool. In </w:t>
      </w:r>
      <w:r w:rsidRPr="00D32600">
        <w:rPr>
          <w:rFonts w:ascii="Times New Roman" w:hAnsi="Times New Roman" w:cs="Times New Roman"/>
          <w:i/>
          <w:iCs/>
          <w:color w:val="000000" w:themeColor="text1"/>
          <w:sz w:val="28"/>
          <w:szCs w:val="28"/>
          <w:highlight w:val="white"/>
        </w:rPr>
        <w:t>2023 IEEE 14th Annual Ubiquitous Computing, Electronics &amp; Mobile Communication Conference (UEMCON)</w:t>
      </w:r>
      <w:r w:rsidRPr="00D32600">
        <w:rPr>
          <w:rFonts w:ascii="Times New Roman" w:hAnsi="Times New Roman" w:cs="Times New Roman"/>
          <w:color w:val="000000" w:themeColor="text1"/>
          <w:sz w:val="28"/>
          <w:szCs w:val="28"/>
          <w:highlight w:val="white"/>
        </w:rPr>
        <w:t xml:space="preserve"> (pp. 0590-0594). IEEE.</w:t>
      </w:r>
    </w:p>
    <w:p w14:paraId="3EFB4685"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lastRenderedPageBreak/>
        <w:t xml:space="preserve">[4] Dopamu, O.M., 2024. Cloud-based ransomware attack on US financial institutions: an in-depth analysis of tactics and counter measures. </w:t>
      </w:r>
      <w:r w:rsidRPr="00D32600">
        <w:rPr>
          <w:rFonts w:ascii="Times New Roman" w:hAnsi="Times New Roman" w:cs="Times New Roman"/>
          <w:i/>
          <w:iCs/>
          <w:color w:val="000000" w:themeColor="text1"/>
          <w:sz w:val="28"/>
          <w:szCs w:val="28"/>
          <w:highlight w:val="white"/>
        </w:rPr>
        <w:t>Int J Sci Res (IJSR)</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13</w:t>
      </w:r>
      <w:r w:rsidRPr="00D32600">
        <w:rPr>
          <w:rFonts w:ascii="Times New Roman" w:hAnsi="Times New Roman" w:cs="Times New Roman"/>
          <w:color w:val="000000" w:themeColor="text1"/>
          <w:sz w:val="28"/>
          <w:szCs w:val="28"/>
          <w:highlight w:val="white"/>
        </w:rPr>
        <w:t>(2), pp.1872-81.</w:t>
      </w:r>
    </w:p>
    <w:p w14:paraId="48CD2EE3"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[5] Ernawati, Y. and Wang, G., 2023. Assessing IT services management with ITIL framework V3: A case study. </w:t>
      </w:r>
      <w:r w:rsidRPr="00D32600">
        <w:rPr>
          <w:rFonts w:ascii="Times New Roman" w:hAnsi="Times New Roman" w:cs="Times New Roman"/>
          <w:i/>
          <w:iCs/>
          <w:color w:val="000000" w:themeColor="text1"/>
          <w:sz w:val="28"/>
          <w:szCs w:val="28"/>
          <w:highlight w:val="white"/>
        </w:rPr>
        <w:t>Journal of System and Management Sciences</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13</w:t>
      </w:r>
      <w:r w:rsidRPr="00D32600">
        <w:rPr>
          <w:rFonts w:ascii="Times New Roman" w:hAnsi="Times New Roman" w:cs="Times New Roman"/>
          <w:color w:val="000000" w:themeColor="text1"/>
          <w:sz w:val="28"/>
          <w:szCs w:val="28"/>
          <w:highlight w:val="white"/>
        </w:rPr>
        <w:t>(4), pp.152-164.</w:t>
      </w:r>
    </w:p>
    <w:p w14:paraId="028C9AC0"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[6] Irsheid, A., Murad, A., AlNajdawi, M. and Qusef, A., 2022. Information security risk management models for cloud hosted systems: A comparative study. </w:t>
      </w:r>
      <w:r w:rsidRPr="00D32600">
        <w:rPr>
          <w:rFonts w:ascii="Times New Roman" w:hAnsi="Times New Roman" w:cs="Times New Roman"/>
          <w:i/>
          <w:iCs/>
          <w:color w:val="000000" w:themeColor="text1"/>
          <w:sz w:val="28"/>
          <w:szCs w:val="28"/>
          <w:highlight w:val="white"/>
        </w:rPr>
        <w:t>Procedia Computer Science</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204</w:t>
      </w:r>
      <w:r w:rsidRPr="00D32600">
        <w:rPr>
          <w:rFonts w:ascii="Times New Roman" w:hAnsi="Times New Roman" w:cs="Times New Roman"/>
          <w:color w:val="000000" w:themeColor="text1"/>
          <w:sz w:val="28"/>
          <w:szCs w:val="28"/>
          <w:highlight w:val="white"/>
        </w:rPr>
        <w:t>, pp.205-217.</w:t>
      </w:r>
    </w:p>
    <w:p w14:paraId="67197AE2" w14:textId="77777777" w:rsidR="001E11EF" w:rsidRPr="00D32600" w:rsidRDefault="001E11EF" w:rsidP="00150CA0">
      <w:pPr>
        <w:spacing w:before="200" w:line="276" w:lineRule="auto"/>
        <w:jc w:val="both"/>
        <w:rPr>
          <w:rFonts w:ascii="Times New Roman" w:hAnsi="Times New Roman" w:cs="Times New Roman"/>
          <w:color w:val="000000" w:themeColor="text1"/>
          <w:sz w:val="28"/>
          <w:szCs w:val="28"/>
        </w:rPr>
      </w:pPr>
      <w:r w:rsidRPr="00D32600">
        <w:rPr>
          <w:rFonts w:ascii="Times New Roman" w:hAnsi="Times New Roman" w:cs="Times New Roman"/>
          <w:color w:val="000000" w:themeColor="text1"/>
          <w:sz w:val="28"/>
          <w:szCs w:val="28"/>
        </w:rPr>
        <w:t>[7] Kolade, T.M., Aideyan, N.T., Oyekunle, S.M., Ogungbemi, O.S., Dapo-Oyewole, D.L. and Olaniyi, O.O., 2024. Artificial intelligence and information governance: Strengthening global security, through compliance frameworks, and data security. Available at SSRN 5044032.</w:t>
      </w:r>
    </w:p>
    <w:p w14:paraId="578C26B7"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[8] Lambert, S.L., Agnew, K., Fezzey, T.N. and Batchelor, J.H., 2025. Delineating Responsibilities for COBIT 2019 IT Control Activities Between Cloud Service Providers and Cloud Service Users. </w:t>
      </w:r>
      <w:r w:rsidRPr="00D32600">
        <w:rPr>
          <w:rFonts w:ascii="Times New Roman" w:hAnsi="Times New Roman" w:cs="Times New Roman"/>
          <w:i/>
          <w:iCs/>
          <w:color w:val="000000" w:themeColor="text1"/>
          <w:sz w:val="28"/>
          <w:szCs w:val="28"/>
          <w:highlight w:val="white"/>
        </w:rPr>
        <w:t>Journal of Emerging Technologies in Accounting</w:t>
      </w:r>
      <w:r w:rsidRPr="00D32600">
        <w:rPr>
          <w:rFonts w:ascii="Times New Roman" w:hAnsi="Times New Roman" w:cs="Times New Roman"/>
          <w:color w:val="000000" w:themeColor="text1"/>
          <w:sz w:val="28"/>
          <w:szCs w:val="28"/>
          <w:highlight w:val="white"/>
        </w:rPr>
        <w:t>, pp.1-19.</w:t>
      </w:r>
    </w:p>
    <w:p w14:paraId="36B61991"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[9] Lian, J.W., 2021. Understanding cloud-based BYOD information security protection behaviour in smart business: in perspective of perceived value. </w:t>
      </w:r>
      <w:r w:rsidRPr="00D32600">
        <w:rPr>
          <w:rFonts w:ascii="Times New Roman" w:hAnsi="Times New Roman" w:cs="Times New Roman"/>
          <w:i/>
          <w:iCs/>
          <w:color w:val="000000" w:themeColor="text1"/>
          <w:sz w:val="28"/>
          <w:szCs w:val="28"/>
          <w:highlight w:val="white"/>
        </w:rPr>
        <w:t>Enterprise Information Systems</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15</w:t>
      </w:r>
      <w:r w:rsidRPr="00D32600">
        <w:rPr>
          <w:rFonts w:ascii="Times New Roman" w:hAnsi="Times New Roman" w:cs="Times New Roman"/>
          <w:color w:val="000000" w:themeColor="text1"/>
          <w:sz w:val="28"/>
          <w:szCs w:val="28"/>
          <w:highlight w:val="white"/>
        </w:rPr>
        <w:t>(9), pp.1216-1237.</w:t>
      </w:r>
    </w:p>
    <w:p w14:paraId="02FF966A"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[10] Machaladze, O., 2025. IT infrastructure management in educational institutions using the ITIL framework. </w:t>
      </w:r>
      <w:r w:rsidRPr="00D32600">
        <w:rPr>
          <w:rFonts w:ascii="Times New Roman" w:hAnsi="Times New Roman" w:cs="Times New Roman"/>
          <w:i/>
          <w:iCs/>
          <w:color w:val="000000" w:themeColor="text1"/>
          <w:sz w:val="28"/>
          <w:szCs w:val="28"/>
          <w:highlight w:val="white"/>
        </w:rPr>
        <w:t>International Science Journal of Engineering &amp; Agriculture</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4</w:t>
      </w:r>
      <w:r w:rsidRPr="00D32600">
        <w:rPr>
          <w:rFonts w:ascii="Times New Roman" w:hAnsi="Times New Roman" w:cs="Times New Roman"/>
          <w:color w:val="000000" w:themeColor="text1"/>
          <w:sz w:val="28"/>
          <w:szCs w:val="28"/>
          <w:highlight w:val="white"/>
        </w:rPr>
        <w:t>(2), pp.215-225.</w:t>
      </w:r>
    </w:p>
    <w:p w14:paraId="2239FF9B" w14:textId="77777777" w:rsidR="001E11EF" w:rsidRPr="00D32600" w:rsidRDefault="001E11EF" w:rsidP="00150CA0">
      <w:pPr>
        <w:spacing w:before="200" w:line="276" w:lineRule="auto"/>
        <w:jc w:val="both"/>
        <w:rPr>
          <w:rFonts w:ascii="Times New Roman" w:hAnsi="Times New Roman" w:cs="Times New Roman"/>
          <w:color w:val="000000" w:themeColor="text1"/>
          <w:sz w:val="28"/>
          <w:szCs w:val="28"/>
        </w:rPr>
      </w:pPr>
      <w:r w:rsidRPr="00D32600">
        <w:rPr>
          <w:rFonts w:ascii="Times New Roman" w:hAnsi="Times New Roman" w:cs="Times New Roman"/>
          <w:color w:val="000000" w:themeColor="text1"/>
          <w:sz w:val="28"/>
          <w:szCs w:val="28"/>
        </w:rPr>
        <w:t>[11] Naik, S., 2023. Cloud-Based Data Governance: Ensuring Security, Compliance, and Privacy. The Eastasouth Journal of Information System and Computer Science, 1(01), pp.69-87.</w:t>
      </w:r>
    </w:p>
    <w:p w14:paraId="260F9F66"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[12] Najana, M. and Ranjan, P., 2024. Compliance and regulatory challenges in cloud computing: a sector-wise analysis. </w:t>
      </w:r>
      <w:r w:rsidRPr="00D32600">
        <w:rPr>
          <w:rFonts w:ascii="Times New Roman" w:hAnsi="Times New Roman" w:cs="Times New Roman"/>
          <w:i/>
          <w:iCs/>
          <w:color w:val="000000" w:themeColor="text1"/>
          <w:sz w:val="28"/>
          <w:szCs w:val="28"/>
          <w:highlight w:val="white"/>
        </w:rPr>
        <w:t>International Journal of Global Innovations and Solutions (IJGIS)</w:t>
      </w:r>
      <w:r w:rsidRPr="00D32600">
        <w:rPr>
          <w:rFonts w:ascii="Times New Roman" w:hAnsi="Times New Roman" w:cs="Times New Roman"/>
          <w:color w:val="000000" w:themeColor="text1"/>
          <w:sz w:val="28"/>
          <w:szCs w:val="28"/>
          <w:highlight w:val="white"/>
        </w:rPr>
        <w:t>, pp.1-21.</w:t>
      </w:r>
    </w:p>
    <w:p w14:paraId="4062DE7A"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lastRenderedPageBreak/>
        <w:t xml:space="preserve">[13] Reddy, A.R.P., 2021. The role of artificial intelligence in proactive cyber threat detection in cloud environments. </w:t>
      </w:r>
      <w:r w:rsidRPr="00D32600">
        <w:rPr>
          <w:rFonts w:ascii="Times New Roman" w:hAnsi="Times New Roman" w:cs="Times New Roman"/>
          <w:i/>
          <w:iCs/>
          <w:color w:val="000000" w:themeColor="text1"/>
          <w:sz w:val="28"/>
          <w:szCs w:val="28"/>
          <w:highlight w:val="white"/>
        </w:rPr>
        <w:t>NeuroQuantology</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19</w:t>
      </w:r>
      <w:r w:rsidRPr="00D32600">
        <w:rPr>
          <w:rFonts w:ascii="Times New Roman" w:hAnsi="Times New Roman" w:cs="Times New Roman"/>
          <w:color w:val="000000" w:themeColor="text1"/>
          <w:sz w:val="28"/>
          <w:szCs w:val="28"/>
          <w:highlight w:val="white"/>
        </w:rPr>
        <w:t>(12), pp.764-773.</w:t>
      </w:r>
    </w:p>
    <w:p w14:paraId="2BFDC0AB"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highlight w:val="white"/>
        </w:rPr>
      </w:pPr>
      <w:r w:rsidRPr="00D32600">
        <w:rPr>
          <w:rFonts w:ascii="Times New Roman" w:hAnsi="Times New Roman" w:cs="Times New Roman"/>
          <w:color w:val="000000" w:themeColor="text1"/>
          <w:sz w:val="28"/>
          <w:szCs w:val="28"/>
          <w:highlight w:val="white"/>
        </w:rPr>
        <w:t xml:space="preserve">[14] Rusman, A., Nadlifatin, R. and Subriadi, A.P., 2022. Information system audit using COBIT and ITIL framework: literature review. </w:t>
      </w:r>
      <w:r w:rsidRPr="00D32600">
        <w:rPr>
          <w:rFonts w:ascii="Times New Roman" w:hAnsi="Times New Roman" w:cs="Times New Roman"/>
          <w:i/>
          <w:iCs/>
          <w:color w:val="000000" w:themeColor="text1"/>
          <w:sz w:val="28"/>
          <w:szCs w:val="28"/>
          <w:highlight w:val="white"/>
        </w:rPr>
        <w:t>Sinkron: jurnal dan penelitian teknik informatika</w:t>
      </w:r>
      <w:r w:rsidRPr="00D32600">
        <w:rPr>
          <w:rFonts w:ascii="Times New Roman" w:hAnsi="Times New Roman" w:cs="Times New Roman"/>
          <w:color w:val="000000" w:themeColor="text1"/>
          <w:sz w:val="28"/>
          <w:szCs w:val="28"/>
          <w:highlight w:val="white"/>
        </w:rPr>
        <w:t xml:space="preserve">, </w:t>
      </w:r>
      <w:r w:rsidRPr="00D32600">
        <w:rPr>
          <w:rFonts w:ascii="Times New Roman" w:hAnsi="Times New Roman" w:cs="Times New Roman"/>
          <w:i/>
          <w:iCs/>
          <w:color w:val="000000" w:themeColor="text1"/>
          <w:sz w:val="28"/>
          <w:szCs w:val="28"/>
          <w:highlight w:val="white"/>
        </w:rPr>
        <w:t>6</w:t>
      </w:r>
      <w:r w:rsidRPr="00D32600">
        <w:rPr>
          <w:rFonts w:ascii="Times New Roman" w:hAnsi="Times New Roman" w:cs="Times New Roman"/>
          <w:color w:val="000000" w:themeColor="text1"/>
          <w:sz w:val="28"/>
          <w:szCs w:val="28"/>
          <w:highlight w:val="white"/>
        </w:rPr>
        <w:t>(3), pp.799-810</w:t>
      </w:r>
      <w:r w:rsidRPr="00D32600">
        <w:rPr>
          <w:rFonts w:ascii="Times New Roman" w:hAnsi="Times New Roman" w:cs="Times New Roman"/>
          <w:color w:val="000000" w:themeColor="text1"/>
          <w:highlight w:val="white"/>
        </w:rPr>
        <w:t>.</w:t>
      </w:r>
    </w:p>
    <w:p w14:paraId="40D52B80" w14:textId="77777777" w:rsidR="001E11EF" w:rsidRPr="00D3260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pPr>
      <w:r w:rsidRPr="00D32600">
        <w:rPr>
          <w:rFonts w:ascii="Times New Roman" w:hAnsi="Times New Roman" w:cs="Times New Roman"/>
          <w:color w:val="000000" w:themeColor="text1"/>
          <w:sz w:val="28"/>
          <w:szCs w:val="28"/>
          <w:highlight w:val="white"/>
        </w:rPr>
        <w:t xml:space="preserve">[15] Salihu, A. and Dervishi, R., 2024, October. Evaluating the Impact of Risk Management Frameworks on IT Audits: A Comparative Analysis of COSO, COBIT, ISO/IEC 27001, and NIST CSF. In </w:t>
      </w:r>
      <w:r w:rsidRPr="00D32600">
        <w:rPr>
          <w:rFonts w:ascii="Times New Roman" w:hAnsi="Times New Roman" w:cs="Times New Roman"/>
          <w:i/>
          <w:iCs/>
          <w:color w:val="000000" w:themeColor="text1"/>
          <w:sz w:val="28"/>
          <w:szCs w:val="28"/>
          <w:highlight w:val="white"/>
        </w:rPr>
        <w:t>2024 International Conference on Electrical, Communication and Computer Engineering (ICECCE)</w:t>
      </w:r>
      <w:r w:rsidRPr="00D32600">
        <w:rPr>
          <w:rFonts w:ascii="Times New Roman" w:hAnsi="Times New Roman" w:cs="Times New Roman"/>
          <w:color w:val="000000" w:themeColor="text1"/>
          <w:sz w:val="28"/>
          <w:szCs w:val="28"/>
          <w:highlight w:val="white"/>
        </w:rPr>
        <w:t xml:space="preserve"> (pp. 1-8). IEEE.</w:t>
      </w:r>
    </w:p>
    <w:p w14:paraId="4CF29D00" w14:textId="77777777" w:rsidR="001E11EF" w:rsidRPr="00D32600" w:rsidRDefault="001E11EF" w:rsidP="00150CA0">
      <w:pPr>
        <w:spacing w:before="200" w:line="276" w:lineRule="auto"/>
        <w:jc w:val="both"/>
        <w:rPr>
          <w:rFonts w:ascii="Times New Roman" w:hAnsi="Times New Roman" w:cs="Times New Roman"/>
          <w:color w:val="000000" w:themeColor="text1"/>
          <w:sz w:val="28"/>
          <w:szCs w:val="28"/>
        </w:rPr>
      </w:pPr>
      <w:r w:rsidRPr="00D32600">
        <w:rPr>
          <w:rFonts w:ascii="Times New Roman" w:hAnsi="Times New Roman" w:cs="Times New Roman"/>
          <w:color w:val="000000" w:themeColor="text1"/>
          <w:sz w:val="28"/>
          <w:szCs w:val="28"/>
        </w:rPr>
        <w:t>[16] Simuni, G. and Atla, A., 2024. Hadoop in Enterprise Data Governance: Ensuring Compliance and Data Integrity. Available at SSRN 4982500.</w:t>
      </w:r>
    </w:p>
    <w:p w14:paraId="67A8DF99" w14:textId="2CBCB73C" w:rsidR="001E11EF" w:rsidRPr="00150CA0" w:rsidRDefault="001E11EF" w:rsidP="00150CA0">
      <w:pPr>
        <w:shd w:val="clear" w:color="auto" w:fill="FFFFFF"/>
        <w:spacing w:before="200" w:line="276" w:lineRule="auto"/>
        <w:jc w:val="both"/>
        <w:rPr>
          <w:rFonts w:ascii="Times New Roman" w:hAnsi="Times New Roman" w:cs="Times New Roman"/>
          <w:color w:val="000000" w:themeColor="text1"/>
          <w:sz w:val="28"/>
          <w:szCs w:val="28"/>
          <w:highlight w:val="white"/>
        </w:rPr>
        <w:sectPr w:rsidR="001E11EF" w:rsidRPr="00150CA0" w:rsidSect="00FC785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r w:rsidRPr="00D32600">
        <w:rPr>
          <w:rFonts w:ascii="Times New Roman" w:hAnsi="Times New Roman" w:cs="Times New Roman"/>
          <w:color w:val="000000" w:themeColor="text1"/>
          <w:sz w:val="28"/>
          <w:szCs w:val="28"/>
          <w:highlight w:val="white"/>
        </w:rPr>
        <w:t xml:space="preserve">[17] Srikrishna, H.V. and Murthy, J.S., 2024. Securing Mobile Workspaces in the Cloud: Navigating Bring Your Own Device Challenges with Cyber Resilience. In </w:t>
      </w:r>
      <w:r w:rsidRPr="00D32600">
        <w:rPr>
          <w:rFonts w:ascii="Times New Roman" w:hAnsi="Times New Roman" w:cs="Times New Roman"/>
          <w:i/>
          <w:iCs/>
          <w:color w:val="000000" w:themeColor="text1"/>
          <w:sz w:val="28"/>
          <w:szCs w:val="28"/>
          <w:highlight w:val="white"/>
        </w:rPr>
        <w:t>Cloud Security</w:t>
      </w:r>
      <w:r w:rsidRPr="00D32600">
        <w:rPr>
          <w:rFonts w:ascii="Times New Roman" w:hAnsi="Times New Roman" w:cs="Times New Roman"/>
          <w:color w:val="000000" w:themeColor="text1"/>
          <w:sz w:val="28"/>
          <w:szCs w:val="28"/>
          <w:highlight w:val="white"/>
        </w:rPr>
        <w:t xml:space="preserve"> (pp. 238-262). Chapman and Hall/CRC</w:t>
      </w:r>
    </w:p>
    <w:p w14:paraId="015F629B" w14:textId="013A4398" w:rsidR="00725155" w:rsidRPr="00D32600" w:rsidRDefault="00725155" w:rsidP="00D32600">
      <w:pPr>
        <w:spacing w:line="276" w:lineRule="auto"/>
        <w:rPr>
          <w:rFonts w:ascii="Times New Roman" w:hAnsi="Times New Roman" w:cs="Times New Roman"/>
          <w:sz w:val="32"/>
          <w:szCs w:val="32"/>
        </w:rPr>
      </w:pPr>
      <w:r w:rsidRPr="00D32600">
        <w:rPr>
          <w:rFonts w:ascii="Times New Roman" w:hAnsi="Times New Roman" w:cs="Times New Roman"/>
          <w:noProof/>
          <w:sz w:val="32"/>
          <w:szCs w:val="32"/>
          <w14:ligatures w14:val="standardContextual"/>
        </w:rPr>
        <w:lastRenderedPageBreak/>
        <mc:AlternateContent>
          <mc:Choice Requires="wpi">
            <w:drawing>
              <wp:anchor distT="0" distB="0" distL="114300" distR="114300" simplePos="0" relativeHeight="251659264" behindDoc="0" locked="0" layoutInCell="1" allowOverlap="1" wp14:anchorId="2676B0AA" wp14:editId="6F60CD62">
                <wp:simplePos x="0" y="0"/>
                <wp:positionH relativeFrom="column">
                  <wp:posOffset>1263640</wp:posOffset>
                </wp:positionH>
                <wp:positionV relativeFrom="paragraph">
                  <wp:posOffset>-3276520</wp:posOffset>
                </wp:positionV>
                <wp:extent cx="360" cy="360"/>
                <wp:effectExtent l="38100" t="38100" r="38100" b="38100"/>
                <wp:wrapNone/>
                <wp:docPr id="500449392"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2DE8771D" id="Ink 1" o:spid="_x0000_s1026" type="#_x0000_t75" style="position:absolute;margin-left:99pt;margin-top:-258.5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BYnc7U1QEAAJ0EAAAQAAAA&#10;AAAAAAAAAAAAANMDAABkcnMvaW5rL2luazEueG1sUEsBAi0AFAAGAAgAAAAhAH1SJfjgAAAADQEA&#10;AA8AAAAAAAAAAAAAAAAA1gUAAGRycy9kb3ducmV2LnhtbFBLAQItABQABgAIAAAAIQB5GLydvwAA&#10;ACEBAAAZAAAAAAAAAAAAAAAAAOMGAABkcnMvX3JlbHMvZTJvRG9jLnhtbC5yZWxzUEsFBgAAAAAG&#10;AAYAeAEAANkHAAAAAA==&#10;">
                <v:imagedata r:id="rId9" o:title=""/>
              </v:shape>
            </w:pict>
          </mc:Fallback>
        </mc:AlternateContent>
      </w:r>
    </w:p>
    <w:sectPr w:rsidR="00725155" w:rsidRPr="00D32600" w:rsidSect="00FC785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686CA" w14:textId="77777777" w:rsidR="000F79EB" w:rsidRDefault="000F79EB" w:rsidP="005B604C">
      <w:pPr>
        <w:spacing w:after="0" w:line="240" w:lineRule="auto"/>
      </w:pPr>
      <w:r>
        <w:separator/>
      </w:r>
    </w:p>
  </w:endnote>
  <w:endnote w:type="continuationSeparator" w:id="0">
    <w:p w14:paraId="1124677D" w14:textId="77777777" w:rsidR="000F79EB" w:rsidRDefault="000F79EB" w:rsidP="005B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7CE0B" w14:textId="77777777" w:rsidR="000F79EB" w:rsidRDefault="000F79EB" w:rsidP="005B604C">
      <w:pPr>
        <w:spacing w:after="0" w:line="240" w:lineRule="auto"/>
      </w:pPr>
      <w:r>
        <w:separator/>
      </w:r>
    </w:p>
  </w:footnote>
  <w:footnote w:type="continuationSeparator" w:id="0">
    <w:p w14:paraId="5AEC2187" w14:textId="77777777" w:rsidR="000F79EB" w:rsidRDefault="000F79EB" w:rsidP="005B60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55"/>
    <w:rsid w:val="000208E6"/>
    <w:rsid w:val="00082039"/>
    <w:rsid w:val="00095980"/>
    <w:rsid w:val="000A0B94"/>
    <w:rsid w:val="000B0A82"/>
    <w:rsid w:val="000F5187"/>
    <w:rsid w:val="000F79EB"/>
    <w:rsid w:val="0014016A"/>
    <w:rsid w:val="00150CA0"/>
    <w:rsid w:val="00177CE9"/>
    <w:rsid w:val="001934B5"/>
    <w:rsid w:val="001A2972"/>
    <w:rsid w:val="001C6536"/>
    <w:rsid w:val="001E11EF"/>
    <w:rsid w:val="00260F4F"/>
    <w:rsid w:val="002648EE"/>
    <w:rsid w:val="002A054D"/>
    <w:rsid w:val="002E47BD"/>
    <w:rsid w:val="002F23F0"/>
    <w:rsid w:val="003953D8"/>
    <w:rsid w:val="003B43D7"/>
    <w:rsid w:val="003D345D"/>
    <w:rsid w:val="004026CD"/>
    <w:rsid w:val="0040288F"/>
    <w:rsid w:val="00492570"/>
    <w:rsid w:val="00497CBF"/>
    <w:rsid w:val="004B545B"/>
    <w:rsid w:val="004C17CA"/>
    <w:rsid w:val="004E21B4"/>
    <w:rsid w:val="00521758"/>
    <w:rsid w:val="005532FF"/>
    <w:rsid w:val="005626DD"/>
    <w:rsid w:val="00564E6D"/>
    <w:rsid w:val="00577ECE"/>
    <w:rsid w:val="00581CA4"/>
    <w:rsid w:val="005B031A"/>
    <w:rsid w:val="005B604C"/>
    <w:rsid w:val="005D4D76"/>
    <w:rsid w:val="005E6628"/>
    <w:rsid w:val="00611CF8"/>
    <w:rsid w:val="006761F2"/>
    <w:rsid w:val="006B5176"/>
    <w:rsid w:val="006E1F0B"/>
    <w:rsid w:val="006F6AE4"/>
    <w:rsid w:val="007022E8"/>
    <w:rsid w:val="0071341D"/>
    <w:rsid w:val="007179F7"/>
    <w:rsid w:val="00725155"/>
    <w:rsid w:val="00730EE2"/>
    <w:rsid w:val="0073743E"/>
    <w:rsid w:val="007537F1"/>
    <w:rsid w:val="00753D05"/>
    <w:rsid w:val="00770B63"/>
    <w:rsid w:val="007C2226"/>
    <w:rsid w:val="008344FC"/>
    <w:rsid w:val="00846B42"/>
    <w:rsid w:val="00897C08"/>
    <w:rsid w:val="008A1E5A"/>
    <w:rsid w:val="008C5023"/>
    <w:rsid w:val="009166F8"/>
    <w:rsid w:val="00942D7D"/>
    <w:rsid w:val="0097203A"/>
    <w:rsid w:val="00991602"/>
    <w:rsid w:val="009C12A9"/>
    <w:rsid w:val="009F7914"/>
    <w:rsid w:val="00A40A60"/>
    <w:rsid w:val="00A56AD2"/>
    <w:rsid w:val="00AF6B69"/>
    <w:rsid w:val="00B8178E"/>
    <w:rsid w:val="00B8386B"/>
    <w:rsid w:val="00B935C3"/>
    <w:rsid w:val="00B97308"/>
    <w:rsid w:val="00BE1E35"/>
    <w:rsid w:val="00C32E67"/>
    <w:rsid w:val="00CA4892"/>
    <w:rsid w:val="00CB03DD"/>
    <w:rsid w:val="00CB11E5"/>
    <w:rsid w:val="00CC6129"/>
    <w:rsid w:val="00CE1F0C"/>
    <w:rsid w:val="00CF48E0"/>
    <w:rsid w:val="00D32600"/>
    <w:rsid w:val="00D8381B"/>
    <w:rsid w:val="00D87B0C"/>
    <w:rsid w:val="00DF16B5"/>
    <w:rsid w:val="00E06B94"/>
    <w:rsid w:val="00E4338F"/>
    <w:rsid w:val="00E4765A"/>
    <w:rsid w:val="00E50C91"/>
    <w:rsid w:val="00E54551"/>
    <w:rsid w:val="00E66279"/>
    <w:rsid w:val="00E84202"/>
    <w:rsid w:val="00EA571A"/>
    <w:rsid w:val="00EB2BB6"/>
    <w:rsid w:val="00F14F53"/>
    <w:rsid w:val="00F22DD1"/>
    <w:rsid w:val="00F36D83"/>
    <w:rsid w:val="00F92396"/>
    <w:rsid w:val="00FC785D"/>
    <w:rsid w:val="00FD033E"/>
    <w:rsid w:val="00FD0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93D5"/>
  <w15:chartTrackingRefBased/>
  <w15:docId w15:val="{4083443A-3595-4A71-9C00-31603DE5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E9"/>
  </w:style>
  <w:style w:type="paragraph" w:styleId="Heading1">
    <w:name w:val="heading 1"/>
    <w:basedOn w:val="Normal"/>
    <w:next w:val="Normal"/>
    <w:link w:val="Heading1Char"/>
    <w:uiPriority w:val="9"/>
    <w:qFormat/>
    <w:rsid w:val="00177CE9"/>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177CE9"/>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177CE9"/>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177CE9"/>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177CE9"/>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177CE9"/>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177CE9"/>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177CE9"/>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177CE9"/>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CE9"/>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177CE9"/>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177CE9"/>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177CE9"/>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177CE9"/>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177CE9"/>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177CE9"/>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177CE9"/>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177CE9"/>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177CE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77CE9"/>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77CE9"/>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77CE9"/>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177CE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77CE9"/>
    <w:rPr>
      <w:i/>
      <w:iCs/>
      <w:color w:val="262626" w:themeColor="text1" w:themeTint="D9"/>
    </w:rPr>
  </w:style>
  <w:style w:type="paragraph" w:styleId="ListParagraph">
    <w:name w:val="List Paragraph"/>
    <w:basedOn w:val="Normal"/>
    <w:uiPriority w:val="34"/>
    <w:qFormat/>
    <w:rsid w:val="00725155"/>
    <w:pPr>
      <w:ind w:left="720"/>
      <w:contextualSpacing/>
    </w:pPr>
  </w:style>
  <w:style w:type="character" w:styleId="IntenseEmphasis">
    <w:name w:val="Intense Emphasis"/>
    <w:basedOn w:val="DefaultParagraphFont"/>
    <w:uiPriority w:val="21"/>
    <w:qFormat/>
    <w:rsid w:val="00177CE9"/>
    <w:rPr>
      <w:b/>
      <w:bCs/>
      <w:i/>
      <w:iCs/>
    </w:rPr>
  </w:style>
  <w:style w:type="paragraph" w:styleId="IntenseQuote">
    <w:name w:val="Intense Quote"/>
    <w:basedOn w:val="Normal"/>
    <w:next w:val="Normal"/>
    <w:link w:val="IntenseQuoteChar"/>
    <w:uiPriority w:val="30"/>
    <w:qFormat/>
    <w:rsid w:val="00177CE9"/>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177CE9"/>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177CE9"/>
    <w:rPr>
      <w:b/>
      <w:bCs/>
      <w:smallCaps/>
      <w:color w:val="4EA72E" w:themeColor="accent6"/>
    </w:rPr>
  </w:style>
  <w:style w:type="table" w:styleId="PlainTable1">
    <w:name w:val="Plain Table 1"/>
    <w:basedOn w:val="TableNormal"/>
    <w:uiPriority w:val="41"/>
    <w:rsid w:val="007251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725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177CE9"/>
    <w:pPr>
      <w:spacing w:line="240" w:lineRule="auto"/>
    </w:pPr>
    <w:rPr>
      <w:b/>
      <w:bCs/>
      <w:smallCaps/>
      <w:color w:val="595959" w:themeColor="text1" w:themeTint="A6"/>
    </w:rPr>
  </w:style>
  <w:style w:type="character" w:styleId="Strong">
    <w:name w:val="Strong"/>
    <w:basedOn w:val="DefaultParagraphFont"/>
    <w:uiPriority w:val="22"/>
    <w:qFormat/>
    <w:rsid w:val="00177CE9"/>
    <w:rPr>
      <w:b/>
      <w:bCs/>
    </w:rPr>
  </w:style>
  <w:style w:type="character" w:styleId="Emphasis">
    <w:name w:val="Emphasis"/>
    <w:basedOn w:val="DefaultParagraphFont"/>
    <w:uiPriority w:val="20"/>
    <w:qFormat/>
    <w:rsid w:val="00177CE9"/>
    <w:rPr>
      <w:i/>
      <w:iCs/>
      <w:color w:val="4EA72E" w:themeColor="accent6"/>
    </w:rPr>
  </w:style>
  <w:style w:type="paragraph" w:styleId="NoSpacing">
    <w:name w:val="No Spacing"/>
    <w:uiPriority w:val="1"/>
    <w:qFormat/>
    <w:rsid w:val="00177CE9"/>
    <w:pPr>
      <w:spacing w:after="0" w:line="240" w:lineRule="auto"/>
    </w:pPr>
  </w:style>
  <w:style w:type="character" w:styleId="SubtleEmphasis">
    <w:name w:val="Subtle Emphasis"/>
    <w:basedOn w:val="DefaultParagraphFont"/>
    <w:uiPriority w:val="19"/>
    <w:qFormat/>
    <w:rsid w:val="00177CE9"/>
    <w:rPr>
      <w:i/>
      <w:iCs/>
    </w:rPr>
  </w:style>
  <w:style w:type="character" w:styleId="SubtleReference">
    <w:name w:val="Subtle Reference"/>
    <w:basedOn w:val="DefaultParagraphFont"/>
    <w:uiPriority w:val="31"/>
    <w:qFormat/>
    <w:rsid w:val="00177CE9"/>
    <w:rPr>
      <w:smallCaps/>
      <w:color w:val="595959" w:themeColor="text1" w:themeTint="A6"/>
    </w:rPr>
  </w:style>
  <w:style w:type="character" w:styleId="BookTitle">
    <w:name w:val="Book Title"/>
    <w:basedOn w:val="DefaultParagraphFont"/>
    <w:uiPriority w:val="33"/>
    <w:qFormat/>
    <w:rsid w:val="00177CE9"/>
    <w:rPr>
      <w:b/>
      <w:bCs/>
      <w:caps w:val="0"/>
      <w:smallCaps/>
      <w:spacing w:val="7"/>
      <w:sz w:val="21"/>
      <w:szCs w:val="21"/>
    </w:rPr>
  </w:style>
  <w:style w:type="paragraph" w:styleId="TOCHeading">
    <w:name w:val="TOC Heading"/>
    <w:basedOn w:val="Heading1"/>
    <w:next w:val="Normal"/>
    <w:uiPriority w:val="39"/>
    <w:unhideWhenUsed/>
    <w:qFormat/>
    <w:rsid w:val="00177CE9"/>
    <w:pPr>
      <w:outlineLvl w:val="9"/>
    </w:pPr>
  </w:style>
  <w:style w:type="paragraph" w:styleId="TOC1">
    <w:name w:val="toc 1"/>
    <w:basedOn w:val="Normal"/>
    <w:next w:val="Normal"/>
    <w:autoRedefine/>
    <w:uiPriority w:val="39"/>
    <w:unhideWhenUsed/>
    <w:rsid w:val="005E6628"/>
    <w:pPr>
      <w:spacing w:after="100"/>
    </w:pPr>
  </w:style>
  <w:style w:type="paragraph" w:styleId="TOC2">
    <w:name w:val="toc 2"/>
    <w:basedOn w:val="Normal"/>
    <w:next w:val="Normal"/>
    <w:autoRedefine/>
    <w:uiPriority w:val="39"/>
    <w:unhideWhenUsed/>
    <w:rsid w:val="005E6628"/>
    <w:pPr>
      <w:spacing w:after="100"/>
      <w:ind w:left="210"/>
    </w:pPr>
  </w:style>
  <w:style w:type="character" w:styleId="Hyperlink">
    <w:name w:val="Hyperlink"/>
    <w:basedOn w:val="DefaultParagraphFont"/>
    <w:uiPriority w:val="99"/>
    <w:unhideWhenUsed/>
    <w:rsid w:val="005E6628"/>
    <w:rPr>
      <w:color w:val="467886" w:themeColor="hyperlink"/>
      <w:u w:val="single"/>
    </w:rPr>
  </w:style>
  <w:style w:type="paragraph" w:styleId="Header">
    <w:name w:val="header"/>
    <w:basedOn w:val="Normal"/>
    <w:link w:val="HeaderChar"/>
    <w:uiPriority w:val="99"/>
    <w:unhideWhenUsed/>
    <w:rsid w:val="005B6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04C"/>
  </w:style>
  <w:style w:type="paragraph" w:styleId="Footer">
    <w:name w:val="footer"/>
    <w:basedOn w:val="Normal"/>
    <w:link w:val="FooterChar"/>
    <w:uiPriority w:val="99"/>
    <w:unhideWhenUsed/>
    <w:rsid w:val="005B6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ink/ink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5T22:58:27.526"/>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5T22:53:24.787"/>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18</Pages>
  <Words>4368</Words>
  <Characters>24900</Characters>
  <Application>Microsoft Office Word</Application>
  <DocSecurity>0</DocSecurity>
  <Lines>207</Lines>
  <Paragraphs>58</Paragraphs>
  <ScaleCrop>false</ScaleCrop>
  <Company/>
  <LinksUpToDate>false</LinksUpToDate>
  <CharactersWithSpaces>29210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PREXA AHIR</dc:creator>
  <cp:keywords/>
  <dc:description/>
  <cp:lastModifiedBy>PREXA AHIR</cp:lastModifiedBy>
  <cp:revision>5</cp:revision>
  <dcterms:created xsi:type="dcterms:W3CDTF">2025-11-17T16:31:00Z</dcterms:created>
  <dcterms:modified xsi:type="dcterms:W3CDTF">2025-11-17T22:26:00Z</dcterms:modified>
</cp:coreProperties>
</file>