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65742" w14:textId="77777777" w:rsidR="00A80553" w:rsidRPr="004E22C0" w:rsidRDefault="00A80553" w:rsidP="00A80553">
      <w:pPr>
        <w:rPr>
          <w:kern w:val="36"/>
          <w:sz w:val="48"/>
          <w:szCs w:val="48"/>
          <w:lang w:eastAsia="en-GB"/>
        </w:rPr>
      </w:pPr>
      <w:r>
        <w:rPr>
          <w:noProof/>
          <w:lang w:eastAsia="en-GB"/>
        </w:rPr>
        <w:drawing>
          <wp:inline distT="0" distB="0" distL="0" distR="0" wp14:anchorId="32BFCB81" wp14:editId="02EEDCD9">
            <wp:extent cx="3135887" cy="1690221"/>
            <wp:effectExtent l="0" t="0" r="7620" b="5715"/>
            <wp:docPr id="202699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0634" cy="1735899"/>
                    </a:xfrm>
                    <a:prstGeom prst="rect">
                      <a:avLst/>
                    </a:prstGeom>
                    <a:noFill/>
                    <a:ln>
                      <a:noFill/>
                    </a:ln>
                  </pic:spPr>
                </pic:pic>
              </a:graphicData>
            </a:graphic>
          </wp:inline>
        </w:drawing>
      </w:r>
    </w:p>
    <w:p w14:paraId="210E57C5" w14:textId="76373402" w:rsidR="00A80553" w:rsidRPr="00A80553" w:rsidRDefault="00A80553" w:rsidP="00A80553">
      <w:pPr>
        <w:spacing w:line="360" w:lineRule="auto"/>
        <w:rPr>
          <w:rFonts w:ascii="Arial" w:hAnsi="Arial" w:cs="Arial"/>
          <w:sz w:val="22"/>
          <w:szCs w:val="22"/>
          <w:lang w:eastAsia="en-GB"/>
        </w:rPr>
      </w:pPr>
      <w:r w:rsidRPr="00A80553">
        <w:rPr>
          <w:rFonts w:ascii="Arial" w:hAnsi="Arial" w:cs="Arial"/>
          <w:b/>
          <w:bCs/>
          <w:sz w:val="22"/>
          <w:szCs w:val="22"/>
          <w:lang w:eastAsia="en-GB"/>
        </w:rPr>
        <w:t>Title:</w:t>
      </w:r>
      <w:r w:rsidRPr="00A80553">
        <w:rPr>
          <w:rFonts w:ascii="Arial" w:hAnsi="Arial" w:cs="Arial"/>
          <w:sz w:val="22"/>
          <w:szCs w:val="22"/>
          <w:lang w:eastAsia="en-GB"/>
        </w:rPr>
        <w:t xml:space="preserve"> </w:t>
      </w:r>
      <w:r w:rsidRPr="00A80553">
        <w:rPr>
          <w:rFonts w:ascii="Arial" w:hAnsi="Arial" w:cs="Arial"/>
          <w:sz w:val="22"/>
          <w:szCs w:val="22"/>
          <w:lang w:eastAsia="en-GB"/>
        </w:rPr>
        <w:t>Design Thinking and Innovation</w:t>
      </w:r>
      <w:r w:rsidRPr="00A80553">
        <w:rPr>
          <w:rFonts w:ascii="Arial" w:hAnsi="Arial" w:cs="Arial"/>
          <w:sz w:val="22"/>
          <w:szCs w:val="22"/>
          <w:lang w:eastAsia="en-GB"/>
        </w:rPr>
        <w:br/>
      </w:r>
      <w:r w:rsidRPr="00A80553">
        <w:rPr>
          <w:rFonts w:ascii="Arial" w:hAnsi="Arial" w:cs="Arial"/>
          <w:b/>
          <w:bCs/>
          <w:sz w:val="22"/>
          <w:szCs w:val="22"/>
          <w:lang w:eastAsia="en-GB"/>
        </w:rPr>
        <w:t>Module:</w:t>
      </w:r>
      <w:r w:rsidRPr="00A80553">
        <w:rPr>
          <w:rFonts w:ascii="Arial" w:hAnsi="Arial" w:cs="Arial"/>
          <w:sz w:val="22"/>
          <w:szCs w:val="22"/>
          <w:lang w:eastAsia="en-GB"/>
        </w:rPr>
        <w:t xml:space="preserve"> LCLM600</w:t>
      </w:r>
      <w:r w:rsidRPr="00A80553">
        <w:rPr>
          <w:rFonts w:ascii="Arial" w:hAnsi="Arial" w:cs="Arial"/>
          <w:sz w:val="22"/>
          <w:szCs w:val="22"/>
          <w:lang w:eastAsia="en-GB"/>
        </w:rPr>
        <w:t>2</w:t>
      </w:r>
      <w:r w:rsidRPr="00A80553">
        <w:rPr>
          <w:rFonts w:ascii="Arial" w:hAnsi="Arial" w:cs="Arial"/>
          <w:sz w:val="22"/>
          <w:szCs w:val="22"/>
          <w:lang w:eastAsia="en-GB"/>
        </w:rPr>
        <w:br/>
      </w:r>
      <w:r w:rsidRPr="00A80553">
        <w:rPr>
          <w:rFonts w:ascii="Arial" w:hAnsi="Arial" w:cs="Arial"/>
          <w:b/>
          <w:bCs/>
          <w:sz w:val="22"/>
          <w:szCs w:val="22"/>
          <w:lang w:eastAsia="en-GB"/>
        </w:rPr>
        <w:t>Student Name:</w:t>
      </w:r>
      <w:r w:rsidRPr="00A80553">
        <w:rPr>
          <w:rFonts w:ascii="Arial" w:hAnsi="Arial" w:cs="Arial"/>
          <w:sz w:val="22"/>
          <w:szCs w:val="22"/>
          <w:lang w:eastAsia="en-GB"/>
        </w:rPr>
        <w:t xml:space="preserve"> Lucrezia Nappi</w:t>
      </w:r>
      <w:r w:rsidRPr="00A80553">
        <w:rPr>
          <w:rFonts w:ascii="Arial" w:hAnsi="Arial" w:cs="Arial"/>
          <w:sz w:val="22"/>
          <w:szCs w:val="22"/>
          <w:lang w:eastAsia="en-GB"/>
        </w:rPr>
        <w:br/>
        <w:t>ID number: 2312484</w:t>
      </w:r>
    </w:p>
    <w:p w14:paraId="3E49DD69" w14:textId="77777777" w:rsidR="00A80553" w:rsidRPr="00A80553" w:rsidRDefault="00A80553" w:rsidP="00A80553">
      <w:pPr>
        <w:spacing w:line="360" w:lineRule="auto"/>
        <w:rPr>
          <w:rFonts w:ascii="Arial" w:hAnsi="Arial" w:cs="Arial"/>
          <w:sz w:val="22"/>
          <w:szCs w:val="22"/>
          <w:lang w:eastAsia="en-GB"/>
        </w:rPr>
      </w:pPr>
      <w:r w:rsidRPr="00A80553">
        <w:rPr>
          <w:rFonts w:ascii="Arial" w:hAnsi="Arial" w:cs="Arial"/>
          <w:sz w:val="22"/>
          <w:szCs w:val="22"/>
          <w:lang w:eastAsia="en-GB"/>
        </w:rPr>
        <w:pict w14:anchorId="5965CF16">
          <v:rect id="_x0000_i1035" style="width:0;height:1.5pt" o:hralign="center" o:bullet="t" o:hrstd="t" o:hr="t" fillcolor="#a0a0a0" stroked="f"/>
        </w:pict>
      </w:r>
    </w:p>
    <w:sdt>
      <w:sdtPr>
        <w:id w:val="-93983242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469AB05" w14:textId="5E404E06" w:rsidR="002830EC" w:rsidRPr="002830EC" w:rsidRDefault="002830EC">
          <w:pPr>
            <w:pStyle w:val="TOCHeading"/>
            <w:rPr>
              <w:b/>
              <w:bCs/>
              <w:color w:val="auto"/>
            </w:rPr>
          </w:pPr>
          <w:r w:rsidRPr="002830EC">
            <w:rPr>
              <w:b/>
              <w:bCs/>
              <w:color w:val="auto"/>
            </w:rPr>
            <w:t>Table of Contents</w:t>
          </w:r>
        </w:p>
        <w:p w14:paraId="329285AB" w14:textId="2C38536A" w:rsidR="002830EC" w:rsidRDefault="002830EC">
          <w:pPr>
            <w:pStyle w:val="TOC1"/>
            <w:tabs>
              <w:tab w:val="right" w:leader="dot" w:pos="9016"/>
            </w:tabs>
            <w:rPr>
              <w:noProof/>
            </w:rPr>
          </w:pPr>
          <w:r>
            <w:fldChar w:fldCharType="begin"/>
          </w:r>
          <w:r>
            <w:instrText xml:space="preserve"> TOC \o "1-3" \h \z \u </w:instrText>
          </w:r>
          <w:r>
            <w:fldChar w:fldCharType="separate"/>
          </w:r>
          <w:hyperlink w:anchor="_Toc215740870" w:history="1">
            <w:r w:rsidRPr="00FB1646">
              <w:rPr>
                <w:rStyle w:val="Hyperlink"/>
                <w:rFonts w:eastAsia="Times New Roman"/>
                <w:noProof/>
                <w:lang w:eastAsia="en-GB"/>
              </w:rPr>
              <w:t>INNOVATION &amp; CUSTOMER JOURNEY</w:t>
            </w:r>
            <w:r>
              <w:rPr>
                <w:noProof/>
                <w:webHidden/>
              </w:rPr>
              <w:tab/>
            </w:r>
            <w:r>
              <w:rPr>
                <w:noProof/>
                <w:webHidden/>
              </w:rPr>
              <w:fldChar w:fldCharType="begin"/>
            </w:r>
            <w:r>
              <w:rPr>
                <w:noProof/>
                <w:webHidden/>
              </w:rPr>
              <w:instrText xml:space="preserve"> PAGEREF _Toc215740870 \h </w:instrText>
            </w:r>
            <w:r>
              <w:rPr>
                <w:noProof/>
                <w:webHidden/>
              </w:rPr>
            </w:r>
            <w:r>
              <w:rPr>
                <w:noProof/>
                <w:webHidden/>
              </w:rPr>
              <w:fldChar w:fldCharType="separate"/>
            </w:r>
            <w:r>
              <w:rPr>
                <w:noProof/>
                <w:webHidden/>
              </w:rPr>
              <w:t>2</w:t>
            </w:r>
            <w:r>
              <w:rPr>
                <w:noProof/>
                <w:webHidden/>
              </w:rPr>
              <w:fldChar w:fldCharType="end"/>
            </w:r>
          </w:hyperlink>
        </w:p>
        <w:p w14:paraId="3A1EBADA" w14:textId="7223A850" w:rsidR="002830EC" w:rsidRDefault="002830EC">
          <w:pPr>
            <w:pStyle w:val="TOC2"/>
            <w:tabs>
              <w:tab w:val="right" w:leader="dot" w:pos="9016"/>
            </w:tabs>
            <w:rPr>
              <w:noProof/>
            </w:rPr>
          </w:pPr>
          <w:hyperlink w:anchor="_Toc215740871" w:history="1">
            <w:r w:rsidRPr="00FB1646">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_Toc215740871 \h </w:instrText>
            </w:r>
            <w:r>
              <w:rPr>
                <w:noProof/>
                <w:webHidden/>
              </w:rPr>
            </w:r>
            <w:r>
              <w:rPr>
                <w:noProof/>
                <w:webHidden/>
              </w:rPr>
              <w:fldChar w:fldCharType="separate"/>
            </w:r>
            <w:r>
              <w:rPr>
                <w:noProof/>
                <w:webHidden/>
              </w:rPr>
              <w:t>2</w:t>
            </w:r>
            <w:r>
              <w:rPr>
                <w:noProof/>
                <w:webHidden/>
              </w:rPr>
              <w:fldChar w:fldCharType="end"/>
            </w:r>
          </w:hyperlink>
        </w:p>
        <w:p w14:paraId="47F30CD8" w14:textId="7027A5D0" w:rsidR="002830EC" w:rsidRDefault="002830EC">
          <w:pPr>
            <w:pStyle w:val="TOC2"/>
            <w:tabs>
              <w:tab w:val="right" w:leader="dot" w:pos="9016"/>
            </w:tabs>
            <w:rPr>
              <w:noProof/>
            </w:rPr>
          </w:pPr>
          <w:hyperlink w:anchor="_Toc215740872" w:history="1">
            <w:r w:rsidRPr="00FB1646">
              <w:rPr>
                <w:rStyle w:val="Hyperlink"/>
                <w:rFonts w:eastAsia="Times New Roman"/>
                <w:noProof/>
                <w:lang w:eastAsia="en-GB"/>
              </w:rPr>
              <w:t>2. Key Consumer and Industry Trends Affecting Compass Group</w:t>
            </w:r>
            <w:r>
              <w:rPr>
                <w:noProof/>
                <w:webHidden/>
              </w:rPr>
              <w:tab/>
            </w:r>
            <w:r>
              <w:rPr>
                <w:noProof/>
                <w:webHidden/>
              </w:rPr>
              <w:fldChar w:fldCharType="begin"/>
            </w:r>
            <w:r>
              <w:rPr>
                <w:noProof/>
                <w:webHidden/>
              </w:rPr>
              <w:instrText xml:space="preserve"> PAGEREF _Toc215740872 \h </w:instrText>
            </w:r>
            <w:r>
              <w:rPr>
                <w:noProof/>
                <w:webHidden/>
              </w:rPr>
            </w:r>
            <w:r>
              <w:rPr>
                <w:noProof/>
                <w:webHidden/>
              </w:rPr>
              <w:fldChar w:fldCharType="separate"/>
            </w:r>
            <w:r>
              <w:rPr>
                <w:noProof/>
                <w:webHidden/>
              </w:rPr>
              <w:t>2</w:t>
            </w:r>
            <w:r>
              <w:rPr>
                <w:noProof/>
                <w:webHidden/>
              </w:rPr>
              <w:fldChar w:fldCharType="end"/>
            </w:r>
          </w:hyperlink>
        </w:p>
        <w:p w14:paraId="52409787" w14:textId="74396306" w:rsidR="002830EC" w:rsidRDefault="002830EC">
          <w:pPr>
            <w:pStyle w:val="TOC3"/>
            <w:tabs>
              <w:tab w:val="right" w:leader="dot" w:pos="9016"/>
            </w:tabs>
            <w:rPr>
              <w:noProof/>
            </w:rPr>
          </w:pPr>
          <w:hyperlink w:anchor="_Toc215740873" w:history="1">
            <w:r w:rsidRPr="00FB1646">
              <w:rPr>
                <w:rStyle w:val="Hyperlink"/>
                <w:rFonts w:eastAsia="Times New Roman"/>
                <w:noProof/>
                <w:lang w:eastAsia="en-GB"/>
              </w:rPr>
              <w:t>2.1 Sustainability and Low-Carbon Catering</w:t>
            </w:r>
            <w:r>
              <w:rPr>
                <w:noProof/>
                <w:webHidden/>
              </w:rPr>
              <w:tab/>
            </w:r>
            <w:r>
              <w:rPr>
                <w:noProof/>
                <w:webHidden/>
              </w:rPr>
              <w:fldChar w:fldCharType="begin"/>
            </w:r>
            <w:r>
              <w:rPr>
                <w:noProof/>
                <w:webHidden/>
              </w:rPr>
              <w:instrText xml:space="preserve"> PAGEREF _Toc215740873 \h </w:instrText>
            </w:r>
            <w:r>
              <w:rPr>
                <w:noProof/>
                <w:webHidden/>
              </w:rPr>
            </w:r>
            <w:r>
              <w:rPr>
                <w:noProof/>
                <w:webHidden/>
              </w:rPr>
              <w:fldChar w:fldCharType="separate"/>
            </w:r>
            <w:r>
              <w:rPr>
                <w:noProof/>
                <w:webHidden/>
              </w:rPr>
              <w:t>2</w:t>
            </w:r>
            <w:r>
              <w:rPr>
                <w:noProof/>
                <w:webHidden/>
              </w:rPr>
              <w:fldChar w:fldCharType="end"/>
            </w:r>
          </w:hyperlink>
        </w:p>
        <w:p w14:paraId="130206D0" w14:textId="79977FC2" w:rsidR="002830EC" w:rsidRDefault="002830EC">
          <w:pPr>
            <w:pStyle w:val="TOC2"/>
            <w:tabs>
              <w:tab w:val="right" w:leader="dot" w:pos="9016"/>
            </w:tabs>
            <w:rPr>
              <w:noProof/>
            </w:rPr>
          </w:pPr>
          <w:hyperlink w:anchor="_Toc215740874" w:history="1">
            <w:r w:rsidRPr="00FB1646">
              <w:rPr>
                <w:rStyle w:val="Hyperlink"/>
                <w:rFonts w:eastAsia="Times New Roman"/>
                <w:noProof/>
                <w:lang w:eastAsia="en-GB"/>
              </w:rPr>
              <w:t>2.2 Digitalisation and Technology Adoption</w:t>
            </w:r>
            <w:r>
              <w:rPr>
                <w:noProof/>
                <w:webHidden/>
              </w:rPr>
              <w:tab/>
            </w:r>
            <w:r>
              <w:rPr>
                <w:noProof/>
                <w:webHidden/>
              </w:rPr>
              <w:fldChar w:fldCharType="begin"/>
            </w:r>
            <w:r>
              <w:rPr>
                <w:noProof/>
                <w:webHidden/>
              </w:rPr>
              <w:instrText xml:space="preserve"> PAGEREF _Toc215740874 \h </w:instrText>
            </w:r>
            <w:r>
              <w:rPr>
                <w:noProof/>
                <w:webHidden/>
              </w:rPr>
            </w:r>
            <w:r>
              <w:rPr>
                <w:noProof/>
                <w:webHidden/>
              </w:rPr>
              <w:fldChar w:fldCharType="separate"/>
            </w:r>
            <w:r>
              <w:rPr>
                <w:noProof/>
                <w:webHidden/>
              </w:rPr>
              <w:t>3</w:t>
            </w:r>
            <w:r>
              <w:rPr>
                <w:noProof/>
                <w:webHidden/>
              </w:rPr>
              <w:fldChar w:fldCharType="end"/>
            </w:r>
          </w:hyperlink>
        </w:p>
        <w:p w14:paraId="4FCC1B33" w14:textId="4A4140FD" w:rsidR="002830EC" w:rsidRDefault="002830EC">
          <w:pPr>
            <w:pStyle w:val="TOC3"/>
            <w:tabs>
              <w:tab w:val="right" w:leader="dot" w:pos="9016"/>
            </w:tabs>
            <w:rPr>
              <w:noProof/>
            </w:rPr>
          </w:pPr>
          <w:hyperlink w:anchor="_Toc215740875" w:history="1">
            <w:r w:rsidRPr="00FB1646">
              <w:rPr>
                <w:rStyle w:val="Hyperlink"/>
                <w:rFonts w:eastAsia="Times New Roman"/>
                <w:noProof/>
                <w:lang w:eastAsia="en-GB"/>
              </w:rPr>
              <w:t>2.3 Health, Wellness, and Personalised Nutrition</w:t>
            </w:r>
            <w:r>
              <w:rPr>
                <w:noProof/>
                <w:webHidden/>
              </w:rPr>
              <w:tab/>
            </w:r>
            <w:r>
              <w:rPr>
                <w:noProof/>
                <w:webHidden/>
              </w:rPr>
              <w:fldChar w:fldCharType="begin"/>
            </w:r>
            <w:r>
              <w:rPr>
                <w:noProof/>
                <w:webHidden/>
              </w:rPr>
              <w:instrText xml:space="preserve"> PAGEREF _Toc215740875 \h </w:instrText>
            </w:r>
            <w:r>
              <w:rPr>
                <w:noProof/>
                <w:webHidden/>
              </w:rPr>
            </w:r>
            <w:r>
              <w:rPr>
                <w:noProof/>
                <w:webHidden/>
              </w:rPr>
              <w:fldChar w:fldCharType="separate"/>
            </w:r>
            <w:r>
              <w:rPr>
                <w:noProof/>
                <w:webHidden/>
              </w:rPr>
              <w:t>3</w:t>
            </w:r>
            <w:r>
              <w:rPr>
                <w:noProof/>
                <w:webHidden/>
              </w:rPr>
              <w:fldChar w:fldCharType="end"/>
            </w:r>
          </w:hyperlink>
        </w:p>
        <w:p w14:paraId="643C51DC" w14:textId="3FF643B0" w:rsidR="002830EC" w:rsidRDefault="002830EC">
          <w:pPr>
            <w:pStyle w:val="TOC3"/>
            <w:tabs>
              <w:tab w:val="right" w:leader="dot" w:pos="9016"/>
            </w:tabs>
            <w:rPr>
              <w:noProof/>
            </w:rPr>
          </w:pPr>
          <w:hyperlink w:anchor="_Toc215740876" w:history="1">
            <w:r w:rsidRPr="00FB1646">
              <w:rPr>
                <w:rStyle w:val="Hyperlink"/>
                <w:rFonts w:eastAsia="Times New Roman"/>
                <w:noProof/>
                <w:lang w:eastAsia="en-GB"/>
              </w:rPr>
              <w:t>2.4 Labour Shortages and Automation</w:t>
            </w:r>
            <w:r>
              <w:rPr>
                <w:noProof/>
                <w:webHidden/>
              </w:rPr>
              <w:tab/>
            </w:r>
            <w:r>
              <w:rPr>
                <w:noProof/>
                <w:webHidden/>
              </w:rPr>
              <w:fldChar w:fldCharType="begin"/>
            </w:r>
            <w:r>
              <w:rPr>
                <w:noProof/>
                <w:webHidden/>
              </w:rPr>
              <w:instrText xml:space="preserve"> PAGEREF _Toc215740876 \h </w:instrText>
            </w:r>
            <w:r>
              <w:rPr>
                <w:noProof/>
                <w:webHidden/>
              </w:rPr>
            </w:r>
            <w:r>
              <w:rPr>
                <w:noProof/>
                <w:webHidden/>
              </w:rPr>
              <w:fldChar w:fldCharType="separate"/>
            </w:r>
            <w:r>
              <w:rPr>
                <w:noProof/>
                <w:webHidden/>
              </w:rPr>
              <w:t>3</w:t>
            </w:r>
            <w:r>
              <w:rPr>
                <w:noProof/>
                <w:webHidden/>
              </w:rPr>
              <w:fldChar w:fldCharType="end"/>
            </w:r>
          </w:hyperlink>
        </w:p>
        <w:p w14:paraId="791D590F" w14:textId="501C4F2E" w:rsidR="002830EC" w:rsidRDefault="002830EC">
          <w:pPr>
            <w:pStyle w:val="TOC3"/>
            <w:tabs>
              <w:tab w:val="right" w:leader="dot" w:pos="9016"/>
            </w:tabs>
            <w:rPr>
              <w:noProof/>
            </w:rPr>
          </w:pPr>
          <w:hyperlink w:anchor="_Toc215740877" w:history="1">
            <w:r w:rsidRPr="00FB1646">
              <w:rPr>
                <w:rStyle w:val="Hyperlink"/>
                <w:rFonts w:eastAsia="Times New Roman"/>
                <w:noProof/>
                <w:lang w:eastAsia="en-GB"/>
              </w:rPr>
              <w:t>2.5 Competitor Benchmarking and Industry Context</w:t>
            </w:r>
            <w:r>
              <w:rPr>
                <w:noProof/>
                <w:webHidden/>
              </w:rPr>
              <w:tab/>
            </w:r>
            <w:r>
              <w:rPr>
                <w:noProof/>
                <w:webHidden/>
              </w:rPr>
              <w:fldChar w:fldCharType="begin"/>
            </w:r>
            <w:r>
              <w:rPr>
                <w:noProof/>
                <w:webHidden/>
              </w:rPr>
              <w:instrText xml:space="preserve"> PAGEREF _Toc215740877 \h </w:instrText>
            </w:r>
            <w:r>
              <w:rPr>
                <w:noProof/>
                <w:webHidden/>
              </w:rPr>
            </w:r>
            <w:r>
              <w:rPr>
                <w:noProof/>
                <w:webHidden/>
              </w:rPr>
              <w:fldChar w:fldCharType="separate"/>
            </w:r>
            <w:r>
              <w:rPr>
                <w:noProof/>
                <w:webHidden/>
              </w:rPr>
              <w:t>4</w:t>
            </w:r>
            <w:r>
              <w:rPr>
                <w:noProof/>
                <w:webHidden/>
              </w:rPr>
              <w:fldChar w:fldCharType="end"/>
            </w:r>
          </w:hyperlink>
        </w:p>
        <w:p w14:paraId="75EE831E" w14:textId="1D231EFE" w:rsidR="002830EC" w:rsidRDefault="002830EC">
          <w:pPr>
            <w:pStyle w:val="TOC3"/>
            <w:tabs>
              <w:tab w:val="right" w:leader="dot" w:pos="9016"/>
            </w:tabs>
            <w:rPr>
              <w:noProof/>
            </w:rPr>
          </w:pPr>
          <w:hyperlink w:anchor="_Toc215740878" w:history="1">
            <w:r w:rsidRPr="00FB1646">
              <w:rPr>
                <w:rStyle w:val="Hyperlink"/>
                <w:rFonts w:eastAsia="Times New Roman"/>
                <w:noProof/>
                <w:lang w:eastAsia="en-GB"/>
              </w:rPr>
              <w:t>2.6 Future Trends</w:t>
            </w:r>
            <w:r>
              <w:rPr>
                <w:noProof/>
                <w:webHidden/>
              </w:rPr>
              <w:tab/>
            </w:r>
            <w:r>
              <w:rPr>
                <w:noProof/>
                <w:webHidden/>
              </w:rPr>
              <w:fldChar w:fldCharType="begin"/>
            </w:r>
            <w:r>
              <w:rPr>
                <w:noProof/>
                <w:webHidden/>
              </w:rPr>
              <w:instrText xml:space="preserve"> PAGEREF _Toc215740878 \h </w:instrText>
            </w:r>
            <w:r>
              <w:rPr>
                <w:noProof/>
                <w:webHidden/>
              </w:rPr>
            </w:r>
            <w:r>
              <w:rPr>
                <w:noProof/>
                <w:webHidden/>
              </w:rPr>
              <w:fldChar w:fldCharType="separate"/>
            </w:r>
            <w:r>
              <w:rPr>
                <w:noProof/>
                <w:webHidden/>
              </w:rPr>
              <w:t>4</w:t>
            </w:r>
            <w:r>
              <w:rPr>
                <w:noProof/>
                <w:webHidden/>
              </w:rPr>
              <w:fldChar w:fldCharType="end"/>
            </w:r>
          </w:hyperlink>
        </w:p>
        <w:p w14:paraId="5A28FAAD" w14:textId="36A0CCC6" w:rsidR="002830EC" w:rsidRDefault="002830EC">
          <w:pPr>
            <w:pStyle w:val="TOC2"/>
            <w:tabs>
              <w:tab w:val="right" w:leader="dot" w:pos="9016"/>
            </w:tabs>
            <w:rPr>
              <w:noProof/>
            </w:rPr>
          </w:pPr>
          <w:hyperlink w:anchor="_Toc215740879" w:history="1">
            <w:r w:rsidRPr="00FB1646">
              <w:rPr>
                <w:rStyle w:val="Hyperlink"/>
                <w:rFonts w:eastAsia="Times New Roman"/>
                <w:noProof/>
                <w:lang w:eastAsia="en-GB"/>
              </w:rPr>
              <w:t>3. Part 1: Analysis of Current Innovation</w:t>
            </w:r>
            <w:r>
              <w:rPr>
                <w:noProof/>
                <w:webHidden/>
              </w:rPr>
              <w:tab/>
            </w:r>
            <w:r>
              <w:rPr>
                <w:noProof/>
                <w:webHidden/>
              </w:rPr>
              <w:fldChar w:fldCharType="begin"/>
            </w:r>
            <w:r>
              <w:rPr>
                <w:noProof/>
                <w:webHidden/>
              </w:rPr>
              <w:instrText xml:space="preserve"> PAGEREF _Toc215740879 \h </w:instrText>
            </w:r>
            <w:r>
              <w:rPr>
                <w:noProof/>
                <w:webHidden/>
              </w:rPr>
            </w:r>
            <w:r>
              <w:rPr>
                <w:noProof/>
                <w:webHidden/>
              </w:rPr>
              <w:fldChar w:fldCharType="separate"/>
            </w:r>
            <w:r>
              <w:rPr>
                <w:noProof/>
                <w:webHidden/>
              </w:rPr>
              <w:t>5</w:t>
            </w:r>
            <w:r>
              <w:rPr>
                <w:noProof/>
                <w:webHidden/>
              </w:rPr>
              <w:fldChar w:fldCharType="end"/>
            </w:r>
          </w:hyperlink>
        </w:p>
        <w:p w14:paraId="7125A486" w14:textId="182874E3" w:rsidR="002830EC" w:rsidRDefault="002830EC">
          <w:pPr>
            <w:pStyle w:val="TOC3"/>
            <w:tabs>
              <w:tab w:val="right" w:leader="dot" w:pos="9016"/>
            </w:tabs>
            <w:rPr>
              <w:noProof/>
            </w:rPr>
          </w:pPr>
          <w:hyperlink w:anchor="_Toc215740880" w:history="1">
            <w:r w:rsidRPr="00FB1646">
              <w:rPr>
                <w:rStyle w:val="Hyperlink"/>
                <w:noProof/>
              </w:rPr>
              <w:t>3.1 Innovation Ambition</w:t>
            </w:r>
            <w:r>
              <w:rPr>
                <w:noProof/>
                <w:webHidden/>
              </w:rPr>
              <w:tab/>
            </w:r>
            <w:r>
              <w:rPr>
                <w:noProof/>
                <w:webHidden/>
              </w:rPr>
              <w:fldChar w:fldCharType="begin"/>
            </w:r>
            <w:r>
              <w:rPr>
                <w:noProof/>
                <w:webHidden/>
              </w:rPr>
              <w:instrText xml:space="preserve"> PAGEREF _Toc215740880 \h </w:instrText>
            </w:r>
            <w:r>
              <w:rPr>
                <w:noProof/>
                <w:webHidden/>
              </w:rPr>
            </w:r>
            <w:r>
              <w:rPr>
                <w:noProof/>
                <w:webHidden/>
              </w:rPr>
              <w:fldChar w:fldCharType="separate"/>
            </w:r>
            <w:r>
              <w:rPr>
                <w:noProof/>
                <w:webHidden/>
              </w:rPr>
              <w:t>5</w:t>
            </w:r>
            <w:r>
              <w:rPr>
                <w:noProof/>
                <w:webHidden/>
              </w:rPr>
              <w:fldChar w:fldCharType="end"/>
            </w:r>
          </w:hyperlink>
        </w:p>
        <w:p w14:paraId="4C25952D" w14:textId="4EBFBB6F" w:rsidR="002830EC" w:rsidRDefault="002830EC">
          <w:pPr>
            <w:pStyle w:val="TOC3"/>
            <w:tabs>
              <w:tab w:val="right" w:leader="dot" w:pos="9016"/>
            </w:tabs>
            <w:rPr>
              <w:noProof/>
            </w:rPr>
          </w:pPr>
          <w:hyperlink w:anchor="_Toc215740881" w:history="1">
            <w:r w:rsidRPr="00FB1646">
              <w:rPr>
                <w:rStyle w:val="Hyperlink"/>
                <w:noProof/>
              </w:rPr>
              <w:t>Table 1: Expanded Innovation Ambition Matrix – Compass Group</w:t>
            </w:r>
            <w:r>
              <w:rPr>
                <w:noProof/>
                <w:webHidden/>
              </w:rPr>
              <w:tab/>
            </w:r>
            <w:r>
              <w:rPr>
                <w:noProof/>
                <w:webHidden/>
              </w:rPr>
              <w:fldChar w:fldCharType="begin"/>
            </w:r>
            <w:r>
              <w:rPr>
                <w:noProof/>
                <w:webHidden/>
              </w:rPr>
              <w:instrText xml:space="preserve"> PAGEREF _Toc215740881 \h </w:instrText>
            </w:r>
            <w:r>
              <w:rPr>
                <w:noProof/>
                <w:webHidden/>
              </w:rPr>
            </w:r>
            <w:r>
              <w:rPr>
                <w:noProof/>
                <w:webHidden/>
              </w:rPr>
              <w:fldChar w:fldCharType="separate"/>
            </w:r>
            <w:r>
              <w:rPr>
                <w:noProof/>
                <w:webHidden/>
              </w:rPr>
              <w:t>6</w:t>
            </w:r>
            <w:r>
              <w:rPr>
                <w:noProof/>
                <w:webHidden/>
              </w:rPr>
              <w:fldChar w:fldCharType="end"/>
            </w:r>
          </w:hyperlink>
        </w:p>
        <w:p w14:paraId="58D8B9C9" w14:textId="3C5115DA" w:rsidR="002830EC" w:rsidRDefault="002830EC">
          <w:pPr>
            <w:pStyle w:val="TOC3"/>
            <w:tabs>
              <w:tab w:val="right" w:leader="dot" w:pos="9016"/>
            </w:tabs>
            <w:rPr>
              <w:noProof/>
            </w:rPr>
          </w:pPr>
          <w:hyperlink w:anchor="_Toc215740882" w:history="1">
            <w:r w:rsidRPr="00FB1646">
              <w:rPr>
                <w:rStyle w:val="Hyperlink"/>
                <w:rFonts w:eastAsia="Times New Roman"/>
                <w:noProof/>
                <w:lang w:eastAsia="en-GB"/>
              </w:rPr>
              <w:t>3.2 Current Customer Journey Mapping</w:t>
            </w:r>
            <w:r>
              <w:rPr>
                <w:noProof/>
                <w:webHidden/>
              </w:rPr>
              <w:tab/>
            </w:r>
            <w:r>
              <w:rPr>
                <w:noProof/>
                <w:webHidden/>
              </w:rPr>
              <w:fldChar w:fldCharType="begin"/>
            </w:r>
            <w:r>
              <w:rPr>
                <w:noProof/>
                <w:webHidden/>
              </w:rPr>
              <w:instrText xml:space="preserve"> PAGEREF _Toc215740882 \h </w:instrText>
            </w:r>
            <w:r>
              <w:rPr>
                <w:noProof/>
                <w:webHidden/>
              </w:rPr>
            </w:r>
            <w:r>
              <w:rPr>
                <w:noProof/>
                <w:webHidden/>
              </w:rPr>
              <w:fldChar w:fldCharType="separate"/>
            </w:r>
            <w:r>
              <w:rPr>
                <w:noProof/>
                <w:webHidden/>
              </w:rPr>
              <w:t>8</w:t>
            </w:r>
            <w:r>
              <w:rPr>
                <w:noProof/>
                <w:webHidden/>
              </w:rPr>
              <w:fldChar w:fldCharType="end"/>
            </w:r>
          </w:hyperlink>
        </w:p>
        <w:p w14:paraId="0D5C3714" w14:textId="1F26DCF4" w:rsidR="002830EC" w:rsidRDefault="002830EC">
          <w:pPr>
            <w:pStyle w:val="TOC3"/>
            <w:tabs>
              <w:tab w:val="right" w:leader="dot" w:pos="9016"/>
            </w:tabs>
            <w:rPr>
              <w:noProof/>
            </w:rPr>
          </w:pPr>
          <w:hyperlink w:anchor="_Toc215740883" w:history="1">
            <w:r w:rsidRPr="00FB1646">
              <w:rPr>
                <w:rStyle w:val="Hyperlink"/>
                <w:rFonts w:eastAsia="Times New Roman"/>
                <w:noProof/>
                <w:lang w:eastAsia="en-GB"/>
              </w:rPr>
              <w:t>Table 2: Expanded Current Customer Journey Map – Compass Group</w:t>
            </w:r>
            <w:r>
              <w:rPr>
                <w:noProof/>
                <w:webHidden/>
              </w:rPr>
              <w:tab/>
            </w:r>
            <w:r>
              <w:rPr>
                <w:noProof/>
                <w:webHidden/>
              </w:rPr>
              <w:fldChar w:fldCharType="begin"/>
            </w:r>
            <w:r>
              <w:rPr>
                <w:noProof/>
                <w:webHidden/>
              </w:rPr>
              <w:instrText xml:space="preserve"> PAGEREF _Toc215740883 \h </w:instrText>
            </w:r>
            <w:r>
              <w:rPr>
                <w:noProof/>
                <w:webHidden/>
              </w:rPr>
            </w:r>
            <w:r>
              <w:rPr>
                <w:noProof/>
                <w:webHidden/>
              </w:rPr>
              <w:fldChar w:fldCharType="separate"/>
            </w:r>
            <w:r>
              <w:rPr>
                <w:noProof/>
                <w:webHidden/>
              </w:rPr>
              <w:t>8</w:t>
            </w:r>
            <w:r>
              <w:rPr>
                <w:noProof/>
                <w:webHidden/>
              </w:rPr>
              <w:fldChar w:fldCharType="end"/>
            </w:r>
          </w:hyperlink>
        </w:p>
        <w:p w14:paraId="25B9B2B0" w14:textId="17D24B7E" w:rsidR="002830EC" w:rsidRDefault="002830EC">
          <w:pPr>
            <w:pStyle w:val="TOC2"/>
            <w:tabs>
              <w:tab w:val="right" w:leader="dot" w:pos="9016"/>
            </w:tabs>
            <w:rPr>
              <w:noProof/>
            </w:rPr>
          </w:pPr>
          <w:hyperlink w:anchor="_Toc215740884" w:history="1">
            <w:r w:rsidRPr="00FB1646">
              <w:rPr>
                <w:rStyle w:val="Hyperlink"/>
                <w:rFonts w:eastAsia="Times New Roman"/>
                <w:noProof/>
                <w:lang w:eastAsia="en-GB"/>
              </w:rPr>
              <w:t>4. Part 2: Proposed Digital Transformation Initiative</w:t>
            </w:r>
            <w:r>
              <w:rPr>
                <w:noProof/>
                <w:webHidden/>
              </w:rPr>
              <w:tab/>
            </w:r>
            <w:r>
              <w:rPr>
                <w:noProof/>
                <w:webHidden/>
              </w:rPr>
              <w:fldChar w:fldCharType="begin"/>
            </w:r>
            <w:r>
              <w:rPr>
                <w:noProof/>
                <w:webHidden/>
              </w:rPr>
              <w:instrText xml:space="preserve"> PAGEREF _Toc215740884 \h </w:instrText>
            </w:r>
            <w:r>
              <w:rPr>
                <w:noProof/>
                <w:webHidden/>
              </w:rPr>
            </w:r>
            <w:r>
              <w:rPr>
                <w:noProof/>
                <w:webHidden/>
              </w:rPr>
              <w:fldChar w:fldCharType="separate"/>
            </w:r>
            <w:r>
              <w:rPr>
                <w:noProof/>
                <w:webHidden/>
              </w:rPr>
              <w:t>10</w:t>
            </w:r>
            <w:r>
              <w:rPr>
                <w:noProof/>
                <w:webHidden/>
              </w:rPr>
              <w:fldChar w:fldCharType="end"/>
            </w:r>
          </w:hyperlink>
        </w:p>
        <w:p w14:paraId="6008DB28" w14:textId="12E9AD3D" w:rsidR="002830EC" w:rsidRDefault="002830EC">
          <w:pPr>
            <w:pStyle w:val="TOC3"/>
            <w:tabs>
              <w:tab w:val="right" w:leader="dot" w:pos="9016"/>
            </w:tabs>
            <w:rPr>
              <w:noProof/>
            </w:rPr>
          </w:pPr>
          <w:hyperlink w:anchor="_Toc215740885" w:history="1">
            <w:r w:rsidRPr="00FB1646">
              <w:rPr>
                <w:rStyle w:val="Hyperlink"/>
                <w:rFonts w:eastAsia="Times New Roman"/>
                <w:noProof/>
                <w:lang w:eastAsia="en-GB"/>
              </w:rPr>
              <w:t>4.1 Proposed Initiative: Compass SmartConnect</w:t>
            </w:r>
            <w:r>
              <w:rPr>
                <w:noProof/>
                <w:webHidden/>
              </w:rPr>
              <w:tab/>
            </w:r>
            <w:r>
              <w:rPr>
                <w:noProof/>
                <w:webHidden/>
              </w:rPr>
              <w:fldChar w:fldCharType="begin"/>
            </w:r>
            <w:r>
              <w:rPr>
                <w:noProof/>
                <w:webHidden/>
              </w:rPr>
              <w:instrText xml:space="preserve"> PAGEREF _Toc215740885 \h </w:instrText>
            </w:r>
            <w:r>
              <w:rPr>
                <w:noProof/>
                <w:webHidden/>
              </w:rPr>
            </w:r>
            <w:r>
              <w:rPr>
                <w:noProof/>
                <w:webHidden/>
              </w:rPr>
              <w:fldChar w:fldCharType="separate"/>
            </w:r>
            <w:r>
              <w:rPr>
                <w:noProof/>
                <w:webHidden/>
              </w:rPr>
              <w:t>10</w:t>
            </w:r>
            <w:r>
              <w:rPr>
                <w:noProof/>
                <w:webHidden/>
              </w:rPr>
              <w:fldChar w:fldCharType="end"/>
            </w:r>
          </w:hyperlink>
        </w:p>
        <w:p w14:paraId="4ECC89D6" w14:textId="250D0267" w:rsidR="002830EC" w:rsidRDefault="002830EC">
          <w:pPr>
            <w:pStyle w:val="TOC3"/>
            <w:tabs>
              <w:tab w:val="right" w:leader="dot" w:pos="9016"/>
            </w:tabs>
            <w:rPr>
              <w:noProof/>
            </w:rPr>
          </w:pPr>
          <w:hyperlink w:anchor="_Toc215740886" w:history="1">
            <w:r w:rsidRPr="00FB1646">
              <w:rPr>
                <w:rStyle w:val="Hyperlink"/>
                <w:rFonts w:eastAsia="Times New Roman"/>
                <w:noProof/>
                <w:lang w:eastAsia="en-GB"/>
              </w:rPr>
              <w:t>4.2 Operational and Strategic Value</w:t>
            </w:r>
            <w:r>
              <w:rPr>
                <w:noProof/>
                <w:webHidden/>
              </w:rPr>
              <w:tab/>
            </w:r>
            <w:r>
              <w:rPr>
                <w:noProof/>
                <w:webHidden/>
              </w:rPr>
              <w:fldChar w:fldCharType="begin"/>
            </w:r>
            <w:r>
              <w:rPr>
                <w:noProof/>
                <w:webHidden/>
              </w:rPr>
              <w:instrText xml:space="preserve"> PAGEREF _Toc215740886 \h </w:instrText>
            </w:r>
            <w:r>
              <w:rPr>
                <w:noProof/>
                <w:webHidden/>
              </w:rPr>
            </w:r>
            <w:r>
              <w:rPr>
                <w:noProof/>
                <w:webHidden/>
              </w:rPr>
              <w:fldChar w:fldCharType="separate"/>
            </w:r>
            <w:r>
              <w:rPr>
                <w:noProof/>
                <w:webHidden/>
              </w:rPr>
              <w:t>11</w:t>
            </w:r>
            <w:r>
              <w:rPr>
                <w:noProof/>
                <w:webHidden/>
              </w:rPr>
              <w:fldChar w:fldCharType="end"/>
            </w:r>
          </w:hyperlink>
        </w:p>
        <w:p w14:paraId="17D0BDB2" w14:textId="5157CC89" w:rsidR="002830EC" w:rsidRDefault="002830EC">
          <w:pPr>
            <w:pStyle w:val="TOC3"/>
            <w:tabs>
              <w:tab w:val="right" w:leader="dot" w:pos="9016"/>
            </w:tabs>
            <w:rPr>
              <w:noProof/>
            </w:rPr>
          </w:pPr>
          <w:hyperlink w:anchor="_Toc215740887" w:history="1">
            <w:r w:rsidRPr="00FB1646">
              <w:rPr>
                <w:rStyle w:val="Hyperlink"/>
                <w:rFonts w:eastAsia="Times New Roman"/>
                <w:noProof/>
                <w:lang w:eastAsia="en-GB"/>
              </w:rPr>
              <w:t>4.3 Cost-Benefit Analysis and ROI</w:t>
            </w:r>
            <w:r>
              <w:rPr>
                <w:noProof/>
                <w:webHidden/>
              </w:rPr>
              <w:tab/>
            </w:r>
            <w:r>
              <w:rPr>
                <w:noProof/>
                <w:webHidden/>
              </w:rPr>
              <w:fldChar w:fldCharType="begin"/>
            </w:r>
            <w:r>
              <w:rPr>
                <w:noProof/>
                <w:webHidden/>
              </w:rPr>
              <w:instrText xml:space="preserve"> PAGEREF _Toc215740887 \h </w:instrText>
            </w:r>
            <w:r>
              <w:rPr>
                <w:noProof/>
                <w:webHidden/>
              </w:rPr>
            </w:r>
            <w:r>
              <w:rPr>
                <w:noProof/>
                <w:webHidden/>
              </w:rPr>
              <w:fldChar w:fldCharType="separate"/>
            </w:r>
            <w:r>
              <w:rPr>
                <w:noProof/>
                <w:webHidden/>
              </w:rPr>
              <w:t>12</w:t>
            </w:r>
            <w:r>
              <w:rPr>
                <w:noProof/>
                <w:webHidden/>
              </w:rPr>
              <w:fldChar w:fldCharType="end"/>
            </w:r>
          </w:hyperlink>
        </w:p>
        <w:p w14:paraId="3E0A1F2B" w14:textId="4E8617B9" w:rsidR="002830EC" w:rsidRDefault="002830EC">
          <w:pPr>
            <w:pStyle w:val="TOC3"/>
            <w:tabs>
              <w:tab w:val="right" w:leader="dot" w:pos="9016"/>
            </w:tabs>
            <w:rPr>
              <w:noProof/>
            </w:rPr>
          </w:pPr>
          <w:hyperlink w:anchor="_Toc215740888" w:history="1">
            <w:r w:rsidRPr="00FB1646">
              <w:rPr>
                <w:rStyle w:val="Hyperlink"/>
                <w:rFonts w:eastAsia="Times New Roman"/>
                <w:noProof/>
                <w:lang w:eastAsia="en-GB"/>
              </w:rPr>
              <w:t>4.4 Risk Assessment and Mitigation</w:t>
            </w:r>
            <w:r>
              <w:rPr>
                <w:noProof/>
                <w:webHidden/>
              </w:rPr>
              <w:tab/>
            </w:r>
            <w:r>
              <w:rPr>
                <w:noProof/>
                <w:webHidden/>
              </w:rPr>
              <w:fldChar w:fldCharType="begin"/>
            </w:r>
            <w:r>
              <w:rPr>
                <w:noProof/>
                <w:webHidden/>
              </w:rPr>
              <w:instrText xml:space="preserve"> PAGEREF _Toc215740888 \h </w:instrText>
            </w:r>
            <w:r>
              <w:rPr>
                <w:noProof/>
                <w:webHidden/>
              </w:rPr>
            </w:r>
            <w:r>
              <w:rPr>
                <w:noProof/>
                <w:webHidden/>
              </w:rPr>
              <w:fldChar w:fldCharType="separate"/>
            </w:r>
            <w:r>
              <w:rPr>
                <w:noProof/>
                <w:webHidden/>
              </w:rPr>
              <w:t>13</w:t>
            </w:r>
            <w:r>
              <w:rPr>
                <w:noProof/>
                <w:webHidden/>
              </w:rPr>
              <w:fldChar w:fldCharType="end"/>
            </w:r>
          </w:hyperlink>
        </w:p>
        <w:p w14:paraId="255A95BB" w14:textId="4DC45553" w:rsidR="002830EC" w:rsidRDefault="002830EC">
          <w:pPr>
            <w:pStyle w:val="TOC3"/>
            <w:tabs>
              <w:tab w:val="right" w:leader="dot" w:pos="9016"/>
            </w:tabs>
            <w:rPr>
              <w:noProof/>
            </w:rPr>
          </w:pPr>
          <w:hyperlink w:anchor="_Toc215740889" w:history="1">
            <w:r w:rsidRPr="00FB1646">
              <w:rPr>
                <w:rStyle w:val="Hyperlink"/>
                <w:rFonts w:eastAsia="Times New Roman"/>
                <w:noProof/>
                <w:lang w:eastAsia="en-GB"/>
              </w:rPr>
              <w:t>4.5 Enhanced Customer Journey Map</w:t>
            </w:r>
            <w:r>
              <w:rPr>
                <w:noProof/>
                <w:webHidden/>
              </w:rPr>
              <w:tab/>
            </w:r>
            <w:r>
              <w:rPr>
                <w:noProof/>
                <w:webHidden/>
              </w:rPr>
              <w:fldChar w:fldCharType="begin"/>
            </w:r>
            <w:r>
              <w:rPr>
                <w:noProof/>
                <w:webHidden/>
              </w:rPr>
              <w:instrText xml:space="preserve"> PAGEREF _Toc215740889 \h </w:instrText>
            </w:r>
            <w:r>
              <w:rPr>
                <w:noProof/>
                <w:webHidden/>
              </w:rPr>
            </w:r>
            <w:r>
              <w:rPr>
                <w:noProof/>
                <w:webHidden/>
              </w:rPr>
              <w:fldChar w:fldCharType="separate"/>
            </w:r>
            <w:r>
              <w:rPr>
                <w:noProof/>
                <w:webHidden/>
              </w:rPr>
              <w:t>13</w:t>
            </w:r>
            <w:r>
              <w:rPr>
                <w:noProof/>
                <w:webHidden/>
              </w:rPr>
              <w:fldChar w:fldCharType="end"/>
            </w:r>
          </w:hyperlink>
        </w:p>
        <w:p w14:paraId="1F2EE9FF" w14:textId="217C1FCF" w:rsidR="002830EC" w:rsidRDefault="002830EC">
          <w:pPr>
            <w:pStyle w:val="TOC3"/>
            <w:tabs>
              <w:tab w:val="right" w:leader="dot" w:pos="9016"/>
            </w:tabs>
            <w:rPr>
              <w:noProof/>
            </w:rPr>
          </w:pPr>
          <w:hyperlink w:anchor="_Toc215740890" w:history="1">
            <w:r w:rsidRPr="00FB1646">
              <w:rPr>
                <w:rStyle w:val="Hyperlink"/>
                <w:rFonts w:eastAsia="Times New Roman"/>
                <w:noProof/>
                <w:lang w:eastAsia="en-GB"/>
              </w:rPr>
              <w:t>Table 3: Enhanced Customer Journey Map – Compass SmartConnect</w:t>
            </w:r>
            <w:r>
              <w:rPr>
                <w:noProof/>
                <w:webHidden/>
              </w:rPr>
              <w:tab/>
            </w:r>
            <w:r>
              <w:rPr>
                <w:noProof/>
                <w:webHidden/>
              </w:rPr>
              <w:fldChar w:fldCharType="begin"/>
            </w:r>
            <w:r>
              <w:rPr>
                <w:noProof/>
                <w:webHidden/>
              </w:rPr>
              <w:instrText xml:space="preserve"> PAGEREF _Toc215740890 \h </w:instrText>
            </w:r>
            <w:r>
              <w:rPr>
                <w:noProof/>
                <w:webHidden/>
              </w:rPr>
            </w:r>
            <w:r>
              <w:rPr>
                <w:noProof/>
                <w:webHidden/>
              </w:rPr>
              <w:fldChar w:fldCharType="separate"/>
            </w:r>
            <w:r>
              <w:rPr>
                <w:noProof/>
                <w:webHidden/>
              </w:rPr>
              <w:t>14</w:t>
            </w:r>
            <w:r>
              <w:rPr>
                <w:noProof/>
                <w:webHidden/>
              </w:rPr>
              <w:fldChar w:fldCharType="end"/>
            </w:r>
          </w:hyperlink>
        </w:p>
        <w:p w14:paraId="65D3A4EA" w14:textId="08DA96B1" w:rsidR="002830EC" w:rsidRDefault="002830EC">
          <w:pPr>
            <w:pStyle w:val="TOC3"/>
            <w:tabs>
              <w:tab w:val="right" w:leader="dot" w:pos="9016"/>
            </w:tabs>
            <w:rPr>
              <w:noProof/>
            </w:rPr>
          </w:pPr>
          <w:hyperlink w:anchor="_Toc215740891" w:history="1">
            <w:r w:rsidRPr="00FB1646">
              <w:rPr>
                <w:rStyle w:val="Hyperlink"/>
                <w:rFonts w:eastAsia="Times New Roman"/>
                <w:noProof/>
                <w:lang w:eastAsia="en-GB"/>
              </w:rPr>
              <w:t>4.6 Sector-Specific Adaptations and Scalability</w:t>
            </w:r>
            <w:r>
              <w:rPr>
                <w:noProof/>
                <w:webHidden/>
              </w:rPr>
              <w:tab/>
            </w:r>
            <w:r>
              <w:rPr>
                <w:noProof/>
                <w:webHidden/>
              </w:rPr>
              <w:fldChar w:fldCharType="begin"/>
            </w:r>
            <w:r>
              <w:rPr>
                <w:noProof/>
                <w:webHidden/>
              </w:rPr>
              <w:instrText xml:space="preserve"> PAGEREF _Toc215740891 \h </w:instrText>
            </w:r>
            <w:r>
              <w:rPr>
                <w:noProof/>
                <w:webHidden/>
              </w:rPr>
            </w:r>
            <w:r>
              <w:rPr>
                <w:noProof/>
                <w:webHidden/>
              </w:rPr>
              <w:fldChar w:fldCharType="separate"/>
            </w:r>
            <w:r>
              <w:rPr>
                <w:noProof/>
                <w:webHidden/>
              </w:rPr>
              <w:t>15</w:t>
            </w:r>
            <w:r>
              <w:rPr>
                <w:noProof/>
                <w:webHidden/>
              </w:rPr>
              <w:fldChar w:fldCharType="end"/>
            </w:r>
          </w:hyperlink>
        </w:p>
        <w:p w14:paraId="036A9794" w14:textId="07D3EF43" w:rsidR="002830EC" w:rsidRDefault="002830EC">
          <w:pPr>
            <w:pStyle w:val="TOC2"/>
            <w:tabs>
              <w:tab w:val="right" w:leader="dot" w:pos="9016"/>
            </w:tabs>
            <w:rPr>
              <w:noProof/>
            </w:rPr>
          </w:pPr>
          <w:hyperlink w:anchor="_Toc215740892" w:history="1">
            <w:r w:rsidRPr="00FB1646">
              <w:rPr>
                <w:rStyle w:val="Hyperlink"/>
                <w:rFonts w:eastAsia="Times New Roman"/>
                <w:noProof/>
                <w:lang w:eastAsia="en-GB"/>
              </w:rPr>
              <w:t>5. Conclusion</w:t>
            </w:r>
            <w:r>
              <w:rPr>
                <w:noProof/>
                <w:webHidden/>
              </w:rPr>
              <w:tab/>
            </w:r>
            <w:r>
              <w:rPr>
                <w:noProof/>
                <w:webHidden/>
              </w:rPr>
              <w:fldChar w:fldCharType="begin"/>
            </w:r>
            <w:r>
              <w:rPr>
                <w:noProof/>
                <w:webHidden/>
              </w:rPr>
              <w:instrText xml:space="preserve"> PAGEREF _Toc215740892 \h </w:instrText>
            </w:r>
            <w:r>
              <w:rPr>
                <w:noProof/>
                <w:webHidden/>
              </w:rPr>
            </w:r>
            <w:r>
              <w:rPr>
                <w:noProof/>
                <w:webHidden/>
              </w:rPr>
              <w:fldChar w:fldCharType="separate"/>
            </w:r>
            <w:r>
              <w:rPr>
                <w:noProof/>
                <w:webHidden/>
              </w:rPr>
              <w:t>15</w:t>
            </w:r>
            <w:r>
              <w:rPr>
                <w:noProof/>
                <w:webHidden/>
              </w:rPr>
              <w:fldChar w:fldCharType="end"/>
            </w:r>
          </w:hyperlink>
        </w:p>
        <w:p w14:paraId="2B45B1D4" w14:textId="4358D0F0" w:rsidR="002830EC" w:rsidRDefault="002830EC">
          <w:pPr>
            <w:pStyle w:val="TOC2"/>
            <w:tabs>
              <w:tab w:val="right" w:leader="dot" w:pos="9016"/>
            </w:tabs>
            <w:rPr>
              <w:noProof/>
            </w:rPr>
          </w:pPr>
          <w:hyperlink w:anchor="_Toc215740893" w:history="1">
            <w:r w:rsidRPr="00FB1646">
              <w:rPr>
                <w:rStyle w:val="Hyperlink"/>
                <w:rFonts w:eastAsia="Times New Roman"/>
                <w:noProof/>
                <w:lang w:eastAsia="en-GB"/>
              </w:rPr>
              <w:t>6. References</w:t>
            </w:r>
            <w:r>
              <w:rPr>
                <w:noProof/>
                <w:webHidden/>
              </w:rPr>
              <w:tab/>
            </w:r>
            <w:r>
              <w:rPr>
                <w:noProof/>
                <w:webHidden/>
              </w:rPr>
              <w:fldChar w:fldCharType="begin"/>
            </w:r>
            <w:r>
              <w:rPr>
                <w:noProof/>
                <w:webHidden/>
              </w:rPr>
              <w:instrText xml:space="preserve"> PAGEREF _Toc215740893 \h </w:instrText>
            </w:r>
            <w:r>
              <w:rPr>
                <w:noProof/>
                <w:webHidden/>
              </w:rPr>
            </w:r>
            <w:r>
              <w:rPr>
                <w:noProof/>
                <w:webHidden/>
              </w:rPr>
              <w:fldChar w:fldCharType="separate"/>
            </w:r>
            <w:r>
              <w:rPr>
                <w:noProof/>
                <w:webHidden/>
              </w:rPr>
              <w:t>17</w:t>
            </w:r>
            <w:r>
              <w:rPr>
                <w:noProof/>
                <w:webHidden/>
              </w:rPr>
              <w:fldChar w:fldCharType="end"/>
            </w:r>
          </w:hyperlink>
        </w:p>
        <w:p w14:paraId="75A8F086" w14:textId="22CDC1B0" w:rsidR="00A80553" w:rsidRPr="002830EC" w:rsidRDefault="002830EC" w:rsidP="002830EC">
          <w:r>
            <w:rPr>
              <w:b/>
              <w:bCs/>
            </w:rPr>
            <w:fldChar w:fldCharType="end"/>
          </w:r>
        </w:p>
      </w:sdtContent>
    </w:sdt>
    <w:p w14:paraId="06A3EA72" w14:textId="28BD3B72" w:rsidR="00A80553" w:rsidRPr="00A80553" w:rsidRDefault="00A80553" w:rsidP="00A80553">
      <w:pPr>
        <w:spacing w:line="360" w:lineRule="auto"/>
        <w:rPr>
          <w:rFonts w:ascii="Arial" w:hAnsi="Arial" w:cs="Arial"/>
          <w:b/>
          <w:bCs/>
          <w:sz w:val="22"/>
          <w:szCs w:val="22"/>
          <w:lang w:eastAsia="en-GB"/>
        </w:rPr>
      </w:pPr>
      <w:r w:rsidRPr="00A80553">
        <w:rPr>
          <w:rFonts w:ascii="Arial" w:hAnsi="Arial" w:cs="Arial"/>
          <w:sz w:val="22"/>
          <w:szCs w:val="22"/>
          <w:lang w:eastAsia="en-GB"/>
        </w:rPr>
        <w:pict w14:anchorId="5BBACFA8">
          <v:rect id="_x0000_i1037" style="width:0;height:1.5pt" o:hralign="center" o:bullet="t" o:hrstd="t" o:hr="t" fillcolor="#a0a0a0" stroked="f"/>
        </w:pict>
      </w:r>
    </w:p>
    <w:p w14:paraId="3B3E0D38" w14:textId="6D202E7A" w:rsidR="00DD33E3" w:rsidRPr="002830EC" w:rsidRDefault="00DD33E3" w:rsidP="00A80553">
      <w:pPr>
        <w:pStyle w:val="Heading1"/>
        <w:rPr>
          <w:rFonts w:eastAsia="Times New Roman"/>
          <w:b/>
          <w:bCs/>
          <w:color w:val="auto"/>
          <w:lang w:eastAsia="en-GB"/>
        </w:rPr>
      </w:pPr>
      <w:bookmarkStart w:id="0" w:name="_Toc215740870"/>
      <w:r w:rsidRPr="002830EC">
        <w:rPr>
          <w:rFonts w:eastAsia="Times New Roman"/>
          <w:b/>
          <w:bCs/>
          <w:color w:val="auto"/>
          <w:lang w:eastAsia="en-GB"/>
        </w:rPr>
        <w:t>INNOVATION &amp; CUSTOMER JOURNEY</w:t>
      </w:r>
      <w:bookmarkEnd w:id="0"/>
      <w:r w:rsidRPr="002830EC">
        <w:rPr>
          <w:rFonts w:eastAsia="Times New Roman"/>
          <w:b/>
          <w:bCs/>
          <w:color w:val="auto"/>
          <w:lang w:eastAsia="en-GB"/>
        </w:rPr>
        <w:t xml:space="preserve"> </w:t>
      </w:r>
    </w:p>
    <w:p w14:paraId="022BA2E1" w14:textId="0EFC36B6" w:rsidR="00F249CD" w:rsidRPr="002830EC" w:rsidRDefault="00F249CD" w:rsidP="00A80553">
      <w:pPr>
        <w:pStyle w:val="Heading2"/>
        <w:rPr>
          <w:rFonts w:eastAsia="Times New Roman"/>
          <w:b/>
          <w:bCs/>
          <w:color w:val="auto"/>
          <w:lang w:eastAsia="en-GB"/>
        </w:rPr>
      </w:pPr>
      <w:bookmarkStart w:id="1" w:name="_Toc215740871"/>
      <w:r w:rsidRPr="002830EC">
        <w:rPr>
          <w:rFonts w:eastAsia="Times New Roman"/>
          <w:b/>
          <w:bCs/>
          <w:color w:val="auto"/>
          <w:lang w:eastAsia="en-GB"/>
        </w:rPr>
        <w:t>1. Introduction</w:t>
      </w:r>
      <w:bookmarkEnd w:id="1"/>
      <w:r w:rsidRPr="002830EC">
        <w:rPr>
          <w:rFonts w:eastAsia="Times New Roman"/>
          <w:b/>
          <w:bCs/>
          <w:color w:val="auto"/>
          <w:lang w:eastAsia="en-GB"/>
        </w:rPr>
        <w:t xml:space="preserve"> </w:t>
      </w:r>
    </w:p>
    <w:p w14:paraId="5F14376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Compass Group PLC is one of the world’s largest contract catering and support services companies. Founded in the United Kingdom in 1941, Compass Group has grown into a global organisation operating in more than 50 countries and employing over 500,000 people (Compass Group, 2024). The company provides food and support services across multiple sectors, including healthcare, education, corporate offices, sports and leisure venues, defence, and offshore sites. Its services range from traditional cafeteria-style foodservice to fully integrated solutions such as vending, coffee services, and technology-driven meal ordering (Deloitte, 2023).</w:t>
      </w:r>
    </w:p>
    <w:p w14:paraId="259F387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Compass Group’s strategic focus includes digital innovation, sustainability, and operational efficiency, reflecting the need to remain competitive in a fast-changing industry. The company generates substantial revenue, exceeding £30 billion annually, and continues to expand its global footprint through acquisitions, partnerships, and technology-driven service improvements (Compass Group, 2024). This expansion requires continuous innovation, both incremental and transformational, to meet evolving client and consumer expectations while maintaining cost efficiency and high-quality service delivery.</w:t>
      </w:r>
    </w:p>
    <w:p w14:paraId="68457B2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The catering industry is facing rapid change driven by three major factors: digitalisation, sustainability concerns, and changing customer preferences. Clients and consumers increasingly expect personalised, healthy, and sustainable meal options, while also valuing convenience, speed, and safety in foodservice operations (Statista, 2024). In addition, automation and workforce shortages are driving the need for more efficient service delivery. For a global operator like Compass Group, these trends create both challenges and opportunities to leverage innovation as a competitive advantage.</w:t>
      </w:r>
    </w:p>
    <w:p w14:paraId="128F7C66" w14:textId="77777777" w:rsidR="00CF7954"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lastRenderedPageBreak/>
        <w:t>This portfolio applies two key frameworks to examine Compass Group’s innovation and customer experience strategies: the Innovation Ambition Matrix and Customer Journey Mappin</w:t>
      </w:r>
      <w:r w:rsidR="004707B6" w:rsidRPr="00A80553">
        <w:rPr>
          <w:rFonts w:ascii="Arial" w:hAnsi="Arial" w:cs="Arial"/>
          <w:sz w:val="22"/>
          <w:szCs w:val="22"/>
          <w:lang w:eastAsia="en-GB"/>
        </w:rPr>
        <w:t xml:space="preserve"> </w:t>
      </w:r>
    </w:p>
    <w:p w14:paraId="2C700AF4" w14:textId="77777777" w:rsidR="00FB7F17" w:rsidRPr="00A80553" w:rsidRDefault="00F249CD" w:rsidP="00A80553">
      <w:pPr>
        <w:spacing w:line="360" w:lineRule="auto"/>
        <w:rPr>
          <w:rFonts w:ascii="Arial" w:eastAsia="+mn-ea" w:hAnsi="Arial" w:cs="Arial"/>
          <w:color w:val="000000"/>
          <w:kern w:val="24"/>
          <w:sz w:val="22"/>
          <w:szCs w:val="22"/>
          <w:lang w:eastAsia="en-GB"/>
        </w:rPr>
      </w:pPr>
      <w:proofErr w:type="gramStart"/>
      <w:r w:rsidRPr="00A80553">
        <w:rPr>
          <w:rFonts w:ascii="Arial" w:hAnsi="Arial" w:cs="Arial"/>
          <w:sz w:val="22"/>
          <w:szCs w:val="22"/>
          <w:lang w:eastAsia="en-GB"/>
        </w:rPr>
        <w:t>.</w:t>
      </w:r>
      <w:r w:rsidR="00D13161" w:rsidRPr="00A80553">
        <w:rPr>
          <w:rFonts w:ascii="Arial" w:eastAsia="+mn-ea" w:hAnsi="Arial" w:cs="Arial"/>
          <w:color w:val="000000"/>
          <w:kern w:val="24"/>
          <w:sz w:val="22"/>
          <w:szCs w:val="22"/>
          <w:lang w:eastAsia="en-GB"/>
        </w:rPr>
        <w:t>Developed</w:t>
      </w:r>
      <w:proofErr w:type="gramEnd"/>
      <w:r w:rsidR="00D13161" w:rsidRPr="00A80553">
        <w:rPr>
          <w:rFonts w:ascii="Arial" w:eastAsia="+mn-ea" w:hAnsi="Arial" w:cs="Arial"/>
          <w:color w:val="000000"/>
          <w:kern w:val="24"/>
          <w:sz w:val="22"/>
          <w:szCs w:val="22"/>
          <w:lang w:eastAsia="en-GB"/>
        </w:rPr>
        <w:t xml:space="preserve"> by Geoff Tuff and Bansi </w:t>
      </w:r>
      <w:proofErr w:type="spellStart"/>
      <w:r w:rsidR="00D13161" w:rsidRPr="00A80553">
        <w:rPr>
          <w:rFonts w:ascii="Arial" w:eastAsia="+mn-ea" w:hAnsi="Arial" w:cs="Arial"/>
          <w:color w:val="000000"/>
          <w:kern w:val="24"/>
          <w:sz w:val="22"/>
          <w:szCs w:val="22"/>
          <w:lang w:eastAsia="en-GB"/>
        </w:rPr>
        <w:t>Nagji</w:t>
      </w:r>
      <w:proofErr w:type="spellEnd"/>
      <w:r w:rsidR="00D13161" w:rsidRPr="00A80553">
        <w:rPr>
          <w:rFonts w:ascii="Arial" w:eastAsia="+mn-ea" w:hAnsi="Arial" w:cs="Arial"/>
          <w:color w:val="000000"/>
          <w:kern w:val="24"/>
          <w:sz w:val="22"/>
          <w:szCs w:val="22"/>
          <w:lang w:eastAsia="en-GB"/>
        </w:rPr>
        <w:t>, the Ambition Matrix is a tool which helps companies identify ways to execute their strategy around where to play and how to win</w:t>
      </w:r>
      <w:r w:rsidR="004707B6" w:rsidRPr="00A80553">
        <w:rPr>
          <w:rFonts w:ascii="Arial" w:eastAsia="+mn-ea" w:hAnsi="Arial" w:cs="Arial"/>
          <w:color w:val="000000"/>
          <w:kern w:val="24"/>
          <w:sz w:val="22"/>
          <w:szCs w:val="22"/>
          <w:lang w:eastAsia="en-GB"/>
        </w:rPr>
        <w:t>.</w:t>
      </w:r>
      <w:r w:rsidR="00CF7954" w:rsidRPr="00A80553">
        <w:rPr>
          <w:rFonts w:ascii="Arial" w:eastAsia="+mn-ea" w:hAnsi="Arial" w:cs="Arial"/>
          <w:color w:val="000000"/>
          <w:kern w:val="24"/>
          <w:sz w:val="22"/>
          <w:szCs w:val="22"/>
          <w:lang w:eastAsia="en-GB"/>
        </w:rPr>
        <w:t xml:space="preserve"> </w:t>
      </w:r>
    </w:p>
    <w:p w14:paraId="4C9360A9" w14:textId="5C9A7464"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The Innovation Ambition Matrix categorises organisational innovation into core, adjacent, and transformational initiatives, providing a structured way to analyse where Compass Group invests in improving current services, expanding into new areas, or developing radical new approaches (</w:t>
      </w:r>
      <w:proofErr w:type="spellStart"/>
      <w:r w:rsidRPr="00A80553">
        <w:rPr>
          <w:rFonts w:ascii="Arial" w:hAnsi="Arial" w:cs="Arial"/>
          <w:sz w:val="22"/>
          <w:szCs w:val="22"/>
          <w:lang w:eastAsia="en-GB"/>
        </w:rPr>
        <w:t>Nagji</w:t>
      </w:r>
      <w:proofErr w:type="spellEnd"/>
      <w:r w:rsidRPr="00A80553">
        <w:rPr>
          <w:rFonts w:ascii="Arial" w:hAnsi="Arial" w:cs="Arial"/>
          <w:sz w:val="22"/>
          <w:szCs w:val="22"/>
          <w:lang w:eastAsia="en-GB"/>
        </w:rPr>
        <w:t xml:space="preserve"> &amp; Tuff, 2012). Customer Journey Mapping visualises the full experience of a customer using Compass Group’s services, highlighting pain points, gain points, and opportunities for digital innovation (Richardson, 2010).</w:t>
      </w:r>
    </w:p>
    <w:p w14:paraId="335A8463" w14:textId="499A5F59"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The portfolio also proposes a digital transformation initiative, “Compass SmartConnect,” which integrates AI-driven meal recommendations, sustainability tracking, and mobile pre-ordering to enhance both operational efficiency and customer experience. By combining innovation analysis, customer journey insights, and design thinking principles (Brown, 2008), this portfolio demonstrates how Compass Group can continue to lead in global foodservice innovation while responding to evolving industry trends.</w:t>
      </w:r>
    </w:p>
    <w:p w14:paraId="3295A47B" w14:textId="2C9FB012" w:rsidR="00F249CD" w:rsidRPr="002830EC" w:rsidRDefault="00F249CD" w:rsidP="00A80553">
      <w:pPr>
        <w:pStyle w:val="Heading2"/>
        <w:rPr>
          <w:rFonts w:eastAsia="Times New Roman"/>
          <w:b/>
          <w:bCs/>
          <w:color w:val="auto"/>
          <w:lang w:eastAsia="en-GB"/>
        </w:rPr>
      </w:pPr>
      <w:bookmarkStart w:id="2" w:name="_Toc215740872"/>
      <w:r w:rsidRPr="002830EC">
        <w:rPr>
          <w:rFonts w:eastAsia="Times New Roman"/>
          <w:b/>
          <w:bCs/>
          <w:color w:val="auto"/>
          <w:lang w:eastAsia="en-GB"/>
        </w:rPr>
        <w:t>2. Key Consumer and Industry Trends Affecting Compass Group</w:t>
      </w:r>
      <w:bookmarkEnd w:id="2"/>
      <w:r w:rsidRPr="002830EC">
        <w:rPr>
          <w:rFonts w:eastAsia="Times New Roman"/>
          <w:b/>
          <w:bCs/>
          <w:color w:val="auto"/>
          <w:lang w:eastAsia="en-GB"/>
        </w:rPr>
        <w:t xml:space="preserve"> </w:t>
      </w:r>
    </w:p>
    <w:p w14:paraId="31D3C658" w14:textId="77777777" w:rsidR="00F249CD" w:rsidRPr="002830EC" w:rsidRDefault="00F249CD" w:rsidP="00A80553">
      <w:pPr>
        <w:pStyle w:val="Heading3"/>
        <w:rPr>
          <w:rFonts w:eastAsia="Times New Roman"/>
          <w:b/>
          <w:bCs/>
          <w:color w:val="auto"/>
          <w:lang w:eastAsia="en-GB"/>
        </w:rPr>
      </w:pPr>
      <w:bookmarkStart w:id="3" w:name="_Toc215740873"/>
      <w:r w:rsidRPr="002830EC">
        <w:rPr>
          <w:rFonts w:eastAsia="Times New Roman"/>
          <w:b/>
          <w:bCs/>
          <w:color w:val="auto"/>
          <w:lang w:eastAsia="en-GB"/>
        </w:rPr>
        <w:t>2.1 Sustainability and Low-Carbon Catering</w:t>
      </w:r>
      <w:bookmarkEnd w:id="3"/>
    </w:p>
    <w:p w14:paraId="246CF8A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Sustainability has become a central concern for both consumers and corporate clients. Increasingly, organisations and their employees expect responsibly sourced ingredients, reduced food waste, and lower carbon emissions (Mullins &amp; Christy, 2016). Compass Group has responded by integrating plant-based, low-carbon, and ethically sourced meals across its operations. Its 2024 Annual Report notes that over 30% of meals globally are now plant-based or low-carbon, and smart waste management systems have reduced food waste in pilot sites by up to 20% (Compass Group, 2024).</w:t>
      </w:r>
    </w:p>
    <w:p w14:paraId="038B307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Sustainability initiatives are also linked to corporate social responsibility and client expectations. Many large corporate clients and healthcare organisations now require foodservice providers to report carbon footprints and sustainability metrics. Compass Group’s digital platforms track food sourcing, waste, and environmental impact, supporting these reporting requirements.</w:t>
      </w:r>
    </w:p>
    <w:p w14:paraId="0DCE7E34" w14:textId="77777777" w:rsidR="00F249CD" w:rsidRPr="002830EC" w:rsidRDefault="00F249CD" w:rsidP="00A80553">
      <w:pPr>
        <w:pStyle w:val="Heading2"/>
        <w:rPr>
          <w:rFonts w:eastAsia="Times New Roman"/>
          <w:b/>
          <w:bCs/>
          <w:color w:val="auto"/>
          <w:lang w:eastAsia="en-GB"/>
        </w:rPr>
      </w:pPr>
      <w:bookmarkStart w:id="4" w:name="_Toc215740874"/>
      <w:r w:rsidRPr="002830EC">
        <w:rPr>
          <w:rFonts w:eastAsia="Times New Roman"/>
          <w:b/>
          <w:bCs/>
          <w:color w:val="auto"/>
          <w:lang w:eastAsia="en-GB"/>
        </w:rPr>
        <w:lastRenderedPageBreak/>
        <w:t>2.2 Digitalisation and Technology Adoption</w:t>
      </w:r>
      <w:bookmarkEnd w:id="4"/>
    </w:p>
    <w:p w14:paraId="45CC3CE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Digitalisation is reshaping customer expectations in the catering sector. Employees expect mobile apps, real-time menu updates, and contactless payment options (Deloitte, 2023). Compass Group has implemented solutions such as </w:t>
      </w:r>
      <w:proofErr w:type="spellStart"/>
      <w:r w:rsidRPr="00A80553">
        <w:rPr>
          <w:rFonts w:ascii="Arial" w:hAnsi="Arial" w:cs="Arial"/>
          <w:sz w:val="22"/>
          <w:szCs w:val="22"/>
          <w:lang w:eastAsia="en-GB"/>
        </w:rPr>
        <w:t>Feedr</w:t>
      </w:r>
      <w:proofErr w:type="spellEnd"/>
      <w:r w:rsidRPr="00A80553">
        <w:rPr>
          <w:rFonts w:ascii="Arial" w:hAnsi="Arial" w:cs="Arial"/>
          <w:sz w:val="22"/>
          <w:szCs w:val="22"/>
          <w:lang w:eastAsia="en-GB"/>
        </w:rPr>
        <w:t xml:space="preserve"> and Eurest apps, which allow employees to pre-order meals, view nutritional information, and manage loyalty points. Smart Café unmanned outlets provide automated ordering and payment, reducing queues and improving service efficiency (Compass Group, 2023).</w:t>
      </w:r>
    </w:p>
    <w:p w14:paraId="474828C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Digital platforms also offer operational benefits. Predictive analytics help forecast demand, reduce food waste, optimise stock, and improve workforce allocation. Deloitte (2023) reports that companies using analytics in catering operations can reduce waste by 15–20% while increasing service reliability and customer satisfaction.</w:t>
      </w:r>
    </w:p>
    <w:p w14:paraId="3650439D" w14:textId="77777777" w:rsidR="00F249CD" w:rsidRPr="002830EC" w:rsidRDefault="00F249CD" w:rsidP="00A80553">
      <w:pPr>
        <w:pStyle w:val="Heading3"/>
        <w:rPr>
          <w:rFonts w:eastAsia="Times New Roman"/>
          <w:b/>
          <w:bCs/>
          <w:color w:val="auto"/>
          <w:lang w:eastAsia="en-GB"/>
        </w:rPr>
      </w:pPr>
      <w:bookmarkStart w:id="5" w:name="_Toc215740875"/>
      <w:r w:rsidRPr="002830EC">
        <w:rPr>
          <w:rFonts w:eastAsia="Times New Roman"/>
          <w:b/>
          <w:bCs/>
          <w:color w:val="auto"/>
          <w:lang w:eastAsia="en-GB"/>
        </w:rPr>
        <w:t>2.3 Health, Wellness, and Personalised Nutrition</w:t>
      </w:r>
      <w:bookmarkEnd w:id="5"/>
    </w:p>
    <w:p w14:paraId="403EAD2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Modern consumers are increasingly health-</w:t>
      </w:r>
      <w:proofErr w:type="gramStart"/>
      <w:r w:rsidRPr="00A80553">
        <w:rPr>
          <w:rFonts w:ascii="Arial" w:hAnsi="Arial" w:cs="Arial"/>
          <w:sz w:val="22"/>
          <w:szCs w:val="22"/>
          <w:lang w:eastAsia="en-GB"/>
        </w:rPr>
        <w:t>conscious</w:t>
      </w:r>
      <w:proofErr w:type="gramEnd"/>
      <w:r w:rsidRPr="00A80553">
        <w:rPr>
          <w:rFonts w:ascii="Arial" w:hAnsi="Arial" w:cs="Arial"/>
          <w:sz w:val="22"/>
          <w:szCs w:val="22"/>
          <w:lang w:eastAsia="en-GB"/>
        </w:rPr>
        <w:t xml:space="preserve"> and demand meals tailored to dietary preferences. Employees in healthcare, corporate, and educational settings expect nutritionally balanced meals, allergen transparency, and personalised options (Statista, 2024). Compass Group provides menu labelling and online information, but integrating AI-driven personalisation could enhance customer satisfaction.</w:t>
      </w:r>
    </w:p>
    <w:p w14:paraId="3F85D08A"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Personalisation aligns with broader workplace wellness trends, including corporate health initiatives and flexible work arrangements. By offering personalised meal suggestions through digital platforms, Compass Group can engage customers, encourage healthy choices, and build loyalty.</w:t>
      </w:r>
    </w:p>
    <w:p w14:paraId="0B9E2563" w14:textId="77777777" w:rsidR="00F249CD" w:rsidRPr="002830EC" w:rsidRDefault="00F249CD" w:rsidP="00A80553">
      <w:pPr>
        <w:pStyle w:val="Heading3"/>
        <w:rPr>
          <w:rFonts w:eastAsia="Times New Roman"/>
          <w:b/>
          <w:bCs/>
          <w:color w:val="auto"/>
          <w:lang w:eastAsia="en-GB"/>
        </w:rPr>
      </w:pPr>
      <w:bookmarkStart w:id="6" w:name="_Toc215740876"/>
      <w:r w:rsidRPr="002830EC">
        <w:rPr>
          <w:rFonts w:eastAsia="Times New Roman"/>
          <w:b/>
          <w:bCs/>
          <w:color w:val="auto"/>
          <w:lang w:eastAsia="en-GB"/>
        </w:rPr>
        <w:t>2.4 Labour Shortages and Automation</w:t>
      </w:r>
      <w:bookmarkEnd w:id="6"/>
    </w:p>
    <w:p w14:paraId="4D0D05F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The hospitality sector has faced significant labour shortages, accelerated by the COVID-19 pandemic and changes in workforce expectations. Automation and robotics are increasingly used to address gaps in food preparation, service, and payment (Accenture, 2023). Compass Group has piloted robotic kitchens and automated kiosks in selected sites. These initiatives reduce human error, improve safety, and allow staff to focus on higher-value tasks such as customer engagement.</w:t>
      </w:r>
    </w:p>
    <w:p w14:paraId="07AB3ECF" w14:textId="77777777" w:rsidR="00F249CD" w:rsidRPr="002830EC" w:rsidRDefault="00F249CD" w:rsidP="00A80553">
      <w:pPr>
        <w:pStyle w:val="Heading3"/>
        <w:rPr>
          <w:rFonts w:eastAsia="Times New Roman"/>
          <w:b/>
          <w:bCs/>
          <w:color w:val="auto"/>
          <w:lang w:eastAsia="en-GB"/>
        </w:rPr>
      </w:pPr>
      <w:bookmarkStart w:id="7" w:name="_Toc215740877"/>
      <w:r w:rsidRPr="002830EC">
        <w:rPr>
          <w:rFonts w:eastAsia="Times New Roman"/>
          <w:b/>
          <w:bCs/>
          <w:color w:val="auto"/>
          <w:lang w:eastAsia="en-GB"/>
        </w:rPr>
        <w:t>2.5 Competitor Benchmarking and Industry Context</w:t>
      </w:r>
      <w:bookmarkEnd w:id="7"/>
    </w:p>
    <w:p w14:paraId="4F954FC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Compass Group operates in a highly competitive landscape alongside Sodexo, Aramark, and regional operators. Competitors are also investing in digitalisation, AI, and sustainability (Euromonitor, 2024). For example, Sodexo has implemented mobile pre-ordering and AI-driven menu suggestions in corporate sites, while Aramark focuses on waste reduction and </w:t>
      </w:r>
      <w:r w:rsidRPr="00A80553">
        <w:rPr>
          <w:rFonts w:ascii="Arial" w:hAnsi="Arial" w:cs="Arial"/>
          <w:sz w:val="22"/>
          <w:szCs w:val="22"/>
          <w:lang w:eastAsia="en-GB"/>
        </w:rPr>
        <w:lastRenderedPageBreak/>
        <w:t>low-carbon menus. Understanding competitor activity highlights opportunities for Compass Group to differentiate through innovation, particularly in transformational initiatives such as SmartConnect.</w:t>
      </w:r>
    </w:p>
    <w:p w14:paraId="2E21A709" w14:textId="77777777" w:rsidR="00F249CD" w:rsidRPr="002830EC" w:rsidRDefault="00F249CD" w:rsidP="00A80553">
      <w:pPr>
        <w:pStyle w:val="Heading3"/>
        <w:rPr>
          <w:rFonts w:eastAsia="Times New Roman"/>
          <w:b/>
          <w:bCs/>
          <w:color w:val="auto"/>
          <w:lang w:eastAsia="en-GB"/>
        </w:rPr>
      </w:pPr>
      <w:bookmarkStart w:id="8" w:name="_Toc215740878"/>
      <w:r w:rsidRPr="002830EC">
        <w:rPr>
          <w:rFonts w:eastAsia="Times New Roman"/>
          <w:b/>
          <w:bCs/>
          <w:color w:val="auto"/>
          <w:lang w:eastAsia="en-GB"/>
        </w:rPr>
        <w:t>2.6 Future Trends</w:t>
      </w:r>
      <w:bookmarkEnd w:id="8"/>
    </w:p>
    <w:p w14:paraId="5C11CAC7"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Looking ahead, key trends likely to impact Compass Group include:</w:t>
      </w:r>
    </w:p>
    <w:p w14:paraId="319D0B3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AI and predictive analytics for personalisation and demand forecasting.</w:t>
      </w:r>
    </w:p>
    <w:p w14:paraId="70C3E51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Sustainable supply chain innovations, such as blockchain for ingredient tracking.</w:t>
      </w:r>
    </w:p>
    <w:p w14:paraId="26379DD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Hybrid workplace foodservice solutions, including subscription meal models.</w:t>
      </w:r>
    </w:p>
    <w:p w14:paraId="3EAEDA8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Gamification and customer engagement through apps and loyalty programmes.</w:t>
      </w:r>
    </w:p>
    <w:p w14:paraId="550176CE"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By responding to these trends, Compass Group can remain competitive, deliver superior experiences, and achieve sustainability goals.</w:t>
      </w:r>
    </w:p>
    <w:p w14:paraId="6CEA2DFE" w14:textId="4C8355A7" w:rsidR="00F249CD" w:rsidRPr="002830EC" w:rsidRDefault="00F249CD" w:rsidP="00A80553">
      <w:pPr>
        <w:pStyle w:val="Heading2"/>
        <w:rPr>
          <w:rFonts w:eastAsia="Times New Roman"/>
          <w:b/>
          <w:bCs/>
          <w:color w:val="auto"/>
          <w:lang w:eastAsia="en-GB"/>
        </w:rPr>
      </w:pPr>
      <w:bookmarkStart w:id="9" w:name="_Toc215740879"/>
      <w:r w:rsidRPr="002830EC">
        <w:rPr>
          <w:rFonts w:eastAsia="Times New Roman"/>
          <w:b/>
          <w:bCs/>
          <w:color w:val="auto"/>
          <w:lang w:eastAsia="en-GB"/>
        </w:rPr>
        <w:t>3. Part 1: Analysis of Current Innovation</w:t>
      </w:r>
      <w:bookmarkEnd w:id="9"/>
      <w:r w:rsidRPr="002830EC">
        <w:rPr>
          <w:rFonts w:eastAsia="Times New Roman"/>
          <w:b/>
          <w:bCs/>
          <w:color w:val="auto"/>
          <w:lang w:eastAsia="en-GB"/>
        </w:rPr>
        <w:t xml:space="preserve"> </w:t>
      </w:r>
    </w:p>
    <w:p w14:paraId="6EF34A27" w14:textId="3B3F97F6" w:rsidR="00F249CD" w:rsidRPr="00A80553" w:rsidRDefault="00F249CD" w:rsidP="00A80553">
      <w:pPr>
        <w:spacing w:line="360" w:lineRule="auto"/>
        <w:rPr>
          <w:rFonts w:ascii="Arial" w:hAnsi="Arial" w:cs="Arial"/>
          <w:sz w:val="22"/>
          <w:szCs w:val="22"/>
          <w:lang w:eastAsia="en-GB"/>
        </w:rPr>
      </w:pPr>
      <w:bookmarkStart w:id="10" w:name="_Toc215740880"/>
      <w:r w:rsidRPr="002830EC">
        <w:rPr>
          <w:rStyle w:val="Heading3Char"/>
          <w:b/>
          <w:bCs/>
          <w:color w:val="auto"/>
        </w:rPr>
        <w:t>3.1 Innovation Ambition</w:t>
      </w:r>
      <w:bookmarkEnd w:id="10"/>
      <w:r w:rsidRPr="002830EC">
        <w:rPr>
          <w:rFonts w:ascii="Arial" w:hAnsi="Arial" w:cs="Arial"/>
          <w:sz w:val="22"/>
          <w:szCs w:val="22"/>
          <w:lang w:eastAsia="en-GB"/>
        </w:rPr>
        <w:t xml:space="preserve"> </w:t>
      </w:r>
      <w:r w:rsidR="006B1F24" w:rsidRPr="00A80553">
        <w:rPr>
          <w:rFonts w:ascii="Arial" w:hAnsi="Arial" w:cs="Arial"/>
          <w:noProof/>
          <w:sz w:val="22"/>
          <w:szCs w:val="22"/>
        </w:rPr>
        <w:drawing>
          <wp:inline distT="0" distB="0" distL="0" distR="0" wp14:anchorId="11B582B3" wp14:editId="7B63C7B1">
            <wp:extent cx="4505325" cy="3692089"/>
            <wp:effectExtent l="0" t="0" r="0" b="0"/>
            <wp:docPr id="3" name="Picture 1" descr="A diagram of a product trans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diagram of a product transformatio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5878" cy="3708932"/>
                    </a:xfrm>
                    <a:prstGeom prst="rect">
                      <a:avLst/>
                    </a:prstGeom>
                    <a:noFill/>
                    <a:ln>
                      <a:noFill/>
                    </a:ln>
                  </pic:spPr>
                </pic:pic>
              </a:graphicData>
            </a:graphic>
          </wp:inline>
        </w:drawing>
      </w:r>
      <w:r w:rsidRPr="00A80553">
        <w:rPr>
          <w:rFonts w:ascii="Arial" w:hAnsi="Arial" w:cs="Arial"/>
          <w:sz w:val="22"/>
          <w:szCs w:val="22"/>
          <w:lang w:eastAsia="en-GB"/>
        </w:rPr>
        <w:t>Matrix</w:t>
      </w:r>
    </w:p>
    <w:p w14:paraId="5E7FBFF0" w14:textId="77777777" w:rsidR="000766C5" w:rsidRPr="00A80553" w:rsidRDefault="000766C5" w:rsidP="00A80553">
      <w:pPr>
        <w:spacing w:line="360" w:lineRule="auto"/>
        <w:rPr>
          <w:rFonts w:ascii="Arial" w:hAnsi="Arial" w:cs="Arial"/>
          <w:sz w:val="22"/>
          <w:szCs w:val="22"/>
        </w:rPr>
      </w:pPr>
      <w:r w:rsidRPr="00A80553">
        <w:rPr>
          <w:rFonts w:ascii="Arial" w:hAnsi="Arial" w:cs="Arial"/>
          <w:sz w:val="22"/>
          <w:szCs w:val="22"/>
        </w:rPr>
        <w:t xml:space="preserve">The </w:t>
      </w:r>
      <w:r w:rsidRPr="00A80553">
        <w:rPr>
          <w:rStyle w:val="Strong"/>
          <w:rFonts w:ascii="Arial" w:eastAsiaTheme="majorEastAsia" w:hAnsi="Arial" w:cs="Arial"/>
          <w:sz w:val="22"/>
          <w:szCs w:val="22"/>
        </w:rPr>
        <w:t>Innovation Ambition Matrix</w:t>
      </w:r>
      <w:r w:rsidRPr="00A80553">
        <w:rPr>
          <w:rFonts w:ascii="Arial" w:hAnsi="Arial" w:cs="Arial"/>
          <w:sz w:val="22"/>
          <w:szCs w:val="22"/>
        </w:rPr>
        <w:t xml:space="preserve"> (</w:t>
      </w:r>
      <w:proofErr w:type="spellStart"/>
      <w:r w:rsidRPr="00A80553">
        <w:rPr>
          <w:rFonts w:ascii="Arial" w:hAnsi="Arial" w:cs="Arial"/>
          <w:sz w:val="22"/>
          <w:szCs w:val="22"/>
        </w:rPr>
        <w:t>Nagji</w:t>
      </w:r>
      <w:proofErr w:type="spellEnd"/>
      <w:r w:rsidRPr="00A80553">
        <w:rPr>
          <w:rFonts w:ascii="Arial" w:hAnsi="Arial" w:cs="Arial"/>
          <w:sz w:val="22"/>
          <w:szCs w:val="22"/>
        </w:rPr>
        <w:t xml:space="preserve"> &amp; Tuff, 2012) provides a structured framework through which organisations can categorise and balance their innovation activities across three distinct levels.</w:t>
      </w:r>
    </w:p>
    <w:p w14:paraId="65F33872" w14:textId="77777777" w:rsidR="000766C5" w:rsidRPr="00A80553" w:rsidRDefault="000766C5" w:rsidP="00A80553">
      <w:pPr>
        <w:spacing w:line="360" w:lineRule="auto"/>
        <w:rPr>
          <w:rFonts w:ascii="Arial" w:hAnsi="Arial" w:cs="Arial"/>
          <w:sz w:val="22"/>
          <w:szCs w:val="22"/>
        </w:rPr>
      </w:pPr>
      <w:r w:rsidRPr="00A80553">
        <w:rPr>
          <w:rStyle w:val="Strong"/>
          <w:rFonts w:ascii="Arial" w:eastAsiaTheme="majorEastAsia" w:hAnsi="Arial" w:cs="Arial"/>
          <w:sz w:val="22"/>
          <w:szCs w:val="22"/>
        </w:rPr>
        <w:lastRenderedPageBreak/>
        <w:t>Core innovation</w:t>
      </w:r>
      <w:r w:rsidRPr="00A80553">
        <w:rPr>
          <w:rFonts w:ascii="Arial" w:hAnsi="Arial" w:cs="Arial"/>
          <w:sz w:val="22"/>
          <w:szCs w:val="22"/>
        </w:rPr>
        <w:t xml:space="preserve"> refers to incremental improvements made to existing products or services targeted at current customers. These innovations typically aim to enhance efficiency, quality, or customer experience without fundamentally altering the organisation’s operational model.</w:t>
      </w:r>
    </w:p>
    <w:p w14:paraId="3EC95A96" w14:textId="77777777" w:rsidR="000766C5" w:rsidRPr="00A80553" w:rsidRDefault="000766C5" w:rsidP="00A80553">
      <w:pPr>
        <w:spacing w:line="360" w:lineRule="auto"/>
        <w:rPr>
          <w:rFonts w:ascii="Arial" w:hAnsi="Arial" w:cs="Arial"/>
          <w:sz w:val="22"/>
          <w:szCs w:val="22"/>
        </w:rPr>
      </w:pPr>
      <w:r w:rsidRPr="00A80553">
        <w:rPr>
          <w:rStyle w:val="Strong"/>
          <w:rFonts w:ascii="Arial" w:eastAsiaTheme="majorEastAsia" w:hAnsi="Arial" w:cs="Arial"/>
          <w:sz w:val="22"/>
          <w:szCs w:val="22"/>
        </w:rPr>
        <w:t>Adjacent innovation</w:t>
      </w:r>
      <w:r w:rsidRPr="00A80553">
        <w:rPr>
          <w:rFonts w:ascii="Arial" w:hAnsi="Arial" w:cs="Arial"/>
          <w:sz w:val="22"/>
          <w:szCs w:val="22"/>
        </w:rPr>
        <w:t xml:space="preserve"> involves leveraging existing capabilities to expand into new markets, customer segments, or applications. This level represents a moderate shift, where organisations use what they already do well but apply it in a broader or different context.</w:t>
      </w:r>
    </w:p>
    <w:p w14:paraId="4DA4F8EB" w14:textId="77777777" w:rsidR="000766C5" w:rsidRPr="00A80553" w:rsidRDefault="000766C5" w:rsidP="00A80553">
      <w:pPr>
        <w:spacing w:line="360" w:lineRule="auto"/>
        <w:rPr>
          <w:rFonts w:ascii="Arial" w:hAnsi="Arial" w:cs="Arial"/>
          <w:sz w:val="22"/>
          <w:szCs w:val="22"/>
        </w:rPr>
      </w:pPr>
      <w:r w:rsidRPr="00A80553">
        <w:rPr>
          <w:rStyle w:val="Strong"/>
          <w:rFonts w:ascii="Arial" w:eastAsiaTheme="majorEastAsia" w:hAnsi="Arial" w:cs="Arial"/>
          <w:sz w:val="22"/>
          <w:szCs w:val="22"/>
        </w:rPr>
        <w:t>Transformational innovation</w:t>
      </w:r>
      <w:r w:rsidRPr="00A80553">
        <w:rPr>
          <w:rFonts w:ascii="Arial" w:hAnsi="Arial" w:cs="Arial"/>
          <w:sz w:val="22"/>
          <w:szCs w:val="22"/>
        </w:rPr>
        <w:t xml:space="preserve"> is the most radical category, involving the creation of entirely new offerings, business models, or technologies. These innovations reshape how organisations operate, interact with customers, or generate value.</w:t>
      </w:r>
    </w:p>
    <w:p w14:paraId="4CEE33B3" w14:textId="77777777" w:rsidR="000766C5" w:rsidRPr="00A80553" w:rsidRDefault="000766C5" w:rsidP="00A80553">
      <w:pPr>
        <w:spacing w:line="360" w:lineRule="auto"/>
        <w:rPr>
          <w:rFonts w:ascii="Arial" w:hAnsi="Arial" w:cs="Arial"/>
          <w:sz w:val="22"/>
          <w:szCs w:val="22"/>
        </w:rPr>
      </w:pPr>
      <w:r w:rsidRPr="00A80553">
        <w:rPr>
          <w:rFonts w:ascii="Arial" w:hAnsi="Arial" w:cs="Arial"/>
          <w:sz w:val="22"/>
          <w:szCs w:val="22"/>
        </w:rPr>
        <w:t xml:space="preserve">For </w:t>
      </w:r>
      <w:r w:rsidRPr="00A80553">
        <w:rPr>
          <w:rStyle w:val="Strong"/>
          <w:rFonts w:ascii="Arial" w:eastAsiaTheme="majorEastAsia" w:hAnsi="Arial" w:cs="Arial"/>
          <w:sz w:val="22"/>
          <w:szCs w:val="22"/>
        </w:rPr>
        <w:t>Compass Group</w:t>
      </w:r>
      <w:r w:rsidRPr="00A80553">
        <w:rPr>
          <w:rFonts w:ascii="Arial" w:hAnsi="Arial" w:cs="Arial"/>
          <w:sz w:val="22"/>
          <w:szCs w:val="22"/>
        </w:rPr>
        <w:t xml:space="preserve">, innovation spans all three levels, though the organisation places particular emphasis on </w:t>
      </w:r>
      <w:r w:rsidRPr="00A80553">
        <w:rPr>
          <w:rStyle w:val="Strong"/>
          <w:rFonts w:ascii="Arial" w:eastAsiaTheme="majorEastAsia" w:hAnsi="Arial" w:cs="Arial"/>
          <w:sz w:val="22"/>
          <w:szCs w:val="22"/>
        </w:rPr>
        <w:t>core and adjacent innovations</w:t>
      </w:r>
      <w:r w:rsidRPr="00A80553">
        <w:rPr>
          <w:rFonts w:ascii="Arial" w:hAnsi="Arial" w:cs="Arial"/>
          <w:sz w:val="22"/>
          <w:szCs w:val="22"/>
        </w:rPr>
        <w:t>, which align closely with its operational scale and global foodservice focus. Core innovations typically centre on enhancing existing foodservice offerings—such as improving menu design, integrating healthier ingredients, adopting sustainable packaging, or optimising kitchen processes through data analytics. Adjacent innovations, meanwhile, extend Compass Group’s capabilities into new service formats or sectors—for instance, expanding into technology-enabled catering solutions, workplace experience services, or partnerships that broaden their operational reach.</w:t>
      </w:r>
    </w:p>
    <w:p w14:paraId="69423C2E" w14:textId="77777777" w:rsidR="000766C5" w:rsidRPr="00A80553" w:rsidRDefault="000766C5" w:rsidP="00A80553">
      <w:pPr>
        <w:spacing w:line="360" w:lineRule="auto"/>
        <w:rPr>
          <w:rFonts w:ascii="Arial" w:hAnsi="Arial" w:cs="Arial"/>
          <w:sz w:val="22"/>
          <w:szCs w:val="22"/>
        </w:rPr>
      </w:pPr>
      <w:r w:rsidRPr="00A80553">
        <w:rPr>
          <w:rFonts w:ascii="Arial" w:hAnsi="Arial" w:cs="Arial"/>
          <w:sz w:val="22"/>
          <w:szCs w:val="22"/>
        </w:rPr>
        <w:t xml:space="preserve">Compass Group also engages in </w:t>
      </w:r>
      <w:r w:rsidRPr="00A80553">
        <w:rPr>
          <w:rStyle w:val="Strong"/>
          <w:rFonts w:ascii="Arial" w:eastAsiaTheme="majorEastAsia" w:hAnsi="Arial" w:cs="Arial"/>
          <w:sz w:val="22"/>
          <w:szCs w:val="22"/>
        </w:rPr>
        <w:t>transformational innovation</w:t>
      </w:r>
      <w:r w:rsidRPr="00A80553">
        <w:rPr>
          <w:rFonts w:ascii="Arial" w:hAnsi="Arial" w:cs="Arial"/>
          <w:sz w:val="22"/>
          <w:szCs w:val="22"/>
        </w:rPr>
        <w:t>, albeit more selectively, exploring emerging technologies, digital platforms, and new service models that have the potential to reshape the future of foodservice. These may include AI-driven personalisation, fully automated retail concepts, carbon-neutral kitchens, or entirely new business models focused on sustainability and circular economy principles.</w:t>
      </w:r>
    </w:p>
    <w:p w14:paraId="2E32C2FC" w14:textId="0B30A6AC" w:rsidR="006B1F24" w:rsidRDefault="000766C5" w:rsidP="00A80553">
      <w:pPr>
        <w:spacing w:line="360" w:lineRule="auto"/>
        <w:rPr>
          <w:rFonts w:ascii="Arial" w:hAnsi="Arial" w:cs="Arial"/>
          <w:sz w:val="22"/>
          <w:szCs w:val="22"/>
        </w:rPr>
      </w:pPr>
      <w:r w:rsidRPr="00A80553">
        <w:rPr>
          <w:rFonts w:ascii="Arial" w:hAnsi="Arial" w:cs="Arial"/>
          <w:sz w:val="22"/>
          <w:szCs w:val="22"/>
        </w:rPr>
        <w:t>Overall, the Innovation Ambition Matrix demonstrates that Compass Group maintains a balanced innovation portfolio, while strategically prioritising core and adjacent activities to support operational excellence and sustainable growth.</w:t>
      </w:r>
    </w:p>
    <w:p w14:paraId="3F0F7571" w14:textId="78A2DAFA" w:rsidR="00916484" w:rsidRPr="002830EC" w:rsidRDefault="00916484" w:rsidP="008C5BF0">
      <w:pPr>
        <w:pStyle w:val="Heading3"/>
        <w:rPr>
          <w:b/>
          <w:bCs/>
          <w:color w:val="auto"/>
        </w:rPr>
      </w:pPr>
      <w:bookmarkStart w:id="11" w:name="_Toc215740881"/>
      <w:r w:rsidRPr="002830EC">
        <w:rPr>
          <w:b/>
          <w:bCs/>
          <w:color w:val="auto"/>
        </w:rPr>
        <w:t>Table 1: Expanded Innovation Ambition Matrix – Compass Group</w:t>
      </w:r>
      <w:bookmarkEnd w:id="1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8"/>
        <w:gridCol w:w="1406"/>
        <w:gridCol w:w="1606"/>
        <w:gridCol w:w="2026"/>
        <w:gridCol w:w="2160"/>
      </w:tblGrid>
      <w:tr w:rsidR="00F249CD" w:rsidRPr="00A80553" w14:paraId="72A07CE0" w14:textId="77777777">
        <w:trPr>
          <w:tblHeader/>
          <w:tblCellSpacing w:w="15" w:type="dxa"/>
        </w:trPr>
        <w:tc>
          <w:tcPr>
            <w:tcW w:w="0" w:type="auto"/>
            <w:vAlign w:val="center"/>
            <w:hideMark/>
          </w:tcPr>
          <w:p w14:paraId="0C57239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Innovation Type</w:t>
            </w:r>
          </w:p>
        </w:tc>
        <w:tc>
          <w:tcPr>
            <w:tcW w:w="0" w:type="auto"/>
            <w:vAlign w:val="center"/>
            <w:hideMark/>
          </w:tcPr>
          <w:p w14:paraId="05FE3FB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Focus</w:t>
            </w:r>
          </w:p>
        </w:tc>
        <w:tc>
          <w:tcPr>
            <w:tcW w:w="0" w:type="auto"/>
            <w:vAlign w:val="center"/>
            <w:hideMark/>
          </w:tcPr>
          <w:p w14:paraId="05DFF94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Current Examples</w:t>
            </w:r>
          </w:p>
        </w:tc>
        <w:tc>
          <w:tcPr>
            <w:tcW w:w="0" w:type="auto"/>
            <w:vAlign w:val="center"/>
            <w:hideMark/>
          </w:tcPr>
          <w:p w14:paraId="7C69B99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Sector-Specific Examples</w:t>
            </w:r>
          </w:p>
        </w:tc>
        <w:tc>
          <w:tcPr>
            <w:tcW w:w="0" w:type="auto"/>
            <w:vAlign w:val="center"/>
            <w:hideMark/>
          </w:tcPr>
          <w:p w14:paraId="7F015ED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Future Opportunities</w:t>
            </w:r>
          </w:p>
        </w:tc>
      </w:tr>
      <w:tr w:rsidR="00F249CD" w:rsidRPr="00A80553" w14:paraId="1543A721" w14:textId="77777777">
        <w:trPr>
          <w:tblCellSpacing w:w="15" w:type="dxa"/>
        </w:trPr>
        <w:tc>
          <w:tcPr>
            <w:tcW w:w="0" w:type="auto"/>
            <w:vAlign w:val="center"/>
            <w:hideMark/>
          </w:tcPr>
          <w:p w14:paraId="11E399A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Core Innovation</w:t>
            </w:r>
          </w:p>
        </w:tc>
        <w:tc>
          <w:tcPr>
            <w:tcW w:w="0" w:type="auto"/>
            <w:vAlign w:val="center"/>
            <w:hideMark/>
          </w:tcPr>
          <w:p w14:paraId="638B8F3C"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Improving existing services</w:t>
            </w:r>
          </w:p>
        </w:tc>
        <w:tc>
          <w:tcPr>
            <w:tcW w:w="0" w:type="auto"/>
            <w:vAlign w:val="center"/>
            <w:hideMark/>
          </w:tcPr>
          <w:p w14:paraId="7C02E7A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Mobile pre-order apps (</w:t>
            </w:r>
            <w:proofErr w:type="spellStart"/>
            <w:r w:rsidRPr="00A80553">
              <w:rPr>
                <w:rFonts w:ascii="Arial" w:hAnsi="Arial" w:cs="Arial"/>
                <w:sz w:val="22"/>
                <w:szCs w:val="22"/>
                <w:lang w:eastAsia="en-GB"/>
              </w:rPr>
              <w:t>Feedr</w:t>
            </w:r>
            <w:proofErr w:type="spellEnd"/>
            <w:r w:rsidRPr="00A80553">
              <w:rPr>
                <w:rFonts w:ascii="Arial" w:hAnsi="Arial" w:cs="Arial"/>
                <w:sz w:val="22"/>
                <w:szCs w:val="22"/>
                <w:lang w:eastAsia="en-GB"/>
              </w:rPr>
              <w:t xml:space="preserve">, Eurest) </w:t>
            </w:r>
            <w:r w:rsidRPr="00A80553">
              <w:rPr>
                <w:rFonts w:ascii="Arial" w:hAnsi="Arial" w:cs="Arial"/>
                <w:sz w:val="22"/>
                <w:szCs w:val="22"/>
                <w:lang w:eastAsia="en-GB"/>
              </w:rPr>
              <w:br/>
              <w:t xml:space="preserve">- Plant-based, </w:t>
            </w:r>
            <w:r w:rsidRPr="00A80553">
              <w:rPr>
                <w:rFonts w:ascii="Arial" w:hAnsi="Arial" w:cs="Arial"/>
                <w:sz w:val="22"/>
                <w:szCs w:val="22"/>
                <w:lang w:eastAsia="en-GB"/>
              </w:rPr>
              <w:lastRenderedPageBreak/>
              <w:t xml:space="preserve">low-carbon menus </w:t>
            </w:r>
            <w:r w:rsidRPr="00A80553">
              <w:rPr>
                <w:rFonts w:ascii="Arial" w:hAnsi="Arial" w:cs="Arial"/>
                <w:sz w:val="22"/>
                <w:szCs w:val="22"/>
                <w:lang w:eastAsia="en-GB"/>
              </w:rPr>
              <w:br/>
              <w:t>- Smart waste management</w:t>
            </w:r>
          </w:p>
        </w:tc>
        <w:tc>
          <w:tcPr>
            <w:tcW w:w="0" w:type="auto"/>
            <w:vAlign w:val="center"/>
            <w:hideMark/>
          </w:tcPr>
          <w:p w14:paraId="167D0ED7"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lastRenderedPageBreak/>
              <w:t xml:space="preserve">- Healthcare: Nutritionally tailored meals for patients </w:t>
            </w:r>
            <w:r w:rsidRPr="00A80553">
              <w:rPr>
                <w:rFonts w:ascii="Arial" w:hAnsi="Arial" w:cs="Arial"/>
                <w:sz w:val="22"/>
                <w:szCs w:val="22"/>
                <w:lang w:eastAsia="en-GB"/>
              </w:rPr>
              <w:br/>
              <w:t xml:space="preserve">- Corporate offices: </w:t>
            </w:r>
            <w:r w:rsidRPr="00A80553">
              <w:rPr>
                <w:rFonts w:ascii="Arial" w:hAnsi="Arial" w:cs="Arial"/>
                <w:sz w:val="22"/>
                <w:szCs w:val="22"/>
                <w:lang w:eastAsia="en-GB"/>
              </w:rPr>
              <w:lastRenderedPageBreak/>
              <w:t>Quick-service grab-and-go options</w:t>
            </w:r>
          </w:p>
        </w:tc>
        <w:tc>
          <w:tcPr>
            <w:tcW w:w="0" w:type="auto"/>
            <w:vAlign w:val="center"/>
            <w:hideMark/>
          </w:tcPr>
          <w:p w14:paraId="56AF119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lastRenderedPageBreak/>
              <w:t xml:space="preserve">- AI-driven meal recommendations </w:t>
            </w:r>
            <w:r w:rsidRPr="00A80553">
              <w:rPr>
                <w:rFonts w:ascii="Arial" w:hAnsi="Arial" w:cs="Arial"/>
                <w:sz w:val="22"/>
                <w:szCs w:val="22"/>
                <w:lang w:eastAsia="en-GB"/>
              </w:rPr>
              <w:br/>
              <w:t xml:space="preserve">- Integration with employee wellness </w:t>
            </w:r>
            <w:r w:rsidRPr="00A80553">
              <w:rPr>
                <w:rFonts w:ascii="Arial" w:hAnsi="Arial" w:cs="Arial"/>
                <w:sz w:val="22"/>
                <w:szCs w:val="22"/>
                <w:lang w:eastAsia="en-GB"/>
              </w:rPr>
              <w:lastRenderedPageBreak/>
              <w:t xml:space="preserve">apps </w:t>
            </w:r>
            <w:r w:rsidRPr="00A80553">
              <w:rPr>
                <w:rFonts w:ascii="Arial" w:hAnsi="Arial" w:cs="Arial"/>
                <w:sz w:val="22"/>
                <w:szCs w:val="22"/>
                <w:lang w:eastAsia="en-GB"/>
              </w:rPr>
              <w:br/>
              <w:t>- Real-time sustainability tracking</w:t>
            </w:r>
          </w:p>
        </w:tc>
      </w:tr>
      <w:tr w:rsidR="00F249CD" w:rsidRPr="00A80553" w14:paraId="5E62D72C" w14:textId="77777777">
        <w:trPr>
          <w:tblCellSpacing w:w="15" w:type="dxa"/>
        </w:trPr>
        <w:tc>
          <w:tcPr>
            <w:tcW w:w="0" w:type="auto"/>
            <w:vAlign w:val="center"/>
            <w:hideMark/>
          </w:tcPr>
          <w:p w14:paraId="5F6F507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lastRenderedPageBreak/>
              <w:t>Adjacent Innovation</w:t>
            </w:r>
          </w:p>
        </w:tc>
        <w:tc>
          <w:tcPr>
            <w:tcW w:w="0" w:type="auto"/>
            <w:vAlign w:val="center"/>
            <w:hideMark/>
          </w:tcPr>
          <w:p w14:paraId="4C6EB6E7"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Expanding into new markets</w:t>
            </w:r>
          </w:p>
        </w:tc>
        <w:tc>
          <w:tcPr>
            <w:tcW w:w="0" w:type="auto"/>
            <w:vAlign w:val="center"/>
            <w:hideMark/>
          </w:tcPr>
          <w:p w14:paraId="4E6B954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 Smart Café unmanned outlets </w:t>
            </w:r>
            <w:r w:rsidRPr="00A80553">
              <w:rPr>
                <w:rFonts w:ascii="Arial" w:hAnsi="Arial" w:cs="Arial"/>
                <w:sz w:val="22"/>
                <w:szCs w:val="22"/>
                <w:lang w:eastAsia="en-GB"/>
              </w:rPr>
              <w:br/>
              <w:t xml:space="preserve">- Compass Digital Labs partnerships </w:t>
            </w:r>
            <w:r w:rsidRPr="00A80553">
              <w:rPr>
                <w:rFonts w:ascii="Arial" w:hAnsi="Arial" w:cs="Arial"/>
                <w:sz w:val="22"/>
                <w:szCs w:val="22"/>
                <w:lang w:eastAsia="en-GB"/>
              </w:rPr>
              <w:br/>
              <w:t>- Data analytics for demand forecasting</w:t>
            </w:r>
          </w:p>
        </w:tc>
        <w:tc>
          <w:tcPr>
            <w:tcW w:w="0" w:type="auto"/>
            <w:vAlign w:val="center"/>
            <w:hideMark/>
          </w:tcPr>
          <w:p w14:paraId="104BC5E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 Education: Cafeteria digital ordering for students </w:t>
            </w:r>
            <w:r w:rsidRPr="00A80553">
              <w:rPr>
                <w:rFonts w:ascii="Arial" w:hAnsi="Arial" w:cs="Arial"/>
                <w:sz w:val="22"/>
                <w:szCs w:val="22"/>
                <w:lang w:eastAsia="en-GB"/>
              </w:rPr>
              <w:br/>
              <w:t>- Sports venues: Mobile ordering during events</w:t>
            </w:r>
          </w:p>
        </w:tc>
        <w:tc>
          <w:tcPr>
            <w:tcW w:w="0" w:type="auto"/>
            <w:vAlign w:val="center"/>
            <w:hideMark/>
          </w:tcPr>
          <w:p w14:paraId="45F4E0DA"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 Subscription-based meals for hybrid workplaces </w:t>
            </w:r>
            <w:r w:rsidRPr="00A80553">
              <w:rPr>
                <w:rFonts w:ascii="Arial" w:hAnsi="Arial" w:cs="Arial"/>
                <w:sz w:val="22"/>
                <w:szCs w:val="22"/>
                <w:lang w:eastAsia="en-GB"/>
              </w:rPr>
              <w:br/>
              <w:t xml:space="preserve">- Partnerships for net-zero catering solutions </w:t>
            </w:r>
            <w:r w:rsidRPr="00A80553">
              <w:rPr>
                <w:rFonts w:ascii="Arial" w:hAnsi="Arial" w:cs="Arial"/>
                <w:sz w:val="22"/>
                <w:szCs w:val="22"/>
                <w:lang w:eastAsia="en-GB"/>
              </w:rPr>
              <w:br/>
              <w:t>- Automated food delivery in offices and campuses</w:t>
            </w:r>
          </w:p>
        </w:tc>
      </w:tr>
      <w:tr w:rsidR="00F249CD" w:rsidRPr="00A80553" w14:paraId="7540D98C" w14:textId="77777777">
        <w:trPr>
          <w:tblCellSpacing w:w="15" w:type="dxa"/>
        </w:trPr>
        <w:tc>
          <w:tcPr>
            <w:tcW w:w="0" w:type="auto"/>
            <w:vAlign w:val="center"/>
            <w:hideMark/>
          </w:tcPr>
          <w:p w14:paraId="10E593D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Transformational Innovation</w:t>
            </w:r>
          </w:p>
        </w:tc>
        <w:tc>
          <w:tcPr>
            <w:tcW w:w="0" w:type="auto"/>
            <w:vAlign w:val="center"/>
            <w:hideMark/>
          </w:tcPr>
          <w:p w14:paraId="5266802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Radical new services or business models</w:t>
            </w:r>
          </w:p>
        </w:tc>
        <w:tc>
          <w:tcPr>
            <w:tcW w:w="0" w:type="auto"/>
            <w:vAlign w:val="center"/>
            <w:hideMark/>
          </w:tcPr>
          <w:p w14:paraId="414FC74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 Robotics and automation in kitchens </w:t>
            </w:r>
            <w:r w:rsidRPr="00A80553">
              <w:rPr>
                <w:rFonts w:ascii="Arial" w:hAnsi="Arial" w:cs="Arial"/>
                <w:sz w:val="22"/>
                <w:szCs w:val="22"/>
                <w:lang w:eastAsia="en-GB"/>
              </w:rPr>
              <w:br/>
              <w:t xml:space="preserve">- Cloud kitchens / dark kitchens </w:t>
            </w:r>
            <w:r w:rsidRPr="00A80553">
              <w:rPr>
                <w:rFonts w:ascii="Arial" w:hAnsi="Arial" w:cs="Arial"/>
                <w:sz w:val="22"/>
                <w:szCs w:val="22"/>
                <w:lang w:eastAsia="en-GB"/>
              </w:rPr>
              <w:br/>
              <w:t>- AI forecasting tools</w:t>
            </w:r>
          </w:p>
        </w:tc>
        <w:tc>
          <w:tcPr>
            <w:tcW w:w="0" w:type="auto"/>
            <w:vAlign w:val="center"/>
            <w:hideMark/>
          </w:tcPr>
          <w:p w14:paraId="2C9C46C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 Healthcare: Robotic meal delivery to patients </w:t>
            </w:r>
            <w:r w:rsidRPr="00A80553">
              <w:rPr>
                <w:rFonts w:ascii="Arial" w:hAnsi="Arial" w:cs="Arial"/>
                <w:sz w:val="22"/>
                <w:szCs w:val="22"/>
                <w:lang w:eastAsia="en-GB"/>
              </w:rPr>
              <w:br/>
              <w:t>- Offshore/remote sites: Fully automated kitchens</w:t>
            </w:r>
          </w:p>
        </w:tc>
        <w:tc>
          <w:tcPr>
            <w:tcW w:w="0" w:type="auto"/>
            <w:vAlign w:val="center"/>
            <w:hideMark/>
          </w:tcPr>
          <w:p w14:paraId="025440A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 Blockchain for supply chain transparency </w:t>
            </w:r>
            <w:r w:rsidRPr="00A80553">
              <w:rPr>
                <w:rFonts w:ascii="Arial" w:hAnsi="Arial" w:cs="Arial"/>
                <w:sz w:val="22"/>
                <w:szCs w:val="22"/>
                <w:lang w:eastAsia="en-GB"/>
              </w:rPr>
              <w:br/>
              <w:t xml:space="preserve">- AR/VR training for staff and customers </w:t>
            </w:r>
            <w:r w:rsidRPr="00A80553">
              <w:rPr>
                <w:rFonts w:ascii="Arial" w:hAnsi="Arial" w:cs="Arial"/>
                <w:sz w:val="22"/>
                <w:szCs w:val="22"/>
                <w:lang w:eastAsia="en-GB"/>
              </w:rPr>
              <w:br/>
              <w:t>- AI-powered nutrition planning across multiple sites</w:t>
            </w:r>
          </w:p>
        </w:tc>
      </w:tr>
    </w:tbl>
    <w:p w14:paraId="53E6C75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i/>
          <w:iCs/>
          <w:sz w:val="22"/>
          <w:szCs w:val="22"/>
          <w:lang w:eastAsia="en-GB"/>
        </w:rPr>
        <w:t xml:space="preserve">Source: Adapted from </w:t>
      </w:r>
      <w:proofErr w:type="spellStart"/>
      <w:r w:rsidRPr="00A80553">
        <w:rPr>
          <w:rFonts w:ascii="Arial" w:hAnsi="Arial" w:cs="Arial"/>
          <w:i/>
          <w:iCs/>
          <w:sz w:val="22"/>
          <w:szCs w:val="22"/>
          <w:lang w:eastAsia="en-GB"/>
        </w:rPr>
        <w:t>Nagji</w:t>
      </w:r>
      <w:proofErr w:type="spellEnd"/>
      <w:r w:rsidRPr="00A80553">
        <w:rPr>
          <w:rFonts w:ascii="Arial" w:hAnsi="Arial" w:cs="Arial"/>
          <w:i/>
          <w:iCs/>
          <w:sz w:val="22"/>
          <w:szCs w:val="22"/>
          <w:lang w:eastAsia="en-GB"/>
        </w:rPr>
        <w:t xml:space="preserve"> &amp; Tuff (2012); Compass Group (2023).</w:t>
      </w:r>
    </w:p>
    <w:p w14:paraId="577B6D7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Analysis:</w:t>
      </w:r>
    </w:p>
    <w:p w14:paraId="3524366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Core innovations such as digital pre-ordering and plant-based menus directly improve efficiency, sustainability, and customer satisfaction. These innovations are particularly effective in corporate and healthcare settings, where convenience, dietary restrictions, and wellness are priorities (Compass Group, 2024).</w:t>
      </w:r>
    </w:p>
    <w:p w14:paraId="494870D3"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Adjacent innovations extend Compass Group’s capabilities into new sectors. For example, unmanned Smart Cafés reduce queues and operational costs in corporate offices and higher education campuses. Data analytics allow Compass Group to better forecast demand, minimise waste, and improve menu planning.</w:t>
      </w:r>
    </w:p>
    <w:p w14:paraId="7B1D333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lastRenderedPageBreak/>
        <w:t>Transformational innovations are emerging but limited in scale. Robotics, cloud kitchens, and AI forecasting can potentially redefine service delivery and support high-volume operations, such as offshore sites, hospitals, or sports arenas (Accenture, 2023).</w:t>
      </w:r>
    </w:p>
    <w:p w14:paraId="2A4248F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Challenges:</w:t>
      </w:r>
    </w:p>
    <w:p w14:paraId="4BF5843E"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Implementation costs and infrastructure requirements for AI and robotics can be high.</w:t>
      </w:r>
    </w:p>
    <w:p w14:paraId="24DF22EE"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Staff training and adoption may be slow in some sectors.</w:t>
      </w:r>
    </w:p>
    <w:p w14:paraId="1F4BC73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Data privacy, cybersecurity, and regulatory compliance are key considerations.</w:t>
      </w:r>
    </w:p>
    <w:p w14:paraId="1B408A02" w14:textId="7EA4200E"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Applying design thinking (Brown, 2008) ensures innovation is </w:t>
      </w:r>
      <w:proofErr w:type="gramStart"/>
      <w:r w:rsidRPr="00A80553">
        <w:rPr>
          <w:rFonts w:ascii="Arial" w:hAnsi="Arial" w:cs="Arial"/>
          <w:sz w:val="22"/>
          <w:szCs w:val="22"/>
          <w:lang w:eastAsia="en-GB"/>
        </w:rPr>
        <w:t>customer-focused</w:t>
      </w:r>
      <w:proofErr w:type="gramEnd"/>
      <w:r w:rsidRPr="00A80553">
        <w:rPr>
          <w:rFonts w:ascii="Arial" w:hAnsi="Arial" w:cs="Arial"/>
          <w:sz w:val="22"/>
          <w:szCs w:val="22"/>
          <w:lang w:eastAsia="en-GB"/>
        </w:rPr>
        <w:t>. Compass Group can empathise with customers, define problems, ideate solutions, prototype innovations, and test them in pilot sites before scaling.</w:t>
      </w:r>
    </w:p>
    <w:p w14:paraId="5069953F" w14:textId="64D6B9B7" w:rsidR="00622295" w:rsidRPr="002830EC" w:rsidRDefault="00F249CD" w:rsidP="00916484">
      <w:pPr>
        <w:pStyle w:val="Heading3"/>
        <w:rPr>
          <w:rFonts w:eastAsia="Times New Roman"/>
          <w:b/>
          <w:bCs/>
          <w:color w:val="auto"/>
          <w:lang w:eastAsia="en-GB"/>
        </w:rPr>
      </w:pPr>
      <w:bookmarkStart w:id="12" w:name="_Toc215740882"/>
      <w:r w:rsidRPr="002830EC">
        <w:rPr>
          <w:rFonts w:eastAsia="Times New Roman"/>
          <w:b/>
          <w:bCs/>
          <w:color w:val="auto"/>
          <w:lang w:eastAsia="en-GB"/>
        </w:rPr>
        <w:t>3.2 Current Customer Journey Mapping</w:t>
      </w:r>
      <w:bookmarkEnd w:id="12"/>
    </w:p>
    <w:p w14:paraId="3F053729" w14:textId="5C0F5418" w:rsidR="00B626F3" w:rsidRPr="00A80553" w:rsidRDefault="00622295" w:rsidP="00A80553">
      <w:pPr>
        <w:spacing w:line="360" w:lineRule="auto"/>
        <w:rPr>
          <w:rFonts w:ascii="Arial" w:hAnsi="Arial" w:cs="Arial"/>
          <w:sz w:val="22"/>
          <w:szCs w:val="22"/>
          <w:lang w:eastAsia="en-GB"/>
        </w:rPr>
      </w:pPr>
      <w:r w:rsidRPr="00A80553">
        <w:rPr>
          <w:rFonts w:ascii="Arial" w:hAnsi="Arial" w:cs="Arial"/>
          <w:noProof/>
          <w:sz w:val="22"/>
          <w:szCs w:val="22"/>
        </w:rPr>
        <w:drawing>
          <wp:inline distT="0" distB="0" distL="0" distR="0" wp14:anchorId="3B86033A" wp14:editId="340A4003">
            <wp:extent cx="5731510" cy="4093845"/>
            <wp:effectExtent l="0" t="0" r="0" b="0"/>
            <wp:docPr id="4978836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8360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093845"/>
                    </a:xfrm>
                    <a:prstGeom prst="rect">
                      <a:avLst/>
                    </a:prstGeom>
                  </pic:spPr>
                </pic:pic>
              </a:graphicData>
            </a:graphic>
          </wp:inline>
        </w:drawing>
      </w:r>
    </w:p>
    <w:p w14:paraId="6252A8E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Customer Journey Mapping visualises the complete experience a customer has with a service, highlighting pain points, gain points, and opportunities for improvement (Richardson, 2010). For Compass Group, the primary customer group is employees using corporate or healthcare canteens, but variations exist across sectors, such as education and sports venues.</w:t>
      </w:r>
    </w:p>
    <w:p w14:paraId="1826CF1C" w14:textId="77777777" w:rsidR="00F249CD" w:rsidRPr="002830EC" w:rsidRDefault="00F249CD" w:rsidP="00916484">
      <w:pPr>
        <w:pStyle w:val="Heading3"/>
        <w:rPr>
          <w:rFonts w:eastAsia="Times New Roman"/>
          <w:b/>
          <w:bCs/>
          <w:color w:val="auto"/>
          <w:lang w:eastAsia="en-GB"/>
        </w:rPr>
      </w:pPr>
      <w:bookmarkStart w:id="13" w:name="_Toc215740883"/>
      <w:r w:rsidRPr="002830EC">
        <w:rPr>
          <w:rFonts w:eastAsia="Times New Roman"/>
          <w:b/>
          <w:bCs/>
          <w:color w:val="auto"/>
          <w:lang w:eastAsia="en-GB"/>
        </w:rPr>
        <w:lastRenderedPageBreak/>
        <w:t>Table 2: Expanded Current Customer Journey Map – Compass Group</w:t>
      </w:r>
      <w:bookmarkEnd w:id="13"/>
    </w:p>
    <w:p w14:paraId="3B632A28" w14:textId="77777777" w:rsidR="00650953" w:rsidRPr="00A80553" w:rsidRDefault="00F249CD" w:rsidP="00A80553">
      <w:pPr>
        <w:spacing w:line="360" w:lineRule="auto"/>
        <w:rPr>
          <w:rFonts w:ascii="Arial" w:hAnsi="Arial" w:cs="Arial"/>
          <w:sz w:val="22"/>
          <w:szCs w:val="22"/>
          <w:lang w:eastAsia="en-GB"/>
        </w:rPr>
      </w:pPr>
      <w:r w:rsidRPr="00A80553">
        <w:rPr>
          <w:rFonts w:ascii="Arial" w:hAnsi="Arial" w:cs="Arial"/>
          <w:i/>
          <w:iCs/>
          <w:sz w:val="22"/>
          <w:szCs w:val="22"/>
          <w:lang w:eastAsia="en-GB"/>
        </w:rPr>
        <w:t>Source: Adapted from Richardson (2010); Compass Group (2023).</w:t>
      </w:r>
    </w:p>
    <w:tbl>
      <w:tblPr>
        <w:tblW w:w="0" w:type="auto"/>
        <w:tblCellSpacing w:w="15" w:type="dxa"/>
        <w:tblInd w:w="-284" w:type="dxa"/>
        <w:tblCellMar>
          <w:top w:w="15" w:type="dxa"/>
          <w:left w:w="15" w:type="dxa"/>
          <w:bottom w:w="15" w:type="dxa"/>
          <w:right w:w="15" w:type="dxa"/>
        </w:tblCellMar>
        <w:tblLook w:val="04A0" w:firstRow="1" w:lastRow="0" w:firstColumn="1" w:lastColumn="0" w:noHBand="0" w:noVBand="1"/>
      </w:tblPr>
      <w:tblGrid>
        <w:gridCol w:w="1838"/>
        <w:gridCol w:w="1143"/>
        <w:gridCol w:w="1944"/>
        <w:gridCol w:w="1591"/>
        <w:gridCol w:w="1392"/>
        <w:gridCol w:w="1402"/>
      </w:tblGrid>
      <w:tr w:rsidR="00650953" w:rsidRPr="00A80553" w14:paraId="01B98F0D" w14:textId="77777777" w:rsidTr="00ED7963">
        <w:trPr>
          <w:tblHeader/>
          <w:tblCellSpacing w:w="15" w:type="dxa"/>
        </w:trPr>
        <w:tc>
          <w:tcPr>
            <w:tcW w:w="1793" w:type="dxa"/>
            <w:vAlign w:val="center"/>
            <w:hideMark/>
          </w:tcPr>
          <w:p w14:paraId="23E41E3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Stage</w:t>
            </w:r>
          </w:p>
        </w:tc>
        <w:tc>
          <w:tcPr>
            <w:tcW w:w="0" w:type="auto"/>
            <w:vAlign w:val="center"/>
            <w:hideMark/>
          </w:tcPr>
          <w:p w14:paraId="01672069"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Customer Actions</w:t>
            </w:r>
          </w:p>
        </w:tc>
        <w:tc>
          <w:tcPr>
            <w:tcW w:w="0" w:type="auto"/>
            <w:vAlign w:val="center"/>
            <w:hideMark/>
          </w:tcPr>
          <w:p w14:paraId="6C53111E"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Touchpoints</w:t>
            </w:r>
          </w:p>
        </w:tc>
        <w:tc>
          <w:tcPr>
            <w:tcW w:w="0" w:type="auto"/>
            <w:vAlign w:val="center"/>
            <w:hideMark/>
          </w:tcPr>
          <w:p w14:paraId="49C495D9"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Pain Points</w:t>
            </w:r>
          </w:p>
        </w:tc>
        <w:tc>
          <w:tcPr>
            <w:tcW w:w="0" w:type="auto"/>
            <w:vAlign w:val="center"/>
            <w:hideMark/>
          </w:tcPr>
          <w:p w14:paraId="15B5851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Gain Points</w:t>
            </w:r>
          </w:p>
        </w:tc>
        <w:tc>
          <w:tcPr>
            <w:tcW w:w="0" w:type="auto"/>
            <w:vAlign w:val="center"/>
            <w:hideMark/>
          </w:tcPr>
          <w:p w14:paraId="6FBEB1D8"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Sector Variations / Notes</w:t>
            </w:r>
          </w:p>
        </w:tc>
      </w:tr>
      <w:tr w:rsidR="00650953" w:rsidRPr="00A80553" w14:paraId="06FEBE38" w14:textId="77777777" w:rsidTr="00ED7963">
        <w:trPr>
          <w:tblCellSpacing w:w="15" w:type="dxa"/>
        </w:trPr>
        <w:tc>
          <w:tcPr>
            <w:tcW w:w="1793" w:type="dxa"/>
            <w:vAlign w:val="center"/>
            <w:hideMark/>
          </w:tcPr>
          <w:p w14:paraId="46B1A8A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Awareness</w:t>
            </w:r>
          </w:p>
        </w:tc>
        <w:tc>
          <w:tcPr>
            <w:tcW w:w="0" w:type="auto"/>
            <w:vAlign w:val="center"/>
            <w:hideMark/>
          </w:tcPr>
          <w:p w14:paraId="289F3090"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Learns about canteen, menus, specials</w:t>
            </w:r>
          </w:p>
        </w:tc>
        <w:tc>
          <w:tcPr>
            <w:tcW w:w="0" w:type="auto"/>
            <w:vAlign w:val="center"/>
            <w:hideMark/>
          </w:tcPr>
          <w:p w14:paraId="7E16C965"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Posters, intranet, app notifications</w:t>
            </w:r>
          </w:p>
        </w:tc>
        <w:tc>
          <w:tcPr>
            <w:tcW w:w="0" w:type="auto"/>
            <w:vAlign w:val="center"/>
            <w:hideMark/>
          </w:tcPr>
          <w:p w14:paraId="4B3913AA"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Menus not visible; promotions missed</w:t>
            </w:r>
          </w:p>
        </w:tc>
        <w:tc>
          <w:tcPr>
            <w:tcW w:w="0" w:type="auto"/>
            <w:vAlign w:val="center"/>
            <w:hideMark/>
          </w:tcPr>
          <w:p w14:paraId="67B430DB"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Trusted catering brand</w:t>
            </w:r>
          </w:p>
        </w:tc>
        <w:tc>
          <w:tcPr>
            <w:tcW w:w="0" w:type="auto"/>
            <w:vAlign w:val="center"/>
            <w:hideMark/>
          </w:tcPr>
          <w:p w14:paraId="06C3221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Students in education: menu boards may be outdated</w:t>
            </w:r>
          </w:p>
        </w:tc>
      </w:tr>
      <w:tr w:rsidR="00650953" w:rsidRPr="00A80553" w14:paraId="2D3FCAF3" w14:textId="77777777" w:rsidTr="00ED7963">
        <w:trPr>
          <w:tblCellSpacing w:w="15" w:type="dxa"/>
        </w:trPr>
        <w:tc>
          <w:tcPr>
            <w:tcW w:w="1793" w:type="dxa"/>
            <w:vAlign w:val="center"/>
            <w:hideMark/>
          </w:tcPr>
          <w:p w14:paraId="75D42E3A"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Consideration</w:t>
            </w:r>
          </w:p>
        </w:tc>
        <w:tc>
          <w:tcPr>
            <w:tcW w:w="0" w:type="auto"/>
            <w:vAlign w:val="center"/>
            <w:hideMark/>
          </w:tcPr>
          <w:p w14:paraId="67FE56A3"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Chooses meal</w:t>
            </w:r>
          </w:p>
        </w:tc>
        <w:tc>
          <w:tcPr>
            <w:tcW w:w="0" w:type="auto"/>
            <w:vAlign w:val="center"/>
            <w:hideMark/>
          </w:tcPr>
          <w:p w14:paraId="234E96E4"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Menu boards, apps, colleague recommendations</w:t>
            </w:r>
          </w:p>
        </w:tc>
        <w:tc>
          <w:tcPr>
            <w:tcW w:w="0" w:type="auto"/>
            <w:vAlign w:val="center"/>
            <w:hideMark/>
          </w:tcPr>
          <w:p w14:paraId="18FF5CFB"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Limited dietary info; long lines</w:t>
            </w:r>
          </w:p>
        </w:tc>
        <w:tc>
          <w:tcPr>
            <w:tcW w:w="0" w:type="auto"/>
            <w:vAlign w:val="center"/>
            <w:hideMark/>
          </w:tcPr>
          <w:p w14:paraId="179ECCD9"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Variety, convenience</w:t>
            </w:r>
          </w:p>
        </w:tc>
        <w:tc>
          <w:tcPr>
            <w:tcW w:w="0" w:type="auto"/>
            <w:vAlign w:val="center"/>
            <w:hideMark/>
          </w:tcPr>
          <w:p w14:paraId="4225552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Healthcare: meals must meet strict dietary needs</w:t>
            </w:r>
          </w:p>
        </w:tc>
      </w:tr>
      <w:tr w:rsidR="00650953" w:rsidRPr="00A80553" w14:paraId="731C51E2" w14:textId="77777777" w:rsidTr="00ED7963">
        <w:trPr>
          <w:tblCellSpacing w:w="15" w:type="dxa"/>
        </w:trPr>
        <w:tc>
          <w:tcPr>
            <w:tcW w:w="1793" w:type="dxa"/>
            <w:vAlign w:val="center"/>
            <w:hideMark/>
          </w:tcPr>
          <w:p w14:paraId="03599EB4"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Purchase</w:t>
            </w:r>
          </w:p>
        </w:tc>
        <w:tc>
          <w:tcPr>
            <w:tcW w:w="0" w:type="auto"/>
            <w:vAlign w:val="center"/>
            <w:hideMark/>
          </w:tcPr>
          <w:p w14:paraId="202A0B60"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Orders and pays</w:t>
            </w:r>
          </w:p>
        </w:tc>
        <w:tc>
          <w:tcPr>
            <w:tcW w:w="0" w:type="auto"/>
            <w:vAlign w:val="center"/>
            <w:hideMark/>
          </w:tcPr>
          <w:p w14:paraId="08032D4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Counter, kiosk, app</w:t>
            </w:r>
          </w:p>
        </w:tc>
        <w:tc>
          <w:tcPr>
            <w:tcW w:w="0" w:type="auto"/>
            <w:vAlign w:val="center"/>
            <w:hideMark/>
          </w:tcPr>
          <w:p w14:paraId="7CEBE61C"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Slow service; manual payment errors</w:t>
            </w:r>
          </w:p>
        </w:tc>
        <w:tc>
          <w:tcPr>
            <w:tcW w:w="0" w:type="auto"/>
            <w:vAlign w:val="center"/>
            <w:hideMark/>
          </w:tcPr>
          <w:p w14:paraId="00E7B5AA"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Contactless payment; pre-ordering</w:t>
            </w:r>
          </w:p>
        </w:tc>
        <w:tc>
          <w:tcPr>
            <w:tcW w:w="0" w:type="auto"/>
            <w:vAlign w:val="center"/>
            <w:hideMark/>
          </w:tcPr>
          <w:p w14:paraId="5430E70A"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Sports venue: peak hours cause bottlenecks</w:t>
            </w:r>
          </w:p>
        </w:tc>
      </w:tr>
      <w:tr w:rsidR="00650953" w:rsidRPr="00A80553" w14:paraId="2C52D2E7" w14:textId="77777777" w:rsidTr="00ED7963">
        <w:trPr>
          <w:tblCellSpacing w:w="15" w:type="dxa"/>
        </w:trPr>
        <w:tc>
          <w:tcPr>
            <w:tcW w:w="1793" w:type="dxa"/>
            <w:vAlign w:val="center"/>
            <w:hideMark/>
          </w:tcPr>
          <w:p w14:paraId="207E3BF2"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Consumption</w:t>
            </w:r>
          </w:p>
        </w:tc>
        <w:tc>
          <w:tcPr>
            <w:tcW w:w="0" w:type="auto"/>
            <w:vAlign w:val="center"/>
            <w:hideMark/>
          </w:tcPr>
          <w:p w14:paraId="25CE7BAC"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Eats meal</w:t>
            </w:r>
          </w:p>
        </w:tc>
        <w:tc>
          <w:tcPr>
            <w:tcW w:w="0" w:type="auto"/>
            <w:vAlign w:val="center"/>
            <w:hideMark/>
          </w:tcPr>
          <w:p w14:paraId="7D6B3745"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Dining area, packaging</w:t>
            </w:r>
          </w:p>
        </w:tc>
        <w:tc>
          <w:tcPr>
            <w:tcW w:w="0" w:type="auto"/>
            <w:vAlign w:val="center"/>
            <w:hideMark/>
          </w:tcPr>
          <w:p w14:paraId="15343E57"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Inconsistent temperature; packaging waste</w:t>
            </w:r>
          </w:p>
        </w:tc>
        <w:tc>
          <w:tcPr>
            <w:tcW w:w="0" w:type="auto"/>
            <w:vAlign w:val="center"/>
            <w:hideMark/>
          </w:tcPr>
          <w:p w14:paraId="10485538"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Healthy, fresh meals</w:t>
            </w:r>
          </w:p>
        </w:tc>
        <w:tc>
          <w:tcPr>
            <w:tcW w:w="0" w:type="auto"/>
            <w:vAlign w:val="center"/>
            <w:hideMark/>
          </w:tcPr>
          <w:p w14:paraId="41F9EF01"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Corporate: quick lunch; Healthcare: patient-specific meals</w:t>
            </w:r>
          </w:p>
        </w:tc>
      </w:tr>
      <w:tr w:rsidR="00650953" w:rsidRPr="00A80553" w14:paraId="3F0F250D" w14:textId="77777777" w:rsidTr="00ED7963">
        <w:trPr>
          <w:tblCellSpacing w:w="15" w:type="dxa"/>
        </w:trPr>
        <w:tc>
          <w:tcPr>
            <w:tcW w:w="1793" w:type="dxa"/>
            <w:vAlign w:val="center"/>
            <w:hideMark/>
          </w:tcPr>
          <w:p w14:paraId="0071C415"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Feedback / Loyalty</w:t>
            </w:r>
          </w:p>
        </w:tc>
        <w:tc>
          <w:tcPr>
            <w:tcW w:w="0" w:type="auto"/>
            <w:vAlign w:val="center"/>
            <w:hideMark/>
          </w:tcPr>
          <w:p w14:paraId="277C1D24"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Provides feedback</w:t>
            </w:r>
          </w:p>
        </w:tc>
        <w:tc>
          <w:tcPr>
            <w:tcW w:w="0" w:type="auto"/>
            <w:vAlign w:val="center"/>
            <w:hideMark/>
          </w:tcPr>
          <w:p w14:paraId="5F76BACE"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QR codes, surveys, apps</w:t>
            </w:r>
          </w:p>
        </w:tc>
        <w:tc>
          <w:tcPr>
            <w:tcW w:w="0" w:type="auto"/>
            <w:vAlign w:val="center"/>
            <w:hideMark/>
          </w:tcPr>
          <w:p w14:paraId="68E9562D"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Feedback not always acknowledged</w:t>
            </w:r>
          </w:p>
        </w:tc>
        <w:tc>
          <w:tcPr>
            <w:tcW w:w="0" w:type="auto"/>
            <w:vAlign w:val="center"/>
            <w:hideMark/>
          </w:tcPr>
          <w:p w14:paraId="5A9BDCB4"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Friendly staff, responsive service</w:t>
            </w:r>
          </w:p>
        </w:tc>
        <w:tc>
          <w:tcPr>
            <w:tcW w:w="0" w:type="auto"/>
            <w:vAlign w:val="center"/>
            <w:hideMark/>
          </w:tcPr>
          <w:p w14:paraId="286ED5DC" w14:textId="77777777" w:rsidR="00650953" w:rsidRPr="00A80553" w:rsidRDefault="00650953" w:rsidP="00A80553">
            <w:pPr>
              <w:spacing w:line="360" w:lineRule="auto"/>
              <w:rPr>
                <w:rFonts w:ascii="Arial" w:hAnsi="Arial" w:cs="Arial"/>
                <w:sz w:val="22"/>
                <w:szCs w:val="22"/>
                <w:lang w:eastAsia="en-GB"/>
              </w:rPr>
            </w:pPr>
            <w:r w:rsidRPr="00A80553">
              <w:rPr>
                <w:rFonts w:ascii="Arial" w:hAnsi="Arial" w:cs="Arial"/>
                <w:sz w:val="22"/>
                <w:szCs w:val="22"/>
                <w:lang w:eastAsia="en-GB"/>
              </w:rPr>
              <w:t>Education: limited feedback channels for students</w:t>
            </w:r>
          </w:p>
        </w:tc>
      </w:tr>
    </w:tbl>
    <w:p w14:paraId="6B64ACFC"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Analysis:</w:t>
      </w:r>
    </w:p>
    <w:p w14:paraId="3E6AED32" w14:textId="77777777" w:rsidR="002830EC" w:rsidRDefault="00F249CD" w:rsidP="00A80553">
      <w:pPr>
        <w:pStyle w:val="ListParagraph"/>
        <w:numPr>
          <w:ilvl w:val="0"/>
          <w:numId w:val="22"/>
        </w:numPr>
        <w:spacing w:line="360" w:lineRule="auto"/>
        <w:rPr>
          <w:rFonts w:ascii="Arial" w:hAnsi="Arial" w:cs="Arial"/>
          <w:sz w:val="22"/>
          <w:szCs w:val="22"/>
          <w:lang w:eastAsia="en-GB"/>
        </w:rPr>
      </w:pPr>
      <w:r w:rsidRPr="002830EC">
        <w:rPr>
          <w:rFonts w:ascii="Arial" w:hAnsi="Arial" w:cs="Arial"/>
          <w:sz w:val="22"/>
          <w:szCs w:val="22"/>
          <w:lang w:eastAsia="en-GB"/>
        </w:rPr>
        <w:t>Strengths: Trusted brand, healthy options, variety, and convenience.</w:t>
      </w:r>
    </w:p>
    <w:p w14:paraId="7E0F4071" w14:textId="4AAF3401" w:rsidR="00F249CD" w:rsidRPr="002830EC" w:rsidRDefault="00F249CD" w:rsidP="00A80553">
      <w:pPr>
        <w:pStyle w:val="ListParagraph"/>
        <w:numPr>
          <w:ilvl w:val="0"/>
          <w:numId w:val="22"/>
        </w:numPr>
        <w:spacing w:line="360" w:lineRule="auto"/>
        <w:rPr>
          <w:rFonts w:ascii="Arial" w:hAnsi="Arial" w:cs="Arial"/>
          <w:sz w:val="22"/>
          <w:szCs w:val="22"/>
          <w:lang w:eastAsia="en-GB"/>
        </w:rPr>
      </w:pPr>
      <w:r w:rsidRPr="002830EC">
        <w:rPr>
          <w:rFonts w:ascii="Arial" w:hAnsi="Arial" w:cs="Arial"/>
          <w:sz w:val="22"/>
          <w:szCs w:val="22"/>
          <w:lang w:eastAsia="en-GB"/>
        </w:rPr>
        <w:lastRenderedPageBreak/>
        <w:t>Pain points: Queues, unclear dietary info, inconsistent service, feedback not always acted upon.</w:t>
      </w:r>
    </w:p>
    <w:p w14:paraId="2A283387"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Sector-specific considerations:</w:t>
      </w:r>
    </w:p>
    <w:p w14:paraId="0BB2AF4F" w14:textId="77777777" w:rsidR="002830EC" w:rsidRDefault="00F249CD" w:rsidP="00A80553">
      <w:pPr>
        <w:pStyle w:val="ListParagraph"/>
        <w:numPr>
          <w:ilvl w:val="0"/>
          <w:numId w:val="23"/>
        </w:numPr>
        <w:spacing w:line="360" w:lineRule="auto"/>
        <w:rPr>
          <w:rFonts w:ascii="Arial" w:hAnsi="Arial" w:cs="Arial"/>
          <w:sz w:val="22"/>
          <w:szCs w:val="22"/>
          <w:lang w:eastAsia="en-GB"/>
        </w:rPr>
      </w:pPr>
      <w:r w:rsidRPr="002830EC">
        <w:rPr>
          <w:rFonts w:ascii="Arial" w:hAnsi="Arial" w:cs="Arial"/>
          <w:sz w:val="22"/>
          <w:szCs w:val="22"/>
          <w:lang w:eastAsia="en-GB"/>
        </w:rPr>
        <w:t>Healthcare: Strict dietary and allergen compliance.</w:t>
      </w:r>
    </w:p>
    <w:p w14:paraId="0DF92F54" w14:textId="77777777" w:rsidR="002830EC" w:rsidRDefault="00F249CD" w:rsidP="00A80553">
      <w:pPr>
        <w:pStyle w:val="ListParagraph"/>
        <w:numPr>
          <w:ilvl w:val="0"/>
          <w:numId w:val="23"/>
        </w:numPr>
        <w:spacing w:line="360" w:lineRule="auto"/>
        <w:rPr>
          <w:rFonts w:ascii="Arial" w:hAnsi="Arial" w:cs="Arial"/>
          <w:sz w:val="22"/>
          <w:szCs w:val="22"/>
          <w:lang w:eastAsia="en-GB"/>
        </w:rPr>
      </w:pPr>
      <w:r w:rsidRPr="002830EC">
        <w:rPr>
          <w:rFonts w:ascii="Arial" w:hAnsi="Arial" w:cs="Arial"/>
          <w:sz w:val="22"/>
          <w:szCs w:val="22"/>
          <w:lang w:eastAsia="en-GB"/>
        </w:rPr>
        <w:t>Education: Younger customers require engaging digital touchpoints.</w:t>
      </w:r>
    </w:p>
    <w:p w14:paraId="4871CB6D" w14:textId="1C79F6AE" w:rsidR="00F249CD" w:rsidRPr="002830EC" w:rsidRDefault="00F249CD" w:rsidP="00A80553">
      <w:pPr>
        <w:pStyle w:val="ListParagraph"/>
        <w:numPr>
          <w:ilvl w:val="0"/>
          <w:numId w:val="23"/>
        </w:numPr>
        <w:spacing w:line="360" w:lineRule="auto"/>
        <w:rPr>
          <w:rFonts w:ascii="Arial" w:hAnsi="Arial" w:cs="Arial"/>
          <w:sz w:val="22"/>
          <w:szCs w:val="22"/>
          <w:lang w:eastAsia="en-GB"/>
        </w:rPr>
      </w:pPr>
      <w:r w:rsidRPr="002830EC">
        <w:rPr>
          <w:rFonts w:ascii="Arial" w:hAnsi="Arial" w:cs="Arial"/>
          <w:sz w:val="22"/>
          <w:szCs w:val="22"/>
          <w:lang w:eastAsia="en-GB"/>
        </w:rPr>
        <w:t>Sports and leisure: High-volume service, fast turnaround required.</w:t>
      </w:r>
    </w:p>
    <w:p w14:paraId="5095FDCC"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Digital Innovation Opportunities:</w:t>
      </w:r>
    </w:p>
    <w:p w14:paraId="2A7AF129" w14:textId="77777777" w:rsidR="002830EC" w:rsidRDefault="00F249CD" w:rsidP="00A80553">
      <w:pPr>
        <w:pStyle w:val="ListParagraph"/>
        <w:numPr>
          <w:ilvl w:val="0"/>
          <w:numId w:val="24"/>
        </w:numPr>
        <w:spacing w:line="360" w:lineRule="auto"/>
        <w:rPr>
          <w:rFonts w:ascii="Arial" w:hAnsi="Arial" w:cs="Arial"/>
          <w:sz w:val="22"/>
          <w:szCs w:val="22"/>
          <w:lang w:eastAsia="en-GB"/>
        </w:rPr>
      </w:pPr>
      <w:r w:rsidRPr="002830EC">
        <w:rPr>
          <w:rFonts w:ascii="Arial" w:hAnsi="Arial" w:cs="Arial"/>
          <w:sz w:val="22"/>
          <w:szCs w:val="22"/>
          <w:lang w:eastAsia="en-GB"/>
        </w:rPr>
        <w:t>Real-time menu updates to show availability and allergen info.</w:t>
      </w:r>
    </w:p>
    <w:p w14:paraId="3A35A3A1" w14:textId="77777777" w:rsidR="002830EC" w:rsidRDefault="00F249CD" w:rsidP="00A80553">
      <w:pPr>
        <w:pStyle w:val="ListParagraph"/>
        <w:numPr>
          <w:ilvl w:val="0"/>
          <w:numId w:val="24"/>
        </w:numPr>
        <w:spacing w:line="360" w:lineRule="auto"/>
        <w:rPr>
          <w:rFonts w:ascii="Arial" w:hAnsi="Arial" w:cs="Arial"/>
          <w:sz w:val="22"/>
          <w:szCs w:val="22"/>
          <w:lang w:eastAsia="en-GB"/>
        </w:rPr>
      </w:pPr>
      <w:r w:rsidRPr="002830EC">
        <w:rPr>
          <w:rFonts w:ascii="Arial" w:hAnsi="Arial" w:cs="Arial"/>
          <w:sz w:val="22"/>
          <w:szCs w:val="22"/>
          <w:lang w:eastAsia="en-GB"/>
        </w:rPr>
        <w:t>AI-powered personalised suggestions for frequent users.</w:t>
      </w:r>
    </w:p>
    <w:p w14:paraId="724C6316" w14:textId="77777777" w:rsidR="002830EC" w:rsidRDefault="00F249CD" w:rsidP="00A80553">
      <w:pPr>
        <w:pStyle w:val="ListParagraph"/>
        <w:numPr>
          <w:ilvl w:val="0"/>
          <w:numId w:val="24"/>
        </w:numPr>
        <w:spacing w:line="360" w:lineRule="auto"/>
        <w:rPr>
          <w:rFonts w:ascii="Arial" w:hAnsi="Arial" w:cs="Arial"/>
          <w:sz w:val="22"/>
          <w:szCs w:val="22"/>
          <w:lang w:eastAsia="en-GB"/>
        </w:rPr>
      </w:pPr>
      <w:r w:rsidRPr="002830EC">
        <w:rPr>
          <w:rFonts w:ascii="Arial" w:hAnsi="Arial" w:cs="Arial"/>
          <w:sz w:val="22"/>
          <w:szCs w:val="22"/>
          <w:lang w:eastAsia="en-GB"/>
        </w:rPr>
        <w:t>Gamified loyalty programs to encourage sustainable or healthy choices.</w:t>
      </w:r>
    </w:p>
    <w:p w14:paraId="065B091B" w14:textId="77777777" w:rsidR="002830EC" w:rsidRDefault="00F249CD" w:rsidP="00A80553">
      <w:pPr>
        <w:pStyle w:val="ListParagraph"/>
        <w:numPr>
          <w:ilvl w:val="0"/>
          <w:numId w:val="24"/>
        </w:numPr>
        <w:spacing w:line="360" w:lineRule="auto"/>
        <w:rPr>
          <w:rFonts w:ascii="Arial" w:hAnsi="Arial" w:cs="Arial"/>
          <w:sz w:val="22"/>
          <w:szCs w:val="22"/>
          <w:lang w:eastAsia="en-GB"/>
        </w:rPr>
      </w:pPr>
      <w:r w:rsidRPr="002830EC">
        <w:rPr>
          <w:rFonts w:ascii="Arial" w:hAnsi="Arial" w:cs="Arial"/>
          <w:sz w:val="22"/>
          <w:szCs w:val="22"/>
          <w:lang w:eastAsia="en-GB"/>
        </w:rPr>
        <w:t>Predictive analytics to reduce wait times and optimise staffing.</w:t>
      </w:r>
    </w:p>
    <w:p w14:paraId="6CBA2B7C" w14:textId="77777777" w:rsidR="002830EC" w:rsidRDefault="00F249CD" w:rsidP="002830EC">
      <w:pPr>
        <w:spacing w:line="360" w:lineRule="auto"/>
        <w:rPr>
          <w:rFonts w:ascii="Arial" w:hAnsi="Arial" w:cs="Arial"/>
          <w:sz w:val="22"/>
          <w:szCs w:val="22"/>
          <w:lang w:eastAsia="en-GB"/>
        </w:rPr>
      </w:pPr>
      <w:r w:rsidRPr="002830EC">
        <w:rPr>
          <w:rFonts w:ascii="Arial" w:hAnsi="Arial" w:cs="Arial"/>
          <w:sz w:val="22"/>
          <w:szCs w:val="22"/>
          <w:lang w:eastAsia="en-GB"/>
        </w:rPr>
        <w:t>By combining Innovation Ambition Matrix insights with Customer Journey Mapping, Compass Group can see which current innovations meet customer needs and where gaps exist. For example:</w:t>
      </w:r>
    </w:p>
    <w:p w14:paraId="5477CC33" w14:textId="77777777" w:rsidR="002830EC" w:rsidRDefault="00F249CD" w:rsidP="00A80553">
      <w:pPr>
        <w:pStyle w:val="ListParagraph"/>
        <w:numPr>
          <w:ilvl w:val="0"/>
          <w:numId w:val="25"/>
        </w:numPr>
        <w:spacing w:line="360" w:lineRule="auto"/>
        <w:rPr>
          <w:rFonts w:ascii="Arial" w:hAnsi="Arial" w:cs="Arial"/>
          <w:sz w:val="22"/>
          <w:szCs w:val="22"/>
          <w:lang w:eastAsia="en-GB"/>
        </w:rPr>
      </w:pPr>
      <w:r w:rsidRPr="002830EC">
        <w:rPr>
          <w:rFonts w:ascii="Arial" w:hAnsi="Arial" w:cs="Arial"/>
          <w:sz w:val="22"/>
          <w:szCs w:val="22"/>
          <w:lang w:eastAsia="en-GB"/>
        </w:rPr>
        <w:t>Core innovations like pre-order apps improve convenience but can be enhanced with AI personalisation.</w:t>
      </w:r>
    </w:p>
    <w:p w14:paraId="4154B9FA" w14:textId="77777777" w:rsidR="002830EC" w:rsidRDefault="00F249CD" w:rsidP="00A80553">
      <w:pPr>
        <w:pStyle w:val="ListParagraph"/>
        <w:numPr>
          <w:ilvl w:val="0"/>
          <w:numId w:val="25"/>
        </w:numPr>
        <w:spacing w:line="360" w:lineRule="auto"/>
        <w:rPr>
          <w:rFonts w:ascii="Arial" w:hAnsi="Arial" w:cs="Arial"/>
          <w:sz w:val="22"/>
          <w:szCs w:val="22"/>
          <w:lang w:eastAsia="en-GB"/>
        </w:rPr>
      </w:pPr>
      <w:r w:rsidRPr="002830EC">
        <w:rPr>
          <w:rFonts w:ascii="Arial" w:hAnsi="Arial" w:cs="Arial"/>
          <w:sz w:val="22"/>
          <w:szCs w:val="22"/>
          <w:lang w:eastAsia="en-GB"/>
        </w:rPr>
        <w:t>Adjacent innovations like unmanned Smart Cafés address efficiency but could expand to hybrid workplaces.</w:t>
      </w:r>
    </w:p>
    <w:p w14:paraId="14D83D6B" w14:textId="59EF030C" w:rsidR="00F249CD" w:rsidRPr="002830EC" w:rsidRDefault="00F249CD" w:rsidP="00A80553">
      <w:pPr>
        <w:pStyle w:val="ListParagraph"/>
        <w:numPr>
          <w:ilvl w:val="0"/>
          <w:numId w:val="25"/>
        </w:numPr>
        <w:spacing w:line="360" w:lineRule="auto"/>
        <w:rPr>
          <w:rFonts w:ascii="Arial" w:hAnsi="Arial" w:cs="Arial"/>
          <w:sz w:val="22"/>
          <w:szCs w:val="22"/>
          <w:lang w:eastAsia="en-GB"/>
        </w:rPr>
      </w:pPr>
      <w:r w:rsidRPr="002830EC">
        <w:rPr>
          <w:rFonts w:ascii="Arial" w:hAnsi="Arial" w:cs="Arial"/>
          <w:sz w:val="22"/>
          <w:szCs w:val="22"/>
          <w:lang w:eastAsia="en-GB"/>
        </w:rPr>
        <w:t>Transformational innovations such as robotics could reduce queues, improve service consistency, and provide scalable solutions for large campuses, hospitals, or remote sites.</w:t>
      </w:r>
    </w:p>
    <w:p w14:paraId="46B8FED3"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Using design thinking, Compass Group can:</w:t>
      </w:r>
    </w:p>
    <w:p w14:paraId="4CCC81BC" w14:textId="77777777" w:rsidR="002830EC" w:rsidRDefault="00F249CD" w:rsidP="00A80553">
      <w:pPr>
        <w:pStyle w:val="ListParagraph"/>
        <w:numPr>
          <w:ilvl w:val="0"/>
          <w:numId w:val="26"/>
        </w:numPr>
        <w:spacing w:line="360" w:lineRule="auto"/>
        <w:rPr>
          <w:rFonts w:ascii="Arial" w:hAnsi="Arial" w:cs="Arial"/>
          <w:sz w:val="22"/>
          <w:szCs w:val="22"/>
          <w:lang w:eastAsia="en-GB"/>
        </w:rPr>
      </w:pPr>
      <w:r w:rsidRPr="002830EC">
        <w:rPr>
          <w:rFonts w:ascii="Arial" w:hAnsi="Arial" w:cs="Arial"/>
          <w:sz w:val="22"/>
          <w:szCs w:val="22"/>
          <w:lang w:eastAsia="en-GB"/>
        </w:rPr>
        <w:t>Empathise with customers through surveys, observations, and digital data.</w:t>
      </w:r>
    </w:p>
    <w:p w14:paraId="19B9F069" w14:textId="77777777" w:rsidR="002830EC" w:rsidRDefault="00F249CD" w:rsidP="00A80553">
      <w:pPr>
        <w:pStyle w:val="ListParagraph"/>
        <w:numPr>
          <w:ilvl w:val="0"/>
          <w:numId w:val="26"/>
        </w:numPr>
        <w:spacing w:line="360" w:lineRule="auto"/>
        <w:rPr>
          <w:rFonts w:ascii="Arial" w:hAnsi="Arial" w:cs="Arial"/>
          <w:sz w:val="22"/>
          <w:szCs w:val="22"/>
          <w:lang w:eastAsia="en-GB"/>
        </w:rPr>
      </w:pPr>
      <w:r w:rsidRPr="002830EC">
        <w:rPr>
          <w:rFonts w:ascii="Arial" w:hAnsi="Arial" w:cs="Arial"/>
          <w:sz w:val="22"/>
          <w:szCs w:val="22"/>
          <w:lang w:eastAsia="en-GB"/>
        </w:rPr>
        <w:t>Define key pain points (long queues, unclear menus, inconsistent feedback).</w:t>
      </w:r>
    </w:p>
    <w:p w14:paraId="5A0F5E6B" w14:textId="77777777" w:rsidR="002830EC" w:rsidRDefault="00F249CD" w:rsidP="00A80553">
      <w:pPr>
        <w:pStyle w:val="ListParagraph"/>
        <w:numPr>
          <w:ilvl w:val="0"/>
          <w:numId w:val="26"/>
        </w:numPr>
        <w:spacing w:line="360" w:lineRule="auto"/>
        <w:rPr>
          <w:rFonts w:ascii="Arial" w:hAnsi="Arial" w:cs="Arial"/>
          <w:sz w:val="22"/>
          <w:szCs w:val="22"/>
          <w:lang w:eastAsia="en-GB"/>
        </w:rPr>
      </w:pPr>
      <w:r w:rsidRPr="002830EC">
        <w:rPr>
          <w:rFonts w:ascii="Arial" w:hAnsi="Arial" w:cs="Arial"/>
          <w:sz w:val="22"/>
          <w:szCs w:val="22"/>
          <w:lang w:eastAsia="en-GB"/>
        </w:rPr>
        <w:t>Ideate solutions (AI recommendations, gamification, sustainability tracking).</w:t>
      </w:r>
    </w:p>
    <w:p w14:paraId="7D8BD4F5" w14:textId="77777777" w:rsidR="002830EC" w:rsidRDefault="00F249CD" w:rsidP="00A80553">
      <w:pPr>
        <w:pStyle w:val="ListParagraph"/>
        <w:numPr>
          <w:ilvl w:val="0"/>
          <w:numId w:val="26"/>
        </w:numPr>
        <w:spacing w:line="360" w:lineRule="auto"/>
        <w:rPr>
          <w:rFonts w:ascii="Arial" w:hAnsi="Arial" w:cs="Arial"/>
          <w:sz w:val="22"/>
          <w:szCs w:val="22"/>
          <w:lang w:eastAsia="en-GB"/>
        </w:rPr>
      </w:pPr>
      <w:r w:rsidRPr="002830EC">
        <w:rPr>
          <w:rFonts w:ascii="Arial" w:hAnsi="Arial" w:cs="Arial"/>
          <w:sz w:val="22"/>
          <w:szCs w:val="22"/>
          <w:lang w:eastAsia="en-GB"/>
        </w:rPr>
        <w:t>Prototype in selected locations.</w:t>
      </w:r>
    </w:p>
    <w:p w14:paraId="42448097" w14:textId="200BBE2F" w:rsidR="00F249CD" w:rsidRPr="002830EC" w:rsidRDefault="00F249CD" w:rsidP="00A80553">
      <w:pPr>
        <w:pStyle w:val="ListParagraph"/>
        <w:numPr>
          <w:ilvl w:val="0"/>
          <w:numId w:val="26"/>
        </w:numPr>
        <w:spacing w:line="360" w:lineRule="auto"/>
        <w:rPr>
          <w:rFonts w:ascii="Arial" w:hAnsi="Arial" w:cs="Arial"/>
          <w:sz w:val="22"/>
          <w:szCs w:val="22"/>
          <w:lang w:eastAsia="en-GB"/>
        </w:rPr>
      </w:pPr>
      <w:r w:rsidRPr="002830EC">
        <w:rPr>
          <w:rFonts w:ascii="Arial" w:hAnsi="Arial" w:cs="Arial"/>
          <w:sz w:val="22"/>
          <w:szCs w:val="22"/>
          <w:lang w:eastAsia="en-GB"/>
        </w:rPr>
        <w:t>Test and refine based on feedback before broader rollout.</w:t>
      </w:r>
    </w:p>
    <w:p w14:paraId="6F6F1B57" w14:textId="03E13640" w:rsidR="00F249CD" w:rsidRPr="002830EC" w:rsidRDefault="00F249CD" w:rsidP="00916484">
      <w:pPr>
        <w:pStyle w:val="Heading2"/>
        <w:rPr>
          <w:rFonts w:eastAsia="Times New Roman"/>
          <w:b/>
          <w:bCs/>
          <w:color w:val="auto"/>
          <w:lang w:eastAsia="en-GB"/>
        </w:rPr>
      </w:pPr>
      <w:bookmarkStart w:id="14" w:name="_Toc215740884"/>
      <w:r w:rsidRPr="002830EC">
        <w:rPr>
          <w:rFonts w:eastAsia="Times New Roman"/>
          <w:b/>
          <w:bCs/>
          <w:color w:val="auto"/>
          <w:lang w:eastAsia="en-GB"/>
        </w:rPr>
        <w:t>4. Part 2: Proposed Digital Transformation Initiative</w:t>
      </w:r>
      <w:bookmarkEnd w:id="14"/>
      <w:r w:rsidRPr="002830EC">
        <w:rPr>
          <w:rFonts w:eastAsia="Times New Roman"/>
          <w:b/>
          <w:bCs/>
          <w:color w:val="auto"/>
          <w:lang w:eastAsia="en-GB"/>
        </w:rPr>
        <w:t xml:space="preserve"> </w:t>
      </w:r>
    </w:p>
    <w:p w14:paraId="1478D630" w14:textId="77777777" w:rsidR="00F249CD" w:rsidRPr="002830EC" w:rsidRDefault="00F249CD" w:rsidP="00916484">
      <w:pPr>
        <w:pStyle w:val="Heading3"/>
        <w:rPr>
          <w:rFonts w:eastAsia="Times New Roman"/>
          <w:b/>
          <w:bCs/>
          <w:color w:val="auto"/>
          <w:lang w:eastAsia="en-GB"/>
        </w:rPr>
      </w:pPr>
      <w:bookmarkStart w:id="15" w:name="_Toc215740885"/>
      <w:r w:rsidRPr="002830EC">
        <w:rPr>
          <w:rFonts w:eastAsia="Times New Roman"/>
          <w:b/>
          <w:bCs/>
          <w:color w:val="auto"/>
          <w:lang w:eastAsia="en-GB"/>
        </w:rPr>
        <w:t>4.1 Proposed Initiative: Compass SmartConnect</w:t>
      </w:r>
      <w:bookmarkEnd w:id="15"/>
    </w:p>
    <w:p w14:paraId="7ABDB365"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To address the gaps identified in the current customer journey and leverage innovation opportunities, this portfolio proposes Compass SmartConnect – a comprehensive digital </w:t>
      </w:r>
      <w:r w:rsidRPr="00A80553">
        <w:rPr>
          <w:rFonts w:ascii="Arial" w:hAnsi="Arial" w:cs="Arial"/>
          <w:sz w:val="22"/>
          <w:szCs w:val="22"/>
          <w:lang w:eastAsia="en-GB"/>
        </w:rPr>
        <w:lastRenderedPageBreak/>
        <w:t>platform designed to enhance the customer experience, improve operational efficiency, and support sustainability initiatives.</w:t>
      </w:r>
    </w:p>
    <w:p w14:paraId="5A98203A" w14:textId="6F7931A9" w:rsidR="00F249CD" w:rsidRPr="002830EC" w:rsidRDefault="00F249CD" w:rsidP="002830EC">
      <w:pPr>
        <w:spacing w:line="360" w:lineRule="auto"/>
        <w:rPr>
          <w:rFonts w:ascii="Arial" w:hAnsi="Arial" w:cs="Arial"/>
          <w:sz w:val="22"/>
          <w:szCs w:val="22"/>
          <w:lang w:eastAsia="en-GB"/>
        </w:rPr>
      </w:pPr>
      <w:r w:rsidRPr="002830EC">
        <w:rPr>
          <w:rFonts w:ascii="Arial" w:hAnsi="Arial" w:cs="Arial"/>
          <w:sz w:val="22"/>
          <w:szCs w:val="22"/>
          <w:lang w:eastAsia="en-GB"/>
        </w:rPr>
        <w:t>Key Features</w:t>
      </w:r>
      <w:r w:rsidR="002830EC" w:rsidRPr="002830EC">
        <w:rPr>
          <w:rFonts w:ascii="Arial" w:hAnsi="Arial" w:cs="Arial"/>
          <w:sz w:val="22"/>
          <w:szCs w:val="22"/>
          <w:lang w:eastAsia="en-GB"/>
        </w:rPr>
        <w:t>:</w:t>
      </w:r>
    </w:p>
    <w:p w14:paraId="5C4F4303" w14:textId="6DA1A9E0" w:rsidR="002830EC" w:rsidRDefault="00F249CD" w:rsidP="00A80553">
      <w:pPr>
        <w:pStyle w:val="ListParagraph"/>
        <w:numPr>
          <w:ilvl w:val="0"/>
          <w:numId w:val="28"/>
        </w:numPr>
        <w:spacing w:line="360" w:lineRule="auto"/>
        <w:rPr>
          <w:rFonts w:ascii="Arial" w:hAnsi="Arial" w:cs="Arial"/>
          <w:sz w:val="22"/>
          <w:szCs w:val="22"/>
          <w:lang w:eastAsia="en-GB"/>
        </w:rPr>
      </w:pPr>
      <w:r w:rsidRPr="002830EC">
        <w:rPr>
          <w:rFonts w:ascii="Arial" w:hAnsi="Arial" w:cs="Arial"/>
          <w:sz w:val="22"/>
          <w:szCs w:val="22"/>
          <w:lang w:eastAsia="en-GB"/>
        </w:rPr>
        <w:t>AI-Driven Meal Recommendations</w:t>
      </w:r>
      <w:r w:rsidR="00D40DE8">
        <w:rPr>
          <w:rFonts w:ascii="Arial" w:hAnsi="Arial" w:cs="Arial"/>
          <w:sz w:val="22"/>
          <w:szCs w:val="22"/>
          <w:lang w:eastAsia="en-GB"/>
        </w:rPr>
        <w:t>.</w:t>
      </w:r>
    </w:p>
    <w:p w14:paraId="2A4A442F" w14:textId="77777777" w:rsidR="002830EC" w:rsidRDefault="00F249CD" w:rsidP="00A80553">
      <w:pPr>
        <w:pStyle w:val="ListParagraph"/>
        <w:numPr>
          <w:ilvl w:val="0"/>
          <w:numId w:val="28"/>
        </w:numPr>
        <w:spacing w:line="360" w:lineRule="auto"/>
        <w:rPr>
          <w:rFonts w:ascii="Arial" w:hAnsi="Arial" w:cs="Arial"/>
          <w:sz w:val="22"/>
          <w:szCs w:val="22"/>
          <w:lang w:eastAsia="en-GB"/>
        </w:rPr>
      </w:pPr>
      <w:r w:rsidRPr="002830EC">
        <w:rPr>
          <w:rFonts w:ascii="Arial" w:hAnsi="Arial" w:cs="Arial"/>
          <w:sz w:val="22"/>
          <w:szCs w:val="22"/>
          <w:lang w:eastAsia="en-GB"/>
        </w:rPr>
        <w:t>Personalises meal suggestions based on dietary preferences, health goals, past orders, and nutritional data.</w:t>
      </w:r>
    </w:p>
    <w:p w14:paraId="72B85EB2" w14:textId="73F57304" w:rsidR="00F249CD" w:rsidRPr="002830EC" w:rsidRDefault="00F249CD" w:rsidP="00A80553">
      <w:pPr>
        <w:pStyle w:val="ListParagraph"/>
        <w:numPr>
          <w:ilvl w:val="0"/>
          <w:numId w:val="28"/>
        </w:numPr>
        <w:spacing w:line="360" w:lineRule="auto"/>
        <w:rPr>
          <w:rFonts w:ascii="Arial" w:hAnsi="Arial" w:cs="Arial"/>
          <w:sz w:val="22"/>
          <w:szCs w:val="22"/>
          <w:lang w:eastAsia="en-GB"/>
        </w:rPr>
      </w:pPr>
      <w:r w:rsidRPr="002830EC">
        <w:rPr>
          <w:rFonts w:ascii="Arial" w:hAnsi="Arial" w:cs="Arial"/>
          <w:sz w:val="22"/>
          <w:szCs w:val="22"/>
          <w:lang w:eastAsia="en-GB"/>
        </w:rPr>
        <w:t>Supports corporate wellness initiatives and promotes healthy, low-carbon choices.</w:t>
      </w:r>
    </w:p>
    <w:p w14:paraId="2615BF8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Provides sector-specific adaptations:</w:t>
      </w:r>
    </w:p>
    <w:p w14:paraId="6CC9F707" w14:textId="77777777" w:rsidR="002830EC" w:rsidRDefault="00F249CD" w:rsidP="00A80553">
      <w:pPr>
        <w:pStyle w:val="ListParagraph"/>
        <w:numPr>
          <w:ilvl w:val="0"/>
          <w:numId w:val="29"/>
        </w:numPr>
        <w:spacing w:line="360" w:lineRule="auto"/>
        <w:rPr>
          <w:rFonts w:ascii="Arial" w:hAnsi="Arial" w:cs="Arial"/>
          <w:sz w:val="22"/>
          <w:szCs w:val="22"/>
          <w:lang w:eastAsia="en-GB"/>
        </w:rPr>
      </w:pPr>
      <w:r w:rsidRPr="002830EC">
        <w:rPr>
          <w:rFonts w:ascii="Arial" w:hAnsi="Arial" w:cs="Arial"/>
          <w:sz w:val="22"/>
          <w:szCs w:val="22"/>
          <w:lang w:eastAsia="en-GB"/>
        </w:rPr>
        <w:t>Healthcare: patient-specific nutrition plans.</w:t>
      </w:r>
    </w:p>
    <w:p w14:paraId="2930ABE2" w14:textId="77777777" w:rsidR="002830EC" w:rsidRDefault="00F249CD" w:rsidP="00A80553">
      <w:pPr>
        <w:pStyle w:val="ListParagraph"/>
        <w:numPr>
          <w:ilvl w:val="0"/>
          <w:numId w:val="29"/>
        </w:numPr>
        <w:spacing w:line="360" w:lineRule="auto"/>
        <w:rPr>
          <w:rFonts w:ascii="Arial" w:hAnsi="Arial" w:cs="Arial"/>
          <w:sz w:val="22"/>
          <w:szCs w:val="22"/>
          <w:lang w:eastAsia="en-GB"/>
        </w:rPr>
      </w:pPr>
      <w:r w:rsidRPr="002830EC">
        <w:rPr>
          <w:rFonts w:ascii="Arial" w:hAnsi="Arial" w:cs="Arial"/>
          <w:sz w:val="22"/>
          <w:szCs w:val="22"/>
          <w:lang w:eastAsia="en-GB"/>
        </w:rPr>
        <w:t>Education: allergen alerts and age-appropriate meal suggestions.</w:t>
      </w:r>
    </w:p>
    <w:p w14:paraId="578156A4" w14:textId="77777777" w:rsidR="002830EC" w:rsidRDefault="00F249CD" w:rsidP="00A80553">
      <w:pPr>
        <w:pStyle w:val="ListParagraph"/>
        <w:numPr>
          <w:ilvl w:val="0"/>
          <w:numId w:val="29"/>
        </w:numPr>
        <w:spacing w:line="360" w:lineRule="auto"/>
        <w:rPr>
          <w:rFonts w:ascii="Arial" w:hAnsi="Arial" w:cs="Arial"/>
          <w:sz w:val="22"/>
          <w:szCs w:val="22"/>
          <w:lang w:eastAsia="en-GB"/>
        </w:rPr>
      </w:pPr>
      <w:r w:rsidRPr="002830EC">
        <w:rPr>
          <w:rFonts w:ascii="Arial" w:hAnsi="Arial" w:cs="Arial"/>
          <w:sz w:val="22"/>
          <w:szCs w:val="22"/>
          <w:lang w:eastAsia="en-GB"/>
        </w:rPr>
        <w:t>Sports/Leisure: high-energy meals for athletes and fans.</w:t>
      </w:r>
    </w:p>
    <w:p w14:paraId="1C57B9B1" w14:textId="1CB3AB43" w:rsidR="005C5D18" w:rsidRPr="00876DE4" w:rsidRDefault="00F249CD" w:rsidP="00876DE4">
      <w:pPr>
        <w:spacing w:line="360" w:lineRule="auto"/>
        <w:rPr>
          <w:rFonts w:ascii="Arial" w:hAnsi="Arial" w:cs="Arial"/>
          <w:sz w:val="22"/>
          <w:szCs w:val="22"/>
          <w:lang w:eastAsia="en-GB"/>
        </w:rPr>
      </w:pPr>
      <w:r w:rsidRPr="00876DE4">
        <w:rPr>
          <w:rFonts w:ascii="Arial" w:hAnsi="Arial" w:cs="Arial"/>
          <w:sz w:val="22"/>
          <w:szCs w:val="22"/>
          <w:lang w:eastAsia="en-GB"/>
        </w:rPr>
        <w:t>Sustainability Dashboard</w:t>
      </w:r>
      <w:r w:rsidR="00876DE4" w:rsidRPr="00876DE4">
        <w:rPr>
          <w:rFonts w:ascii="Arial" w:hAnsi="Arial" w:cs="Arial"/>
          <w:sz w:val="22"/>
          <w:szCs w:val="22"/>
          <w:lang w:eastAsia="en-GB"/>
        </w:rPr>
        <w:t>:</w:t>
      </w:r>
    </w:p>
    <w:p w14:paraId="7AEF18C6" w14:textId="77777777" w:rsidR="005C5D18" w:rsidRDefault="002830EC" w:rsidP="00A80553">
      <w:pPr>
        <w:pStyle w:val="ListParagraph"/>
        <w:numPr>
          <w:ilvl w:val="0"/>
          <w:numId w:val="29"/>
        </w:numPr>
        <w:spacing w:line="360" w:lineRule="auto"/>
        <w:rPr>
          <w:rFonts w:ascii="Arial" w:hAnsi="Arial" w:cs="Arial"/>
          <w:sz w:val="22"/>
          <w:szCs w:val="22"/>
          <w:lang w:eastAsia="en-GB"/>
        </w:rPr>
      </w:pPr>
      <w:r w:rsidRPr="002830EC">
        <w:rPr>
          <w:rFonts w:ascii="Arial" w:hAnsi="Arial" w:cs="Arial"/>
          <w:sz w:val="22"/>
          <w:szCs w:val="22"/>
          <w:lang w:eastAsia="en-GB"/>
        </w:rPr>
        <w:t>S</w:t>
      </w:r>
      <w:r w:rsidR="00F249CD" w:rsidRPr="002830EC">
        <w:rPr>
          <w:rFonts w:ascii="Arial" w:hAnsi="Arial" w:cs="Arial"/>
          <w:sz w:val="22"/>
          <w:szCs w:val="22"/>
          <w:lang w:eastAsia="en-GB"/>
        </w:rPr>
        <w:t>hows the carbon footprint and environmental impact of each meal.</w:t>
      </w:r>
    </w:p>
    <w:p w14:paraId="4C134DA7" w14:textId="77777777" w:rsidR="005C5D18" w:rsidRDefault="00F249CD" w:rsidP="00A80553">
      <w:pPr>
        <w:pStyle w:val="ListParagraph"/>
        <w:numPr>
          <w:ilvl w:val="0"/>
          <w:numId w:val="29"/>
        </w:numPr>
        <w:spacing w:line="360" w:lineRule="auto"/>
        <w:rPr>
          <w:rFonts w:ascii="Arial" w:hAnsi="Arial" w:cs="Arial"/>
          <w:sz w:val="22"/>
          <w:szCs w:val="22"/>
          <w:lang w:eastAsia="en-GB"/>
        </w:rPr>
      </w:pPr>
      <w:r w:rsidRPr="005C5D18">
        <w:rPr>
          <w:rFonts w:ascii="Arial" w:hAnsi="Arial" w:cs="Arial"/>
          <w:sz w:val="22"/>
          <w:szCs w:val="22"/>
          <w:lang w:eastAsia="en-GB"/>
        </w:rPr>
        <w:t>Tracks individual and collective waste reduction.</w:t>
      </w:r>
    </w:p>
    <w:p w14:paraId="04A3A8B1" w14:textId="77777777" w:rsidR="005C5D18" w:rsidRDefault="00F249CD" w:rsidP="00A80553">
      <w:pPr>
        <w:pStyle w:val="ListParagraph"/>
        <w:numPr>
          <w:ilvl w:val="0"/>
          <w:numId w:val="29"/>
        </w:numPr>
        <w:spacing w:line="360" w:lineRule="auto"/>
        <w:rPr>
          <w:rFonts w:ascii="Arial" w:hAnsi="Arial" w:cs="Arial"/>
          <w:sz w:val="22"/>
          <w:szCs w:val="22"/>
          <w:lang w:eastAsia="en-GB"/>
        </w:rPr>
      </w:pPr>
      <w:r w:rsidRPr="005C5D18">
        <w:rPr>
          <w:rFonts w:ascii="Arial" w:hAnsi="Arial" w:cs="Arial"/>
          <w:sz w:val="22"/>
          <w:szCs w:val="22"/>
          <w:lang w:eastAsia="en-GB"/>
        </w:rPr>
        <w:t>Offers gamified rewards for sustainable choices (e.g., plant-based meals, zero-waste selections).</w:t>
      </w:r>
    </w:p>
    <w:p w14:paraId="354E4746" w14:textId="2A22A674" w:rsidR="005C5D18" w:rsidRPr="00876DE4" w:rsidRDefault="00F249CD" w:rsidP="00876DE4">
      <w:pPr>
        <w:spacing w:line="360" w:lineRule="auto"/>
        <w:rPr>
          <w:rFonts w:ascii="Arial" w:hAnsi="Arial" w:cs="Arial"/>
          <w:sz w:val="22"/>
          <w:szCs w:val="22"/>
          <w:lang w:eastAsia="en-GB"/>
        </w:rPr>
      </w:pPr>
      <w:r w:rsidRPr="00876DE4">
        <w:rPr>
          <w:rFonts w:ascii="Arial" w:hAnsi="Arial" w:cs="Arial"/>
          <w:sz w:val="22"/>
          <w:szCs w:val="22"/>
          <w:lang w:eastAsia="en-GB"/>
        </w:rPr>
        <w:t>Mobile Pre-Ordering and Contactless Payment</w:t>
      </w:r>
      <w:r w:rsidR="00876DE4">
        <w:rPr>
          <w:rFonts w:ascii="Arial" w:hAnsi="Arial" w:cs="Arial"/>
          <w:sz w:val="22"/>
          <w:szCs w:val="22"/>
          <w:lang w:eastAsia="en-GB"/>
        </w:rPr>
        <w:t>:</w:t>
      </w:r>
    </w:p>
    <w:p w14:paraId="4C4C0C10" w14:textId="77777777" w:rsidR="005C5D18" w:rsidRDefault="00F249CD" w:rsidP="00A80553">
      <w:pPr>
        <w:pStyle w:val="ListParagraph"/>
        <w:numPr>
          <w:ilvl w:val="0"/>
          <w:numId w:val="29"/>
        </w:numPr>
        <w:spacing w:line="360" w:lineRule="auto"/>
        <w:rPr>
          <w:rFonts w:ascii="Arial" w:hAnsi="Arial" w:cs="Arial"/>
          <w:sz w:val="22"/>
          <w:szCs w:val="22"/>
          <w:lang w:eastAsia="en-GB"/>
        </w:rPr>
      </w:pPr>
      <w:r w:rsidRPr="005C5D18">
        <w:rPr>
          <w:rFonts w:ascii="Arial" w:hAnsi="Arial" w:cs="Arial"/>
          <w:sz w:val="22"/>
          <w:szCs w:val="22"/>
          <w:lang w:eastAsia="en-GB"/>
        </w:rPr>
        <w:t>Reduces queues and waiting times, particularly during peak hours.</w:t>
      </w:r>
    </w:p>
    <w:p w14:paraId="677C7694" w14:textId="77777777" w:rsidR="005C5D18" w:rsidRDefault="00F249CD" w:rsidP="00A80553">
      <w:pPr>
        <w:pStyle w:val="ListParagraph"/>
        <w:numPr>
          <w:ilvl w:val="0"/>
          <w:numId w:val="29"/>
        </w:numPr>
        <w:spacing w:line="360" w:lineRule="auto"/>
        <w:rPr>
          <w:rFonts w:ascii="Arial" w:hAnsi="Arial" w:cs="Arial"/>
          <w:sz w:val="22"/>
          <w:szCs w:val="22"/>
          <w:lang w:eastAsia="en-GB"/>
        </w:rPr>
      </w:pPr>
      <w:r w:rsidRPr="005C5D18">
        <w:rPr>
          <w:rFonts w:ascii="Arial" w:hAnsi="Arial" w:cs="Arial"/>
          <w:sz w:val="22"/>
          <w:szCs w:val="22"/>
          <w:lang w:eastAsia="en-GB"/>
        </w:rPr>
        <w:t>Integrates with loyalty programs and company benefits (e.g., discounted healthy meals).</w:t>
      </w:r>
    </w:p>
    <w:p w14:paraId="5659507C" w14:textId="77777777" w:rsidR="005C5D18" w:rsidRDefault="00F249CD" w:rsidP="00A80553">
      <w:pPr>
        <w:pStyle w:val="ListParagraph"/>
        <w:numPr>
          <w:ilvl w:val="0"/>
          <w:numId w:val="29"/>
        </w:numPr>
        <w:spacing w:line="360" w:lineRule="auto"/>
        <w:rPr>
          <w:rFonts w:ascii="Arial" w:hAnsi="Arial" w:cs="Arial"/>
          <w:sz w:val="22"/>
          <w:szCs w:val="22"/>
          <w:lang w:eastAsia="en-GB"/>
        </w:rPr>
      </w:pPr>
      <w:r w:rsidRPr="005C5D18">
        <w:rPr>
          <w:rFonts w:ascii="Arial" w:hAnsi="Arial" w:cs="Arial"/>
          <w:sz w:val="22"/>
          <w:szCs w:val="22"/>
          <w:lang w:eastAsia="en-GB"/>
        </w:rPr>
        <w:t>Allows multi-location access, supporting employees in hybrid work arrangements.</w:t>
      </w:r>
    </w:p>
    <w:p w14:paraId="4033EA2C" w14:textId="77777777" w:rsidR="00D40DE8" w:rsidRDefault="00F249CD" w:rsidP="00A80553">
      <w:pPr>
        <w:pStyle w:val="ListParagraph"/>
        <w:numPr>
          <w:ilvl w:val="0"/>
          <w:numId w:val="29"/>
        </w:numPr>
        <w:spacing w:line="360" w:lineRule="auto"/>
        <w:rPr>
          <w:rFonts w:ascii="Arial" w:hAnsi="Arial" w:cs="Arial"/>
          <w:sz w:val="22"/>
          <w:szCs w:val="22"/>
          <w:lang w:eastAsia="en-GB"/>
        </w:rPr>
      </w:pPr>
      <w:r w:rsidRPr="005C5D18">
        <w:rPr>
          <w:rFonts w:ascii="Arial" w:hAnsi="Arial" w:cs="Arial"/>
          <w:sz w:val="22"/>
          <w:szCs w:val="22"/>
          <w:lang w:eastAsia="en-GB"/>
        </w:rPr>
        <w:t>Integration with Wearable Health Apps</w:t>
      </w:r>
      <w:r w:rsidR="005C5D18">
        <w:rPr>
          <w:rFonts w:ascii="Arial" w:hAnsi="Arial" w:cs="Arial"/>
          <w:sz w:val="22"/>
          <w:szCs w:val="22"/>
          <w:lang w:eastAsia="en-GB"/>
        </w:rPr>
        <w:t>.</w:t>
      </w:r>
    </w:p>
    <w:p w14:paraId="74C4BC4C" w14:textId="75FB2E80" w:rsidR="00F249CD" w:rsidRPr="00D40DE8" w:rsidRDefault="00F249CD" w:rsidP="00A80553">
      <w:pPr>
        <w:pStyle w:val="ListParagraph"/>
        <w:numPr>
          <w:ilvl w:val="0"/>
          <w:numId w:val="29"/>
        </w:numPr>
        <w:spacing w:line="360" w:lineRule="auto"/>
        <w:rPr>
          <w:rFonts w:ascii="Arial" w:hAnsi="Arial" w:cs="Arial"/>
          <w:sz w:val="22"/>
          <w:szCs w:val="22"/>
          <w:lang w:eastAsia="en-GB"/>
        </w:rPr>
      </w:pPr>
      <w:r w:rsidRPr="00D40DE8">
        <w:rPr>
          <w:rFonts w:ascii="Arial" w:hAnsi="Arial" w:cs="Arial"/>
          <w:sz w:val="22"/>
          <w:szCs w:val="22"/>
          <w:lang w:eastAsia="en-GB"/>
        </w:rPr>
        <w:t>Optional syncing with Fitbit, Apple Health, and other wellness platforms</w:t>
      </w:r>
      <w:r w:rsidR="00D40DE8" w:rsidRPr="00D40DE8">
        <w:rPr>
          <w:rFonts w:ascii="Arial" w:hAnsi="Arial" w:cs="Arial"/>
          <w:sz w:val="22"/>
          <w:szCs w:val="22"/>
          <w:lang w:eastAsia="en-GB"/>
        </w:rPr>
        <w:t>.</w:t>
      </w:r>
    </w:p>
    <w:p w14:paraId="7822BF1E" w14:textId="77777777" w:rsidR="00876DE4" w:rsidRDefault="00F249CD" w:rsidP="00A80553">
      <w:pPr>
        <w:pStyle w:val="ListParagraph"/>
        <w:numPr>
          <w:ilvl w:val="0"/>
          <w:numId w:val="30"/>
        </w:numPr>
        <w:spacing w:line="360" w:lineRule="auto"/>
        <w:rPr>
          <w:rFonts w:ascii="Arial" w:hAnsi="Arial" w:cs="Arial"/>
          <w:sz w:val="22"/>
          <w:szCs w:val="22"/>
          <w:lang w:eastAsia="en-GB"/>
        </w:rPr>
      </w:pPr>
      <w:r w:rsidRPr="00876DE4">
        <w:rPr>
          <w:rFonts w:ascii="Arial" w:hAnsi="Arial" w:cs="Arial"/>
          <w:sz w:val="22"/>
          <w:szCs w:val="22"/>
          <w:lang w:eastAsia="en-GB"/>
        </w:rPr>
        <w:t>Provides personalised meal suggestions aligned with exercise routines, caloric intake, or dietary restrictions.</w:t>
      </w:r>
    </w:p>
    <w:p w14:paraId="1A697B39" w14:textId="0B699C66" w:rsidR="00D40DE8" w:rsidRPr="00D40DE8" w:rsidRDefault="00F249CD" w:rsidP="00D40DE8">
      <w:pPr>
        <w:spacing w:line="360" w:lineRule="auto"/>
        <w:rPr>
          <w:rFonts w:ascii="Arial" w:hAnsi="Arial" w:cs="Arial"/>
          <w:sz w:val="22"/>
          <w:szCs w:val="22"/>
          <w:lang w:eastAsia="en-GB"/>
        </w:rPr>
      </w:pPr>
      <w:r w:rsidRPr="00D40DE8">
        <w:rPr>
          <w:rFonts w:ascii="Arial" w:hAnsi="Arial" w:cs="Arial"/>
          <w:sz w:val="22"/>
          <w:szCs w:val="22"/>
          <w:lang w:eastAsia="en-GB"/>
        </w:rPr>
        <w:t>Real-Time Menu Updates and Notifications</w:t>
      </w:r>
      <w:r w:rsidR="00D40DE8">
        <w:rPr>
          <w:rFonts w:ascii="Arial" w:hAnsi="Arial" w:cs="Arial"/>
          <w:sz w:val="22"/>
          <w:szCs w:val="22"/>
          <w:lang w:eastAsia="en-GB"/>
        </w:rPr>
        <w:t>:</w:t>
      </w:r>
    </w:p>
    <w:p w14:paraId="0DDFCB62" w14:textId="77777777" w:rsidR="00D40DE8" w:rsidRDefault="00F249CD" w:rsidP="00A80553">
      <w:pPr>
        <w:pStyle w:val="ListParagraph"/>
        <w:numPr>
          <w:ilvl w:val="0"/>
          <w:numId w:val="30"/>
        </w:numPr>
        <w:spacing w:line="360" w:lineRule="auto"/>
        <w:rPr>
          <w:rFonts w:ascii="Arial" w:hAnsi="Arial" w:cs="Arial"/>
          <w:sz w:val="22"/>
          <w:szCs w:val="22"/>
          <w:lang w:eastAsia="en-GB"/>
        </w:rPr>
      </w:pPr>
      <w:r w:rsidRPr="00D40DE8">
        <w:rPr>
          <w:rFonts w:ascii="Arial" w:hAnsi="Arial" w:cs="Arial"/>
          <w:sz w:val="22"/>
          <w:szCs w:val="22"/>
          <w:lang w:eastAsia="en-GB"/>
        </w:rPr>
        <w:t>Sends alerts for menu changes, allergen updates, daily specials, or promotions.</w:t>
      </w:r>
    </w:p>
    <w:p w14:paraId="3A86326F" w14:textId="77777777" w:rsidR="00D40DE8" w:rsidRDefault="00F249CD" w:rsidP="00A80553">
      <w:pPr>
        <w:pStyle w:val="ListParagraph"/>
        <w:numPr>
          <w:ilvl w:val="0"/>
          <w:numId w:val="30"/>
        </w:numPr>
        <w:spacing w:line="360" w:lineRule="auto"/>
        <w:rPr>
          <w:rFonts w:ascii="Arial" w:hAnsi="Arial" w:cs="Arial"/>
          <w:sz w:val="22"/>
          <w:szCs w:val="22"/>
          <w:lang w:eastAsia="en-GB"/>
        </w:rPr>
      </w:pPr>
      <w:r w:rsidRPr="00D40DE8">
        <w:rPr>
          <w:rFonts w:ascii="Arial" w:hAnsi="Arial" w:cs="Arial"/>
          <w:sz w:val="22"/>
          <w:szCs w:val="22"/>
          <w:lang w:eastAsia="en-GB"/>
        </w:rPr>
        <w:t>Supports remote or multi-site employees.</w:t>
      </w:r>
    </w:p>
    <w:p w14:paraId="7B20B944" w14:textId="4C88E356" w:rsidR="00F249CD" w:rsidRPr="00D40DE8" w:rsidRDefault="00F249CD" w:rsidP="00A80553">
      <w:pPr>
        <w:pStyle w:val="ListParagraph"/>
        <w:numPr>
          <w:ilvl w:val="0"/>
          <w:numId w:val="30"/>
        </w:numPr>
        <w:spacing w:line="360" w:lineRule="auto"/>
        <w:rPr>
          <w:rFonts w:ascii="Arial" w:hAnsi="Arial" w:cs="Arial"/>
          <w:sz w:val="22"/>
          <w:szCs w:val="22"/>
          <w:lang w:eastAsia="en-GB"/>
        </w:rPr>
      </w:pPr>
      <w:r w:rsidRPr="00D40DE8">
        <w:rPr>
          <w:rFonts w:ascii="Arial" w:hAnsi="Arial" w:cs="Arial"/>
          <w:sz w:val="22"/>
          <w:szCs w:val="22"/>
          <w:lang w:eastAsia="en-GB"/>
        </w:rPr>
        <w:t>Can push nutrition and sustainability tips, increasing customer engagement.</w:t>
      </w:r>
    </w:p>
    <w:p w14:paraId="31705340" w14:textId="77777777" w:rsidR="00F249CD" w:rsidRPr="00D40DE8" w:rsidRDefault="00F249CD" w:rsidP="00916484">
      <w:pPr>
        <w:pStyle w:val="Heading3"/>
        <w:rPr>
          <w:rFonts w:eastAsia="Times New Roman"/>
          <w:b/>
          <w:bCs/>
          <w:color w:val="auto"/>
          <w:lang w:eastAsia="en-GB"/>
        </w:rPr>
      </w:pPr>
      <w:bookmarkStart w:id="16" w:name="_Toc215740886"/>
      <w:r w:rsidRPr="00D40DE8">
        <w:rPr>
          <w:rFonts w:eastAsia="Times New Roman"/>
          <w:b/>
          <w:bCs/>
          <w:color w:val="auto"/>
          <w:lang w:eastAsia="en-GB"/>
        </w:rPr>
        <w:t>4.2 Operational and Strategic Value</w:t>
      </w:r>
      <w:bookmarkEnd w:id="16"/>
    </w:p>
    <w:p w14:paraId="3D36874E"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Operational Value:</w:t>
      </w:r>
    </w:p>
    <w:p w14:paraId="290362C3" w14:textId="77777777" w:rsidR="00D40DE8" w:rsidRDefault="00F249CD" w:rsidP="00A80553">
      <w:pPr>
        <w:pStyle w:val="ListParagraph"/>
        <w:numPr>
          <w:ilvl w:val="0"/>
          <w:numId w:val="31"/>
        </w:numPr>
        <w:spacing w:line="360" w:lineRule="auto"/>
        <w:rPr>
          <w:rFonts w:ascii="Arial" w:hAnsi="Arial" w:cs="Arial"/>
          <w:sz w:val="22"/>
          <w:szCs w:val="22"/>
          <w:lang w:eastAsia="en-GB"/>
        </w:rPr>
      </w:pPr>
      <w:r w:rsidRPr="00D40DE8">
        <w:rPr>
          <w:rFonts w:ascii="Arial" w:hAnsi="Arial" w:cs="Arial"/>
          <w:sz w:val="22"/>
          <w:szCs w:val="22"/>
          <w:lang w:eastAsia="en-GB"/>
        </w:rPr>
        <w:lastRenderedPageBreak/>
        <w:t>Reduces queues and improves staff efficiency.</w:t>
      </w:r>
    </w:p>
    <w:p w14:paraId="614B61D7" w14:textId="77777777" w:rsidR="00D40DE8" w:rsidRDefault="00F249CD" w:rsidP="00A80553">
      <w:pPr>
        <w:pStyle w:val="ListParagraph"/>
        <w:numPr>
          <w:ilvl w:val="0"/>
          <w:numId w:val="31"/>
        </w:numPr>
        <w:spacing w:line="360" w:lineRule="auto"/>
        <w:rPr>
          <w:rFonts w:ascii="Arial" w:hAnsi="Arial" w:cs="Arial"/>
          <w:sz w:val="22"/>
          <w:szCs w:val="22"/>
          <w:lang w:eastAsia="en-GB"/>
        </w:rPr>
      </w:pPr>
      <w:r w:rsidRPr="00D40DE8">
        <w:rPr>
          <w:rFonts w:ascii="Arial" w:hAnsi="Arial" w:cs="Arial"/>
          <w:sz w:val="22"/>
          <w:szCs w:val="22"/>
          <w:lang w:eastAsia="en-GB"/>
        </w:rPr>
        <w:t>Data analytics forecast demand, optimise inventory, and reduce waste.</w:t>
      </w:r>
    </w:p>
    <w:p w14:paraId="3B3EFEB5" w14:textId="58D0E76F" w:rsidR="00F249CD" w:rsidRPr="00D40DE8" w:rsidRDefault="00F249CD" w:rsidP="00A80553">
      <w:pPr>
        <w:pStyle w:val="ListParagraph"/>
        <w:numPr>
          <w:ilvl w:val="0"/>
          <w:numId w:val="31"/>
        </w:numPr>
        <w:spacing w:line="360" w:lineRule="auto"/>
        <w:rPr>
          <w:rFonts w:ascii="Arial" w:hAnsi="Arial" w:cs="Arial"/>
          <w:sz w:val="22"/>
          <w:szCs w:val="22"/>
          <w:lang w:eastAsia="en-GB"/>
        </w:rPr>
      </w:pPr>
      <w:r w:rsidRPr="00D40DE8">
        <w:rPr>
          <w:rFonts w:ascii="Arial" w:hAnsi="Arial" w:cs="Arial"/>
          <w:sz w:val="22"/>
          <w:szCs w:val="22"/>
          <w:lang w:eastAsia="en-GB"/>
        </w:rPr>
        <w:t>Supports automation and reduces reliance on labour for repetitive tasks (Accenture, 2023).</w:t>
      </w:r>
    </w:p>
    <w:p w14:paraId="7ABE27B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Customer Value:</w:t>
      </w:r>
    </w:p>
    <w:p w14:paraId="7EA2961F" w14:textId="77777777" w:rsidR="00D40DE8" w:rsidRDefault="00F249CD" w:rsidP="00A80553">
      <w:pPr>
        <w:pStyle w:val="ListParagraph"/>
        <w:numPr>
          <w:ilvl w:val="0"/>
          <w:numId w:val="32"/>
        </w:numPr>
        <w:spacing w:line="360" w:lineRule="auto"/>
        <w:rPr>
          <w:rFonts w:ascii="Arial" w:hAnsi="Arial" w:cs="Arial"/>
          <w:sz w:val="22"/>
          <w:szCs w:val="22"/>
          <w:lang w:eastAsia="en-GB"/>
        </w:rPr>
      </w:pPr>
      <w:r w:rsidRPr="00D40DE8">
        <w:rPr>
          <w:rFonts w:ascii="Arial" w:hAnsi="Arial" w:cs="Arial"/>
          <w:sz w:val="22"/>
          <w:szCs w:val="22"/>
          <w:lang w:eastAsia="en-GB"/>
        </w:rPr>
        <w:t>Enhances personalisation, improving satisfaction and engagement.</w:t>
      </w:r>
    </w:p>
    <w:p w14:paraId="404B7880" w14:textId="77777777" w:rsidR="00D40DE8" w:rsidRDefault="00F249CD" w:rsidP="00A80553">
      <w:pPr>
        <w:pStyle w:val="ListParagraph"/>
        <w:numPr>
          <w:ilvl w:val="0"/>
          <w:numId w:val="32"/>
        </w:numPr>
        <w:spacing w:line="360" w:lineRule="auto"/>
        <w:rPr>
          <w:rFonts w:ascii="Arial" w:hAnsi="Arial" w:cs="Arial"/>
          <w:sz w:val="22"/>
          <w:szCs w:val="22"/>
          <w:lang w:eastAsia="en-GB"/>
        </w:rPr>
      </w:pPr>
      <w:r w:rsidRPr="00D40DE8">
        <w:rPr>
          <w:rFonts w:ascii="Arial" w:hAnsi="Arial" w:cs="Arial"/>
          <w:sz w:val="22"/>
          <w:szCs w:val="22"/>
          <w:lang w:eastAsia="en-GB"/>
        </w:rPr>
        <w:t>Encourages sustainable behaviour through rewards and tracking.</w:t>
      </w:r>
    </w:p>
    <w:p w14:paraId="4BC628D5" w14:textId="0AA6E929" w:rsidR="00F249CD" w:rsidRPr="00D40DE8" w:rsidRDefault="00F249CD" w:rsidP="00A80553">
      <w:pPr>
        <w:pStyle w:val="ListParagraph"/>
        <w:numPr>
          <w:ilvl w:val="0"/>
          <w:numId w:val="32"/>
        </w:numPr>
        <w:spacing w:line="360" w:lineRule="auto"/>
        <w:rPr>
          <w:rFonts w:ascii="Arial" w:hAnsi="Arial" w:cs="Arial"/>
          <w:sz w:val="22"/>
          <w:szCs w:val="22"/>
          <w:lang w:eastAsia="en-GB"/>
        </w:rPr>
      </w:pPr>
      <w:r w:rsidRPr="00D40DE8">
        <w:rPr>
          <w:rFonts w:ascii="Arial" w:hAnsi="Arial" w:cs="Arial"/>
          <w:sz w:val="22"/>
          <w:szCs w:val="22"/>
          <w:lang w:eastAsia="en-GB"/>
        </w:rPr>
        <w:t>Provides real-time information to reduce uncertainty about menu options and allergens.</w:t>
      </w:r>
    </w:p>
    <w:p w14:paraId="0C194CD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Strategic Value:</w:t>
      </w:r>
    </w:p>
    <w:p w14:paraId="7E848E11" w14:textId="77777777" w:rsidR="00D40DE8" w:rsidRDefault="00F249CD" w:rsidP="00A80553">
      <w:pPr>
        <w:pStyle w:val="ListParagraph"/>
        <w:numPr>
          <w:ilvl w:val="0"/>
          <w:numId w:val="33"/>
        </w:numPr>
        <w:spacing w:line="360" w:lineRule="auto"/>
        <w:rPr>
          <w:rFonts w:ascii="Arial" w:hAnsi="Arial" w:cs="Arial"/>
          <w:sz w:val="22"/>
          <w:szCs w:val="22"/>
          <w:lang w:eastAsia="en-GB"/>
        </w:rPr>
      </w:pPr>
      <w:r w:rsidRPr="00D40DE8">
        <w:rPr>
          <w:rFonts w:ascii="Arial" w:hAnsi="Arial" w:cs="Arial"/>
          <w:sz w:val="22"/>
          <w:szCs w:val="22"/>
          <w:lang w:eastAsia="en-GB"/>
        </w:rPr>
        <w:t>Demonstrates Compass Group’s leadership in digital and sustainable innovation.</w:t>
      </w:r>
    </w:p>
    <w:p w14:paraId="07D14506" w14:textId="77777777" w:rsidR="00D40DE8" w:rsidRDefault="00F249CD" w:rsidP="00A80553">
      <w:pPr>
        <w:pStyle w:val="ListParagraph"/>
        <w:numPr>
          <w:ilvl w:val="0"/>
          <w:numId w:val="33"/>
        </w:numPr>
        <w:spacing w:line="360" w:lineRule="auto"/>
        <w:rPr>
          <w:rFonts w:ascii="Arial" w:hAnsi="Arial" w:cs="Arial"/>
          <w:sz w:val="22"/>
          <w:szCs w:val="22"/>
          <w:lang w:eastAsia="en-GB"/>
        </w:rPr>
      </w:pPr>
      <w:r w:rsidRPr="00D40DE8">
        <w:rPr>
          <w:rFonts w:ascii="Arial" w:hAnsi="Arial" w:cs="Arial"/>
          <w:sz w:val="22"/>
          <w:szCs w:val="22"/>
          <w:lang w:eastAsia="en-GB"/>
        </w:rPr>
        <w:t>Strengthens brand loyalty and customer satisfaction.</w:t>
      </w:r>
    </w:p>
    <w:p w14:paraId="10E9AC93" w14:textId="23F1A19A" w:rsidR="00F249CD" w:rsidRPr="00D40DE8" w:rsidRDefault="00F249CD" w:rsidP="00A80553">
      <w:pPr>
        <w:pStyle w:val="ListParagraph"/>
        <w:numPr>
          <w:ilvl w:val="0"/>
          <w:numId w:val="33"/>
        </w:numPr>
        <w:spacing w:line="360" w:lineRule="auto"/>
        <w:rPr>
          <w:rFonts w:ascii="Arial" w:hAnsi="Arial" w:cs="Arial"/>
          <w:sz w:val="22"/>
          <w:szCs w:val="22"/>
          <w:lang w:eastAsia="en-GB"/>
        </w:rPr>
      </w:pPr>
      <w:r w:rsidRPr="00D40DE8">
        <w:rPr>
          <w:rFonts w:ascii="Arial" w:hAnsi="Arial" w:cs="Arial"/>
          <w:sz w:val="22"/>
          <w:szCs w:val="22"/>
          <w:lang w:eastAsia="en-GB"/>
        </w:rPr>
        <w:t>Supports transformational innovation, enabling AI-driven operations and scalable digital solutions.</w:t>
      </w:r>
    </w:p>
    <w:p w14:paraId="6F8E4350" w14:textId="77777777" w:rsidR="00F249CD" w:rsidRPr="00D40DE8" w:rsidRDefault="00F249CD" w:rsidP="008C5BF0">
      <w:pPr>
        <w:pStyle w:val="Heading3"/>
        <w:rPr>
          <w:rFonts w:eastAsia="Times New Roman"/>
          <w:b/>
          <w:bCs/>
          <w:color w:val="auto"/>
          <w:lang w:eastAsia="en-GB"/>
        </w:rPr>
      </w:pPr>
      <w:bookmarkStart w:id="17" w:name="_Toc215740887"/>
      <w:r w:rsidRPr="00D40DE8">
        <w:rPr>
          <w:rFonts w:eastAsia="Times New Roman"/>
          <w:b/>
          <w:bCs/>
          <w:color w:val="auto"/>
          <w:lang w:eastAsia="en-GB"/>
        </w:rPr>
        <w:t>4.3 Cost-Benefit Analysis and ROI</w:t>
      </w:r>
      <w:bookmarkEnd w:id="17"/>
    </w:p>
    <w:p w14:paraId="3FB951F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Costs:</w:t>
      </w:r>
    </w:p>
    <w:p w14:paraId="67061CB0" w14:textId="77777777" w:rsidR="00D40DE8" w:rsidRDefault="00F249CD" w:rsidP="00A80553">
      <w:pPr>
        <w:pStyle w:val="ListParagraph"/>
        <w:numPr>
          <w:ilvl w:val="0"/>
          <w:numId w:val="34"/>
        </w:numPr>
        <w:spacing w:line="360" w:lineRule="auto"/>
        <w:rPr>
          <w:rFonts w:ascii="Arial" w:hAnsi="Arial" w:cs="Arial"/>
          <w:sz w:val="22"/>
          <w:szCs w:val="22"/>
          <w:lang w:eastAsia="en-GB"/>
        </w:rPr>
      </w:pPr>
      <w:r w:rsidRPr="00D40DE8">
        <w:rPr>
          <w:rFonts w:ascii="Arial" w:hAnsi="Arial" w:cs="Arial"/>
          <w:sz w:val="22"/>
          <w:szCs w:val="22"/>
          <w:lang w:eastAsia="en-GB"/>
        </w:rPr>
        <w:t>Initial software development and hardware for digital kiosks and mobile integration.</w:t>
      </w:r>
    </w:p>
    <w:p w14:paraId="03A7804C" w14:textId="77777777" w:rsidR="00D40DE8" w:rsidRDefault="00F249CD" w:rsidP="00A80553">
      <w:pPr>
        <w:pStyle w:val="ListParagraph"/>
        <w:numPr>
          <w:ilvl w:val="0"/>
          <w:numId w:val="34"/>
        </w:numPr>
        <w:spacing w:line="360" w:lineRule="auto"/>
        <w:rPr>
          <w:rFonts w:ascii="Arial" w:hAnsi="Arial" w:cs="Arial"/>
          <w:sz w:val="22"/>
          <w:szCs w:val="22"/>
          <w:lang w:eastAsia="en-GB"/>
        </w:rPr>
      </w:pPr>
      <w:r w:rsidRPr="00D40DE8">
        <w:rPr>
          <w:rFonts w:ascii="Arial" w:hAnsi="Arial" w:cs="Arial"/>
          <w:sz w:val="22"/>
          <w:szCs w:val="22"/>
          <w:lang w:eastAsia="en-GB"/>
        </w:rPr>
        <w:t>AI algorithm development and data security measures.</w:t>
      </w:r>
    </w:p>
    <w:p w14:paraId="1C6F4AA5" w14:textId="36A56F31" w:rsidR="00F249CD" w:rsidRPr="00D40DE8" w:rsidRDefault="00F249CD" w:rsidP="00A80553">
      <w:pPr>
        <w:pStyle w:val="ListParagraph"/>
        <w:numPr>
          <w:ilvl w:val="0"/>
          <w:numId w:val="34"/>
        </w:numPr>
        <w:spacing w:line="360" w:lineRule="auto"/>
        <w:rPr>
          <w:rFonts w:ascii="Arial" w:hAnsi="Arial" w:cs="Arial"/>
          <w:sz w:val="22"/>
          <w:szCs w:val="22"/>
          <w:lang w:eastAsia="en-GB"/>
        </w:rPr>
      </w:pPr>
      <w:r w:rsidRPr="00D40DE8">
        <w:rPr>
          <w:rFonts w:ascii="Arial" w:hAnsi="Arial" w:cs="Arial"/>
          <w:sz w:val="22"/>
          <w:szCs w:val="22"/>
          <w:lang w:eastAsia="en-GB"/>
        </w:rPr>
        <w:t>Staff training and change management programs.</w:t>
      </w:r>
    </w:p>
    <w:p w14:paraId="748F61C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Benefits:</w:t>
      </w:r>
    </w:p>
    <w:p w14:paraId="5EDD9C40" w14:textId="77777777" w:rsidR="00D40DE8" w:rsidRDefault="00F249CD" w:rsidP="00A80553">
      <w:pPr>
        <w:pStyle w:val="ListParagraph"/>
        <w:numPr>
          <w:ilvl w:val="0"/>
          <w:numId w:val="35"/>
        </w:numPr>
        <w:spacing w:line="360" w:lineRule="auto"/>
        <w:rPr>
          <w:rFonts w:ascii="Arial" w:hAnsi="Arial" w:cs="Arial"/>
          <w:sz w:val="22"/>
          <w:szCs w:val="22"/>
          <w:lang w:eastAsia="en-GB"/>
        </w:rPr>
      </w:pPr>
      <w:r w:rsidRPr="00D40DE8">
        <w:rPr>
          <w:rFonts w:ascii="Arial" w:hAnsi="Arial" w:cs="Arial"/>
          <w:sz w:val="22"/>
          <w:szCs w:val="22"/>
          <w:lang w:eastAsia="en-GB"/>
        </w:rPr>
        <w:t>Reduced wait times and improved service efficiency (estimated 20–30% reduction).</w:t>
      </w:r>
    </w:p>
    <w:p w14:paraId="02E44D7E" w14:textId="77777777" w:rsidR="00D40DE8" w:rsidRDefault="00F249CD" w:rsidP="00A80553">
      <w:pPr>
        <w:pStyle w:val="ListParagraph"/>
        <w:numPr>
          <w:ilvl w:val="0"/>
          <w:numId w:val="35"/>
        </w:numPr>
        <w:spacing w:line="360" w:lineRule="auto"/>
        <w:rPr>
          <w:rFonts w:ascii="Arial" w:hAnsi="Arial" w:cs="Arial"/>
          <w:sz w:val="22"/>
          <w:szCs w:val="22"/>
          <w:lang w:eastAsia="en-GB"/>
        </w:rPr>
      </w:pPr>
      <w:r w:rsidRPr="00D40DE8">
        <w:rPr>
          <w:rFonts w:ascii="Arial" w:hAnsi="Arial" w:cs="Arial"/>
          <w:sz w:val="22"/>
          <w:szCs w:val="22"/>
          <w:lang w:eastAsia="en-GB"/>
        </w:rPr>
        <w:t>Increased customer satisfaction and repeat usage.</w:t>
      </w:r>
    </w:p>
    <w:p w14:paraId="32270FD3" w14:textId="77777777" w:rsidR="00D40DE8" w:rsidRDefault="00F249CD" w:rsidP="00A80553">
      <w:pPr>
        <w:pStyle w:val="ListParagraph"/>
        <w:numPr>
          <w:ilvl w:val="0"/>
          <w:numId w:val="35"/>
        </w:numPr>
        <w:spacing w:line="360" w:lineRule="auto"/>
        <w:rPr>
          <w:rFonts w:ascii="Arial" w:hAnsi="Arial" w:cs="Arial"/>
          <w:sz w:val="22"/>
          <w:szCs w:val="22"/>
          <w:lang w:eastAsia="en-GB"/>
        </w:rPr>
      </w:pPr>
      <w:r w:rsidRPr="00D40DE8">
        <w:rPr>
          <w:rFonts w:ascii="Arial" w:hAnsi="Arial" w:cs="Arial"/>
          <w:sz w:val="22"/>
          <w:szCs w:val="22"/>
          <w:lang w:eastAsia="en-GB"/>
        </w:rPr>
        <w:t>Reduced food waste by 15–20% through predictive analytics.</w:t>
      </w:r>
    </w:p>
    <w:p w14:paraId="635CB959" w14:textId="405FB171" w:rsidR="00F249CD" w:rsidRPr="00D40DE8" w:rsidRDefault="00F249CD" w:rsidP="00A80553">
      <w:pPr>
        <w:pStyle w:val="ListParagraph"/>
        <w:numPr>
          <w:ilvl w:val="0"/>
          <w:numId w:val="35"/>
        </w:numPr>
        <w:spacing w:line="360" w:lineRule="auto"/>
        <w:rPr>
          <w:rFonts w:ascii="Arial" w:hAnsi="Arial" w:cs="Arial"/>
          <w:sz w:val="22"/>
          <w:szCs w:val="22"/>
          <w:lang w:eastAsia="en-GB"/>
        </w:rPr>
      </w:pPr>
      <w:r w:rsidRPr="00D40DE8">
        <w:rPr>
          <w:rFonts w:ascii="Arial" w:hAnsi="Arial" w:cs="Arial"/>
          <w:sz w:val="22"/>
          <w:szCs w:val="22"/>
          <w:lang w:eastAsia="en-GB"/>
        </w:rPr>
        <w:t>Potential revenue growth from loyalty programs, premium meal options, and subscription models.</w:t>
      </w:r>
    </w:p>
    <w:p w14:paraId="773F6757"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ROI Projection:</w:t>
      </w:r>
    </w:p>
    <w:p w14:paraId="59CDD87F" w14:textId="77777777" w:rsidR="00D40DE8" w:rsidRDefault="00F249CD" w:rsidP="00A80553">
      <w:pPr>
        <w:pStyle w:val="ListParagraph"/>
        <w:numPr>
          <w:ilvl w:val="0"/>
          <w:numId w:val="36"/>
        </w:numPr>
        <w:spacing w:line="360" w:lineRule="auto"/>
        <w:rPr>
          <w:rFonts w:ascii="Arial" w:hAnsi="Arial" w:cs="Arial"/>
          <w:sz w:val="22"/>
          <w:szCs w:val="22"/>
          <w:lang w:eastAsia="en-GB"/>
        </w:rPr>
      </w:pPr>
      <w:r w:rsidRPr="00D40DE8">
        <w:rPr>
          <w:rFonts w:ascii="Arial" w:hAnsi="Arial" w:cs="Arial"/>
          <w:sz w:val="22"/>
          <w:szCs w:val="22"/>
          <w:lang w:eastAsia="en-GB"/>
        </w:rPr>
        <w:t>Pilot implementation across 10–15 corporate and healthcare sites could break even within 18–24 months.</w:t>
      </w:r>
    </w:p>
    <w:p w14:paraId="04608B37" w14:textId="30376FEE" w:rsidR="00F249CD" w:rsidRPr="00D40DE8" w:rsidRDefault="00F249CD" w:rsidP="00A80553">
      <w:pPr>
        <w:pStyle w:val="ListParagraph"/>
        <w:numPr>
          <w:ilvl w:val="0"/>
          <w:numId w:val="36"/>
        </w:numPr>
        <w:spacing w:line="360" w:lineRule="auto"/>
        <w:rPr>
          <w:rFonts w:ascii="Arial" w:hAnsi="Arial" w:cs="Arial"/>
          <w:sz w:val="22"/>
          <w:szCs w:val="22"/>
          <w:lang w:eastAsia="en-GB"/>
        </w:rPr>
      </w:pPr>
      <w:r w:rsidRPr="00D40DE8">
        <w:rPr>
          <w:rFonts w:ascii="Arial" w:hAnsi="Arial" w:cs="Arial"/>
          <w:sz w:val="22"/>
          <w:szCs w:val="22"/>
          <w:lang w:eastAsia="en-GB"/>
        </w:rPr>
        <w:t>Long-term savings from reduced waste and improved operational efficiency could reach £2–3 million per year for large-scale operations (Deloitte, 2023).</w:t>
      </w:r>
    </w:p>
    <w:p w14:paraId="06C96B37" w14:textId="77777777" w:rsidR="00F249CD" w:rsidRPr="00D40DE8" w:rsidRDefault="00F249CD" w:rsidP="008C5BF0">
      <w:pPr>
        <w:pStyle w:val="Heading3"/>
        <w:rPr>
          <w:rFonts w:eastAsia="Times New Roman"/>
          <w:b/>
          <w:bCs/>
          <w:color w:val="auto"/>
          <w:lang w:eastAsia="en-GB"/>
        </w:rPr>
      </w:pPr>
      <w:bookmarkStart w:id="18" w:name="_Toc215740888"/>
      <w:r w:rsidRPr="00D40DE8">
        <w:rPr>
          <w:rFonts w:eastAsia="Times New Roman"/>
          <w:b/>
          <w:bCs/>
          <w:color w:val="auto"/>
          <w:lang w:eastAsia="en-GB"/>
        </w:rPr>
        <w:lastRenderedPageBreak/>
        <w:t>4.4 Risk Assessment and Mitigation</w:t>
      </w:r>
      <w:bookmarkEnd w:id="1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7"/>
        <w:gridCol w:w="6359"/>
      </w:tblGrid>
      <w:tr w:rsidR="00F249CD" w:rsidRPr="00A80553" w14:paraId="1D88E7C5" w14:textId="77777777">
        <w:trPr>
          <w:tblHeader/>
          <w:tblCellSpacing w:w="15" w:type="dxa"/>
        </w:trPr>
        <w:tc>
          <w:tcPr>
            <w:tcW w:w="0" w:type="auto"/>
            <w:vAlign w:val="center"/>
            <w:hideMark/>
          </w:tcPr>
          <w:p w14:paraId="7822D33A"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Risk</w:t>
            </w:r>
          </w:p>
        </w:tc>
        <w:tc>
          <w:tcPr>
            <w:tcW w:w="0" w:type="auto"/>
            <w:vAlign w:val="center"/>
            <w:hideMark/>
          </w:tcPr>
          <w:p w14:paraId="6B0E4563"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Mitigation Strategy</w:t>
            </w:r>
          </w:p>
        </w:tc>
      </w:tr>
      <w:tr w:rsidR="00F249CD" w:rsidRPr="00A80553" w14:paraId="738D42F3" w14:textId="77777777">
        <w:trPr>
          <w:tblCellSpacing w:w="15" w:type="dxa"/>
        </w:trPr>
        <w:tc>
          <w:tcPr>
            <w:tcW w:w="0" w:type="auto"/>
            <w:vAlign w:val="center"/>
            <w:hideMark/>
          </w:tcPr>
          <w:p w14:paraId="28302D5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Data privacy and cybersecurity</w:t>
            </w:r>
          </w:p>
        </w:tc>
        <w:tc>
          <w:tcPr>
            <w:tcW w:w="0" w:type="auto"/>
            <w:vAlign w:val="center"/>
            <w:hideMark/>
          </w:tcPr>
          <w:p w14:paraId="5B47FBA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Implement end-to-end encryption, GDPR compliance, and regular security audits.</w:t>
            </w:r>
          </w:p>
        </w:tc>
      </w:tr>
      <w:tr w:rsidR="00F249CD" w:rsidRPr="00A80553" w14:paraId="4867CF96" w14:textId="77777777">
        <w:trPr>
          <w:tblCellSpacing w:w="15" w:type="dxa"/>
        </w:trPr>
        <w:tc>
          <w:tcPr>
            <w:tcW w:w="0" w:type="auto"/>
            <w:vAlign w:val="center"/>
            <w:hideMark/>
          </w:tcPr>
          <w:p w14:paraId="0D4E60F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Staff resistance to digital tools</w:t>
            </w:r>
          </w:p>
        </w:tc>
        <w:tc>
          <w:tcPr>
            <w:tcW w:w="0" w:type="auto"/>
            <w:vAlign w:val="center"/>
            <w:hideMark/>
          </w:tcPr>
          <w:p w14:paraId="12EA7A7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Conduct training sessions, provide incentives, and gradually phase in technology.</w:t>
            </w:r>
          </w:p>
        </w:tc>
      </w:tr>
      <w:tr w:rsidR="00F249CD" w:rsidRPr="00A80553" w14:paraId="7C8D0645" w14:textId="77777777">
        <w:trPr>
          <w:tblCellSpacing w:w="15" w:type="dxa"/>
        </w:trPr>
        <w:tc>
          <w:tcPr>
            <w:tcW w:w="0" w:type="auto"/>
            <w:vAlign w:val="center"/>
            <w:hideMark/>
          </w:tcPr>
          <w:p w14:paraId="5193907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Customer adoption</w:t>
            </w:r>
          </w:p>
        </w:tc>
        <w:tc>
          <w:tcPr>
            <w:tcW w:w="0" w:type="auto"/>
            <w:vAlign w:val="center"/>
            <w:hideMark/>
          </w:tcPr>
          <w:p w14:paraId="251A49C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Pilot initiatives, gather feedback, and refine the platform to ensure usability.</w:t>
            </w:r>
          </w:p>
        </w:tc>
      </w:tr>
      <w:tr w:rsidR="00F249CD" w:rsidRPr="00A80553" w14:paraId="4BDA4D06" w14:textId="77777777">
        <w:trPr>
          <w:tblCellSpacing w:w="15" w:type="dxa"/>
        </w:trPr>
        <w:tc>
          <w:tcPr>
            <w:tcW w:w="0" w:type="auto"/>
            <w:vAlign w:val="center"/>
            <w:hideMark/>
          </w:tcPr>
          <w:p w14:paraId="493680F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Technical failure</w:t>
            </w:r>
          </w:p>
        </w:tc>
        <w:tc>
          <w:tcPr>
            <w:tcW w:w="0" w:type="auto"/>
            <w:vAlign w:val="center"/>
            <w:hideMark/>
          </w:tcPr>
          <w:p w14:paraId="4AFFA14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Establish robust IT support, backup systems, and contingency plans.</w:t>
            </w:r>
          </w:p>
        </w:tc>
      </w:tr>
      <w:tr w:rsidR="00F249CD" w:rsidRPr="00A80553" w14:paraId="3716CAF5" w14:textId="77777777">
        <w:trPr>
          <w:tblCellSpacing w:w="15" w:type="dxa"/>
        </w:trPr>
        <w:tc>
          <w:tcPr>
            <w:tcW w:w="0" w:type="auto"/>
            <w:vAlign w:val="center"/>
            <w:hideMark/>
          </w:tcPr>
          <w:p w14:paraId="10C9B62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High initial costs</w:t>
            </w:r>
          </w:p>
        </w:tc>
        <w:tc>
          <w:tcPr>
            <w:tcW w:w="0" w:type="auto"/>
            <w:vAlign w:val="center"/>
            <w:hideMark/>
          </w:tcPr>
          <w:p w14:paraId="255E8B6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Phase rollout, leverage cloud-based solutions, and explore partnership funding.</w:t>
            </w:r>
          </w:p>
        </w:tc>
      </w:tr>
    </w:tbl>
    <w:p w14:paraId="1DB566C3" w14:textId="6B2BFC90" w:rsidR="00F249CD" w:rsidRPr="00A80553" w:rsidRDefault="00F249CD" w:rsidP="00A80553">
      <w:pPr>
        <w:spacing w:line="360" w:lineRule="auto"/>
        <w:rPr>
          <w:rFonts w:ascii="Arial" w:hAnsi="Arial" w:cs="Arial"/>
          <w:sz w:val="22"/>
          <w:szCs w:val="22"/>
          <w:lang w:eastAsia="en-GB"/>
        </w:rPr>
      </w:pPr>
      <w:r w:rsidRPr="00A80553">
        <w:rPr>
          <w:rFonts w:ascii="Arial" w:hAnsi="Arial" w:cs="Arial"/>
          <w:i/>
          <w:iCs/>
          <w:sz w:val="22"/>
          <w:szCs w:val="22"/>
          <w:lang w:eastAsia="en-GB"/>
        </w:rPr>
        <w:t>Source: Adapted from Accenture (2023); Deloitte (2023).</w:t>
      </w:r>
    </w:p>
    <w:p w14:paraId="5333FC30" w14:textId="77777777" w:rsidR="00F249CD" w:rsidRPr="00D40DE8" w:rsidRDefault="00F249CD" w:rsidP="008C5BF0">
      <w:pPr>
        <w:pStyle w:val="Heading3"/>
        <w:rPr>
          <w:rFonts w:eastAsia="Times New Roman"/>
          <w:b/>
          <w:bCs/>
          <w:color w:val="auto"/>
          <w:lang w:eastAsia="en-GB"/>
        </w:rPr>
      </w:pPr>
      <w:bookmarkStart w:id="19" w:name="_Toc215740889"/>
      <w:r w:rsidRPr="00D40DE8">
        <w:rPr>
          <w:rFonts w:eastAsia="Times New Roman"/>
          <w:b/>
          <w:bCs/>
          <w:color w:val="auto"/>
          <w:lang w:eastAsia="en-GB"/>
        </w:rPr>
        <w:t>4.5 Enhanced Customer Journey Map</w:t>
      </w:r>
      <w:bookmarkEnd w:id="19"/>
    </w:p>
    <w:p w14:paraId="565EBFBD" w14:textId="2A891613" w:rsidR="00A1351B" w:rsidRPr="00A80553" w:rsidRDefault="00A1351B" w:rsidP="00A80553">
      <w:pPr>
        <w:spacing w:line="360" w:lineRule="auto"/>
        <w:rPr>
          <w:rFonts w:ascii="Arial" w:hAnsi="Arial" w:cs="Arial"/>
          <w:sz w:val="22"/>
          <w:szCs w:val="22"/>
          <w:lang w:eastAsia="en-GB"/>
        </w:rPr>
      </w:pPr>
      <w:r w:rsidRPr="00A80553">
        <w:rPr>
          <w:rFonts w:ascii="Arial" w:hAnsi="Arial" w:cs="Arial"/>
          <w:noProof/>
          <w:sz w:val="22"/>
          <w:szCs w:val="22"/>
          <w:lang w:eastAsia="en-GB"/>
        </w:rPr>
        <w:drawing>
          <wp:inline distT="0" distB="0" distL="0" distR="0" wp14:anchorId="606D2F39" wp14:editId="1F94CCFF">
            <wp:extent cx="5721985" cy="3814445"/>
            <wp:effectExtent l="0" t="0" r="0" b="0"/>
            <wp:docPr id="1115087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985" cy="3814445"/>
                    </a:xfrm>
                    <a:prstGeom prst="rect">
                      <a:avLst/>
                    </a:prstGeom>
                    <a:noFill/>
                    <a:ln>
                      <a:noFill/>
                    </a:ln>
                  </pic:spPr>
                </pic:pic>
              </a:graphicData>
            </a:graphic>
          </wp:inline>
        </w:drawing>
      </w:r>
    </w:p>
    <w:p w14:paraId="0C5EAF5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The Compass SmartConnect initiative transforms the customer journey by adding personalisation, digital touchpoints, and sustainability features.</w:t>
      </w:r>
    </w:p>
    <w:p w14:paraId="277A76ED" w14:textId="77777777" w:rsidR="00F249CD" w:rsidRPr="00D40DE8" w:rsidRDefault="00F249CD" w:rsidP="008C5BF0">
      <w:pPr>
        <w:pStyle w:val="Heading3"/>
        <w:rPr>
          <w:rFonts w:eastAsia="Times New Roman"/>
          <w:b/>
          <w:bCs/>
          <w:color w:val="auto"/>
          <w:lang w:eastAsia="en-GB"/>
        </w:rPr>
      </w:pPr>
      <w:bookmarkStart w:id="20" w:name="_Toc215740890"/>
      <w:r w:rsidRPr="00D40DE8">
        <w:rPr>
          <w:rFonts w:eastAsia="Times New Roman"/>
          <w:b/>
          <w:bCs/>
          <w:color w:val="auto"/>
          <w:lang w:eastAsia="en-GB"/>
        </w:rPr>
        <w:lastRenderedPageBreak/>
        <w:t>Table 3: Enhanced Customer Journey Map – Compass SmartConnect</w:t>
      </w:r>
      <w:bookmarkEnd w:id="2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3"/>
        <w:gridCol w:w="1395"/>
        <w:gridCol w:w="1010"/>
        <w:gridCol w:w="1316"/>
        <w:gridCol w:w="1069"/>
        <w:gridCol w:w="1524"/>
        <w:gridCol w:w="1539"/>
      </w:tblGrid>
      <w:tr w:rsidR="00F249CD" w:rsidRPr="00A80553" w14:paraId="7B251815" w14:textId="77777777">
        <w:trPr>
          <w:tblHeader/>
          <w:tblCellSpacing w:w="15" w:type="dxa"/>
        </w:trPr>
        <w:tc>
          <w:tcPr>
            <w:tcW w:w="0" w:type="auto"/>
            <w:vAlign w:val="center"/>
            <w:hideMark/>
          </w:tcPr>
          <w:p w14:paraId="20312A6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Stage</w:t>
            </w:r>
          </w:p>
        </w:tc>
        <w:tc>
          <w:tcPr>
            <w:tcW w:w="0" w:type="auto"/>
            <w:vAlign w:val="center"/>
            <w:hideMark/>
          </w:tcPr>
          <w:p w14:paraId="1934962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Customer Actions</w:t>
            </w:r>
          </w:p>
        </w:tc>
        <w:tc>
          <w:tcPr>
            <w:tcW w:w="0" w:type="auto"/>
            <w:vAlign w:val="center"/>
            <w:hideMark/>
          </w:tcPr>
          <w:p w14:paraId="117001E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Touchpoints</w:t>
            </w:r>
          </w:p>
        </w:tc>
        <w:tc>
          <w:tcPr>
            <w:tcW w:w="0" w:type="auto"/>
            <w:vAlign w:val="center"/>
            <w:hideMark/>
          </w:tcPr>
          <w:p w14:paraId="110597D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Pain Points (Current)</w:t>
            </w:r>
          </w:p>
        </w:tc>
        <w:tc>
          <w:tcPr>
            <w:tcW w:w="0" w:type="auto"/>
            <w:vAlign w:val="center"/>
            <w:hideMark/>
          </w:tcPr>
          <w:p w14:paraId="1E9EF14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Gains (Enhanced)</w:t>
            </w:r>
          </w:p>
        </w:tc>
        <w:tc>
          <w:tcPr>
            <w:tcW w:w="0" w:type="auto"/>
            <w:vAlign w:val="center"/>
            <w:hideMark/>
          </w:tcPr>
          <w:p w14:paraId="529B8A1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Digital Enhancements</w:t>
            </w:r>
          </w:p>
        </w:tc>
        <w:tc>
          <w:tcPr>
            <w:tcW w:w="0" w:type="auto"/>
            <w:vAlign w:val="center"/>
            <w:hideMark/>
          </w:tcPr>
          <w:p w14:paraId="340D3E8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Sector Adaptations</w:t>
            </w:r>
          </w:p>
        </w:tc>
      </w:tr>
      <w:tr w:rsidR="00F249CD" w:rsidRPr="00A80553" w14:paraId="7AC874C0" w14:textId="77777777">
        <w:trPr>
          <w:tblCellSpacing w:w="15" w:type="dxa"/>
        </w:trPr>
        <w:tc>
          <w:tcPr>
            <w:tcW w:w="0" w:type="auto"/>
            <w:vAlign w:val="center"/>
            <w:hideMark/>
          </w:tcPr>
          <w:p w14:paraId="5919E9A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Awareness</w:t>
            </w:r>
          </w:p>
        </w:tc>
        <w:tc>
          <w:tcPr>
            <w:tcW w:w="0" w:type="auto"/>
            <w:vAlign w:val="center"/>
            <w:hideMark/>
          </w:tcPr>
          <w:p w14:paraId="522631B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Learns about canteen/services</w:t>
            </w:r>
          </w:p>
        </w:tc>
        <w:tc>
          <w:tcPr>
            <w:tcW w:w="0" w:type="auto"/>
            <w:vAlign w:val="center"/>
            <w:hideMark/>
          </w:tcPr>
          <w:p w14:paraId="1E4D34B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Posters, intranet, emails, app</w:t>
            </w:r>
          </w:p>
        </w:tc>
        <w:tc>
          <w:tcPr>
            <w:tcW w:w="0" w:type="auto"/>
            <w:vAlign w:val="center"/>
            <w:hideMark/>
          </w:tcPr>
          <w:p w14:paraId="12EBE2B1"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Limited menu visibility</w:t>
            </w:r>
          </w:p>
        </w:tc>
        <w:tc>
          <w:tcPr>
            <w:tcW w:w="0" w:type="auto"/>
            <w:vAlign w:val="center"/>
            <w:hideMark/>
          </w:tcPr>
          <w:p w14:paraId="7E64591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Brand trust</w:t>
            </w:r>
          </w:p>
        </w:tc>
        <w:tc>
          <w:tcPr>
            <w:tcW w:w="0" w:type="auto"/>
            <w:vAlign w:val="center"/>
            <w:hideMark/>
          </w:tcPr>
          <w:p w14:paraId="6ABAE1C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AI notifications of menu, specials, sustainability</w:t>
            </w:r>
          </w:p>
        </w:tc>
        <w:tc>
          <w:tcPr>
            <w:tcW w:w="0" w:type="auto"/>
            <w:vAlign w:val="center"/>
            <w:hideMark/>
          </w:tcPr>
          <w:p w14:paraId="1E749D6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Education: student-friendly alerts; Healthcare: diet info</w:t>
            </w:r>
          </w:p>
        </w:tc>
      </w:tr>
      <w:tr w:rsidR="00F249CD" w:rsidRPr="00A80553" w14:paraId="1267AB04" w14:textId="77777777">
        <w:trPr>
          <w:tblCellSpacing w:w="15" w:type="dxa"/>
        </w:trPr>
        <w:tc>
          <w:tcPr>
            <w:tcW w:w="0" w:type="auto"/>
            <w:vAlign w:val="center"/>
            <w:hideMark/>
          </w:tcPr>
          <w:p w14:paraId="7733EA4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Consideration</w:t>
            </w:r>
          </w:p>
        </w:tc>
        <w:tc>
          <w:tcPr>
            <w:tcW w:w="0" w:type="auto"/>
            <w:vAlign w:val="center"/>
            <w:hideMark/>
          </w:tcPr>
          <w:p w14:paraId="1DAE86D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Decides what to order</w:t>
            </w:r>
          </w:p>
        </w:tc>
        <w:tc>
          <w:tcPr>
            <w:tcW w:w="0" w:type="auto"/>
            <w:vAlign w:val="center"/>
            <w:hideMark/>
          </w:tcPr>
          <w:p w14:paraId="4B78E8F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Menu boards, app previews</w:t>
            </w:r>
          </w:p>
        </w:tc>
        <w:tc>
          <w:tcPr>
            <w:tcW w:w="0" w:type="auto"/>
            <w:vAlign w:val="center"/>
            <w:hideMark/>
          </w:tcPr>
          <w:p w14:paraId="788DF7E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Unclear dietary info; queues</w:t>
            </w:r>
          </w:p>
        </w:tc>
        <w:tc>
          <w:tcPr>
            <w:tcW w:w="0" w:type="auto"/>
            <w:vAlign w:val="center"/>
            <w:hideMark/>
          </w:tcPr>
          <w:p w14:paraId="796D9278"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Variety; convenience</w:t>
            </w:r>
          </w:p>
        </w:tc>
        <w:tc>
          <w:tcPr>
            <w:tcW w:w="0" w:type="auto"/>
            <w:vAlign w:val="center"/>
            <w:hideMark/>
          </w:tcPr>
          <w:p w14:paraId="7B98EF2A"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Real-time menu updates, AI recommendations, allergen alerts</w:t>
            </w:r>
          </w:p>
        </w:tc>
        <w:tc>
          <w:tcPr>
            <w:tcW w:w="0" w:type="auto"/>
            <w:vAlign w:val="center"/>
            <w:hideMark/>
          </w:tcPr>
          <w:p w14:paraId="351C1BEA"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Sports: quick recommendations; Corporate: healthy meal tips</w:t>
            </w:r>
          </w:p>
        </w:tc>
      </w:tr>
      <w:tr w:rsidR="00F249CD" w:rsidRPr="00A80553" w14:paraId="1EF1908A" w14:textId="77777777">
        <w:trPr>
          <w:tblCellSpacing w:w="15" w:type="dxa"/>
        </w:trPr>
        <w:tc>
          <w:tcPr>
            <w:tcW w:w="0" w:type="auto"/>
            <w:vAlign w:val="center"/>
            <w:hideMark/>
          </w:tcPr>
          <w:p w14:paraId="2E18651D"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Purchase</w:t>
            </w:r>
          </w:p>
        </w:tc>
        <w:tc>
          <w:tcPr>
            <w:tcW w:w="0" w:type="auto"/>
            <w:vAlign w:val="center"/>
            <w:hideMark/>
          </w:tcPr>
          <w:p w14:paraId="78EBC6E6"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Orders and pays</w:t>
            </w:r>
          </w:p>
        </w:tc>
        <w:tc>
          <w:tcPr>
            <w:tcW w:w="0" w:type="auto"/>
            <w:vAlign w:val="center"/>
            <w:hideMark/>
          </w:tcPr>
          <w:p w14:paraId="083A5CB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Mobile app, kiosks, POS</w:t>
            </w:r>
          </w:p>
        </w:tc>
        <w:tc>
          <w:tcPr>
            <w:tcW w:w="0" w:type="auto"/>
            <w:vAlign w:val="center"/>
            <w:hideMark/>
          </w:tcPr>
          <w:p w14:paraId="4202C4F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Slow service</w:t>
            </w:r>
          </w:p>
        </w:tc>
        <w:tc>
          <w:tcPr>
            <w:tcW w:w="0" w:type="auto"/>
            <w:vAlign w:val="center"/>
            <w:hideMark/>
          </w:tcPr>
          <w:p w14:paraId="7F4A5F2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Faster checkout; personalised meals</w:t>
            </w:r>
          </w:p>
        </w:tc>
        <w:tc>
          <w:tcPr>
            <w:tcW w:w="0" w:type="auto"/>
            <w:vAlign w:val="center"/>
            <w:hideMark/>
          </w:tcPr>
          <w:p w14:paraId="6331B3A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Mobile pre-order, contactless payment, loyalty integration</w:t>
            </w:r>
          </w:p>
        </w:tc>
        <w:tc>
          <w:tcPr>
            <w:tcW w:w="0" w:type="auto"/>
            <w:vAlign w:val="center"/>
            <w:hideMark/>
          </w:tcPr>
          <w:p w14:paraId="04C544EB"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Healthcare: patient-specific meals; Education: bulk order options</w:t>
            </w:r>
          </w:p>
        </w:tc>
      </w:tr>
      <w:tr w:rsidR="00F249CD" w:rsidRPr="00A80553" w14:paraId="1BCC06C1" w14:textId="77777777">
        <w:trPr>
          <w:tblCellSpacing w:w="15" w:type="dxa"/>
        </w:trPr>
        <w:tc>
          <w:tcPr>
            <w:tcW w:w="0" w:type="auto"/>
            <w:vAlign w:val="center"/>
            <w:hideMark/>
          </w:tcPr>
          <w:p w14:paraId="3442B535"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Consumption</w:t>
            </w:r>
          </w:p>
        </w:tc>
        <w:tc>
          <w:tcPr>
            <w:tcW w:w="0" w:type="auto"/>
            <w:vAlign w:val="center"/>
            <w:hideMark/>
          </w:tcPr>
          <w:p w14:paraId="7E2E7922"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Eats meal</w:t>
            </w:r>
          </w:p>
        </w:tc>
        <w:tc>
          <w:tcPr>
            <w:tcW w:w="0" w:type="auto"/>
            <w:vAlign w:val="center"/>
            <w:hideMark/>
          </w:tcPr>
          <w:p w14:paraId="57EA071C"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Dining area, packaging</w:t>
            </w:r>
          </w:p>
        </w:tc>
        <w:tc>
          <w:tcPr>
            <w:tcW w:w="0" w:type="auto"/>
            <w:vAlign w:val="center"/>
            <w:hideMark/>
          </w:tcPr>
          <w:p w14:paraId="481F9D7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Temperature inconsistencies; packaging waste</w:t>
            </w:r>
          </w:p>
        </w:tc>
        <w:tc>
          <w:tcPr>
            <w:tcW w:w="0" w:type="auto"/>
            <w:vAlign w:val="center"/>
            <w:hideMark/>
          </w:tcPr>
          <w:p w14:paraId="7FE854A3"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Healthy, fresh meals</w:t>
            </w:r>
          </w:p>
        </w:tc>
        <w:tc>
          <w:tcPr>
            <w:tcW w:w="0" w:type="auto"/>
            <w:vAlign w:val="center"/>
            <w:hideMark/>
          </w:tcPr>
          <w:p w14:paraId="0F03E7D4"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Smart packaging tracking, portion/waste monitoring</w:t>
            </w:r>
          </w:p>
        </w:tc>
        <w:tc>
          <w:tcPr>
            <w:tcW w:w="0" w:type="auto"/>
            <w:vAlign w:val="center"/>
            <w:hideMark/>
          </w:tcPr>
          <w:p w14:paraId="23E1782C"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Sports: quick-serve packaging; Corporate: eco-friendly trays</w:t>
            </w:r>
          </w:p>
        </w:tc>
      </w:tr>
      <w:tr w:rsidR="00F249CD" w:rsidRPr="00A80553" w14:paraId="22212C6A" w14:textId="77777777">
        <w:trPr>
          <w:tblCellSpacing w:w="15" w:type="dxa"/>
        </w:trPr>
        <w:tc>
          <w:tcPr>
            <w:tcW w:w="0" w:type="auto"/>
            <w:vAlign w:val="center"/>
            <w:hideMark/>
          </w:tcPr>
          <w:p w14:paraId="7D2BDAA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Feedback / Loyalty</w:t>
            </w:r>
          </w:p>
        </w:tc>
        <w:tc>
          <w:tcPr>
            <w:tcW w:w="0" w:type="auto"/>
            <w:vAlign w:val="center"/>
            <w:hideMark/>
          </w:tcPr>
          <w:p w14:paraId="166F1507"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Provides feedback, returns</w:t>
            </w:r>
          </w:p>
        </w:tc>
        <w:tc>
          <w:tcPr>
            <w:tcW w:w="0" w:type="auto"/>
            <w:vAlign w:val="center"/>
            <w:hideMark/>
          </w:tcPr>
          <w:p w14:paraId="3E866C69"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App, QR codes, surveys</w:t>
            </w:r>
          </w:p>
        </w:tc>
        <w:tc>
          <w:tcPr>
            <w:tcW w:w="0" w:type="auto"/>
            <w:vAlign w:val="center"/>
            <w:hideMark/>
          </w:tcPr>
          <w:p w14:paraId="45F9BAD5"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Feedback not acted upon</w:t>
            </w:r>
          </w:p>
        </w:tc>
        <w:tc>
          <w:tcPr>
            <w:tcW w:w="0" w:type="auto"/>
            <w:vAlign w:val="center"/>
            <w:hideMark/>
          </w:tcPr>
          <w:p w14:paraId="18814A2F"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Rewards, engagement</w:t>
            </w:r>
          </w:p>
        </w:tc>
        <w:tc>
          <w:tcPr>
            <w:tcW w:w="0" w:type="auto"/>
            <w:vAlign w:val="center"/>
            <w:hideMark/>
          </w:tcPr>
          <w:p w14:paraId="3307A785"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AI analytics, gamified sustainability and loyalty program</w:t>
            </w:r>
          </w:p>
        </w:tc>
        <w:tc>
          <w:tcPr>
            <w:tcW w:w="0" w:type="auto"/>
            <w:vAlign w:val="center"/>
            <w:hideMark/>
          </w:tcPr>
          <w:p w14:paraId="47B266DE"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Healthcare: patient feedback; Education: </w:t>
            </w:r>
            <w:r w:rsidRPr="00A80553">
              <w:rPr>
                <w:rFonts w:ascii="Arial" w:hAnsi="Arial" w:cs="Arial"/>
                <w:sz w:val="22"/>
                <w:szCs w:val="22"/>
                <w:lang w:eastAsia="en-GB"/>
              </w:rPr>
              <w:lastRenderedPageBreak/>
              <w:t>student suggestions</w:t>
            </w:r>
          </w:p>
        </w:tc>
      </w:tr>
    </w:tbl>
    <w:p w14:paraId="6DB1A935"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i/>
          <w:iCs/>
          <w:sz w:val="22"/>
          <w:szCs w:val="22"/>
          <w:lang w:eastAsia="en-GB"/>
        </w:rPr>
        <w:lastRenderedPageBreak/>
        <w:t>Source: Adapted from Richardson (2010); Compass Group (2023).</w:t>
      </w:r>
    </w:p>
    <w:p w14:paraId="53B55A20"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Analysis:</w:t>
      </w:r>
    </w:p>
    <w:p w14:paraId="20C06CDC" w14:textId="77777777" w:rsidR="00D40DE8" w:rsidRDefault="00F249CD" w:rsidP="00A80553">
      <w:pPr>
        <w:pStyle w:val="ListParagraph"/>
        <w:numPr>
          <w:ilvl w:val="0"/>
          <w:numId w:val="37"/>
        </w:numPr>
        <w:spacing w:line="360" w:lineRule="auto"/>
        <w:rPr>
          <w:rFonts w:ascii="Arial" w:hAnsi="Arial" w:cs="Arial"/>
          <w:sz w:val="22"/>
          <w:szCs w:val="22"/>
          <w:lang w:eastAsia="en-GB"/>
        </w:rPr>
      </w:pPr>
      <w:r w:rsidRPr="00D40DE8">
        <w:rPr>
          <w:rFonts w:ascii="Arial" w:hAnsi="Arial" w:cs="Arial"/>
          <w:sz w:val="22"/>
          <w:szCs w:val="22"/>
          <w:lang w:eastAsia="en-GB"/>
        </w:rPr>
        <w:t>All pain points are addressed through AI, digital, and sustainability features.</w:t>
      </w:r>
    </w:p>
    <w:p w14:paraId="7F2E2E90" w14:textId="77777777" w:rsidR="00D40DE8" w:rsidRDefault="00F249CD" w:rsidP="00A80553">
      <w:pPr>
        <w:pStyle w:val="ListParagraph"/>
        <w:numPr>
          <w:ilvl w:val="0"/>
          <w:numId w:val="37"/>
        </w:numPr>
        <w:spacing w:line="360" w:lineRule="auto"/>
        <w:rPr>
          <w:rFonts w:ascii="Arial" w:hAnsi="Arial" w:cs="Arial"/>
          <w:sz w:val="22"/>
          <w:szCs w:val="22"/>
          <w:lang w:eastAsia="en-GB"/>
        </w:rPr>
      </w:pPr>
      <w:r w:rsidRPr="00D40DE8">
        <w:rPr>
          <w:rFonts w:ascii="Arial" w:hAnsi="Arial" w:cs="Arial"/>
          <w:sz w:val="22"/>
          <w:szCs w:val="22"/>
          <w:lang w:eastAsia="en-GB"/>
        </w:rPr>
        <w:t>Gains are enhanced with personalised recommendations, loyalty rewards, and eco-friendly tracking.</w:t>
      </w:r>
    </w:p>
    <w:p w14:paraId="4333EE41" w14:textId="77777777" w:rsidR="00D40DE8" w:rsidRDefault="00F249CD" w:rsidP="00A80553">
      <w:pPr>
        <w:pStyle w:val="ListParagraph"/>
        <w:numPr>
          <w:ilvl w:val="0"/>
          <w:numId w:val="37"/>
        </w:numPr>
        <w:spacing w:line="360" w:lineRule="auto"/>
        <w:rPr>
          <w:rFonts w:ascii="Arial" w:hAnsi="Arial" w:cs="Arial"/>
          <w:sz w:val="22"/>
          <w:szCs w:val="22"/>
          <w:lang w:eastAsia="en-GB"/>
        </w:rPr>
      </w:pPr>
      <w:r w:rsidRPr="00D40DE8">
        <w:rPr>
          <w:rFonts w:ascii="Arial" w:hAnsi="Arial" w:cs="Arial"/>
          <w:sz w:val="22"/>
          <w:szCs w:val="22"/>
          <w:lang w:eastAsia="en-GB"/>
        </w:rPr>
        <w:t>Sector-specific adaptations ensure that SmartConnect is flexible for corporate, healthcare, education, and sports environments.</w:t>
      </w:r>
    </w:p>
    <w:p w14:paraId="38608D85" w14:textId="40DEECEC" w:rsidR="00F249CD" w:rsidRPr="00D40DE8" w:rsidRDefault="00F249CD" w:rsidP="00A80553">
      <w:pPr>
        <w:pStyle w:val="ListParagraph"/>
        <w:numPr>
          <w:ilvl w:val="0"/>
          <w:numId w:val="37"/>
        </w:numPr>
        <w:spacing w:line="360" w:lineRule="auto"/>
        <w:rPr>
          <w:rFonts w:ascii="Arial" w:hAnsi="Arial" w:cs="Arial"/>
          <w:sz w:val="22"/>
          <w:szCs w:val="22"/>
          <w:lang w:eastAsia="en-GB"/>
        </w:rPr>
      </w:pPr>
      <w:r w:rsidRPr="00D40DE8">
        <w:rPr>
          <w:rFonts w:ascii="Arial" w:hAnsi="Arial" w:cs="Arial"/>
          <w:sz w:val="22"/>
          <w:szCs w:val="22"/>
          <w:lang w:eastAsia="en-GB"/>
        </w:rPr>
        <w:t>Operational and strategic benefits include efficiency, brand loyalty, and long-term digital transformation.</w:t>
      </w:r>
    </w:p>
    <w:p w14:paraId="6B21F1A5" w14:textId="77777777" w:rsidR="00F249CD" w:rsidRPr="00D40DE8" w:rsidRDefault="00F249CD" w:rsidP="008C5BF0">
      <w:pPr>
        <w:pStyle w:val="Heading3"/>
        <w:rPr>
          <w:rFonts w:eastAsia="Times New Roman"/>
          <w:b/>
          <w:bCs/>
          <w:color w:val="auto"/>
          <w:lang w:eastAsia="en-GB"/>
        </w:rPr>
      </w:pPr>
      <w:bookmarkStart w:id="21" w:name="_Toc215740891"/>
      <w:r w:rsidRPr="00D40DE8">
        <w:rPr>
          <w:rFonts w:eastAsia="Times New Roman"/>
          <w:b/>
          <w:bCs/>
          <w:color w:val="auto"/>
          <w:lang w:eastAsia="en-GB"/>
        </w:rPr>
        <w:t>4.6 Sector-Specific Adaptations and Scalability</w:t>
      </w:r>
      <w:bookmarkEnd w:id="21"/>
    </w:p>
    <w:p w14:paraId="63FAC946" w14:textId="77777777" w:rsidR="00D40DE8" w:rsidRDefault="00F249CD" w:rsidP="00A80553">
      <w:pPr>
        <w:pStyle w:val="ListParagraph"/>
        <w:numPr>
          <w:ilvl w:val="0"/>
          <w:numId w:val="38"/>
        </w:numPr>
        <w:spacing w:line="360" w:lineRule="auto"/>
        <w:rPr>
          <w:rFonts w:ascii="Arial" w:hAnsi="Arial" w:cs="Arial"/>
          <w:sz w:val="22"/>
          <w:szCs w:val="22"/>
          <w:lang w:eastAsia="en-GB"/>
        </w:rPr>
      </w:pPr>
      <w:r w:rsidRPr="00D40DE8">
        <w:rPr>
          <w:rFonts w:ascii="Arial" w:hAnsi="Arial" w:cs="Arial"/>
          <w:sz w:val="22"/>
          <w:szCs w:val="22"/>
          <w:lang w:eastAsia="en-GB"/>
        </w:rPr>
        <w:t>Healthcare: Nutrition tracking, dietary compliance, and robotic delivery.</w:t>
      </w:r>
    </w:p>
    <w:p w14:paraId="65100B11" w14:textId="77777777" w:rsidR="00D40DE8" w:rsidRDefault="00F249CD" w:rsidP="00A80553">
      <w:pPr>
        <w:pStyle w:val="ListParagraph"/>
        <w:numPr>
          <w:ilvl w:val="0"/>
          <w:numId w:val="38"/>
        </w:numPr>
        <w:spacing w:line="360" w:lineRule="auto"/>
        <w:rPr>
          <w:rFonts w:ascii="Arial" w:hAnsi="Arial" w:cs="Arial"/>
          <w:sz w:val="22"/>
          <w:szCs w:val="22"/>
          <w:lang w:eastAsia="en-GB"/>
        </w:rPr>
      </w:pPr>
      <w:r w:rsidRPr="00D40DE8">
        <w:rPr>
          <w:rFonts w:ascii="Arial" w:hAnsi="Arial" w:cs="Arial"/>
          <w:sz w:val="22"/>
          <w:szCs w:val="22"/>
          <w:lang w:eastAsia="en-GB"/>
        </w:rPr>
        <w:t>Corporate offices: Quick-service pre-ordering, wellness-focused meals, loyalty integration.</w:t>
      </w:r>
    </w:p>
    <w:p w14:paraId="317C3084" w14:textId="77777777" w:rsidR="00D40DE8" w:rsidRDefault="00F249CD" w:rsidP="00A80553">
      <w:pPr>
        <w:pStyle w:val="ListParagraph"/>
        <w:numPr>
          <w:ilvl w:val="0"/>
          <w:numId w:val="38"/>
        </w:numPr>
        <w:spacing w:line="360" w:lineRule="auto"/>
        <w:rPr>
          <w:rFonts w:ascii="Arial" w:hAnsi="Arial" w:cs="Arial"/>
          <w:sz w:val="22"/>
          <w:szCs w:val="22"/>
          <w:lang w:eastAsia="en-GB"/>
        </w:rPr>
      </w:pPr>
      <w:r w:rsidRPr="00D40DE8">
        <w:rPr>
          <w:rFonts w:ascii="Arial" w:hAnsi="Arial" w:cs="Arial"/>
          <w:sz w:val="22"/>
          <w:szCs w:val="22"/>
          <w:lang w:eastAsia="en-GB"/>
        </w:rPr>
        <w:t>Education: Student engagement, gamification, allergen alerts, and bulk ordering.</w:t>
      </w:r>
    </w:p>
    <w:p w14:paraId="50C69CDD" w14:textId="10F210D3" w:rsidR="00F249CD" w:rsidRPr="00D40DE8" w:rsidRDefault="00F249CD" w:rsidP="00A80553">
      <w:pPr>
        <w:pStyle w:val="ListParagraph"/>
        <w:numPr>
          <w:ilvl w:val="0"/>
          <w:numId w:val="38"/>
        </w:numPr>
        <w:spacing w:line="360" w:lineRule="auto"/>
        <w:rPr>
          <w:rFonts w:ascii="Arial" w:hAnsi="Arial" w:cs="Arial"/>
          <w:sz w:val="22"/>
          <w:szCs w:val="22"/>
          <w:lang w:eastAsia="en-GB"/>
        </w:rPr>
      </w:pPr>
      <w:r w:rsidRPr="00D40DE8">
        <w:rPr>
          <w:rFonts w:ascii="Arial" w:hAnsi="Arial" w:cs="Arial"/>
          <w:sz w:val="22"/>
          <w:szCs w:val="22"/>
          <w:lang w:eastAsia="en-GB"/>
        </w:rPr>
        <w:t>Sports and leisure: Peak-hour management, automated kiosks, and high-volume service efficiency.</w:t>
      </w:r>
    </w:p>
    <w:p w14:paraId="6E7C9D9A" w14:textId="77777777"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Scalability:</w:t>
      </w:r>
    </w:p>
    <w:p w14:paraId="2D0CB88B" w14:textId="77777777" w:rsidR="00D40DE8" w:rsidRDefault="00F249CD" w:rsidP="00A80553">
      <w:pPr>
        <w:pStyle w:val="ListParagraph"/>
        <w:numPr>
          <w:ilvl w:val="0"/>
          <w:numId w:val="39"/>
        </w:numPr>
        <w:spacing w:line="360" w:lineRule="auto"/>
        <w:rPr>
          <w:rFonts w:ascii="Arial" w:hAnsi="Arial" w:cs="Arial"/>
          <w:sz w:val="22"/>
          <w:szCs w:val="22"/>
          <w:lang w:eastAsia="en-GB"/>
        </w:rPr>
      </w:pPr>
      <w:r w:rsidRPr="00D40DE8">
        <w:rPr>
          <w:rFonts w:ascii="Arial" w:hAnsi="Arial" w:cs="Arial"/>
          <w:sz w:val="22"/>
          <w:szCs w:val="22"/>
          <w:lang w:eastAsia="en-GB"/>
        </w:rPr>
        <w:t>Pilot in corporate offices and healthcare facilities, then expand to education campuses and sports venues.</w:t>
      </w:r>
    </w:p>
    <w:p w14:paraId="34CF0D96" w14:textId="7358B460" w:rsidR="00F249CD" w:rsidRPr="00D40DE8" w:rsidRDefault="00F249CD" w:rsidP="00A80553">
      <w:pPr>
        <w:pStyle w:val="ListParagraph"/>
        <w:numPr>
          <w:ilvl w:val="0"/>
          <w:numId w:val="39"/>
        </w:numPr>
        <w:spacing w:line="360" w:lineRule="auto"/>
        <w:rPr>
          <w:rFonts w:ascii="Arial" w:hAnsi="Arial" w:cs="Arial"/>
          <w:sz w:val="22"/>
          <w:szCs w:val="22"/>
          <w:lang w:eastAsia="en-GB"/>
        </w:rPr>
      </w:pPr>
      <w:r w:rsidRPr="00D40DE8">
        <w:rPr>
          <w:rFonts w:ascii="Arial" w:hAnsi="Arial" w:cs="Arial"/>
          <w:sz w:val="22"/>
          <w:szCs w:val="22"/>
          <w:lang w:eastAsia="en-GB"/>
        </w:rPr>
        <w:t>Cloud-based platform supports multi-location integration.</w:t>
      </w:r>
    </w:p>
    <w:p w14:paraId="3BBC659D" w14:textId="0A9E59FA" w:rsidR="00F249CD" w:rsidRPr="00A80553" w:rsidRDefault="00F249CD" w:rsidP="00A80553">
      <w:pPr>
        <w:spacing w:line="360" w:lineRule="auto"/>
        <w:rPr>
          <w:rFonts w:ascii="Arial" w:hAnsi="Arial" w:cs="Arial"/>
          <w:sz w:val="22"/>
          <w:szCs w:val="22"/>
          <w:lang w:eastAsia="en-GB"/>
        </w:rPr>
      </w:pPr>
      <w:r w:rsidRPr="00A80553">
        <w:rPr>
          <w:rFonts w:ascii="Arial" w:hAnsi="Arial" w:cs="Arial"/>
          <w:sz w:val="22"/>
          <w:szCs w:val="22"/>
          <w:lang w:eastAsia="en-GB"/>
        </w:rPr>
        <w:t>AI algorithms can learn from customer behaviour to continuously improve recommendations and operational efficiency.</w:t>
      </w:r>
    </w:p>
    <w:p w14:paraId="0BDA3A8B" w14:textId="5A38169D" w:rsidR="00CF6D7A" w:rsidRPr="00D40DE8" w:rsidRDefault="00CF6D7A" w:rsidP="008C5BF0">
      <w:pPr>
        <w:pStyle w:val="Heading2"/>
        <w:rPr>
          <w:rFonts w:eastAsia="Times New Roman"/>
          <w:b/>
          <w:bCs/>
          <w:color w:val="auto"/>
          <w:lang w:eastAsia="en-GB"/>
        </w:rPr>
      </w:pPr>
      <w:bookmarkStart w:id="22" w:name="_Toc215740892"/>
      <w:r w:rsidRPr="00D40DE8">
        <w:rPr>
          <w:rFonts w:eastAsia="Times New Roman"/>
          <w:b/>
          <w:bCs/>
          <w:color w:val="auto"/>
          <w:lang w:eastAsia="en-GB"/>
        </w:rPr>
        <w:t>5. Conclusion</w:t>
      </w:r>
      <w:bookmarkEnd w:id="22"/>
      <w:r w:rsidRPr="00D40DE8">
        <w:rPr>
          <w:rFonts w:eastAsia="Times New Roman"/>
          <w:b/>
          <w:bCs/>
          <w:color w:val="auto"/>
          <w:lang w:eastAsia="en-GB"/>
        </w:rPr>
        <w:t xml:space="preserve"> </w:t>
      </w:r>
    </w:p>
    <w:p w14:paraId="4E048E95"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This portfolio has critically examined Compass Group PLC’s approach to innovation, digital transformation, and customer experience. Using the Innovation Ambition Matrix and Customer Journey Mapping, it has analysed both current practices and future opportunities </w:t>
      </w:r>
      <w:r w:rsidRPr="00A80553">
        <w:rPr>
          <w:rFonts w:ascii="Arial" w:hAnsi="Arial" w:cs="Arial"/>
          <w:sz w:val="22"/>
          <w:szCs w:val="22"/>
          <w:lang w:eastAsia="en-GB"/>
        </w:rPr>
        <w:lastRenderedPageBreak/>
        <w:t>for growth and differentiation. Compass Group operates in a complex, dynamic foodservice environment, where consumer preferences, sustainability requirements, technological advances, and operational efficiency converge to shape strategic decision-making.</w:t>
      </w:r>
    </w:p>
    <w:p w14:paraId="1FDECACA"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The Innovation Ambition Matrix analysis demonstrates that Compass Group is strong in core innovations, such as digital pre-ordering platforms, plant-based menu options, and smart waste management systems. These innovations improve operational efficiency and enhance customer satisfaction across corporate, healthcare, education, and sports sectors. Adjacent innovations, including unmanned Smart Cafés, Compass Digital Labs partnerships, and data analytics, extend the company’s capabilities into new markets and service models. Although transformational innovation is still emerging, initiatives such as robotic kitchens, AI-driven forecasting, and cloud kitchens indicate a strategic intent to create radically new service models that could redefine the global foodservice industry. By integrating design thinking principles (Brown, 2008), Compass Group ensures that innovation is customer-focused, scalable, and aligned with operational goals.</w:t>
      </w:r>
    </w:p>
    <w:p w14:paraId="411666FF"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The Customer Journey Mapping highlighted strengths such as brand trust, convenience, variety, and health-conscious offerings. However, it also revealed pain points, including long queues, inconsistent dietary information, and limited engagement with feedback mechanisms. By identifying these gaps, Compass Group can target opportunities for digital innovation, enhancing both customer satisfaction and operational efficiency.</w:t>
      </w:r>
    </w:p>
    <w:p w14:paraId="137A26A5"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The proposed Compass SmartConnect initiative addresses these challenges by offering AI-driven meal recommendations, real-time menu updates, sustainability tracking, mobile pre-ordering, contactless payment, and integration with wearable health apps. The enhanced customer journey map demonstrates how these features reduce pain points, increase gain points, and offer tailored experiences across sectors. Operational benefits include reduced queues, improved inventory management, and waste reduction, while strategic advantages include enhanced customer loyalty, brand differentiation, and leadership in sustainable, technology-driven foodservice.</w:t>
      </w:r>
    </w:p>
    <w:p w14:paraId="502951E5"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Furthermore, the portfolio considered cost-benefit analysis, ROI projections, and risk assessment, demonstrating that SmartConnect is both feasible and strategically aligned with Compass Group’s global objectives. Sector-specific adaptations ensure scalability across healthcare, education, corporate, and sports venues, providing a flexible and future-ready platform for digital transformation.</w:t>
      </w:r>
    </w:p>
    <w:p w14:paraId="5D6B4A15" w14:textId="5E7E5850"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In conclusion, Compass Group demonstrates a strategic and balanced approach to innovation, combining incremental improvements with adjacent and transformational initiatives. By leveraging digital platforms, AI, and sustainability-focused solutions, the </w:t>
      </w:r>
      <w:r w:rsidRPr="00A80553">
        <w:rPr>
          <w:rFonts w:ascii="Arial" w:hAnsi="Arial" w:cs="Arial"/>
          <w:sz w:val="22"/>
          <w:szCs w:val="22"/>
          <w:lang w:eastAsia="en-GB"/>
        </w:rPr>
        <w:lastRenderedPageBreak/>
        <w:t>company can maintain a competitive advantage, deliver superior customer experiences, and meet evolving industry expectations. The integration of design thinking, data analytics, and customer journey insights ensures that Compass Group’s innovation efforts remain customer-centred, evidence-based, and operationally effective. Continued investment in initiatives like Compass SmartConnect will enable Compass Group to achieve long-term growth, operational efficiency, and sustainability objectives, reinforcing its position as a global leader in the foodservice industry.</w:t>
      </w:r>
    </w:p>
    <w:p w14:paraId="7805F984" w14:textId="4BFD431B" w:rsidR="00CF6D7A" w:rsidRPr="00D40DE8" w:rsidRDefault="00CF6D7A" w:rsidP="008C5BF0">
      <w:pPr>
        <w:pStyle w:val="Heading2"/>
        <w:rPr>
          <w:rFonts w:eastAsia="Times New Roman"/>
          <w:b/>
          <w:bCs/>
          <w:color w:val="auto"/>
          <w:lang w:eastAsia="en-GB"/>
        </w:rPr>
      </w:pPr>
      <w:bookmarkStart w:id="23" w:name="_Toc215740893"/>
      <w:r w:rsidRPr="00D40DE8">
        <w:rPr>
          <w:rFonts w:eastAsia="Times New Roman"/>
          <w:b/>
          <w:bCs/>
          <w:color w:val="auto"/>
          <w:lang w:eastAsia="en-GB"/>
        </w:rPr>
        <w:t>6. References</w:t>
      </w:r>
      <w:bookmarkEnd w:id="23"/>
      <w:r w:rsidRPr="00D40DE8">
        <w:rPr>
          <w:rFonts w:eastAsia="Times New Roman"/>
          <w:b/>
          <w:bCs/>
          <w:color w:val="auto"/>
          <w:lang w:eastAsia="en-GB"/>
        </w:rPr>
        <w:t xml:space="preserve"> </w:t>
      </w:r>
    </w:p>
    <w:p w14:paraId="184240C1"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Accenture (2022) </w:t>
      </w:r>
      <w:r w:rsidRPr="00A80553">
        <w:rPr>
          <w:rFonts w:ascii="Arial" w:hAnsi="Arial" w:cs="Arial"/>
          <w:i/>
          <w:iCs/>
          <w:sz w:val="22"/>
          <w:szCs w:val="22"/>
          <w:lang w:eastAsia="en-GB"/>
        </w:rPr>
        <w:t>Automation and robotics in food service: Opportunities for growth.</w:t>
      </w:r>
      <w:r w:rsidRPr="00A80553">
        <w:rPr>
          <w:rFonts w:ascii="Arial" w:hAnsi="Arial" w:cs="Arial"/>
          <w:sz w:val="22"/>
          <w:szCs w:val="22"/>
          <w:lang w:eastAsia="en-GB"/>
        </w:rPr>
        <w:t xml:space="preserve"> Available at: </w:t>
      </w:r>
      <w:hyperlink r:id="rId13" w:tgtFrame="_new" w:history="1">
        <w:r w:rsidRPr="00A80553">
          <w:rPr>
            <w:rFonts w:ascii="Arial" w:hAnsi="Arial" w:cs="Arial"/>
            <w:color w:val="0000FF"/>
            <w:sz w:val="22"/>
            <w:szCs w:val="22"/>
            <w:u w:val="single"/>
            <w:lang w:eastAsia="en-GB"/>
          </w:rPr>
          <w:t>https://www.accenture.com</w:t>
        </w:r>
      </w:hyperlink>
      <w:r w:rsidRPr="00A80553">
        <w:rPr>
          <w:rFonts w:ascii="Arial" w:hAnsi="Arial" w:cs="Arial"/>
          <w:sz w:val="22"/>
          <w:szCs w:val="22"/>
          <w:lang w:eastAsia="en-GB"/>
        </w:rPr>
        <w:t xml:space="preserve"> (Accessed: 8 November 2025).</w:t>
      </w:r>
    </w:p>
    <w:p w14:paraId="40BAF312"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Accenture (2023) </w:t>
      </w:r>
      <w:r w:rsidRPr="00A80553">
        <w:rPr>
          <w:rFonts w:ascii="Arial" w:hAnsi="Arial" w:cs="Arial"/>
          <w:i/>
          <w:iCs/>
          <w:sz w:val="22"/>
          <w:szCs w:val="22"/>
          <w:lang w:eastAsia="en-GB"/>
        </w:rPr>
        <w:t>The future of digital hospitality and catering.</w:t>
      </w:r>
      <w:r w:rsidRPr="00A80553">
        <w:rPr>
          <w:rFonts w:ascii="Arial" w:hAnsi="Arial" w:cs="Arial"/>
          <w:sz w:val="22"/>
          <w:szCs w:val="22"/>
          <w:lang w:eastAsia="en-GB"/>
        </w:rPr>
        <w:t xml:space="preserve"> Accenture Insights. Available at: </w:t>
      </w:r>
      <w:hyperlink r:id="rId14" w:tgtFrame="_new" w:history="1">
        <w:r w:rsidRPr="00A80553">
          <w:rPr>
            <w:rFonts w:ascii="Arial" w:hAnsi="Arial" w:cs="Arial"/>
            <w:color w:val="0000FF"/>
            <w:sz w:val="22"/>
            <w:szCs w:val="22"/>
            <w:u w:val="single"/>
            <w:lang w:eastAsia="en-GB"/>
          </w:rPr>
          <w:t>https://www.accenture.com</w:t>
        </w:r>
      </w:hyperlink>
      <w:r w:rsidRPr="00A80553">
        <w:rPr>
          <w:rFonts w:ascii="Arial" w:hAnsi="Arial" w:cs="Arial"/>
          <w:sz w:val="22"/>
          <w:szCs w:val="22"/>
          <w:lang w:eastAsia="en-GB"/>
        </w:rPr>
        <w:t xml:space="preserve"> (Accessed: 8 November 2025).</w:t>
      </w:r>
    </w:p>
    <w:p w14:paraId="5F0BD3E7"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Brown, T. (2008) ‘Design Thinking’, </w:t>
      </w:r>
      <w:r w:rsidRPr="00A80553">
        <w:rPr>
          <w:rFonts w:ascii="Arial" w:hAnsi="Arial" w:cs="Arial"/>
          <w:i/>
          <w:iCs/>
          <w:sz w:val="22"/>
          <w:szCs w:val="22"/>
          <w:lang w:eastAsia="en-GB"/>
        </w:rPr>
        <w:t>Harvard Business Review</w:t>
      </w:r>
      <w:r w:rsidRPr="00A80553">
        <w:rPr>
          <w:rFonts w:ascii="Arial" w:hAnsi="Arial" w:cs="Arial"/>
          <w:sz w:val="22"/>
          <w:szCs w:val="22"/>
          <w:lang w:eastAsia="en-GB"/>
        </w:rPr>
        <w:t>, 86(6), pp. 84–92.</w:t>
      </w:r>
    </w:p>
    <w:p w14:paraId="63CD2101"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Compass Group (2023) </w:t>
      </w:r>
      <w:r w:rsidRPr="00A80553">
        <w:rPr>
          <w:rFonts w:ascii="Arial" w:hAnsi="Arial" w:cs="Arial"/>
          <w:i/>
          <w:iCs/>
          <w:sz w:val="22"/>
          <w:szCs w:val="22"/>
          <w:lang w:eastAsia="en-GB"/>
        </w:rPr>
        <w:t>Compass Digital Labs: Driving digital innovation in food services.</w:t>
      </w:r>
      <w:r w:rsidRPr="00A80553">
        <w:rPr>
          <w:rFonts w:ascii="Arial" w:hAnsi="Arial" w:cs="Arial"/>
          <w:sz w:val="22"/>
          <w:szCs w:val="22"/>
          <w:lang w:eastAsia="en-GB"/>
        </w:rPr>
        <w:t xml:space="preserve"> Compass Group PLC. Available at: </w:t>
      </w:r>
      <w:hyperlink r:id="rId15" w:tgtFrame="_new" w:history="1">
        <w:r w:rsidRPr="00A80553">
          <w:rPr>
            <w:rFonts w:ascii="Arial" w:hAnsi="Arial" w:cs="Arial"/>
            <w:color w:val="0000FF"/>
            <w:sz w:val="22"/>
            <w:szCs w:val="22"/>
            <w:u w:val="single"/>
            <w:lang w:eastAsia="en-GB"/>
          </w:rPr>
          <w:t>https://www.compass-group.com</w:t>
        </w:r>
      </w:hyperlink>
      <w:r w:rsidRPr="00A80553">
        <w:rPr>
          <w:rFonts w:ascii="Arial" w:hAnsi="Arial" w:cs="Arial"/>
          <w:sz w:val="22"/>
          <w:szCs w:val="22"/>
          <w:lang w:eastAsia="en-GB"/>
        </w:rPr>
        <w:t xml:space="preserve"> (Accessed: 8 November 2025).</w:t>
      </w:r>
    </w:p>
    <w:p w14:paraId="4F780645"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Compass Group (2024) </w:t>
      </w:r>
      <w:r w:rsidRPr="00A80553">
        <w:rPr>
          <w:rFonts w:ascii="Arial" w:hAnsi="Arial" w:cs="Arial"/>
          <w:i/>
          <w:iCs/>
          <w:sz w:val="22"/>
          <w:szCs w:val="22"/>
          <w:lang w:eastAsia="en-GB"/>
        </w:rPr>
        <w:t>Annual Report and Sustainability Review 2024.</w:t>
      </w:r>
      <w:r w:rsidRPr="00A80553">
        <w:rPr>
          <w:rFonts w:ascii="Arial" w:hAnsi="Arial" w:cs="Arial"/>
          <w:sz w:val="22"/>
          <w:szCs w:val="22"/>
          <w:lang w:eastAsia="en-GB"/>
        </w:rPr>
        <w:t xml:space="preserve"> Compass Group PLC. Available at: </w:t>
      </w:r>
      <w:hyperlink r:id="rId16" w:tgtFrame="_new" w:history="1">
        <w:r w:rsidRPr="00A80553">
          <w:rPr>
            <w:rFonts w:ascii="Arial" w:hAnsi="Arial" w:cs="Arial"/>
            <w:color w:val="0000FF"/>
            <w:sz w:val="22"/>
            <w:szCs w:val="22"/>
            <w:u w:val="single"/>
            <w:lang w:eastAsia="en-GB"/>
          </w:rPr>
          <w:t>https://www.compass-group.com</w:t>
        </w:r>
      </w:hyperlink>
      <w:r w:rsidRPr="00A80553">
        <w:rPr>
          <w:rFonts w:ascii="Arial" w:hAnsi="Arial" w:cs="Arial"/>
          <w:sz w:val="22"/>
          <w:szCs w:val="22"/>
          <w:lang w:eastAsia="en-GB"/>
        </w:rPr>
        <w:t xml:space="preserve"> (Accessed: 8 November 2025).</w:t>
      </w:r>
    </w:p>
    <w:p w14:paraId="4A9555EA"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Deloitte (2023) </w:t>
      </w:r>
      <w:r w:rsidRPr="00A80553">
        <w:rPr>
          <w:rFonts w:ascii="Arial" w:hAnsi="Arial" w:cs="Arial"/>
          <w:i/>
          <w:iCs/>
          <w:sz w:val="22"/>
          <w:szCs w:val="22"/>
          <w:lang w:eastAsia="en-GB"/>
        </w:rPr>
        <w:t>Catering for change: Innovation in food service operations.</w:t>
      </w:r>
      <w:r w:rsidRPr="00A80553">
        <w:rPr>
          <w:rFonts w:ascii="Arial" w:hAnsi="Arial" w:cs="Arial"/>
          <w:sz w:val="22"/>
          <w:szCs w:val="22"/>
          <w:lang w:eastAsia="en-GB"/>
        </w:rPr>
        <w:t xml:space="preserve"> Deloitte Insights. Available at: </w:t>
      </w:r>
      <w:hyperlink r:id="rId17" w:tgtFrame="_new" w:history="1">
        <w:r w:rsidRPr="00A80553">
          <w:rPr>
            <w:rFonts w:ascii="Arial" w:hAnsi="Arial" w:cs="Arial"/>
            <w:color w:val="0000FF"/>
            <w:sz w:val="22"/>
            <w:szCs w:val="22"/>
            <w:u w:val="single"/>
            <w:lang w:eastAsia="en-GB"/>
          </w:rPr>
          <w:t>https://www.deloitte.com</w:t>
        </w:r>
      </w:hyperlink>
      <w:r w:rsidRPr="00A80553">
        <w:rPr>
          <w:rFonts w:ascii="Arial" w:hAnsi="Arial" w:cs="Arial"/>
          <w:sz w:val="22"/>
          <w:szCs w:val="22"/>
          <w:lang w:eastAsia="en-GB"/>
        </w:rPr>
        <w:t xml:space="preserve"> (Accessed: 8 November 2025).</w:t>
      </w:r>
    </w:p>
    <w:p w14:paraId="5E0DCB78"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Euromonitor International (2024) </w:t>
      </w:r>
      <w:r w:rsidRPr="00A80553">
        <w:rPr>
          <w:rFonts w:ascii="Arial" w:hAnsi="Arial" w:cs="Arial"/>
          <w:i/>
          <w:iCs/>
          <w:sz w:val="22"/>
          <w:szCs w:val="22"/>
          <w:lang w:eastAsia="en-GB"/>
        </w:rPr>
        <w:t>Global foodservice industry trends.</w:t>
      </w:r>
      <w:r w:rsidRPr="00A80553">
        <w:rPr>
          <w:rFonts w:ascii="Arial" w:hAnsi="Arial" w:cs="Arial"/>
          <w:sz w:val="22"/>
          <w:szCs w:val="22"/>
          <w:lang w:eastAsia="en-GB"/>
        </w:rPr>
        <w:t xml:space="preserve"> Available at: </w:t>
      </w:r>
      <w:hyperlink r:id="rId18" w:tgtFrame="_new" w:history="1">
        <w:r w:rsidRPr="00A80553">
          <w:rPr>
            <w:rFonts w:ascii="Arial" w:hAnsi="Arial" w:cs="Arial"/>
            <w:color w:val="0000FF"/>
            <w:sz w:val="22"/>
            <w:szCs w:val="22"/>
            <w:u w:val="single"/>
            <w:lang w:eastAsia="en-GB"/>
          </w:rPr>
          <w:t>https://www.euromonitor.com</w:t>
        </w:r>
      </w:hyperlink>
      <w:r w:rsidRPr="00A80553">
        <w:rPr>
          <w:rFonts w:ascii="Arial" w:hAnsi="Arial" w:cs="Arial"/>
          <w:sz w:val="22"/>
          <w:szCs w:val="22"/>
          <w:lang w:eastAsia="en-GB"/>
        </w:rPr>
        <w:t xml:space="preserve"> (Accessed: 8 November 2025).</w:t>
      </w:r>
    </w:p>
    <w:p w14:paraId="5243B626"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Gartner (2023) </w:t>
      </w:r>
      <w:r w:rsidRPr="00A80553">
        <w:rPr>
          <w:rFonts w:ascii="Arial" w:hAnsi="Arial" w:cs="Arial"/>
          <w:i/>
          <w:iCs/>
          <w:sz w:val="22"/>
          <w:szCs w:val="22"/>
          <w:lang w:eastAsia="en-GB"/>
        </w:rPr>
        <w:t>AI and predictive analytics in hospitality operations.</w:t>
      </w:r>
      <w:r w:rsidRPr="00A80553">
        <w:rPr>
          <w:rFonts w:ascii="Arial" w:hAnsi="Arial" w:cs="Arial"/>
          <w:sz w:val="22"/>
          <w:szCs w:val="22"/>
          <w:lang w:eastAsia="en-GB"/>
        </w:rPr>
        <w:t xml:space="preserve"> Available at: </w:t>
      </w:r>
      <w:hyperlink r:id="rId19" w:tgtFrame="_new" w:history="1">
        <w:r w:rsidRPr="00A80553">
          <w:rPr>
            <w:rFonts w:ascii="Arial" w:hAnsi="Arial" w:cs="Arial"/>
            <w:color w:val="0000FF"/>
            <w:sz w:val="22"/>
            <w:szCs w:val="22"/>
            <w:u w:val="single"/>
            <w:lang w:eastAsia="en-GB"/>
          </w:rPr>
          <w:t>https://www.gartner.com</w:t>
        </w:r>
      </w:hyperlink>
      <w:r w:rsidRPr="00A80553">
        <w:rPr>
          <w:rFonts w:ascii="Arial" w:hAnsi="Arial" w:cs="Arial"/>
          <w:sz w:val="22"/>
          <w:szCs w:val="22"/>
          <w:lang w:eastAsia="en-GB"/>
        </w:rPr>
        <w:t xml:space="preserve"> (Accessed: 8 November 2025).</w:t>
      </w:r>
    </w:p>
    <w:p w14:paraId="0AAFBDCE"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Harvard Business Review (2021) </w:t>
      </w:r>
      <w:r w:rsidRPr="00A80553">
        <w:rPr>
          <w:rFonts w:ascii="Arial" w:hAnsi="Arial" w:cs="Arial"/>
          <w:i/>
          <w:iCs/>
          <w:sz w:val="22"/>
          <w:szCs w:val="22"/>
          <w:lang w:eastAsia="en-GB"/>
        </w:rPr>
        <w:t>Digital transformation in catering services.</w:t>
      </w:r>
      <w:r w:rsidRPr="00A80553">
        <w:rPr>
          <w:rFonts w:ascii="Arial" w:hAnsi="Arial" w:cs="Arial"/>
          <w:sz w:val="22"/>
          <w:szCs w:val="22"/>
          <w:lang w:eastAsia="en-GB"/>
        </w:rPr>
        <w:t xml:space="preserve"> Available at: </w:t>
      </w:r>
      <w:hyperlink r:id="rId20" w:tgtFrame="_new" w:history="1">
        <w:r w:rsidRPr="00A80553">
          <w:rPr>
            <w:rFonts w:ascii="Arial" w:hAnsi="Arial" w:cs="Arial"/>
            <w:color w:val="0000FF"/>
            <w:sz w:val="22"/>
            <w:szCs w:val="22"/>
            <w:u w:val="single"/>
            <w:lang w:eastAsia="en-GB"/>
          </w:rPr>
          <w:t>https://hbr.org</w:t>
        </w:r>
      </w:hyperlink>
      <w:r w:rsidRPr="00A80553">
        <w:rPr>
          <w:rFonts w:ascii="Arial" w:hAnsi="Arial" w:cs="Arial"/>
          <w:sz w:val="22"/>
          <w:szCs w:val="22"/>
          <w:lang w:eastAsia="en-GB"/>
        </w:rPr>
        <w:t xml:space="preserve"> (Accessed: 8 November 2025).</w:t>
      </w:r>
    </w:p>
    <w:p w14:paraId="13112DD4"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KPMG (2022) </w:t>
      </w:r>
      <w:r w:rsidRPr="00A80553">
        <w:rPr>
          <w:rFonts w:ascii="Arial" w:hAnsi="Arial" w:cs="Arial"/>
          <w:i/>
          <w:iCs/>
          <w:sz w:val="22"/>
          <w:szCs w:val="22"/>
          <w:lang w:eastAsia="en-GB"/>
        </w:rPr>
        <w:t>Sustainability in food services: Industry best practices.</w:t>
      </w:r>
      <w:r w:rsidRPr="00A80553">
        <w:rPr>
          <w:rFonts w:ascii="Arial" w:hAnsi="Arial" w:cs="Arial"/>
          <w:sz w:val="22"/>
          <w:szCs w:val="22"/>
          <w:lang w:eastAsia="en-GB"/>
        </w:rPr>
        <w:t xml:space="preserve"> Available at: </w:t>
      </w:r>
      <w:hyperlink r:id="rId21" w:tgtFrame="_new" w:history="1">
        <w:r w:rsidRPr="00A80553">
          <w:rPr>
            <w:rFonts w:ascii="Arial" w:hAnsi="Arial" w:cs="Arial"/>
            <w:color w:val="0000FF"/>
            <w:sz w:val="22"/>
            <w:szCs w:val="22"/>
            <w:u w:val="single"/>
            <w:lang w:eastAsia="en-GB"/>
          </w:rPr>
          <w:t>https://home.kpmg</w:t>
        </w:r>
      </w:hyperlink>
      <w:r w:rsidRPr="00A80553">
        <w:rPr>
          <w:rFonts w:ascii="Arial" w:hAnsi="Arial" w:cs="Arial"/>
          <w:sz w:val="22"/>
          <w:szCs w:val="22"/>
          <w:lang w:eastAsia="en-GB"/>
        </w:rPr>
        <w:t xml:space="preserve"> (Accessed: 8 November 2025).</w:t>
      </w:r>
    </w:p>
    <w:p w14:paraId="1517D504"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McKinsey &amp; Company (2023) </w:t>
      </w:r>
      <w:r w:rsidRPr="00A80553">
        <w:rPr>
          <w:rFonts w:ascii="Arial" w:hAnsi="Arial" w:cs="Arial"/>
          <w:i/>
          <w:iCs/>
          <w:sz w:val="22"/>
          <w:szCs w:val="22"/>
          <w:lang w:eastAsia="en-GB"/>
        </w:rPr>
        <w:t>The future of food service: Digital transformation and sustainability.</w:t>
      </w:r>
      <w:r w:rsidRPr="00A80553">
        <w:rPr>
          <w:rFonts w:ascii="Arial" w:hAnsi="Arial" w:cs="Arial"/>
          <w:sz w:val="22"/>
          <w:szCs w:val="22"/>
          <w:lang w:eastAsia="en-GB"/>
        </w:rPr>
        <w:t xml:space="preserve"> Available at: </w:t>
      </w:r>
      <w:hyperlink r:id="rId22" w:tgtFrame="_new" w:history="1">
        <w:r w:rsidRPr="00A80553">
          <w:rPr>
            <w:rFonts w:ascii="Arial" w:hAnsi="Arial" w:cs="Arial"/>
            <w:color w:val="0000FF"/>
            <w:sz w:val="22"/>
            <w:szCs w:val="22"/>
            <w:u w:val="single"/>
            <w:lang w:eastAsia="en-GB"/>
          </w:rPr>
          <w:t>https://www.mckinsey.com</w:t>
        </w:r>
      </w:hyperlink>
      <w:r w:rsidRPr="00A80553">
        <w:rPr>
          <w:rFonts w:ascii="Arial" w:hAnsi="Arial" w:cs="Arial"/>
          <w:sz w:val="22"/>
          <w:szCs w:val="22"/>
          <w:lang w:eastAsia="en-GB"/>
        </w:rPr>
        <w:t xml:space="preserve"> (Accessed: 8 November 2025).</w:t>
      </w:r>
    </w:p>
    <w:p w14:paraId="4E53BA5E"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lastRenderedPageBreak/>
        <w:t xml:space="preserve">Mullins, L.J. and Christy, G. (2016) </w:t>
      </w:r>
      <w:r w:rsidRPr="00A80553">
        <w:rPr>
          <w:rFonts w:ascii="Arial" w:hAnsi="Arial" w:cs="Arial"/>
          <w:i/>
          <w:iCs/>
          <w:sz w:val="22"/>
          <w:szCs w:val="22"/>
          <w:lang w:eastAsia="en-GB"/>
        </w:rPr>
        <w:t>Management and Organisational Behaviour.</w:t>
      </w:r>
      <w:r w:rsidRPr="00A80553">
        <w:rPr>
          <w:rFonts w:ascii="Arial" w:hAnsi="Arial" w:cs="Arial"/>
          <w:sz w:val="22"/>
          <w:szCs w:val="22"/>
          <w:lang w:eastAsia="en-GB"/>
        </w:rPr>
        <w:t xml:space="preserve"> 11th </w:t>
      </w:r>
      <w:proofErr w:type="spellStart"/>
      <w:r w:rsidRPr="00A80553">
        <w:rPr>
          <w:rFonts w:ascii="Arial" w:hAnsi="Arial" w:cs="Arial"/>
          <w:sz w:val="22"/>
          <w:szCs w:val="22"/>
          <w:lang w:eastAsia="en-GB"/>
        </w:rPr>
        <w:t>edn</w:t>
      </w:r>
      <w:proofErr w:type="spellEnd"/>
      <w:r w:rsidRPr="00A80553">
        <w:rPr>
          <w:rFonts w:ascii="Arial" w:hAnsi="Arial" w:cs="Arial"/>
          <w:sz w:val="22"/>
          <w:szCs w:val="22"/>
          <w:lang w:eastAsia="en-GB"/>
        </w:rPr>
        <w:t>. Harlow: Pearson Education.</w:t>
      </w:r>
    </w:p>
    <w:p w14:paraId="7D217FA9" w14:textId="77777777" w:rsidR="00CF6D7A" w:rsidRPr="00A80553" w:rsidRDefault="00CF6D7A" w:rsidP="00A80553">
      <w:pPr>
        <w:spacing w:line="360" w:lineRule="auto"/>
        <w:rPr>
          <w:rFonts w:ascii="Arial" w:hAnsi="Arial" w:cs="Arial"/>
          <w:sz w:val="22"/>
          <w:szCs w:val="22"/>
          <w:lang w:eastAsia="en-GB"/>
        </w:rPr>
      </w:pPr>
      <w:proofErr w:type="spellStart"/>
      <w:r w:rsidRPr="00A80553">
        <w:rPr>
          <w:rFonts w:ascii="Arial" w:hAnsi="Arial" w:cs="Arial"/>
          <w:sz w:val="22"/>
          <w:szCs w:val="22"/>
          <w:lang w:eastAsia="en-GB"/>
        </w:rPr>
        <w:t>Nagji</w:t>
      </w:r>
      <w:proofErr w:type="spellEnd"/>
      <w:r w:rsidRPr="00A80553">
        <w:rPr>
          <w:rFonts w:ascii="Arial" w:hAnsi="Arial" w:cs="Arial"/>
          <w:sz w:val="22"/>
          <w:szCs w:val="22"/>
          <w:lang w:eastAsia="en-GB"/>
        </w:rPr>
        <w:t xml:space="preserve">, B. and Tuff, G. (2012) ‘Managing Your Innovation Portfolio’, </w:t>
      </w:r>
      <w:r w:rsidRPr="00A80553">
        <w:rPr>
          <w:rFonts w:ascii="Arial" w:hAnsi="Arial" w:cs="Arial"/>
          <w:i/>
          <w:iCs/>
          <w:sz w:val="22"/>
          <w:szCs w:val="22"/>
          <w:lang w:eastAsia="en-GB"/>
        </w:rPr>
        <w:t>Harvard Business Review</w:t>
      </w:r>
      <w:r w:rsidRPr="00A80553">
        <w:rPr>
          <w:rFonts w:ascii="Arial" w:hAnsi="Arial" w:cs="Arial"/>
          <w:sz w:val="22"/>
          <w:szCs w:val="22"/>
          <w:lang w:eastAsia="en-GB"/>
        </w:rPr>
        <w:t>, 90(5), pp. 66–74.</w:t>
      </w:r>
    </w:p>
    <w:p w14:paraId="092B7C98"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PwC (2023) </w:t>
      </w:r>
      <w:r w:rsidRPr="00A80553">
        <w:rPr>
          <w:rFonts w:ascii="Arial" w:hAnsi="Arial" w:cs="Arial"/>
          <w:i/>
          <w:iCs/>
          <w:sz w:val="22"/>
          <w:szCs w:val="22"/>
          <w:lang w:eastAsia="en-GB"/>
        </w:rPr>
        <w:t>Future of work in hospitality: Digital solutions and workforce trends.</w:t>
      </w:r>
      <w:r w:rsidRPr="00A80553">
        <w:rPr>
          <w:rFonts w:ascii="Arial" w:hAnsi="Arial" w:cs="Arial"/>
          <w:sz w:val="22"/>
          <w:szCs w:val="22"/>
          <w:lang w:eastAsia="en-GB"/>
        </w:rPr>
        <w:t xml:space="preserve"> Available at: </w:t>
      </w:r>
      <w:hyperlink r:id="rId23" w:tgtFrame="_new" w:history="1">
        <w:r w:rsidRPr="00A80553">
          <w:rPr>
            <w:rFonts w:ascii="Arial" w:hAnsi="Arial" w:cs="Arial"/>
            <w:color w:val="0000FF"/>
            <w:sz w:val="22"/>
            <w:szCs w:val="22"/>
            <w:u w:val="single"/>
            <w:lang w:eastAsia="en-GB"/>
          </w:rPr>
          <w:t>https://www.pwc.com</w:t>
        </w:r>
      </w:hyperlink>
      <w:r w:rsidRPr="00A80553">
        <w:rPr>
          <w:rFonts w:ascii="Arial" w:hAnsi="Arial" w:cs="Arial"/>
          <w:sz w:val="22"/>
          <w:szCs w:val="22"/>
          <w:lang w:eastAsia="en-GB"/>
        </w:rPr>
        <w:t xml:space="preserve"> (Accessed: 8 November 2025).</w:t>
      </w:r>
    </w:p>
    <w:p w14:paraId="645792FB"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Richardson, A. (2010) ‘Using customer journey maps to improve customer experience’, </w:t>
      </w:r>
      <w:r w:rsidRPr="00A80553">
        <w:rPr>
          <w:rFonts w:ascii="Arial" w:hAnsi="Arial" w:cs="Arial"/>
          <w:i/>
          <w:iCs/>
          <w:sz w:val="22"/>
          <w:szCs w:val="22"/>
          <w:lang w:eastAsia="en-GB"/>
        </w:rPr>
        <w:t>Harvard Business Review Digital Articles</w:t>
      </w:r>
      <w:r w:rsidRPr="00A80553">
        <w:rPr>
          <w:rFonts w:ascii="Arial" w:hAnsi="Arial" w:cs="Arial"/>
          <w:sz w:val="22"/>
          <w:szCs w:val="22"/>
          <w:lang w:eastAsia="en-GB"/>
        </w:rPr>
        <w:t xml:space="preserve">, 15 November. Available at: </w:t>
      </w:r>
      <w:hyperlink r:id="rId24" w:tgtFrame="_new" w:history="1">
        <w:r w:rsidRPr="00A80553">
          <w:rPr>
            <w:rFonts w:ascii="Arial" w:hAnsi="Arial" w:cs="Arial"/>
            <w:color w:val="0000FF"/>
            <w:sz w:val="22"/>
            <w:szCs w:val="22"/>
            <w:u w:val="single"/>
            <w:lang w:eastAsia="en-GB"/>
          </w:rPr>
          <w:t>https://hbr.org</w:t>
        </w:r>
      </w:hyperlink>
      <w:r w:rsidRPr="00A80553">
        <w:rPr>
          <w:rFonts w:ascii="Arial" w:hAnsi="Arial" w:cs="Arial"/>
          <w:sz w:val="22"/>
          <w:szCs w:val="22"/>
          <w:lang w:eastAsia="en-GB"/>
        </w:rPr>
        <w:t xml:space="preserve"> (Accessed: 8 November 2025).</w:t>
      </w:r>
    </w:p>
    <w:p w14:paraId="0EAE9721"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Statista (2024) </w:t>
      </w:r>
      <w:r w:rsidRPr="00A80553">
        <w:rPr>
          <w:rFonts w:ascii="Arial" w:hAnsi="Arial" w:cs="Arial"/>
          <w:i/>
          <w:iCs/>
          <w:sz w:val="22"/>
          <w:szCs w:val="22"/>
          <w:lang w:eastAsia="en-GB"/>
        </w:rPr>
        <w:t>Trends in healthy eating and workplace nutrition 2024.</w:t>
      </w:r>
      <w:r w:rsidRPr="00A80553">
        <w:rPr>
          <w:rFonts w:ascii="Arial" w:hAnsi="Arial" w:cs="Arial"/>
          <w:sz w:val="22"/>
          <w:szCs w:val="22"/>
          <w:lang w:eastAsia="en-GB"/>
        </w:rPr>
        <w:t xml:space="preserve"> Statista Research Department. Available at: </w:t>
      </w:r>
      <w:hyperlink r:id="rId25" w:tgtFrame="_new" w:history="1">
        <w:r w:rsidRPr="00A80553">
          <w:rPr>
            <w:rFonts w:ascii="Arial" w:hAnsi="Arial" w:cs="Arial"/>
            <w:color w:val="0000FF"/>
            <w:sz w:val="22"/>
            <w:szCs w:val="22"/>
            <w:u w:val="single"/>
            <w:lang w:eastAsia="en-GB"/>
          </w:rPr>
          <w:t>https://www.statista.com</w:t>
        </w:r>
      </w:hyperlink>
      <w:r w:rsidRPr="00A80553">
        <w:rPr>
          <w:rFonts w:ascii="Arial" w:hAnsi="Arial" w:cs="Arial"/>
          <w:sz w:val="22"/>
          <w:szCs w:val="22"/>
          <w:lang w:eastAsia="en-GB"/>
        </w:rPr>
        <w:t xml:space="preserve"> (Accessed: 8 November 2025).</w:t>
      </w:r>
    </w:p>
    <w:p w14:paraId="5AE88EB3" w14:textId="77777777" w:rsidR="00CF6D7A" w:rsidRPr="00A80553" w:rsidRDefault="00CF6D7A" w:rsidP="00A80553">
      <w:pPr>
        <w:spacing w:line="360" w:lineRule="auto"/>
        <w:rPr>
          <w:rFonts w:ascii="Arial" w:hAnsi="Arial" w:cs="Arial"/>
          <w:sz w:val="22"/>
          <w:szCs w:val="22"/>
          <w:lang w:eastAsia="en-GB"/>
        </w:rPr>
      </w:pPr>
      <w:r w:rsidRPr="00A80553">
        <w:rPr>
          <w:rFonts w:ascii="Arial" w:hAnsi="Arial" w:cs="Arial"/>
          <w:sz w:val="22"/>
          <w:szCs w:val="22"/>
          <w:lang w:eastAsia="en-GB"/>
        </w:rPr>
        <w:t xml:space="preserve">Vargo, S.L. and Lusch, R.F. (2004) ‘Evolving to a New Dominant Logic for Marketing’, </w:t>
      </w:r>
      <w:r w:rsidRPr="00A80553">
        <w:rPr>
          <w:rFonts w:ascii="Arial" w:hAnsi="Arial" w:cs="Arial"/>
          <w:i/>
          <w:iCs/>
          <w:sz w:val="22"/>
          <w:szCs w:val="22"/>
          <w:lang w:eastAsia="en-GB"/>
        </w:rPr>
        <w:t>Journal of Marketing</w:t>
      </w:r>
      <w:r w:rsidRPr="00A80553">
        <w:rPr>
          <w:rFonts w:ascii="Arial" w:hAnsi="Arial" w:cs="Arial"/>
          <w:sz w:val="22"/>
          <w:szCs w:val="22"/>
          <w:lang w:eastAsia="en-GB"/>
        </w:rPr>
        <w:t>, 68(1), pp. 1–17.</w:t>
      </w:r>
    </w:p>
    <w:p w14:paraId="26B74E55" w14:textId="77777777" w:rsidR="00CF6D7A" w:rsidRPr="00CF6D7A" w:rsidRDefault="00000000" w:rsidP="00A80553">
      <w:pPr>
        <w:spacing w:line="360" w:lineRule="auto"/>
        <w:rPr>
          <w:rFonts w:ascii="Times New Roman" w:hAnsi="Times New Roman" w:cs="Times New Roman"/>
          <w:lang w:eastAsia="en-GB"/>
        </w:rPr>
      </w:pPr>
      <w:r w:rsidRPr="00A80553">
        <w:rPr>
          <w:rFonts w:ascii="Arial" w:hAnsi="Arial" w:cs="Arial"/>
          <w:sz w:val="22"/>
          <w:szCs w:val="22"/>
          <w:lang w:eastAsia="en-GB"/>
        </w:rPr>
        <w:pict w14:anchorId="5F4F9A2B">
          <v:rect id="_x0000_i1034" style="width:0;height:1.5pt" o:hralign="center" o:hrstd="t" o:hr="t" fillcolor="#a0a0a0" stroked="f"/>
        </w:pict>
      </w:r>
    </w:p>
    <w:sectPr w:rsidR="00CF6D7A" w:rsidRPr="00CF6D7A">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5F217" w14:textId="77777777" w:rsidR="00C7370B" w:rsidRDefault="00C7370B" w:rsidP="002660E8">
      <w:pPr>
        <w:spacing w:after="0" w:line="240" w:lineRule="auto"/>
      </w:pPr>
      <w:r>
        <w:separator/>
      </w:r>
    </w:p>
  </w:endnote>
  <w:endnote w:type="continuationSeparator" w:id="0">
    <w:p w14:paraId="1B0FAE80" w14:textId="77777777" w:rsidR="00C7370B" w:rsidRDefault="00C7370B" w:rsidP="00266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61B12" w14:textId="77777777" w:rsidR="002660E8" w:rsidRDefault="002660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B4A2" w14:textId="77777777" w:rsidR="002660E8" w:rsidRDefault="002660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27742" w14:textId="77777777" w:rsidR="002660E8" w:rsidRDefault="00266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29C43" w14:textId="77777777" w:rsidR="00C7370B" w:rsidRDefault="00C7370B" w:rsidP="002660E8">
      <w:pPr>
        <w:spacing w:after="0" w:line="240" w:lineRule="auto"/>
      </w:pPr>
      <w:r>
        <w:separator/>
      </w:r>
    </w:p>
  </w:footnote>
  <w:footnote w:type="continuationSeparator" w:id="0">
    <w:p w14:paraId="786C7752" w14:textId="77777777" w:rsidR="00C7370B" w:rsidRDefault="00C7370B" w:rsidP="00266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D8B5B" w14:textId="77777777" w:rsidR="002660E8" w:rsidRDefault="002660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49E82" w14:textId="7FE6D249" w:rsidR="002660E8" w:rsidRDefault="002660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3E00A" w14:textId="77777777" w:rsidR="002660E8" w:rsidRDefault="002660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1A6"/>
    <w:multiLevelType w:val="hybridMultilevel"/>
    <w:tmpl w:val="EB9C4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13CF7"/>
    <w:multiLevelType w:val="hybridMultilevel"/>
    <w:tmpl w:val="375A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5A1AD7"/>
    <w:multiLevelType w:val="hybridMultilevel"/>
    <w:tmpl w:val="CAFA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444D4"/>
    <w:multiLevelType w:val="multilevel"/>
    <w:tmpl w:val="9832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16CE0"/>
    <w:multiLevelType w:val="multilevel"/>
    <w:tmpl w:val="2A80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E7611"/>
    <w:multiLevelType w:val="hybridMultilevel"/>
    <w:tmpl w:val="771C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52D25"/>
    <w:multiLevelType w:val="multilevel"/>
    <w:tmpl w:val="35080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73420"/>
    <w:multiLevelType w:val="multilevel"/>
    <w:tmpl w:val="DD52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260BA8"/>
    <w:multiLevelType w:val="multilevel"/>
    <w:tmpl w:val="AF00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E00B4"/>
    <w:multiLevelType w:val="hybridMultilevel"/>
    <w:tmpl w:val="53846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A11FF"/>
    <w:multiLevelType w:val="multilevel"/>
    <w:tmpl w:val="18C6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E90F7A"/>
    <w:multiLevelType w:val="hybridMultilevel"/>
    <w:tmpl w:val="DCE28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14CC4"/>
    <w:multiLevelType w:val="multilevel"/>
    <w:tmpl w:val="5C7C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D78B8"/>
    <w:multiLevelType w:val="hybridMultilevel"/>
    <w:tmpl w:val="0C905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BA6BC1"/>
    <w:multiLevelType w:val="multilevel"/>
    <w:tmpl w:val="2E8AB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66C7E"/>
    <w:multiLevelType w:val="hybridMultilevel"/>
    <w:tmpl w:val="BDAC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0267CE"/>
    <w:multiLevelType w:val="multilevel"/>
    <w:tmpl w:val="3162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572FF9"/>
    <w:multiLevelType w:val="multilevel"/>
    <w:tmpl w:val="5E28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540210"/>
    <w:multiLevelType w:val="multilevel"/>
    <w:tmpl w:val="7AEC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B03F9F"/>
    <w:multiLevelType w:val="hybridMultilevel"/>
    <w:tmpl w:val="080056F2"/>
    <w:lvl w:ilvl="0" w:tplc="DE1464A8">
      <w:start w:val="1"/>
      <w:numFmt w:val="bullet"/>
      <w:lvlText w:val="•"/>
      <w:lvlJc w:val="left"/>
      <w:pPr>
        <w:tabs>
          <w:tab w:val="num" w:pos="720"/>
        </w:tabs>
        <w:ind w:left="720" w:hanging="360"/>
      </w:pPr>
      <w:rPr>
        <w:rFonts w:ascii="Arial" w:hAnsi="Arial" w:hint="default"/>
      </w:rPr>
    </w:lvl>
    <w:lvl w:ilvl="1" w:tplc="01F42E74" w:tentative="1">
      <w:start w:val="1"/>
      <w:numFmt w:val="bullet"/>
      <w:lvlText w:val="•"/>
      <w:lvlJc w:val="left"/>
      <w:pPr>
        <w:tabs>
          <w:tab w:val="num" w:pos="1440"/>
        </w:tabs>
        <w:ind w:left="1440" w:hanging="360"/>
      </w:pPr>
      <w:rPr>
        <w:rFonts w:ascii="Arial" w:hAnsi="Arial" w:hint="default"/>
      </w:rPr>
    </w:lvl>
    <w:lvl w:ilvl="2" w:tplc="75BAE426" w:tentative="1">
      <w:start w:val="1"/>
      <w:numFmt w:val="bullet"/>
      <w:lvlText w:val="•"/>
      <w:lvlJc w:val="left"/>
      <w:pPr>
        <w:tabs>
          <w:tab w:val="num" w:pos="2160"/>
        </w:tabs>
        <w:ind w:left="2160" w:hanging="360"/>
      </w:pPr>
      <w:rPr>
        <w:rFonts w:ascii="Arial" w:hAnsi="Arial" w:hint="default"/>
      </w:rPr>
    </w:lvl>
    <w:lvl w:ilvl="3" w:tplc="2DCA247A" w:tentative="1">
      <w:start w:val="1"/>
      <w:numFmt w:val="bullet"/>
      <w:lvlText w:val="•"/>
      <w:lvlJc w:val="left"/>
      <w:pPr>
        <w:tabs>
          <w:tab w:val="num" w:pos="2880"/>
        </w:tabs>
        <w:ind w:left="2880" w:hanging="360"/>
      </w:pPr>
      <w:rPr>
        <w:rFonts w:ascii="Arial" w:hAnsi="Arial" w:hint="default"/>
      </w:rPr>
    </w:lvl>
    <w:lvl w:ilvl="4" w:tplc="E7344B16" w:tentative="1">
      <w:start w:val="1"/>
      <w:numFmt w:val="bullet"/>
      <w:lvlText w:val="•"/>
      <w:lvlJc w:val="left"/>
      <w:pPr>
        <w:tabs>
          <w:tab w:val="num" w:pos="3600"/>
        </w:tabs>
        <w:ind w:left="3600" w:hanging="360"/>
      </w:pPr>
      <w:rPr>
        <w:rFonts w:ascii="Arial" w:hAnsi="Arial" w:hint="default"/>
      </w:rPr>
    </w:lvl>
    <w:lvl w:ilvl="5" w:tplc="EEEC7E3A" w:tentative="1">
      <w:start w:val="1"/>
      <w:numFmt w:val="bullet"/>
      <w:lvlText w:val="•"/>
      <w:lvlJc w:val="left"/>
      <w:pPr>
        <w:tabs>
          <w:tab w:val="num" w:pos="4320"/>
        </w:tabs>
        <w:ind w:left="4320" w:hanging="360"/>
      </w:pPr>
      <w:rPr>
        <w:rFonts w:ascii="Arial" w:hAnsi="Arial" w:hint="default"/>
      </w:rPr>
    </w:lvl>
    <w:lvl w:ilvl="6" w:tplc="D7D247FC" w:tentative="1">
      <w:start w:val="1"/>
      <w:numFmt w:val="bullet"/>
      <w:lvlText w:val="•"/>
      <w:lvlJc w:val="left"/>
      <w:pPr>
        <w:tabs>
          <w:tab w:val="num" w:pos="5040"/>
        </w:tabs>
        <w:ind w:left="5040" w:hanging="360"/>
      </w:pPr>
      <w:rPr>
        <w:rFonts w:ascii="Arial" w:hAnsi="Arial" w:hint="default"/>
      </w:rPr>
    </w:lvl>
    <w:lvl w:ilvl="7" w:tplc="EF5898F2" w:tentative="1">
      <w:start w:val="1"/>
      <w:numFmt w:val="bullet"/>
      <w:lvlText w:val="•"/>
      <w:lvlJc w:val="left"/>
      <w:pPr>
        <w:tabs>
          <w:tab w:val="num" w:pos="5760"/>
        </w:tabs>
        <w:ind w:left="5760" w:hanging="360"/>
      </w:pPr>
      <w:rPr>
        <w:rFonts w:ascii="Arial" w:hAnsi="Arial" w:hint="default"/>
      </w:rPr>
    </w:lvl>
    <w:lvl w:ilvl="8" w:tplc="1CC654C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BE652EA"/>
    <w:multiLevelType w:val="hybridMultilevel"/>
    <w:tmpl w:val="44E67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B60F5F"/>
    <w:multiLevelType w:val="multilevel"/>
    <w:tmpl w:val="CC7C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204C5"/>
    <w:multiLevelType w:val="hybridMultilevel"/>
    <w:tmpl w:val="4A4EF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BF1409"/>
    <w:multiLevelType w:val="hybridMultilevel"/>
    <w:tmpl w:val="AD2C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8E6EB7"/>
    <w:multiLevelType w:val="hybridMultilevel"/>
    <w:tmpl w:val="8A1E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DC32AE"/>
    <w:multiLevelType w:val="multilevel"/>
    <w:tmpl w:val="00A4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32CDF"/>
    <w:multiLevelType w:val="hybridMultilevel"/>
    <w:tmpl w:val="58ECC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D22E81"/>
    <w:multiLevelType w:val="hybridMultilevel"/>
    <w:tmpl w:val="1302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D04134"/>
    <w:multiLevelType w:val="hybridMultilevel"/>
    <w:tmpl w:val="5E5A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E204F9"/>
    <w:multiLevelType w:val="multilevel"/>
    <w:tmpl w:val="EDAA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1D6A02"/>
    <w:multiLevelType w:val="multilevel"/>
    <w:tmpl w:val="29E8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E819B4"/>
    <w:multiLevelType w:val="hybridMultilevel"/>
    <w:tmpl w:val="7606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128B5"/>
    <w:multiLevelType w:val="hybridMultilevel"/>
    <w:tmpl w:val="D6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8B0E8D"/>
    <w:multiLevelType w:val="hybridMultilevel"/>
    <w:tmpl w:val="EFBC9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183646"/>
    <w:multiLevelType w:val="multilevel"/>
    <w:tmpl w:val="D8A4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FC6A16"/>
    <w:multiLevelType w:val="multilevel"/>
    <w:tmpl w:val="424E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6F6197"/>
    <w:multiLevelType w:val="multilevel"/>
    <w:tmpl w:val="6792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F56F56"/>
    <w:multiLevelType w:val="multilevel"/>
    <w:tmpl w:val="24D6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F02EA4"/>
    <w:multiLevelType w:val="multilevel"/>
    <w:tmpl w:val="234E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3948058">
    <w:abstractNumId w:val="30"/>
  </w:num>
  <w:num w:numId="2" w16cid:durableId="865293806">
    <w:abstractNumId w:val="8"/>
  </w:num>
  <w:num w:numId="3" w16cid:durableId="18822434">
    <w:abstractNumId w:val="36"/>
  </w:num>
  <w:num w:numId="4" w16cid:durableId="1480803366">
    <w:abstractNumId w:val="12"/>
  </w:num>
  <w:num w:numId="5" w16cid:durableId="1259095213">
    <w:abstractNumId w:val="6"/>
  </w:num>
  <w:num w:numId="6" w16cid:durableId="171267280">
    <w:abstractNumId w:val="34"/>
  </w:num>
  <w:num w:numId="7" w16cid:durableId="1275559050">
    <w:abstractNumId w:val="35"/>
  </w:num>
  <w:num w:numId="8" w16cid:durableId="255598067">
    <w:abstractNumId w:val="10"/>
  </w:num>
  <w:num w:numId="9" w16cid:durableId="1109738825">
    <w:abstractNumId w:val="14"/>
  </w:num>
  <w:num w:numId="10" w16cid:durableId="251672072">
    <w:abstractNumId w:val="25"/>
  </w:num>
  <w:num w:numId="11" w16cid:durableId="1554199479">
    <w:abstractNumId w:val="7"/>
  </w:num>
  <w:num w:numId="12" w16cid:durableId="614140492">
    <w:abstractNumId w:val="16"/>
  </w:num>
  <w:num w:numId="13" w16cid:durableId="1556963672">
    <w:abstractNumId w:val="18"/>
  </w:num>
  <w:num w:numId="14" w16cid:durableId="307437182">
    <w:abstractNumId w:val="29"/>
  </w:num>
  <w:num w:numId="15" w16cid:durableId="1156260234">
    <w:abstractNumId w:val="4"/>
  </w:num>
  <w:num w:numId="16" w16cid:durableId="1211579638">
    <w:abstractNumId w:val="17"/>
  </w:num>
  <w:num w:numId="17" w16cid:durableId="1989477298">
    <w:abstractNumId w:val="38"/>
  </w:num>
  <w:num w:numId="18" w16cid:durableId="1597247778">
    <w:abstractNumId w:val="37"/>
  </w:num>
  <w:num w:numId="19" w16cid:durableId="591739894">
    <w:abstractNumId w:val="3"/>
  </w:num>
  <w:num w:numId="20" w16cid:durableId="1311981830">
    <w:abstractNumId w:val="21"/>
  </w:num>
  <w:num w:numId="21" w16cid:durableId="185601736">
    <w:abstractNumId w:val="19"/>
  </w:num>
  <w:num w:numId="22" w16cid:durableId="1842963867">
    <w:abstractNumId w:val="28"/>
  </w:num>
  <w:num w:numId="23" w16cid:durableId="135536404">
    <w:abstractNumId w:val="0"/>
  </w:num>
  <w:num w:numId="24" w16cid:durableId="1559625995">
    <w:abstractNumId w:val="27"/>
  </w:num>
  <w:num w:numId="25" w16cid:durableId="66273685">
    <w:abstractNumId w:val="20"/>
  </w:num>
  <w:num w:numId="26" w16cid:durableId="1169296388">
    <w:abstractNumId w:val="11"/>
  </w:num>
  <w:num w:numId="27" w16cid:durableId="71044643">
    <w:abstractNumId w:val="2"/>
  </w:num>
  <w:num w:numId="28" w16cid:durableId="1876578751">
    <w:abstractNumId w:val="26"/>
  </w:num>
  <w:num w:numId="29" w16cid:durableId="101998038">
    <w:abstractNumId w:val="15"/>
  </w:num>
  <w:num w:numId="30" w16cid:durableId="1984499619">
    <w:abstractNumId w:val="5"/>
  </w:num>
  <w:num w:numId="31" w16cid:durableId="2012023949">
    <w:abstractNumId w:val="24"/>
  </w:num>
  <w:num w:numId="32" w16cid:durableId="1187986850">
    <w:abstractNumId w:val="13"/>
  </w:num>
  <w:num w:numId="33" w16cid:durableId="930774840">
    <w:abstractNumId w:val="31"/>
  </w:num>
  <w:num w:numId="34" w16cid:durableId="327906309">
    <w:abstractNumId w:val="23"/>
  </w:num>
  <w:num w:numId="35" w16cid:durableId="1364473925">
    <w:abstractNumId w:val="32"/>
  </w:num>
  <w:num w:numId="36" w16cid:durableId="1291285291">
    <w:abstractNumId w:val="1"/>
  </w:num>
  <w:num w:numId="37" w16cid:durableId="2002735480">
    <w:abstractNumId w:val="9"/>
  </w:num>
  <w:num w:numId="38" w16cid:durableId="1739279560">
    <w:abstractNumId w:val="33"/>
  </w:num>
  <w:num w:numId="39" w16cid:durableId="1614298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CD"/>
    <w:rsid w:val="0001094F"/>
    <w:rsid w:val="000766C5"/>
    <w:rsid w:val="00090ACA"/>
    <w:rsid w:val="001A75A5"/>
    <w:rsid w:val="001B5DEE"/>
    <w:rsid w:val="001C6EA5"/>
    <w:rsid w:val="00232B20"/>
    <w:rsid w:val="002653DB"/>
    <w:rsid w:val="002660E8"/>
    <w:rsid w:val="002830EC"/>
    <w:rsid w:val="00302B45"/>
    <w:rsid w:val="00457577"/>
    <w:rsid w:val="004707B6"/>
    <w:rsid w:val="00482AFB"/>
    <w:rsid w:val="004C0CF6"/>
    <w:rsid w:val="00527301"/>
    <w:rsid w:val="00537984"/>
    <w:rsid w:val="0054574E"/>
    <w:rsid w:val="005A3020"/>
    <w:rsid w:val="005C5D18"/>
    <w:rsid w:val="00622295"/>
    <w:rsid w:val="00650953"/>
    <w:rsid w:val="00662F5D"/>
    <w:rsid w:val="006A2821"/>
    <w:rsid w:val="006B1F24"/>
    <w:rsid w:val="006C65E2"/>
    <w:rsid w:val="00735AEC"/>
    <w:rsid w:val="007F3110"/>
    <w:rsid w:val="00876DE4"/>
    <w:rsid w:val="008A6002"/>
    <w:rsid w:val="008C5BF0"/>
    <w:rsid w:val="008F3CFA"/>
    <w:rsid w:val="00916484"/>
    <w:rsid w:val="00952C01"/>
    <w:rsid w:val="00977289"/>
    <w:rsid w:val="009941BF"/>
    <w:rsid w:val="009F6EC1"/>
    <w:rsid w:val="00A131E1"/>
    <w:rsid w:val="00A1351B"/>
    <w:rsid w:val="00A40F66"/>
    <w:rsid w:val="00A71798"/>
    <w:rsid w:val="00A80553"/>
    <w:rsid w:val="00AF150D"/>
    <w:rsid w:val="00B626F3"/>
    <w:rsid w:val="00BB2D53"/>
    <w:rsid w:val="00C03200"/>
    <w:rsid w:val="00C165EE"/>
    <w:rsid w:val="00C550DF"/>
    <w:rsid w:val="00C7370B"/>
    <w:rsid w:val="00C82C63"/>
    <w:rsid w:val="00CE335F"/>
    <w:rsid w:val="00CF6D7A"/>
    <w:rsid w:val="00CF7954"/>
    <w:rsid w:val="00D13161"/>
    <w:rsid w:val="00D40DE8"/>
    <w:rsid w:val="00D5318B"/>
    <w:rsid w:val="00DB524F"/>
    <w:rsid w:val="00DD33E3"/>
    <w:rsid w:val="00E05FC6"/>
    <w:rsid w:val="00E31B7D"/>
    <w:rsid w:val="00EC6F50"/>
    <w:rsid w:val="00ED7963"/>
    <w:rsid w:val="00EF4258"/>
    <w:rsid w:val="00F002CB"/>
    <w:rsid w:val="00F249CD"/>
    <w:rsid w:val="00F44874"/>
    <w:rsid w:val="00FB7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6B256"/>
  <w15:chartTrackingRefBased/>
  <w15:docId w15:val="{21378DF6-C270-4BC6-9FE1-38691E638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4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49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9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9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9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9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9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9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9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49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49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9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9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9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9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9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9CD"/>
    <w:rPr>
      <w:rFonts w:eastAsiaTheme="majorEastAsia" w:cstheme="majorBidi"/>
      <w:color w:val="272727" w:themeColor="text1" w:themeTint="D8"/>
    </w:rPr>
  </w:style>
  <w:style w:type="paragraph" w:styleId="Title">
    <w:name w:val="Title"/>
    <w:basedOn w:val="Normal"/>
    <w:next w:val="Normal"/>
    <w:link w:val="TitleChar"/>
    <w:uiPriority w:val="10"/>
    <w:qFormat/>
    <w:rsid w:val="00F24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9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9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9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9CD"/>
    <w:pPr>
      <w:spacing w:before="160"/>
      <w:jc w:val="center"/>
    </w:pPr>
    <w:rPr>
      <w:i/>
      <w:iCs/>
      <w:color w:val="404040" w:themeColor="text1" w:themeTint="BF"/>
    </w:rPr>
  </w:style>
  <w:style w:type="character" w:customStyle="1" w:styleId="QuoteChar">
    <w:name w:val="Quote Char"/>
    <w:basedOn w:val="DefaultParagraphFont"/>
    <w:link w:val="Quote"/>
    <w:uiPriority w:val="29"/>
    <w:rsid w:val="00F249CD"/>
    <w:rPr>
      <w:i/>
      <w:iCs/>
      <w:color w:val="404040" w:themeColor="text1" w:themeTint="BF"/>
    </w:rPr>
  </w:style>
  <w:style w:type="paragraph" w:styleId="ListParagraph">
    <w:name w:val="List Paragraph"/>
    <w:basedOn w:val="Normal"/>
    <w:uiPriority w:val="34"/>
    <w:qFormat/>
    <w:rsid w:val="00F249CD"/>
    <w:pPr>
      <w:ind w:left="720"/>
      <w:contextualSpacing/>
    </w:pPr>
  </w:style>
  <w:style w:type="character" w:styleId="IntenseEmphasis">
    <w:name w:val="Intense Emphasis"/>
    <w:basedOn w:val="DefaultParagraphFont"/>
    <w:uiPriority w:val="21"/>
    <w:qFormat/>
    <w:rsid w:val="00F249CD"/>
    <w:rPr>
      <w:i/>
      <w:iCs/>
      <w:color w:val="0F4761" w:themeColor="accent1" w:themeShade="BF"/>
    </w:rPr>
  </w:style>
  <w:style w:type="paragraph" w:styleId="IntenseQuote">
    <w:name w:val="Intense Quote"/>
    <w:basedOn w:val="Normal"/>
    <w:next w:val="Normal"/>
    <w:link w:val="IntenseQuoteChar"/>
    <w:uiPriority w:val="30"/>
    <w:qFormat/>
    <w:rsid w:val="00F24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9CD"/>
    <w:rPr>
      <w:i/>
      <w:iCs/>
      <w:color w:val="0F4761" w:themeColor="accent1" w:themeShade="BF"/>
    </w:rPr>
  </w:style>
  <w:style w:type="character" w:styleId="IntenseReference">
    <w:name w:val="Intense Reference"/>
    <w:basedOn w:val="DefaultParagraphFont"/>
    <w:uiPriority w:val="32"/>
    <w:qFormat/>
    <w:rsid w:val="00F249CD"/>
    <w:rPr>
      <w:b/>
      <w:bCs/>
      <w:smallCaps/>
      <w:color w:val="0F4761" w:themeColor="accent1" w:themeShade="BF"/>
      <w:spacing w:val="5"/>
    </w:rPr>
  </w:style>
  <w:style w:type="paragraph" w:styleId="NormalWeb">
    <w:name w:val="Normal (Web)"/>
    <w:basedOn w:val="Normal"/>
    <w:uiPriority w:val="99"/>
    <w:semiHidden/>
    <w:unhideWhenUsed/>
    <w:rsid w:val="00DB52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766C5"/>
    <w:rPr>
      <w:b/>
      <w:bCs/>
    </w:rPr>
  </w:style>
  <w:style w:type="paragraph" w:styleId="Header">
    <w:name w:val="header"/>
    <w:basedOn w:val="Normal"/>
    <w:link w:val="HeaderChar"/>
    <w:uiPriority w:val="99"/>
    <w:unhideWhenUsed/>
    <w:rsid w:val="002660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0E8"/>
  </w:style>
  <w:style w:type="paragraph" w:styleId="Footer">
    <w:name w:val="footer"/>
    <w:basedOn w:val="Normal"/>
    <w:link w:val="FooterChar"/>
    <w:uiPriority w:val="99"/>
    <w:unhideWhenUsed/>
    <w:rsid w:val="00266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0E8"/>
  </w:style>
  <w:style w:type="paragraph" w:styleId="TOCHeading">
    <w:name w:val="TOC Heading"/>
    <w:basedOn w:val="Heading1"/>
    <w:next w:val="Normal"/>
    <w:uiPriority w:val="39"/>
    <w:unhideWhenUsed/>
    <w:qFormat/>
    <w:rsid w:val="002830E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830EC"/>
    <w:pPr>
      <w:spacing w:after="100"/>
    </w:pPr>
  </w:style>
  <w:style w:type="paragraph" w:styleId="TOC2">
    <w:name w:val="toc 2"/>
    <w:basedOn w:val="Normal"/>
    <w:next w:val="Normal"/>
    <w:autoRedefine/>
    <w:uiPriority w:val="39"/>
    <w:unhideWhenUsed/>
    <w:rsid w:val="002830EC"/>
    <w:pPr>
      <w:spacing w:after="100"/>
      <w:ind w:left="240"/>
    </w:pPr>
  </w:style>
  <w:style w:type="paragraph" w:styleId="TOC3">
    <w:name w:val="toc 3"/>
    <w:basedOn w:val="Normal"/>
    <w:next w:val="Normal"/>
    <w:autoRedefine/>
    <w:uiPriority w:val="39"/>
    <w:unhideWhenUsed/>
    <w:rsid w:val="002830EC"/>
    <w:pPr>
      <w:spacing w:after="100"/>
      <w:ind w:left="480"/>
    </w:pPr>
  </w:style>
  <w:style w:type="character" w:styleId="Hyperlink">
    <w:name w:val="Hyperlink"/>
    <w:basedOn w:val="DefaultParagraphFont"/>
    <w:uiPriority w:val="99"/>
    <w:unhideWhenUsed/>
    <w:rsid w:val="002830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centure.com" TargetMode="External"/><Relationship Id="rId18" Type="http://schemas.openxmlformats.org/officeDocument/2006/relationships/hyperlink" Target="https://www.euromonitor.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ome.kpm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eloitte.com" TargetMode="External"/><Relationship Id="rId25" Type="http://schemas.openxmlformats.org/officeDocument/2006/relationships/hyperlink" Target="https://www.statista.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mpass-group.com" TargetMode="External"/><Relationship Id="rId20" Type="http://schemas.openxmlformats.org/officeDocument/2006/relationships/hyperlink" Target="https://hbr.or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yperlink" Target="https://hbr.or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mpass-group.com" TargetMode="External"/><Relationship Id="rId23" Type="http://schemas.openxmlformats.org/officeDocument/2006/relationships/hyperlink" Target="https://www.pwc.com"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artner.com"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centure.com" TargetMode="External"/><Relationship Id="rId22" Type="http://schemas.openxmlformats.org/officeDocument/2006/relationships/hyperlink" Target="https://www.mckinsey.com"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8C8B8-1B72-480C-B859-2E9E608C1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7643</TotalTime>
  <Pages>18</Pages>
  <Words>4778</Words>
  <Characters>27235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Lucrezia Nappi</dc:creator>
  <cp:keywords/>
  <dc:description/>
  <cp:lastModifiedBy>Lucrezia Nappi</cp:lastModifiedBy>
  <cp:revision>35</cp:revision>
  <dcterms:created xsi:type="dcterms:W3CDTF">2025-11-08T08:43:00Z</dcterms:created>
  <dcterms:modified xsi:type="dcterms:W3CDTF">2025-12-04T11:52:00Z</dcterms:modified>
</cp:coreProperties>
</file>