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6FC50" w14:textId="77777777" w:rsidR="00F07075" w:rsidRDefault="00F07075" w:rsidP="00F63757">
      <w:pPr>
        <w:jc w:val="center"/>
        <w:rPr>
          <w:rFonts w:ascii="Arial" w:hAnsi="Arial" w:cs="Arial"/>
          <w:b/>
          <w:bCs/>
          <w:lang w:val="pt-PT"/>
        </w:rPr>
      </w:pPr>
      <w:bookmarkStart w:id="0" w:name="_Hlk216166012"/>
    </w:p>
    <w:p w14:paraId="5E9A7C00" w14:textId="77D82D45" w:rsidR="00F07075" w:rsidRDefault="00096E3D" w:rsidP="00F63757">
      <w:pPr>
        <w:jc w:val="center"/>
        <w:rPr>
          <w:rFonts w:ascii="Arial" w:hAnsi="Arial" w:cs="Arial"/>
          <w:b/>
          <w:bCs/>
          <w:lang w:val="pt-PT"/>
        </w:rPr>
      </w:pPr>
      <w:r>
        <w:rPr>
          <w:noProof/>
        </w:rPr>
        <w:drawing>
          <wp:inline distT="0" distB="0" distL="0" distR="0" wp14:anchorId="3B4DA99A" wp14:editId="19115BB2">
            <wp:extent cx="5270500" cy="1682750"/>
            <wp:effectExtent l="0" t="0" r="6350" b="0"/>
            <wp:docPr id="1522370965" name="Picture 1" descr="Coming Soon Childhood, Education and Society, BA (Hons ..."/>
            <wp:cNvGraphicFramePr/>
            <a:graphic xmlns:a="http://schemas.openxmlformats.org/drawingml/2006/main">
              <a:graphicData uri="http://schemas.openxmlformats.org/drawingml/2006/picture">
                <pic:pic xmlns:pic="http://schemas.openxmlformats.org/drawingml/2006/picture">
                  <pic:nvPicPr>
                    <pic:cNvPr id="1522370965" name=""/>
                    <pic:cNvPicPr/>
                  </pic:nvPicPr>
                  <pic:blipFill>
                    <a:blip r:embed="rId6"/>
                    <a:stretch>
                      <a:fillRect/>
                    </a:stretch>
                  </pic:blipFill>
                  <pic:spPr>
                    <a:xfrm>
                      <a:off x="0" y="0"/>
                      <a:ext cx="5270506" cy="1682752"/>
                    </a:xfrm>
                    <a:prstGeom prst="rect">
                      <a:avLst/>
                    </a:prstGeom>
                    <a:noFill/>
                    <a:ln>
                      <a:noFill/>
                      <a:prstDash val="solid"/>
                    </a:ln>
                  </pic:spPr>
                </pic:pic>
              </a:graphicData>
            </a:graphic>
          </wp:inline>
        </w:drawing>
      </w:r>
    </w:p>
    <w:p w14:paraId="6793FE6A" w14:textId="77777777" w:rsidR="00F07075" w:rsidRDefault="00F07075">
      <w:pPr>
        <w:rPr>
          <w:rFonts w:ascii="Arial" w:hAnsi="Arial" w:cs="Arial"/>
          <w:b/>
          <w:bCs/>
          <w:lang w:val="pt-PT"/>
        </w:rPr>
      </w:pPr>
    </w:p>
    <w:p w14:paraId="445C90B7" w14:textId="77777777" w:rsidR="00096E3D" w:rsidRDefault="00096E3D">
      <w:pPr>
        <w:rPr>
          <w:rFonts w:ascii="Arial" w:hAnsi="Arial" w:cs="Arial"/>
          <w:b/>
          <w:bCs/>
          <w:lang w:val="pt-PT"/>
        </w:rPr>
      </w:pPr>
    </w:p>
    <w:p w14:paraId="65B41E1D" w14:textId="77777777" w:rsidR="00096E3D" w:rsidRDefault="00096E3D">
      <w:pPr>
        <w:rPr>
          <w:rFonts w:ascii="Arial" w:hAnsi="Arial" w:cs="Arial"/>
          <w:b/>
          <w:bCs/>
          <w:lang w:val="pt-PT"/>
        </w:rPr>
      </w:pPr>
    </w:p>
    <w:p w14:paraId="3942F3E7" w14:textId="77777777" w:rsidR="00096E3D" w:rsidRDefault="00096E3D">
      <w:pPr>
        <w:rPr>
          <w:rFonts w:ascii="Arial" w:hAnsi="Arial" w:cs="Arial"/>
          <w:b/>
          <w:bCs/>
          <w:lang w:val="pt-PT"/>
        </w:rPr>
      </w:pPr>
    </w:p>
    <w:p w14:paraId="3394105C" w14:textId="77777777" w:rsidR="00F07075" w:rsidRDefault="00F07075" w:rsidP="001D0016">
      <w:pPr>
        <w:jc w:val="center"/>
        <w:rPr>
          <w:rFonts w:ascii="Arial" w:hAnsi="Arial" w:cs="Arial"/>
          <w:b/>
          <w:bCs/>
          <w:lang w:val="pt-PT"/>
        </w:rPr>
      </w:pPr>
    </w:p>
    <w:p w14:paraId="524469D2" w14:textId="77777777" w:rsidR="00F07075" w:rsidRDefault="005735CD" w:rsidP="001D0016">
      <w:pPr>
        <w:jc w:val="center"/>
        <w:rPr>
          <w:rFonts w:ascii="Arial" w:hAnsi="Arial" w:cs="Arial"/>
          <w:b/>
          <w:bCs/>
          <w:lang w:val="pt-PT"/>
        </w:rPr>
      </w:pPr>
      <w:r>
        <w:rPr>
          <w:rFonts w:ascii="Arial" w:hAnsi="Arial" w:cs="Arial"/>
          <w:b/>
          <w:bCs/>
          <w:lang w:val="pt-PT"/>
        </w:rPr>
        <w:t>Name: Amadeu Grugeiro Dos Santos</w:t>
      </w:r>
    </w:p>
    <w:p w14:paraId="259C734F" w14:textId="77777777" w:rsidR="00F07075" w:rsidRDefault="00F07075" w:rsidP="001D0016">
      <w:pPr>
        <w:jc w:val="center"/>
        <w:rPr>
          <w:rFonts w:ascii="Arial" w:hAnsi="Arial" w:cs="Arial"/>
          <w:b/>
          <w:bCs/>
          <w:lang w:val="pt-PT"/>
        </w:rPr>
      </w:pPr>
    </w:p>
    <w:p w14:paraId="6B51F6E6" w14:textId="77777777" w:rsidR="00902880" w:rsidRDefault="00902880" w:rsidP="001D0016">
      <w:pPr>
        <w:jc w:val="center"/>
        <w:rPr>
          <w:rFonts w:ascii="Arial" w:hAnsi="Arial" w:cs="Arial"/>
          <w:b/>
          <w:bCs/>
          <w:lang w:val="pt-PT"/>
        </w:rPr>
      </w:pPr>
    </w:p>
    <w:p w14:paraId="7E006541" w14:textId="267B82B4" w:rsidR="00F07075" w:rsidRDefault="005735CD" w:rsidP="001D0016">
      <w:pPr>
        <w:jc w:val="center"/>
        <w:rPr>
          <w:rFonts w:ascii="Arial" w:hAnsi="Arial" w:cs="Arial"/>
          <w:b/>
          <w:bCs/>
          <w:lang w:val="pt-PT"/>
        </w:rPr>
      </w:pPr>
      <w:r>
        <w:rPr>
          <w:rFonts w:ascii="Arial" w:hAnsi="Arial" w:cs="Arial"/>
          <w:b/>
          <w:bCs/>
          <w:lang w:val="pt-PT"/>
        </w:rPr>
        <w:t>Student Number: 2246230</w:t>
      </w:r>
    </w:p>
    <w:p w14:paraId="70395A5C" w14:textId="77777777" w:rsidR="00F07075" w:rsidRDefault="00F07075" w:rsidP="001D0016">
      <w:pPr>
        <w:jc w:val="center"/>
        <w:rPr>
          <w:rFonts w:ascii="Arial" w:hAnsi="Arial" w:cs="Arial"/>
          <w:b/>
          <w:bCs/>
          <w:lang w:val="pt-PT"/>
        </w:rPr>
      </w:pPr>
    </w:p>
    <w:p w14:paraId="634C5D0D" w14:textId="77777777" w:rsidR="00F07075" w:rsidRDefault="005735CD" w:rsidP="001D0016">
      <w:pPr>
        <w:jc w:val="center"/>
        <w:rPr>
          <w:rFonts w:ascii="Arial" w:hAnsi="Arial" w:cs="Arial"/>
          <w:b/>
          <w:bCs/>
        </w:rPr>
      </w:pPr>
      <w:r>
        <w:rPr>
          <w:rFonts w:ascii="Arial" w:hAnsi="Arial" w:cs="Arial"/>
          <w:b/>
          <w:bCs/>
        </w:rPr>
        <w:t>Module Code: LCLM 6004</w:t>
      </w:r>
    </w:p>
    <w:p w14:paraId="039AAFA4" w14:textId="77777777" w:rsidR="00F07075" w:rsidRDefault="00F07075" w:rsidP="001D0016">
      <w:pPr>
        <w:jc w:val="center"/>
        <w:rPr>
          <w:rFonts w:ascii="Arial" w:hAnsi="Arial" w:cs="Arial"/>
          <w:b/>
          <w:bCs/>
        </w:rPr>
      </w:pPr>
    </w:p>
    <w:p w14:paraId="6050D9FA" w14:textId="77777777" w:rsidR="00F07075" w:rsidRDefault="005735CD" w:rsidP="001D0016">
      <w:pPr>
        <w:jc w:val="center"/>
        <w:rPr>
          <w:rFonts w:ascii="Arial" w:hAnsi="Arial" w:cs="Arial"/>
          <w:b/>
          <w:bCs/>
        </w:rPr>
      </w:pPr>
      <w:r>
        <w:rPr>
          <w:rFonts w:ascii="Arial" w:hAnsi="Arial" w:cs="Arial"/>
          <w:b/>
          <w:bCs/>
        </w:rPr>
        <w:t>Component 1 - Business Research Proposal</w:t>
      </w:r>
    </w:p>
    <w:p w14:paraId="18C73CE4" w14:textId="6CEE1DBE" w:rsidR="00F07075" w:rsidRDefault="00F07075" w:rsidP="001D0016">
      <w:pPr>
        <w:jc w:val="center"/>
        <w:rPr>
          <w:rFonts w:ascii="Arial" w:hAnsi="Arial" w:cs="Arial"/>
          <w:b/>
          <w:bCs/>
        </w:rPr>
      </w:pPr>
    </w:p>
    <w:p w14:paraId="2E77ADFA" w14:textId="77777777" w:rsidR="00F07075" w:rsidRDefault="005735CD" w:rsidP="001D0016">
      <w:pPr>
        <w:jc w:val="center"/>
        <w:rPr>
          <w:rFonts w:ascii="Arial" w:hAnsi="Arial" w:cs="Arial"/>
          <w:b/>
          <w:bCs/>
        </w:rPr>
      </w:pPr>
      <w:r>
        <w:rPr>
          <w:rFonts w:ascii="Arial" w:hAnsi="Arial" w:cs="Arial"/>
          <w:b/>
          <w:bCs/>
        </w:rPr>
        <w:t>Lecture Name: Aksha Narayan</w:t>
      </w:r>
    </w:p>
    <w:p w14:paraId="405A1DAC" w14:textId="77777777" w:rsidR="00F07075" w:rsidRDefault="00F07075" w:rsidP="001D0016">
      <w:pPr>
        <w:jc w:val="center"/>
        <w:rPr>
          <w:rFonts w:ascii="Arial" w:hAnsi="Arial" w:cs="Arial"/>
        </w:rPr>
      </w:pPr>
    </w:p>
    <w:p w14:paraId="5C311EC2" w14:textId="77777777" w:rsidR="00F07075" w:rsidRDefault="005735CD" w:rsidP="001D0016">
      <w:pPr>
        <w:spacing w:line="360" w:lineRule="auto"/>
        <w:jc w:val="center"/>
        <w:rPr>
          <w:rFonts w:ascii="Arial" w:hAnsi="Arial" w:cs="Arial"/>
          <w:b/>
          <w:bCs/>
        </w:rPr>
      </w:pPr>
      <w:r>
        <w:rPr>
          <w:rFonts w:ascii="Arial" w:hAnsi="Arial" w:cs="Arial"/>
          <w:b/>
          <w:bCs/>
        </w:rPr>
        <w:t>Title: Employee turnover in the national health service.</w:t>
      </w:r>
    </w:p>
    <w:p w14:paraId="6375D90F" w14:textId="77777777" w:rsidR="00F07075" w:rsidRDefault="00F07075">
      <w:pPr>
        <w:rPr>
          <w:rFonts w:ascii="Arial" w:hAnsi="Arial" w:cs="Arial"/>
        </w:rPr>
      </w:pPr>
    </w:p>
    <w:p w14:paraId="3B14F375" w14:textId="77777777" w:rsidR="00F07075" w:rsidRDefault="00F07075">
      <w:pPr>
        <w:rPr>
          <w:rFonts w:ascii="Arial" w:hAnsi="Arial" w:cs="Arial"/>
        </w:rPr>
      </w:pPr>
    </w:p>
    <w:p w14:paraId="2DCCB5A2" w14:textId="77777777" w:rsidR="00F07075" w:rsidRDefault="00F07075">
      <w:pPr>
        <w:rPr>
          <w:rFonts w:ascii="Arial" w:hAnsi="Arial" w:cs="Arial"/>
        </w:rPr>
      </w:pPr>
    </w:p>
    <w:p w14:paraId="2160D16F" w14:textId="77777777" w:rsidR="00F07075" w:rsidRDefault="00F07075">
      <w:pPr>
        <w:rPr>
          <w:rFonts w:ascii="Arial" w:hAnsi="Arial" w:cs="Arial"/>
        </w:rPr>
      </w:pPr>
    </w:p>
    <w:p w14:paraId="1A4F510A" w14:textId="77777777" w:rsidR="00F07075" w:rsidRDefault="00F07075">
      <w:pPr>
        <w:rPr>
          <w:rFonts w:ascii="Arial" w:hAnsi="Arial" w:cs="Arial"/>
        </w:rPr>
      </w:pPr>
    </w:p>
    <w:p w14:paraId="6FE4AB92" w14:textId="77777777" w:rsidR="00F07075" w:rsidRDefault="00F07075">
      <w:pPr>
        <w:rPr>
          <w:rFonts w:ascii="Arial" w:hAnsi="Arial" w:cs="Arial"/>
        </w:rPr>
      </w:pPr>
    </w:p>
    <w:p w14:paraId="3296F00F" w14:textId="77777777" w:rsidR="00F07075" w:rsidRDefault="00F07075">
      <w:pPr>
        <w:rPr>
          <w:rFonts w:ascii="Arial" w:hAnsi="Arial" w:cs="Arial"/>
        </w:rPr>
      </w:pPr>
    </w:p>
    <w:p w14:paraId="7EFCC77C" w14:textId="77777777" w:rsidR="00F07075" w:rsidRDefault="00F07075">
      <w:pPr>
        <w:rPr>
          <w:rFonts w:ascii="Arial" w:hAnsi="Arial" w:cs="Arial"/>
        </w:rPr>
      </w:pPr>
    </w:p>
    <w:p w14:paraId="427DDD1A" w14:textId="77777777" w:rsidR="00F07075" w:rsidRDefault="00F07075">
      <w:pPr>
        <w:rPr>
          <w:rFonts w:ascii="Arial" w:hAnsi="Arial" w:cs="Arial"/>
        </w:rPr>
      </w:pPr>
    </w:p>
    <w:p w14:paraId="71980E6D" w14:textId="77777777" w:rsidR="00F07075" w:rsidRDefault="005735CD">
      <w:pPr>
        <w:rPr>
          <w:rFonts w:ascii="Arial" w:hAnsi="Arial" w:cs="Arial"/>
          <w:b/>
          <w:bCs/>
        </w:rPr>
      </w:pPr>
      <w:r>
        <w:rPr>
          <w:rFonts w:ascii="Arial" w:hAnsi="Arial" w:cs="Arial"/>
          <w:b/>
          <w:bCs/>
        </w:rPr>
        <w:t xml:space="preserve">Table of Contents </w:t>
      </w:r>
    </w:p>
    <w:p w14:paraId="716E5F95" w14:textId="77777777" w:rsidR="00F07075" w:rsidRDefault="00F07075">
      <w:pPr>
        <w:rPr>
          <w:rFonts w:ascii="Arial" w:hAnsi="Arial" w:cs="Arial"/>
        </w:rPr>
      </w:pPr>
    </w:p>
    <w:p w14:paraId="3255DE3A" w14:textId="77777777" w:rsidR="00F07075" w:rsidRDefault="00F07075">
      <w:pPr>
        <w:rPr>
          <w:rFonts w:ascii="Arial" w:hAnsi="Arial" w:cs="Arial"/>
        </w:rPr>
      </w:pPr>
    </w:p>
    <w:p w14:paraId="233B1DBB" w14:textId="77777777" w:rsidR="00F07075" w:rsidRDefault="005735CD">
      <w:pPr>
        <w:rPr>
          <w:rFonts w:ascii="Arial" w:hAnsi="Arial" w:cs="Arial"/>
        </w:rPr>
      </w:pPr>
      <w:r>
        <w:rPr>
          <w:rFonts w:ascii="Arial" w:hAnsi="Arial" w:cs="Arial"/>
        </w:rPr>
        <w:t>Executive Summary ................................................................................................ 3</w:t>
      </w:r>
    </w:p>
    <w:p w14:paraId="2DF04D6D" w14:textId="77777777" w:rsidR="00F07075" w:rsidRDefault="005735CD">
      <w:pPr>
        <w:rPr>
          <w:rFonts w:ascii="Arial" w:hAnsi="Arial" w:cs="Arial"/>
        </w:rPr>
      </w:pPr>
      <w:r>
        <w:rPr>
          <w:rFonts w:ascii="Arial" w:hAnsi="Arial" w:cs="Arial"/>
        </w:rPr>
        <w:t>1. Identification of a Business Problem: Background and Rationale ....................... 3</w:t>
      </w:r>
    </w:p>
    <w:p w14:paraId="76D714CD" w14:textId="77777777" w:rsidR="00F07075" w:rsidRDefault="005735CD">
      <w:pPr>
        <w:rPr>
          <w:rFonts w:ascii="Arial" w:hAnsi="Arial" w:cs="Arial"/>
        </w:rPr>
      </w:pPr>
      <w:r>
        <w:rPr>
          <w:rFonts w:ascii="Arial" w:hAnsi="Arial" w:cs="Arial"/>
        </w:rPr>
        <w:t>2. Research Aims, Objectives and Questions ......................................................... 5</w:t>
      </w:r>
    </w:p>
    <w:p w14:paraId="3446043E" w14:textId="77777777" w:rsidR="00F07075" w:rsidRDefault="005735CD">
      <w:pPr>
        <w:rPr>
          <w:rFonts w:ascii="Arial" w:hAnsi="Arial" w:cs="Arial"/>
        </w:rPr>
      </w:pPr>
      <w:r>
        <w:rPr>
          <w:rFonts w:ascii="Arial" w:hAnsi="Arial" w:cs="Arial"/>
        </w:rPr>
        <w:t>3. Preliminary Literature Review ............................................................................. 6</w:t>
      </w:r>
    </w:p>
    <w:p w14:paraId="7D1D9D74" w14:textId="77777777" w:rsidR="00F07075" w:rsidRDefault="005735CD">
      <w:pPr>
        <w:rPr>
          <w:rFonts w:ascii="Arial" w:hAnsi="Arial" w:cs="Arial"/>
        </w:rPr>
      </w:pPr>
      <w:r>
        <w:rPr>
          <w:rFonts w:ascii="Arial" w:hAnsi="Arial" w:cs="Arial"/>
        </w:rPr>
        <w:t>4. Research Methodology &amp; Design ........................................................................ 8</w:t>
      </w:r>
    </w:p>
    <w:p w14:paraId="742E70A9" w14:textId="77777777" w:rsidR="00F07075" w:rsidRDefault="005735CD">
      <w:pPr>
        <w:rPr>
          <w:rFonts w:ascii="Arial" w:hAnsi="Arial" w:cs="Arial"/>
        </w:rPr>
      </w:pPr>
      <w:r>
        <w:rPr>
          <w:rFonts w:ascii="Arial" w:hAnsi="Arial" w:cs="Arial"/>
        </w:rPr>
        <w:t>5. Business Relevance &amp; Practical Implications .................................................... 10</w:t>
      </w:r>
    </w:p>
    <w:p w14:paraId="34A4F79C" w14:textId="77777777" w:rsidR="00F07075" w:rsidRDefault="005735CD">
      <w:pPr>
        <w:rPr>
          <w:rFonts w:ascii="Arial" w:hAnsi="Arial" w:cs="Arial"/>
        </w:rPr>
      </w:pPr>
      <w:r>
        <w:rPr>
          <w:rFonts w:ascii="Arial" w:hAnsi="Arial" w:cs="Arial"/>
        </w:rPr>
        <w:t>6. Plan of Work and Time Schedule ....................................................................... 11</w:t>
      </w:r>
    </w:p>
    <w:p w14:paraId="37BBEB06" w14:textId="77777777" w:rsidR="00F07075" w:rsidRDefault="005735CD">
      <w:pPr>
        <w:rPr>
          <w:rFonts w:ascii="Arial" w:hAnsi="Arial" w:cs="Arial"/>
        </w:rPr>
      </w:pPr>
      <w:r>
        <w:rPr>
          <w:rFonts w:ascii="Arial" w:hAnsi="Arial" w:cs="Arial"/>
        </w:rPr>
        <w:t>7. References ......................................................................................................... 12</w:t>
      </w:r>
    </w:p>
    <w:p w14:paraId="3F34065E" w14:textId="77777777" w:rsidR="00F07075" w:rsidRDefault="00F07075">
      <w:pPr>
        <w:rPr>
          <w:rFonts w:ascii="Arial" w:hAnsi="Arial" w:cs="Arial"/>
        </w:rPr>
      </w:pPr>
    </w:p>
    <w:p w14:paraId="49E51F09" w14:textId="77777777" w:rsidR="00F07075" w:rsidRDefault="00F07075">
      <w:pPr>
        <w:rPr>
          <w:rFonts w:ascii="Arial" w:hAnsi="Arial" w:cs="Arial"/>
        </w:rPr>
      </w:pPr>
    </w:p>
    <w:p w14:paraId="75E482C5" w14:textId="77777777" w:rsidR="00F07075" w:rsidRDefault="00F07075">
      <w:pPr>
        <w:rPr>
          <w:rFonts w:ascii="Arial" w:hAnsi="Arial" w:cs="Arial"/>
        </w:rPr>
      </w:pPr>
    </w:p>
    <w:p w14:paraId="5A79ABFD" w14:textId="77777777" w:rsidR="00F07075" w:rsidRDefault="00F07075">
      <w:pPr>
        <w:rPr>
          <w:rFonts w:ascii="Arial" w:hAnsi="Arial" w:cs="Arial"/>
        </w:rPr>
      </w:pPr>
    </w:p>
    <w:p w14:paraId="08C7DC75" w14:textId="77777777" w:rsidR="00F07075" w:rsidRDefault="00F07075">
      <w:pPr>
        <w:rPr>
          <w:rFonts w:ascii="Arial" w:hAnsi="Arial" w:cs="Arial"/>
        </w:rPr>
      </w:pPr>
    </w:p>
    <w:p w14:paraId="76613C48" w14:textId="77777777" w:rsidR="00F07075" w:rsidRDefault="00F07075">
      <w:pPr>
        <w:rPr>
          <w:rFonts w:ascii="Arial" w:hAnsi="Arial" w:cs="Arial"/>
        </w:rPr>
      </w:pPr>
    </w:p>
    <w:p w14:paraId="0B5296D0" w14:textId="77777777" w:rsidR="00F07075" w:rsidRDefault="00F07075">
      <w:pPr>
        <w:rPr>
          <w:rFonts w:ascii="Arial" w:hAnsi="Arial" w:cs="Arial"/>
        </w:rPr>
      </w:pPr>
    </w:p>
    <w:p w14:paraId="7A705864" w14:textId="77777777" w:rsidR="00F07075" w:rsidRDefault="00F07075">
      <w:pPr>
        <w:rPr>
          <w:rFonts w:ascii="Arial" w:hAnsi="Arial" w:cs="Arial"/>
        </w:rPr>
      </w:pPr>
    </w:p>
    <w:p w14:paraId="42FBE253" w14:textId="77777777" w:rsidR="00F07075" w:rsidRDefault="00F07075">
      <w:pPr>
        <w:rPr>
          <w:rFonts w:ascii="Arial" w:hAnsi="Arial" w:cs="Arial"/>
        </w:rPr>
      </w:pPr>
    </w:p>
    <w:p w14:paraId="54265681" w14:textId="77777777" w:rsidR="00F07075" w:rsidRDefault="00F07075">
      <w:pPr>
        <w:rPr>
          <w:rFonts w:ascii="Arial" w:hAnsi="Arial" w:cs="Arial"/>
        </w:rPr>
      </w:pPr>
    </w:p>
    <w:p w14:paraId="5DD17039" w14:textId="77777777" w:rsidR="00F07075" w:rsidRDefault="00F07075">
      <w:pPr>
        <w:rPr>
          <w:rFonts w:ascii="Arial" w:hAnsi="Arial" w:cs="Arial"/>
        </w:rPr>
      </w:pPr>
    </w:p>
    <w:p w14:paraId="46CB20FC" w14:textId="77777777" w:rsidR="00F07075" w:rsidRDefault="00F07075">
      <w:pPr>
        <w:rPr>
          <w:rFonts w:ascii="Arial" w:hAnsi="Arial" w:cs="Arial"/>
        </w:rPr>
      </w:pPr>
    </w:p>
    <w:p w14:paraId="79BD3B0F" w14:textId="77777777" w:rsidR="00F07075" w:rsidRDefault="00F07075">
      <w:pPr>
        <w:rPr>
          <w:rFonts w:ascii="Arial" w:hAnsi="Arial" w:cs="Arial"/>
        </w:rPr>
      </w:pPr>
    </w:p>
    <w:p w14:paraId="6B8FB4A5" w14:textId="77777777" w:rsidR="00F07075" w:rsidRDefault="00F07075">
      <w:pPr>
        <w:rPr>
          <w:rFonts w:ascii="Arial" w:hAnsi="Arial" w:cs="Arial"/>
        </w:rPr>
      </w:pPr>
    </w:p>
    <w:p w14:paraId="03120413" w14:textId="77777777" w:rsidR="00F07075" w:rsidRDefault="00F07075">
      <w:pPr>
        <w:rPr>
          <w:rFonts w:ascii="Arial" w:hAnsi="Arial" w:cs="Arial"/>
        </w:rPr>
      </w:pPr>
    </w:p>
    <w:p w14:paraId="6532F031" w14:textId="77777777" w:rsidR="00F07075" w:rsidRDefault="00F07075">
      <w:pPr>
        <w:rPr>
          <w:rFonts w:ascii="Arial" w:hAnsi="Arial" w:cs="Arial"/>
        </w:rPr>
      </w:pPr>
    </w:p>
    <w:p w14:paraId="6E3576D8" w14:textId="77777777" w:rsidR="00F07075" w:rsidRDefault="00F07075">
      <w:pPr>
        <w:rPr>
          <w:rFonts w:ascii="Arial" w:hAnsi="Arial" w:cs="Arial"/>
        </w:rPr>
      </w:pPr>
    </w:p>
    <w:p w14:paraId="141D34A8" w14:textId="77777777" w:rsidR="00F07075" w:rsidRDefault="00F07075">
      <w:pPr>
        <w:spacing w:line="360" w:lineRule="auto"/>
        <w:rPr>
          <w:rFonts w:ascii="Arial" w:hAnsi="Arial" w:cs="Arial"/>
          <w:b/>
          <w:bCs/>
        </w:rPr>
      </w:pPr>
    </w:p>
    <w:p w14:paraId="6D54BC55" w14:textId="77777777" w:rsidR="00F63757" w:rsidRDefault="00F63757">
      <w:pPr>
        <w:spacing w:line="360" w:lineRule="auto"/>
        <w:rPr>
          <w:rFonts w:ascii="Arial" w:hAnsi="Arial" w:cs="Arial"/>
          <w:b/>
          <w:bCs/>
        </w:rPr>
      </w:pPr>
    </w:p>
    <w:p w14:paraId="3F79D1FF" w14:textId="77777777" w:rsidR="00F07075" w:rsidRDefault="00F07075">
      <w:pPr>
        <w:spacing w:line="360" w:lineRule="auto"/>
        <w:rPr>
          <w:rFonts w:ascii="Arial" w:hAnsi="Arial" w:cs="Arial"/>
          <w:b/>
          <w:bCs/>
        </w:rPr>
      </w:pPr>
    </w:p>
    <w:p w14:paraId="3F79E99F" w14:textId="77777777" w:rsidR="00F07075" w:rsidRDefault="005735CD">
      <w:pPr>
        <w:spacing w:line="360" w:lineRule="auto"/>
        <w:rPr>
          <w:rFonts w:ascii="Arial" w:hAnsi="Arial" w:cs="Arial"/>
          <w:b/>
          <w:bCs/>
        </w:rPr>
      </w:pPr>
      <w:r>
        <w:rPr>
          <w:rFonts w:ascii="Arial" w:hAnsi="Arial" w:cs="Arial"/>
          <w:b/>
          <w:bCs/>
        </w:rPr>
        <w:lastRenderedPageBreak/>
        <w:t>EXECUTIVE SUMMARY</w:t>
      </w:r>
    </w:p>
    <w:p w14:paraId="43044543" w14:textId="77777777" w:rsidR="00F07075" w:rsidRDefault="005735CD">
      <w:pPr>
        <w:spacing w:line="360" w:lineRule="auto"/>
        <w:rPr>
          <w:rFonts w:ascii="Arial" w:hAnsi="Arial" w:cs="Arial"/>
        </w:rPr>
      </w:pPr>
      <w:r>
        <w:rPr>
          <w:rFonts w:ascii="Arial" w:hAnsi="Arial" w:cs="Arial"/>
        </w:rPr>
        <w:t>The National Health Service confronts an unprecedented workforce crisis, with nursing staff turnover reaching 14.5% and generating annual costs estimated at £1.3 billion (NHS Digital, 2023; NHS Employers, 2022). This research proposal investigates the multifaceted drivers of NHS employee turnover through a theoretically grounded, mixed-methods approach to examine the complex interplay between organizational structures, managerial practices, and individual decision-making processes.</w:t>
      </w:r>
    </w:p>
    <w:p w14:paraId="15E206A4" w14:textId="77777777" w:rsidR="00F07075" w:rsidRDefault="00F07075">
      <w:pPr>
        <w:spacing w:line="360" w:lineRule="auto"/>
        <w:rPr>
          <w:rFonts w:ascii="Arial" w:hAnsi="Arial" w:cs="Arial"/>
        </w:rPr>
      </w:pPr>
    </w:p>
    <w:p w14:paraId="1B257941" w14:textId="77777777" w:rsidR="00F07075" w:rsidRDefault="005735CD">
      <w:pPr>
        <w:spacing w:line="360" w:lineRule="auto"/>
        <w:rPr>
          <w:rFonts w:ascii="Arial" w:hAnsi="Arial" w:cs="Arial"/>
        </w:rPr>
      </w:pPr>
      <w:r>
        <w:rPr>
          <w:rFonts w:ascii="Arial" w:hAnsi="Arial" w:cs="Arial"/>
        </w:rPr>
        <w:t>The expected outcomes include evidence-based recommendations operating across trust, operational, and national policy levels, informing strategic workforce planning, resource allocation decisions, and targeted retention interventions with practical implications for cost reduction, enhanced patient care continuity, improved staff well-being, and sustained organizational performance.</w:t>
      </w:r>
    </w:p>
    <w:p w14:paraId="07A96485" w14:textId="77777777" w:rsidR="00F07075" w:rsidRDefault="00F07075">
      <w:pPr>
        <w:spacing w:line="360" w:lineRule="auto"/>
        <w:rPr>
          <w:rFonts w:ascii="Arial" w:hAnsi="Arial" w:cs="Arial"/>
        </w:rPr>
      </w:pPr>
    </w:p>
    <w:p w14:paraId="0881F4BF" w14:textId="77777777" w:rsidR="00F07075" w:rsidRDefault="005735CD">
      <w:pPr>
        <w:spacing w:line="360" w:lineRule="auto"/>
        <w:rPr>
          <w:rFonts w:ascii="Arial" w:hAnsi="Arial" w:cs="Arial"/>
          <w:b/>
          <w:bCs/>
        </w:rPr>
      </w:pPr>
      <w:r>
        <w:rPr>
          <w:rFonts w:ascii="Arial" w:hAnsi="Arial" w:cs="Arial"/>
          <w:b/>
          <w:bCs/>
        </w:rPr>
        <w:t>1.</w:t>
      </w:r>
      <w:r>
        <w:rPr>
          <w:rFonts w:ascii="Arial" w:hAnsi="Arial" w:cs="Arial"/>
          <w:b/>
          <w:bCs/>
        </w:rPr>
        <w:tab/>
        <w:t>IDENTIFICATION OF A BUSINESS PROBLEM: BACKGROUND AND RATIONALE</w:t>
      </w:r>
    </w:p>
    <w:p w14:paraId="7C97003A" w14:textId="77777777" w:rsidR="00F07075" w:rsidRDefault="005735CD">
      <w:pPr>
        <w:spacing w:line="360" w:lineRule="auto"/>
        <w:rPr>
          <w:rFonts w:ascii="Arial" w:hAnsi="Arial" w:cs="Arial"/>
          <w:b/>
          <w:bCs/>
        </w:rPr>
      </w:pPr>
      <w:r>
        <w:rPr>
          <w:rFonts w:ascii="Arial" w:hAnsi="Arial" w:cs="Arial"/>
          <w:b/>
          <w:bCs/>
        </w:rPr>
        <w:t>Background</w:t>
      </w:r>
    </w:p>
    <w:p w14:paraId="47F09DCB" w14:textId="77777777" w:rsidR="00F07075" w:rsidRDefault="005735CD">
      <w:pPr>
        <w:spacing w:line="360" w:lineRule="auto"/>
        <w:rPr>
          <w:rFonts w:ascii="Arial" w:hAnsi="Arial" w:cs="Arial"/>
        </w:rPr>
      </w:pPr>
      <w:r>
        <w:rPr>
          <w:rFonts w:ascii="Arial" w:hAnsi="Arial" w:cs="Arial"/>
        </w:rPr>
        <w:t>The NHS, employing approximately 1.5 million personnel across England, experiences a workforce crisis characterized by escalating employee turnover that fundamentally threatens service quality, organizational sustainability, and healthcare system resilience (NHS England, 2023; Buchan et al., 2022). Contemporary data revealed turnover rates averaging 8.2% across all staff, escalating to 14.5% among nursing personnel, - representing critical haemorrhage of clinical expertise and organizational investment (NHS Digital, 2023). The COVID-19 pandemic has operated as a catalyst, intensifying pre-existing pressures through unprecedented workload intensity, psychological distress, and moral injury from resource-constrained decision -making, accelerating departure rates among experienced clinicians (West et al., 2022).</w:t>
      </w:r>
    </w:p>
    <w:p w14:paraId="74E23DCC" w14:textId="77777777" w:rsidR="00F07075" w:rsidRDefault="00F07075">
      <w:pPr>
        <w:spacing w:line="360" w:lineRule="auto"/>
        <w:rPr>
          <w:rFonts w:ascii="Arial" w:hAnsi="Arial" w:cs="Arial"/>
        </w:rPr>
      </w:pPr>
    </w:p>
    <w:p w14:paraId="2669BF23" w14:textId="77777777" w:rsidR="00F07075" w:rsidRDefault="005735CD">
      <w:pPr>
        <w:spacing w:line="360" w:lineRule="auto"/>
        <w:rPr>
          <w:rFonts w:ascii="Arial" w:hAnsi="Arial" w:cs="Arial"/>
          <w:b/>
          <w:bCs/>
        </w:rPr>
      </w:pPr>
      <w:r>
        <w:rPr>
          <w:rFonts w:ascii="Arial" w:hAnsi="Arial" w:cs="Arial"/>
          <w:b/>
          <w:bCs/>
        </w:rPr>
        <w:t xml:space="preserve">Rationale           </w:t>
      </w:r>
    </w:p>
    <w:p w14:paraId="41D6574A" w14:textId="77777777" w:rsidR="00F07075" w:rsidRDefault="005735CD">
      <w:pPr>
        <w:spacing w:line="360" w:lineRule="auto"/>
        <w:rPr>
          <w:rFonts w:ascii="Arial" w:hAnsi="Arial" w:cs="Arial"/>
        </w:rPr>
      </w:pPr>
      <w:r>
        <w:rPr>
          <w:rFonts w:ascii="Arial" w:hAnsi="Arial" w:cs="Arial"/>
        </w:rPr>
        <w:t xml:space="preserve">High turnover generates substantial financial burdens—approximately £30,000 per Band 5 nurse replacement and £1.3 billion annually—through recruitment expenses, comprehensive induction programs, temporary staffing premiums, and productivity losses (NHS Employers, 2022). Beyond financial implications, staff departures undermine service continuity, </w:t>
      </w:r>
      <w:r>
        <w:rPr>
          <w:rFonts w:ascii="Arial" w:hAnsi="Arial" w:cs="Arial"/>
        </w:rPr>
        <w:lastRenderedPageBreak/>
        <w:t>compromise patient safety through disrupted care relationships and knowledge loss, increase workload pressure on the remaining staff, and erode organizational memory. Understanding multifaceted turnover drivers constitutes a strategic imperative for NHS sustainability, enabling effective retention strategies that stabilize the workforce, reduce costs, enhance patient outcomes, and ensure the long-term viability of publicly  funded healthcare delivery.</w:t>
      </w:r>
    </w:p>
    <w:p w14:paraId="56DF86DA" w14:textId="77777777" w:rsidR="00F07075" w:rsidRDefault="00F07075">
      <w:pPr>
        <w:spacing w:line="360" w:lineRule="auto"/>
        <w:rPr>
          <w:rFonts w:ascii="Arial" w:hAnsi="Arial" w:cs="Arial"/>
          <w:b/>
          <w:bCs/>
        </w:rPr>
      </w:pPr>
    </w:p>
    <w:p w14:paraId="58453249" w14:textId="77777777" w:rsidR="00F07075" w:rsidRDefault="005735CD">
      <w:pPr>
        <w:spacing w:line="360" w:lineRule="auto"/>
        <w:rPr>
          <w:rFonts w:ascii="Arial" w:hAnsi="Arial" w:cs="Arial"/>
          <w:b/>
          <w:bCs/>
        </w:rPr>
      </w:pPr>
      <w:r>
        <w:rPr>
          <w:rFonts w:ascii="Arial" w:hAnsi="Arial" w:cs="Arial"/>
          <w:b/>
          <w:bCs/>
        </w:rPr>
        <w:t>Key Debates and Developments</w:t>
      </w:r>
    </w:p>
    <w:p w14:paraId="71A6F33B" w14:textId="77777777" w:rsidR="00F07075" w:rsidRDefault="005735CD">
      <w:pPr>
        <w:spacing w:line="360" w:lineRule="auto"/>
        <w:rPr>
          <w:rFonts w:ascii="Arial" w:hAnsi="Arial" w:cs="Arial"/>
        </w:rPr>
      </w:pPr>
      <w:r>
        <w:rPr>
          <w:rFonts w:ascii="Arial" w:hAnsi="Arial" w:cs="Arial"/>
        </w:rPr>
        <w:t>Contemporary discourse identifies contested dimensions: whether turnover stems primarily from systemic issues—inadequate funding, chronic understaffing—or individual factors including career aspirations and work-life balance preferences (Cooper and Schindler, 2014; Buchan et al., 2022); the role of supportive, transformational leadership in reducing turnover intentions (West et al., 2022); long-term pandemic impacts on healthcare worker well-being and employment expectations (Crowther and Lancaster, 2009); and comparative effectiveness of retention interventions, with evidence suggesting financial incentives demonstrate limited long-term effectiveness compared to holistic well-being initiatives (NHS Employers, 2022).</w:t>
      </w:r>
    </w:p>
    <w:p w14:paraId="2CCE2109" w14:textId="77777777" w:rsidR="00F07075" w:rsidRDefault="00F07075">
      <w:pPr>
        <w:spacing w:line="360" w:lineRule="auto"/>
        <w:rPr>
          <w:rFonts w:ascii="Arial" w:hAnsi="Arial" w:cs="Arial"/>
          <w:b/>
          <w:bCs/>
        </w:rPr>
      </w:pPr>
    </w:p>
    <w:p w14:paraId="7AD620D2" w14:textId="77777777" w:rsidR="00F07075" w:rsidRDefault="005735CD">
      <w:pPr>
        <w:spacing w:line="360" w:lineRule="auto"/>
        <w:rPr>
          <w:rFonts w:ascii="Arial" w:hAnsi="Arial" w:cs="Arial"/>
          <w:b/>
          <w:bCs/>
        </w:rPr>
      </w:pPr>
      <w:r>
        <w:rPr>
          <w:rFonts w:ascii="Arial" w:hAnsi="Arial" w:cs="Arial"/>
          <w:b/>
          <w:bCs/>
        </w:rPr>
        <w:t>2.</w:t>
      </w:r>
      <w:r>
        <w:rPr>
          <w:rFonts w:ascii="Arial" w:hAnsi="Arial" w:cs="Arial"/>
          <w:b/>
          <w:bCs/>
        </w:rPr>
        <w:tab/>
        <w:t>RESEARCH AIMS, OBJECTIVES AND QUESTIONS</w:t>
      </w:r>
    </w:p>
    <w:p w14:paraId="03B60E3B" w14:textId="77777777" w:rsidR="00F07075" w:rsidRDefault="005735CD">
      <w:pPr>
        <w:spacing w:line="360" w:lineRule="auto"/>
        <w:rPr>
          <w:rFonts w:ascii="Arial" w:hAnsi="Arial" w:cs="Arial"/>
        </w:rPr>
      </w:pPr>
      <w:r>
        <w:rPr>
          <w:rFonts w:ascii="Arial" w:hAnsi="Arial" w:cs="Arial"/>
        </w:rPr>
        <w:t>Research Aim</w:t>
      </w:r>
    </w:p>
    <w:p w14:paraId="7A4C9D4F" w14:textId="77777777" w:rsidR="00F07075" w:rsidRDefault="005735CD">
      <w:pPr>
        <w:spacing w:line="360" w:lineRule="auto"/>
        <w:rPr>
          <w:rFonts w:ascii="Arial" w:hAnsi="Arial" w:cs="Arial"/>
        </w:rPr>
      </w:pPr>
      <w:r>
        <w:rPr>
          <w:rFonts w:ascii="Arial" w:hAnsi="Arial" w:cs="Arial"/>
        </w:rPr>
        <w:t>To investigate the multifaceted organizational, managerial, and individual factors driving employee turnover within the NHS, and to develop evidence-based, contextually- appropriate recommendations for enhancing workforce retention and organizational stability.</w:t>
      </w:r>
    </w:p>
    <w:p w14:paraId="683BE286" w14:textId="77777777" w:rsidR="00F07075" w:rsidRDefault="00F07075">
      <w:pPr>
        <w:spacing w:line="360" w:lineRule="auto"/>
        <w:rPr>
          <w:rFonts w:ascii="Arial" w:hAnsi="Arial" w:cs="Arial"/>
          <w:b/>
          <w:bCs/>
        </w:rPr>
      </w:pPr>
    </w:p>
    <w:p w14:paraId="5C6E0E36" w14:textId="77777777" w:rsidR="00F07075" w:rsidRDefault="005735CD">
      <w:pPr>
        <w:spacing w:line="360" w:lineRule="auto"/>
        <w:rPr>
          <w:rFonts w:ascii="Arial" w:hAnsi="Arial" w:cs="Arial"/>
          <w:b/>
          <w:bCs/>
        </w:rPr>
      </w:pPr>
      <w:r>
        <w:rPr>
          <w:rFonts w:ascii="Arial" w:hAnsi="Arial" w:cs="Arial"/>
          <w:b/>
          <w:bCs/>
        </w:rPr>
        <w:t>Research Objectives</w:t>
      </w:r>
    </w:p>
    <w:p w14:paraId="05241E2A" w14:textId="77777777" w:rsidR="00F07075" w:rsidRDefault="005735CD">
      <w:pPr>
        <w:spacing w:line="360" w:lineRule="auto"/>
        <w:rPr>
          <w:rFonts w:ascii="Arial" w:hAnsi="Arial" w:cs="Arial"/>
        </w:rPr>
      </w:pPr>
      <w:r>
        <w:rPr>
          <w:rFonts w:ascii="Arial" w:hAnsi="Arial" w:cs="Arial"/>
        </w:rPr>
        <w:t>•</w:t>
      </w:r>
      <w:r>
        <w:rPr>
          <w:rFonts w:ascii="Arial" w:hAnsi="Arial" w:cs="Arial"/>
        </w:rPr>
        <w:tab/>
        <w:t>To critically analyse contemporary NHS employee turnover patterns across professional categories, seniority levels, and geographical regions, identifying high-risk groups, and temporal variations.</w:t>
      </w:r>
    </w:p>
    <w:p w14:paraId="55A5DDFD" w14:textId="77777777" w:rsidR="00F07075" w:rsidRDefault="005735CD">
      <w:pPr>
        <w:spacing w:line="360" w:lineRule="auto"/>
        <w:rPr>
          <w:rFonts w:ascii="Arial" w:hAnsi="Arial" w:cs="Arial"/>
        </w:rPr>
      </w:pPr>
      <w:r>
        <w:rPr>
          <w:rFonts w:ascii="Arial" w:hAnsi="Arial" w:cs="Arial"/>
        </w:rPr>
        <w:t>•</w:t>
      </w:r>
      <w:r>
        <w:rPr>
          <w:rFonts w:ascii="Arial" w:hAnsi="Arial" w:cs="Arial"/>
        </w:rPr>
        <w:tab/>
        <w:t>To examine the complex interactions between organizational factors (culture, resources, structures), managerial practices (leadership quality, communication), and individual characteristics (career stage and well-being) shaping turnover decisions.</w:t>
      </w:r>
    </w:p>
    <w:p w14:paraId="57421D9B" w14:textId="77777777" w:rsidR="00F07075" w:rsidRDefault="005735CD">
      <w:pPr>
        <w:spacing w:line="360" w:lineRule="auto"/>
        <w:rPr>
          <w:rFonts w:ascii="Arial" w:hAnsi="Arial" w:cs="Arial"/>
        </w:rPr>
      </w:pPr>
      <w:r>
        <w:rPr>
          <w:rFonts w:ascii="Arial" w:hAnsi="Arial" w:cs="Arial"/>
        </w:rPr>
        <w:lastRenderedPageBreak/>
        <w:t>•</w:t>
      </w:r>
      <w:r>
        <w:rPr>
          <w:rFonts w:ascii="Arial" w:hAnsi="Arial" w:cs="Arial"/>
        </w:rPr>
        <w:tab/>
        <w:t>To assess staff perceptions of existing retention initiatives, their perceived effectiveness and alignment with workforce needs were evaluated.</w:t>
      </w:r>
    </w:p>
    <w:p w14:paraId="1E76B653" w14:textId="77777777" w:rsidR="00F07075" w:rsidRDefault="005735CD">
      <w:pPr>
        <w:spacing w:line="360" w:lineRule="auto"/>
        <w:rPr>
          <w:rFonts w:ascii="Arial" w:hAnsi="Arial" w:cs="Arial"/>
        </w:rPr>
      </w:pPr>
      <w:r>
        <w:rPr>
          <w:rFonts w:ascii="Arial" w:hAnsi="Arial" w:cs="Arial"/>
        </w:rPr>
        <w:t>•</w:t>
      </w:r>
      <w:r>
        <w:rPr>
          <w:rFonts w:ascii="Arial" w:hAnsi="Arial" w:cs="Arial"/>
        </w:rPr>
        <w:tab/>
        <w:t xml:space="preserve">To synthesize best practices in healthcare workforce retention from comparable international health systems, transferable strategies were identified. </w:t>
      </w:r>
    </w:p>
    <w:p w14:paraId="4B3D6106" w14:textId="77777777" w:rsidR="00F07075" w:rsidRDefault="005735CD">
      <w:pPr>
        <w:spacing w:line="360" w:lineRule="auto"/>
        <w:rPr>
          <w:rFonts w:ascii="Arial" w:hAnsi="Arial" w:cs="Arial"/>
        </w:rPr>
      </w:pPr>
      <w:r>
        <w:rPr>
          <w:rFonts w:ascii="Arial" w:hAnsi="Arial" w:cs="Arial"/>
        </w:rPr>
        <w:t>•</w:t>
      </w:r>
      <w:r>
        <w:rPr>
          <w:rFonts w:ascii="Arial" w:hAnsi="Arial" w:cs="Arial"/>
        </w:rPr>
        <w:tab/>
        <w:t>To formulate practical, evidence-based recommendations for NHS management across trust, operational, and national policy levels.</w:t>
      </w:r>
    </w:p>
    <w:p w14:paraId="0CBFF8FA" w14:textId="77777777" w:rsidR="00F07075" w:rsidRDefault="00F07075">
      <w:pPr>
        <w:spacing w:line="360" w:lineRule="auto"/>
        <w:rPr>
          <w:rFonts w:ascii="Arial" w:hAnsi="Arial" w:cs="Arial"/>
        </w:rPr>
      </w:pPr>
    </w:p>
    <w:p w14:paraId="3BBF4179" w14:textId="77777777" w:rsidR="00F07075" w:rsidRDefault="005735CD">
      <w:pPr>
        <w:spacing w:line="360" w:lineRule="auto"/>
        <w:rPr>
          <w:rFonts w:ascii="Arial" w:hAnsi="Arial" w:cs="Arial"/>
          <w:b/>
          <w:bCs/>
        </w:rPr>
      </w:pPr>
      <w:r>
        <w:rPr>
          <w:rFonts w:ascii="Arial" w:hAnsi="Arial" w:cs="Arial"/>
          <w:b/>
          <w:bCs/>
        </w:rPr>
        <w:t>Research Questions</w:t>
      </w:r>
    </w:p>
    <w:p w14:paraId="333F90B4" w14:textId="77777777" w:rsidR="00F07075" w:rsidRDefault="005735CD">
      <w:pPr>
        <w:spacing w:line="360" w:lineRule="auto"/>
        <w:rPr>
          <w:rFonts w:ascii="Arial" w:hAnsi="Arial" w:cs="Arial"/>
        </w:rPr>
      </w:pPr>
      <w:r>
        <w:rPr>
          <w:rFonts w:ascii="Arial" w:hAnsi="Arial" w:cs="Arial"/>
        </w:rPr>
        <w:t>Primary Question: What are the principal organizational, managerial, and individual factors influencing employee turnover decisions within the NHS, and how can these be effectively addressed through evidence-based management interventions?</w:t>
      </w:r>
    </w:p>
    <w:p w14:paraId="289F29C0" w14:textId="77777777" w:rsidR="00F07075" w:rsidRDefault="00F07075">
      <w:pPr>
        <w:spacing w:line="360" w:lineRule="auto"/>
        <w:rPr>
          <w:rFonts w:ascii="Arial" w:hAnsi="Arial" w:cs="Arial"/>
        </w:rPr>
      </w:pPr>
    </w:p>
    <w:p w14:paraId="7D1174DA" w14:textId="77777777" w:rsidR="00F07075" w:rsidRDefault="005735CD">
      <w:pPr>
        <w:spacing w:line="360" w:lineRule="auto"/>
        <w:rPr>
          <w:rFonts w:ascii="Arial" w:hAnsi="Arial" w:cs="Arial"/>
          <w:b/>
          <w:bCs/>
        </w:rPr>
      </w:pPr>
      <w:r>
        <w:rPr>
          <w:rFonts w:ascii="Arial" w:hAnsi="Arial" w:cs="Arial"/>
          <w:b/>
          <w:bCs/>
        </w:rPr>
        <w:t>Secondary Questions:</w:t>
      </w:r>
    </w:p>
    <w:p w14:paraId="21BCC1B0" w14:textId="77777777" w:rsidR="00F07075" w:rsidRDefault="005735CD">
      <w:pPr>
        <w:spacing w:line="360" w:lineRule="auto"/>
        <w:rPr>
          <w:rFonts w:ascii="Arial" w:hAnsi="Arial" w:cs="Arial"/>
        </w:rPr>
      </w:pPr>
      <w:r>
        <w:rPr>
          <w:rFonts w:ascii="Arial" w:hAnsi="Arial" w:cs="Arial"/>
        </w:rPr>
        <w:t>•</w:t>
      </w:r>
      <w:r>
        <w:rPr>
          <w:rFonts w:ascii="Arial" w:hAnsi="Arial" w:cs="Arial"/>
        </w:rPr>
        <w:tab/>
        <w:t>How do organizational factors interact with individual characteristics to influence turnover decisions, and their relative weights?</w:t>
      </w:r>
    </w:p>
    <w:p w14:paraId="615F4564" w14:textId="77777777" w:rsidR="00F07075" w:rsidRDefault="005735CD">
      <w:pPr>
        <w:spacing w:line="360" w:lineRule="auto"/>
        <w:rPr>
          <w:rFonts w:ascii="Arial" w:hAnsi="Arial" w:cs="Arial"/>
        </w:rPr>
      </w:pPr>
      <w:r>
        <w:rPr>
          <w:rFonts w:ascii="Arial" w:hAnsi="Arial" w:cs="Arial"/>
        </w:rPr>
        <w:t>•</w:t>
      </w:r>
      <w:r>
        <w:rPr>
          <w:rFonts w:ascii="Arial" w:hAnsi="Arial" w:cs="Arial"/>
        </w:rPr>
        <w:tab/>
        <w:t>What management and leadership practices demonstrate the strongest associations with staff retention in NHS settings?</w:t>
      </w:r>
    </w:p>
    <w:p w14:paraId="1EF5FFF9" w14:textId="77777777" w:rsidR="00F07075" w:rsidRDefault="005735CD">
      <w:pPr>
        <w:spacing w:line="360" w:lineRule="auto"/>
        <w:rPr>
          <w:rFonts w:ascii="Arial" w:hAnsi="Arial" w:cs="Arial"/>
        </w:rPr>
      </w:pPr>
      <w:r>
        <w:rPr>
          <w:rFonts w:ascii="Arial" w:hAnsi="Arial" w:cs="Arial"/>
        </w:rPr>
        <w:t>•</w:t>
      </w:r>
      <w:r>
        <w:rPr>
          <w:rFonts w:ascii="Arial" w:hAnsi="Arial" w:cs="Arial"/>
        </w:rPr>
        <w:tab/>
        <w:t>How do post-pandemic transformations in workforce expectations affect turnover patterns and retention strategy effectiveness?</w:t>
      </w:r>
    </w:p>
    <w:p w14:paraId="5E69A37C" w14:textId="77777777" w:rsidR="00F07075" w:rsidRDefault="005735CD">
      <w:pPr>
        <w:spacing w:line="360" w:lineRule="auto"/>
        <w:rPr>
          <w:rFonts w:ascii="Arial" w:hAnsi="Arial" w:cs="Arial"/>
        </w:rPr>
      </w:pPr>
      <w:r>
        <w:rPr>
          <w:rFonts w:ascii="Arial" w:hAnsi="Arial" w:cs="Arial"/>
        </w:rPr>
        <w:t>•</w:t>
      </w:r>
      <w:r>
        <w:rPr>
          <w:rFonts w:ascii="Arial" w:hAnsi="Arial" w:cs="Arial"/>
        </w:rPr>
        <w:tab/>
        <w:t>Which retention strategies demonstrate greatest effectiveness in reducing NHS employee turnover, and how does effectiveness vary across staff categories?</w:t>
      </w:r>
    </w:p>
    <w:p w14:paraId="15B1B673" w14:textId="77777777" w:rsidR="00F07075" w:rsidRDefault="00F07075">
      <w:pPr>
        <w:spacing w:line="360" w:lineRule="auto"/>
        <w:rPr>
          <w:rFonts w:ascii="Arial" w:hAnsi="Arial" w:cs="Arial"/>
        </w:rPr>
      </w:pPr>
    </w:p>
    <w:p w14:paraId="5DB10A8E" w14:textId="77777777" w:rsidR="00F07075" w:rsidRDefault="005735CD">
      <w:pPr>
        <w:spacing w:line="360" w:lineRule="auto"/>
        <w:rPr>
          <w:rFonts w:ascii="Arial" w:hAnsi="Arial" w:cs="Arial"/>
          <w:b/>
          <w:bCs/>
        </w:rPr>
      </w:pPr>
      <w:r>
        <w:rPr>
          <w:rFonts w:ascii="Arial" w:hAnsi="Arial" w:cs="Arial"/>
          <w:b/>
          <w:bCs/>
        </w:rPr>
        <w:t>3.</w:t>
      </w:r>
      <w:r>
        <w:rPr>
          <w:rFonts w:ascii="Arial" w:hAnsi="Arial" w:cs="Arial"/>
          <w:b/>
          <w:bCs/>
        </w:rPr>
        <w:tab/>
        <w:t>PRELIMINARY LITERATURE REVIEW</w:t>
      </w:r>
    </w:p>
    <w:p w14:paraId="6BEECCF0" w14:textId="77777777" w:rsidR="00F07075" w:rsidRDefault="005735CD">
      <w:pPr>
        <w:spacing w:line="360" w:lineRule="auto"/>
        <w:rPr>
          <w:rFonts w:ascii="Arial" w:hAnsi="Arial" w:cs="Arial"/>
          <w:b/>
          <w:bCs/>
        </w:rPr>
      </w:pPr>
      <w:r>
        <w:rPr>
          <w:rFonts w:ascii="Arial" w:hAnsi="Arial" w:cs="Arial"/>
          <w:b/>
          <w:bCs/>
        </w:rPr>
        <w:t>Theoretical Framework</w:t>
      </w:r>
    </w:p>
    <w:p w14:paraId="43390DD8" w14:textId="77777777" w:rsidR="00F07075" w:rsidRDefault="005735CD">
      <w:pPr>
        <w:spacing w:line="360" w:lineRule="auto"/>
        <w:rPr>
          <w:rFonts w:ascii="Arial" w:hAnsi="Arial" w:cs="Arial"/>
        </w:rPr>
      </w:pPr>
      <w:r>
        <w:rPr>
          <w:rFonts w:ascii="Arial" w:hAnsi="Arial" w:cs="Arial"/>
        </w:rPr>
        <w:t xml:space="preserve">Employee turnover scholarship distinguishes between voluntary turnover (employee-initiated departures) and involuntary turnover (organization-initiated terminations), with voluntary turnover representing the primary NHS concern (Adams et al., 2007). Contemporary research emphasizes the Job Demands-Resources (JD-R) model, which posits that turnover results from sustained imbalance between job demands (workload, emotional requirements) and available resources (autonomy, social support, development opportunities), leading </w:t>
      </w:r>
      <w:r>
        <w:rPr>
          <w:rFonts w:ascii="Arial" w:hAnsi="Arial" w:cs="Arial"/>
        </w:rPr>
        <w:lastRenderedPageBreak/>
        <w:t>progressively to burnout, disengagement, and ultimately departure (Saunders et al., 2019). The JD-R framework proves particularly salient within healthcare contexts characterized by inherently high emotional demands and frequently constrained resources.</w:t>
      </w:r>
    </w:p>
    <w:p w14:paraId="7ED4FEA4" w14:textId="77777777" w:rsidR="00F07075" w:rsidRDefault="00F07075">
      <w:pPr>
        <w:spacing w:line="360" w:lineRule="auto"/>
        <w:rPr>
          <w:rFonts w:ascii="Arial" w:hAnsi="Arial" w:cs="Arial"/>
        </w:rPr>
      </w:pPr>
    </w:p>
    <w:p w14:paraId="4C39DE5A" w14:textId="77777777" w:rsidR="00F07075" w:rsidRDefault="005735CD">
      <w:pPr>
        <w:spacing w:line="360" w:lineRule="auto"/>
        <w:rPr>
          <w:rFonts w:ascii="Arial" w:hAnsi="Arial" w:cs="Arial"/>
          <w:b/>
          <w:bCs/>
        </w:rPr>
      </w:pPr>
      <w:r>
        <w:rPr>
          <w:rFonts w:ascii="Arial" w:hAnsi="Arial" w:cs="Arial"/>
          <w:b/>
          <w:bCs/>
        </w:rPr>
        <w:t>Current State of NHS Workforce Turnover</w:t>
      </w:r>
    </w:p>
    <w:p w14:paraId="6313F770" w14:textId="77777777" w:rsidR="00F07075" w:rsidRDefault="005735CD">
      <w:pPr>
        <w:spacing w:line="360" w:lineRule="auto"/>
        <w:rPr>
          <w:rFonts w:ascii="Arial" w:hAnsi="Arial" w:cs="Arial"/>
        </w:rPr>
      </w:pPr>
      <w:r>
        <w:rPr>
          <w:rFonts w:ascii="Arial" w:hAnsi="Arial" w:cs="Arial"/>
        </w:rPr>
        <w:t>Buchan et al. (2022) documented that NHS turnover rates increased 23% over five years, with concentrations among staff with 2-5 years' experience—a 'leaky pipeline representing significant loss of organizational investment. NHS Digital (2023) report substantial variation across professional groups: nursing and midwifery (14.5%), allied health professionals (12.1%), medical and dental staff (7.8%), and support staff (9.4%), suggesting category-specific drivers require tailored interventions. Geographic disparities are equally pronounced, with London and Southeast regions experiencing turnover rates 30-40% above national averages, attributed to intensified private sector competition, elevated living costs, and greater alternative employment opportunities (NHS Employers, 2022).</w:t>
      </w:r>
    </w:p>
    <w:p w14:paraId="10086E3D" w14:textId="77777777" w:rsidR="00F07075" w:rsidRDefault="00F07075">
      <w:pPr>
        <w:spacing w:line="360" w:lineRule="auto"/>
        <w:rPr>
          <w:rFonts w:ascii="Arial" w:hAnsi="Arial" w:cs="Arial"/>
          <w:b/>
          <w:bCs/>
        </w:rPr>
      </w:pPr>
    </w:p>
    <w:p w14:paraId="2E79D8E0" w14:textId="77777777" w:rsidR="00F07075" w:rsidRDefault="005735CD">
      <w:pPr>
        <w:spacing w:line="360" w:lineRule="auto"/>
        <w:rPr>
          <w:rFonts w:ascii="Arial" w:hAnsi="Arial" w:cs="Arial"/>
          <w:b/>
          <w:bCs/>
        </w:rPr>
      </w:pPr>
      <w:r>
        <w:rPr>
          <w:rFonts w:ascii="Arial" w:hAnsi="Arial" w:cs="Arial"/>
          <w:b/>
          <w:bCs/>
        </w:rPr>
        <w:t>Drivers of Turnover: Organisational and Managerial Factors</w:t>
      </w:r>
    </w:p>
    <w:p w14:paraId="1381E47E" w14:textId="77777777" w:rsidR="00F07075" w:rsidRDefault="005735CD">
      <w:pPr>
        <w:spacing w:line="360" w:lineRule="auto"/>
        <w:rPr>
          <w:rFonts w:ascii="Arial" w:hAnsi="Arial" w:cs="Arial"/>
        </w:rPr>
      </w:pPr>
      <w:r>
        <w:rPr>
          <w:rFonts w:ascii="Arial" w:hAnsi="Arial" w:cs="Arial"/>
        </w:rPr>
        <w:t>Organizational factors consistently emerged as significant predictors of turnover. West et al. (2022) demonstrated that clinical areas operating with below-recommended nurse-to-patient ratios experienced 40% higher turnover rates. NHS Employers (2022) evidence indicates that organizations exhibiting positive cultures— characterized by psychological safety, genuine inclusivity, and staff engagement—demonstrate turnover rates 30% lower than organizations with poor cultural climates. Transformational leadership, - characterized by inspirational motivation, intellectual stimulation, and individualized consideration, consistently associated with higher job satisfaction and reduced turnover intentions (Walliman, 2004). Middle managers, particularly ward managers, occupy pivotal positions and frequently lack adequate preparation, leaving them ill-equipped to navigate team dynamics and providing developmental opportunities crucial for retention (West et al., 2022; Buchan et al., 2022).</w:t>
      </w:r>
    </w:p>
    <w:p w14:paraId="79276473" w14:textId="77777777" w:rsidR="00F07075" w:rsidRDefault="00F07075">
      <w:pPr>
        <w:spacing w:line="360" w:lineRule="auto"/>
        <w:rPr>
          <w:rFonts w:ascii="Arial" w:hAnsi="Arial" w:cs="Arial"/>
        </w:rPr>
      </w:pPr>
    </w:p>
    <w:p w14:paraId="77459632" w14:textId="77777777" w:rsidR="00F07075" w:rsidRDefault="005735CD">
      <w:pPr>
        <w:spacing w:line="360" w:lineRule="auto"/>
        <w:rPr>
          <w:rFonts w:ascii="Arial" w:hAnsi="Arial" w:cs="Arial"/>
          <w:b/>
          <w:bCs/>
        </w:rPr>
      </w:pPr>
      <w:r>
        <w:rPr>
          <w:rFonts w:ascii="Arial" w:hAnsi="Arial" w:cs="Arial"/>
          <w:b/>
          <w:bCs/>
        </w:rPr>
        <w:t>Individual Factors and Post-Pandemic Dynamics</w:t>
      </w:r>
    </w:p>
    <w:p w14:paraId="439FF745" w14:textId="77777777" w:rsidR="00F07075" w:rsidRDefault="005735CD">
      <w:pPr>
        <w:spacing w:line="360" w:lineRule="auto"/>
        <w:rPr>
          <w:rFonts w:ascii="Arial" w:hAnsi="Arial" w:cs="Arial"/>
        </w:rPr>
      </w:pPr>
      <w:r>
        <w:rPr>
          <w:rFonts w:ascii="Arial" w:hAnsi="Arial" w:cs="Arial"/>
        </w:rPr>
        <w:t xml:space="preserve">Career aspirations vary considerably, with generational differences emerging, as younger NHS staff demonstrate stronger preferences for flexible working arrangements, rapid career progression, and meaningful work (Cooper and Schindler, 2014). Burnout is a critical factor, with approximately 40% of NHS staff reporting high emotional exhaustion which is strongly </w:t>
      </w:r>
      <w:r>
        <w:rPr>
          <w:rFonts w:ascii="Arial" w:hAnsi="Arial" w:cs="Arial"/>
        </w:rPr>
        <w:lastRenderedPageBreak/>
        <w:t>predictive of turnover (Crowther and Lancaster, 2009). The pandemic fundamentally altered healthcare workforce dynamics, with NHS frontline staff reporting substantially higher turnover intention. Contributing factors include inadequate personal protective equipment, communication failures, and the absence of psychological support (NHS Employers, 2022). The post-pandemic workforce expectations have shifted fundamentally, with staff increasingly prioritizing flexible working arrangements, comprehensive well-being support, and meaningful organizational communication.</w:t>
      </w:r>
    </w:p>
    <w:p w14:paraId="6ADDFCB0" w14:textId="77777777" w:rsidR="00F07075" w:rsidRDefault="00F07075">
      <w:pPr>
        <w:spacing w:line="360" w:lineRule="auto"/>
        <w:rPr>
          <w:rFonts w:ascii="Arial" w:hAnsi="Arial" w:cs="Arial"/>
          <w:b/>
          <w:bCs/>
        </w:rPr>
      </w:pPr>
    </w:p>
    <w:p w14:paraId="6133D7FB" w14:textId="77777777" w:rsidR="00F07075" w:rsidRDefault="005735CD">
      <w:pPr>
        <w:spacing w:line="360" w:lineRule="auto"/>
        <w:rPr>
          <w:rFonts w:ascii="Arial" w:hAnsi="Arial" w:cs="Arial"/>
          <w:b/>
          <w:bCs/>
        </w:rPr>
      </w:pPr>
      <w:r>
        <w:rPr>
          <w:rFonts w:ascii="Arial" w:hAnsi="Arial" w:cs="Arial"/>
          <w:b/>
          <w:bCs/>
        </w:rPr>
        <w:t>Retention Interventions and Literature Gaps</w:t>
      </w:r>
    </w:p>
    <w:p w14:paraId="1CF1B5B1" w14:textId="77777777" w:rsidR="00F07075" w:rsidRDefault="005735CD">
      <w:pPr>
        <w:spacing w:line="360" w:lineRule="auto"/>
        <w:rPr>
          <w:rFonts w:ascii="Arial" w:hAnsi="Arial" w:cs="Arial"/>
        </w:rPr>
      </w:pPr>
      <w:r>
        <w:rPr>
          <w:rFonts w:ascii="Arial" w:hAnsi="Arial" w:cs="Arial"/>
        </w:rPr>
        <w:t>Financial incentives demonstrate limited long-term effectiveness, with research indicating temporary turnover reductions reverting to the baseline once incentives normalize (Buchan et al., 2022). More promising approaches include comprehensive induction programs, structured career development pathways, flexible working arrangements, enhanced support for well-being, and leadership development (Adams et al., 2007). However, the evidence of robust comparative effectiveness remains limited. Critical gaps warrant investigation: limited research examining the interaction between organizational and individual factors; insufficient longitudinal research tracking patterns over extended periods; scarce evidence regarding strategies that are specifically effective for different staff groups; and inadequate exploration of post-pandemic workforce dynamics (Saunders et al., 2019).</w:t>
      </w:r>
    </w:p>
    <w:p w14:paraId="7FD4044A" w14:textId="77777777" w:rsidR="00F07075" w:rsidRDefault="00F07075">
      <w:pPr>
        <w:spacing w:line="360" w:lineRule="auto"/>
        <w:rPr>
          <w:rFonts w:ascii="Arial" w:hAnsi="Arial" w:cs="Arial"/>
        </w:rPr>
      </w:pPr>
    </w:p>
    <w:p w14:paraId="03B5858B" w14:textId="77777777" w:rsidR="00F07075" w:rsidRDefault="005735CD">
      <w:pPr>
        <w:spacing w:line="360" w:lineRule="auto"/>
        <w:rPr>
          <w:rFonts w:ascii="Arial" w:hAnsi="Arial" w:cs="Arial"/>
          <w:b/>
          <w:bCs/>
        </w:rPr>
      </w:pPr>
      <w:r>
        <w:rPr>
          <w:rFonts w:ascii="Arial" w:hAnsi="Arial" w:cs="Arial"/>
          <w:b/>
          <w:bCs/>
        </w:rPr>
        <w:t>4.</w:t>
      </w:r>
      <w:r>
        <w:rPr>
          <w:rFonts w:ascii="Arial" w:hAnsi="Arial" w:cs="Arial"/>
          <w:b/>
          <w:bCs/>
        </w:rPr>
        <w:tab/>
        <w:t>RESEARCH METHODOLOGY &amp; DESIGN</w:t>
      </w:r>
    </w:p>
    <w:p w14:paraId="65D0E64F" w14:textId="77777777" w:rsidR="00F07075" w:rsidRDefault="005735CD">
      <w:pPr>
        <w:spacing w:line="360" w:lineRule="auto"/>
        <w:rPr>
          <w:rFonts w:ascii="Arial" w:hAnsi="Arial" w:cs="Arial"/>
          <w:b/>
          <w:bCs/>
        </w:rPr>
      </w:pPr>
      <w:r>
        <w:rPr>
          <w:rFonts w:ascii="Arial" w:hAnsi="Arial" w:cs="Arial"/>
          <w:b/>
          <w:bCs/>
        </w:rPr>
        <w:t>Research Philosophy and Approach</w:t>
      </w:r>
    </w:p>
    <w:p w14:paraId="1A20431D" w14:textId="77777777" w:rsidR="00F07075" w:rsidRDefault="005735CD">
      <w:pPr>
        <w:spacing w:line="360" w:lineRule="auto"/>
        <w:rPr>
          <w:rFonts w:ascii="Arial" w:hAnsi="Arial" w:cs="Arial"/>
        </w:rPr>
      </w:pPr>
      <w:r>
        <w:rPr>
          <w:rFonts w:ascii="Arial" w:hAnsi="Arial" w:cs="Arial"/>
        </w:rPr>
        <w:t>This study adopts a pragmatist philosophical stance, recognizing that understanding complex organizational phenomena requires methodological pluralism (Saunders et al., 2019). The research employed a sequential explanatory mixed-methods design, integrating quantitative and qualitative approaches sequentially: initial quantitative analysis identifying turnover patterns and statistical relationships, followed by qualitative investigation exploring these patterns through staff perspectives. This methodological triangulation enhances the validity through the convergence of multiple evidence sources.</w:t>
      </w:r>
    </w:p>
    <w:p w14:paraId="62BB5DEA" w14:textId="77777777" w:rsidR="00F07075" w:rsidRDefault="00F07075">
      <w:pPr>
        <w:spacing w:line="360" w:lineRule="auto"/>
        <w:rPr>
          <w:rFonts w:ascii="Arial" w:hAnsi="Arial" w:cs="Arial"/>
          <w:b/>
          <w:bCs/>
        </w:rPr>
      </w:pPr>
    </w:p>
    <w:p w14:paraId="490EC48E" w14:textId="77777777" w:rsidR="00F07075" w:rsidRDefault="005735CD">
      <w:pPr>
        <w:spacing w:line="360" w:lineRule="auto"/>
        <w:rPr>
          <w:rFonts w:ascii="Arial" w:hAnsi="Arial" w:cs="Arial"/>
          <w:b/>
          <w:bCs/>
        </w:rPr>
      </w:pPr>
      <w:r>
        <w:rPr>
          <w:rFonts w:ascii="Arial" w:hAnsi="Arial" w:cs="Arial"/>
          <w:b/>
          <w:bCs/>
        </w:rPr>
        <w:t>Phase 1: Quantitative Component</w:t>
      </w:r>
    </w:p>
    <w:p w14:paraId="569760AA" w14:textId="77777777" w:rsidR="00F07075" w:rsidRDefault="005735CD">
      <w:pPr>
        <w:spacing w:line="360" w:lineRule="auto"/>
        <w:rPr>
          <w:rFonts w:ascii="Arial" w:hAnsi="Arial" w:cs="Arial"/>
        </w:rPr>
      </w:pPr>
      <w:r w:rsidRPr="003D6D9A">
        <w:rPr>
          <w:rFonts w:ascii="Arial" w:hAnsi="Arial" w:cs="Arial"/>
          <w:b/>
          <w:bCs/>
        </w:rPr>
        <w:lastRenderedPageBreak/>
        <w:t>Data Sources</w:t>
      </w:r>
      <w:r>
        <w:rPr>
          <w:rFonts w:ascii="Arial" w:hAnsi="Arial" w:cs="Arial"/>
        </w:rPr>
        <w:t>: Secondary analysis of NHS Digital Workforce Statistics (three-year longitudinal dataset, 2021-2024) and anonymized HR data from three participating NHS trusts representing diverse contexts (urban teaching hospital, district general hospital, and community trust).</w:t>
      </w:r>
    </w:p>
    <w:p w14:paraId="086434E0" w14:textId="77777777" w:rsidR="00F07075" w:rsidRDefault="005735CD">
      <w:pPr>
        <w:spacing w:line="360" w:lineRule="auto"/>
        <w:rPr>
          <w:rFonts w:ascii="Arial" w:hAnsi="Arial" w:cs="Arial"/>
        </w:rPr>
      </w:pPr>
      <w:r w:rsidRPr="003B047B">
        <w:rPr>
          <w:rFonts w:ascii="Arial" w:hAnsi="Arial" w:cs="Arial"/>
          <w:b/>
          <w:bCs/>
        </w:rPr>
        <w:t>Variables</w:t>
      </w:r>
      <w:r>
        <w:rPr>
          <w:rFonts w:ascii="Arial" w:hAnsi="Arial" w:cs="Arial"/>
        </w:rPr>
        <w:t>: Dependent: Employee turnover (binary: stayed/left); Independent: Individual factors (age, gender, professional category, band, tenure), organizational factors (trust size, CQC rating, geographical location, and vacancy rates), and team factors (staff-to-patient ratios, team size).</w:t>
      </w:r>
    </w:p>
    <w:p w14:paraId="074D240F" w14:textId="77777777" w:rsidR="00F07075" w:rsidRDefault="005735CD">
      <w:pPr>
        <w:spacing w:line="360" w:lineRule="auto"/>
        <w:rPr>
          <w:rFonts w:ascii="Arial" w:hAnsi="Arial" w:cs="Arial"/>
        </w:rPr>
      </w:pPr>
      <w:r w:rsidRPr="003B047B">
        <w:rPr>
          <w:rFonts w:ascii="Arial" w:hAnsi="Arial" w:cs="Arial"/>
          <w:b/>
          <w:bCs/>
        </w:rPr>
        <w:t>Analysis</w:t>
      </w:r>
      <w:r>
        <w:rPr>
          <w:rFonts w:ascii="Arial" w:hAnsi="Arial" w:cs="Arial"/>
        </w:rPr>
        <w:t>: Descriptive statistics characterizing turnover patterns; chi-square tests and t-tests examining bivariate associations; logistic regression modelling predicting turnover probability while controlling for confounding variables using hierarchical entry (individual → organizational → interaction terms). Analysis was performed using SPSS (version 29.0; α = 0.05).</w:t>
      </w:r>
    </w:p>
    <w:p w14:paraId="356D0D25" w14:textId="77777777" w:rsidR="00F07075" w:rsidRDefault="00F07075">
      <w:pPr>
        <w:spacing w:line="360" w:lineRule="auto"/>
        <w:rPr>
          <w:rFonts w:ascii="Arial" w:hAnsi="Arial" w:cs="Arial"/>
        </w:rPr>
      </w:pPr>
    </w:p>
    <w:p w14:paraId="339E1909" w14:textId="77777777" w:rsidR="00F07075" w:rsidRDefault="005735CD">
      <w:pPr>
        <w:spacing w:line="360" w:lineRule="auto"/>
        <w:rPr>
          <w:rFonts w:ascii="Arial" w:hAnsi="Arial" w:cs="Arial"/>
          <w:b/>
          <w:bCs/>
        </w:rPr>
      </w:pPr>
      <w:r>
        <w:rPr>
          <w:rFonts w:ascii="Arial" w:hAnsi="Arial" w:cs="Arial"/>
          <w:b/>
          <w:bCs/>
        </w:rPr>
        <w:t>Phase 2: Qualitative Component</w:t>
      </w:r>
    </w:p>
    <w:p w14:paraId="53334AE1" w14:textId="77777777" w:rsidR="00F07075" w:rsidRDefault="005735CD">
      <w:pPr>
        <w:spacing w:line="360" w:lineRule="auto"/>
        <w:rPr>
          <w:rFonts w:ascii="Arial" w:hAnsi="Arial" w:cs="Arial"/>
        </w:rPr>
      </w:pPr>
      <w:r w:rsidRPr="003D6D9A">
        <w:rPr>
          <w:rFonts w:ascii="Arial" w:hAnsi="Arial" w:cs="Arial"/>
          <w:b/>
          <w:bCs/>
        </w:rPr>
        <w:t>Method</w:t>
      </w:r>
      <w:r>
        <w:rPr>
          <w:rFonts w:ascii="Arial" w:hAnsi="Arial" w:cs="Arial"/>
        </w:rPr>
        <w:t>: Semi-structured interviews (5-8 minutes) enable in-depth exploration while maintaining systematic coverage of research themes (Walliman, 2004).</w:t>
      </w:r>
    </w:p>
    <w:p w14:paraId="71CC870E" w14:textId="77777777" w:rsidR="00F07075" w:rsidRDefault="005735CD">
      <w:pPr>
        <w:spacing w:line="360" w:lineRule="auto"/>
        <w:rPr>
          <w:rFonts w:ascii="Arial" w:hAnsi="Arial" w:cs="Arial"/>
        </w:rPr>
      </w:pPr>
      <w:r w:rsidRPr="008771B6">
        <w:rPr>
          <w:rFonts w:ascii="Arial" w:hAnsi="Arial" w:cs="Arial"/>
          <w:b/>
          <w:bCs/>
        </w:rPr>
        <w:t>Sampling</w:t>
      </w:r>
      <w:r>
        <w:rPr>
          <w:rFonts w:ascii="Arial" w:hAnsi="Arial" w:cs="Arial"/>
        </w:rPr>
        <w:t>: Purposive maximum variation sampling recruiting 10 participants representing: professional categories (nursing n=10-12, medical n=5-6, allied health n=4-5, support staff n=4-5); seniority levels; employment intentions (recently joined, established employees, staff considering departure); demographics (age, gender, ethnicity); geographical contexts across three collaborating trusts.</w:t>
      </w:r>
    </w:p>
    <w:p w14:paraId="4E6624D0" w14:textId="77777777" w:rsidR="00F07075" w:rsidRDefault="005735CD">
      <w:pPr>
        <w:spacing w:line="360" w:lineRule="auto"/>
        <w:rPr>
          <w:rFonts w:ascii="Arial" w:hAnsi="Arial" w:cs="Arial"/>
        </w:rPr>
      </w:pPr>
      <w:r w:rsidRPr="003D6D9A">
        <w:rPr>
          <w:rFonts w:ascii="Arial" w:hAnsi="Arial" w:cs="Arial"/>
          <w:b/>
          <w:bCs/>
        </w:rPr>
        <w:t>Interview Protocol</w:t>
      </w:r>
      <w:r>
        <w:rPr>
          <w:rFonts w:ascii="Arial" w:hAnsi="Arial" w:cs="Arial"/>
        </w:rPr>
        <w:t>: Addresses career trajectory and satisfaction, organizational culture and climate, management and leadership quality, workload and resources, retention initiative awareness and effectiveness, and turnover considerations.</w:t>
      </w:r>
    </w:p>
    <w:p w14:paraId="3F9F1BCD" w14:textId="77777777" w:rsidR="00F07075" w:rsidRDefault="005735CD">
      <w:pPr>
        <w:spacing w:line="360" w:lineRule="auto"/>
        <w:rPr>
          <w:rFonts w:ascii="Arial" w:hAnsi="Arial" w:cs="Arial"/>
        </w:rPr>
      </w:pPr>
      <w:r w:rsidRPr="003D6D9A">
        <w:rPr>
          <w:rFonts w:ascii="Arial" w:hAnsi="Arial" w:cs="Arial"/>
          <w:b/>
          <w:bCs/>
        </w:rPr>
        <w:t>Analysis</w:t>
      </w:r>
      <w:r>
        <w:rPr>
          <w:rFonts w:ascii="Arial" w:hAnsi="Arial" w:cs="Arial"/>
        </w:rPr>
        <w:t>: Thematic analysis following Braun and Clarke's (2006) six-phase framework using NVivo 14: Familiarization, initial coding, theme development, theme review, theme definition, and reporting. The analysis examines convergence and divergence between participant perspectives, integrating them with quantitative findings.</w:t>
      </w:r>
    </w:p>
    <w:p w14:paraId="55FA51F3" w14:textId="77777777" w:rsidR="00F07075" w:rsidRDefault="00F07075">
      <w:pPr>
        <w:spacing w:line="360" w:lineRule="auto"/>
        <w:rPr>
          <w:rFonts w:ascii="Arial" w:hAnsi="Arial" w:cs="Arial"/>
          <w:b/>
          <w:bCs/>
        </w:rPr>
      </w:pPr>
    </w:p>
    <w:p w14:paraId="7F26C63E" w14:textId="77777777" w:rsidR="00F07075" w:rsidRDefault="005735CD">
      <w:pPr>
        <w:spacing w:line="360" w:lineRule="auto"/>
        <w:rPr>
          <w:rFonts w:ascii="Arial" w:hAnsi="Arial" w:cs="Arial"/>
          <w:b/>
          <w:bCs/>
        </w:rPr>
      </w:pPr>
      <w:r>
        <w:rPr>
          <w:rFonts w:ascii="Arial" w:hAnsi="Arial" w:cs="Arial"/>
          <w:b/>
          <w:bCs/>
        </w:rPr>
        <w:t>Ethical Considerations</w:t>
      </w:r>
    </w:p>
    <w:p w14:paraId="0D90391B" w14:textId="77777777" w:rsidR="00F07075" w:rsidRDefault="005735CD">
      <w:pPr>
        <w:spacing w:line="360" w:lineRule="auto"/>
        <w:rPr>
          <w:rFonts w:ascii="Arial" w:hAnsi="Arial" w:cs="Arial"/>
        </w:rPr>
      </w:pPr>
      <w:r w:rsidRPr="00630AB8">
        <w:rPr>
          <w:rFonts w:ascii="Arial" w:hAnsi="Arial" w:cs="Arial"/>
          <w:b/>
          <w:bCs/>
        </w:rPr>
        <w:lastRenderedPageBreak/>
        <w:t>Approvals</w:t>
      </w:r>
      <w:r>
        <w:rPr>
          <w:rFonts w:ascii="Arial" w:hAnsi="Arial" w:cs="Arial"/>
        </w:rPr>
        <w:t>: University Research Ethics Committee, NHS Health Research Authority (IRAS), local R&amp;D approval from participating trusts, and NHS Information Governance approval.</w:t>
      </w:r>
    </w:p>
    <w:p w14:paraId="70EB6898" w14:textId="77777777" w:rsidR="00F07075" w:rsidRDefault="005735CD">
      <w:pPr>
        <w:spacing w:line="360" w:lineRule="auto"/>
        <w:rPr>
          <w:rFonts w:ascii="Arial" w:hAnsi="Arial" w:cs="Arial"/>
        </w:rPr>
      </w:pPr>
      <w:r w:rsidRPr="00630AB8">
        <w:rPr>
          <w:rFonts w:ascii="Arial" w:hAnsi="Arial" w:cs="Arial"/>
          <w:b/>
          <w:bCs/>
        </w:rPr>
        <w:t>Protections</w:t>
      </w:r>
      <w:r>
        <w:rPr>
          <w:rFonts w:ascii="Arial" w:hAnsi="Arial" w:cs="Arial"/>
        </w:rPr>
        <w:t>: Informed consent with detailed information sheets; complete data anonymization with pseudonyms; secure, encrypted storage; GDPR and Data Protection Act 2018 compliance; participant well-being support through signposting to employee assistance programs; researcher independence from NHS management emphasized, ensuring honest perspectives.</w:t>
      </w:r>
    </w:p>
    <w:p w14:paraId="12187A5F" w14:textId="77777777" w:rsidR="00F07075" w:rsidRDefault="00F07075">
      <w:pPr>
        <w:spacing w:line="360" w:lineRule="auto"/>
        <w:rPr>
          <w:rFonts w:ascii="Arial" w:hAnsi="Arial" w:cs="Arial"/>
          <w:b/>
          <w:bCs/>
        </w:rPr>
      </w:pPr>
    </w:p>
    <w:p w14:paraId="501B3865" w14:textId="77777777" w:rsidR="00F07075" w:rsidRDefault="005735CD">
      <w:pPr>
        <w:spacing w:line="360" w:lineRule="auto"/>
        <w:rPr>
          <w:rFonts w:ascii="Arial" w:hAnsi="Arial" w:cs="Arial"/>
          <w:b/>
          <w:bCs/>
        </w:rPr>
      </w:pPr>
      <w:r>
        <w:rPr>
          <w:rFonts w:ascii="Arial" w:hAnsi="Arial" w:cs="Arial"/>
          <w:b/>
          <w:bCs/>
        </w:rPr>
        <w:t>Research Limitations and Mitigation</w:t>
      </w:r>
    </w:p>
    <w:p w14:paraId="3F4F6923" w14:textId="77777777" w:rsidR="00F07075" w:rsidRDefault="005735CD">
      <w:pPr>
        <w:spacing w:line="360" w:lineRule="auto"/>
        <w:rPr>
          <w:rFonts w:ascii="Arial" w:hAnsi="Arial" w:cs="Arial"/>
        </w:rPr>
      </w:pPr>
      <w:r>
        <w:rPr>
          <w:rFonts w:ascii="Arial" w:hAnsi="Arial" w:cs="Arial"/>
        </w:rPr>
        <w:t>Self-selection bias: Mitigated through diverse recruitment strategies and purposive sampling across employment intentions. Retrospective recall bias: Addressed through triangulation with quantitative data and member checking. Social desirability bias: Mitigated through confidentiality assurances and neutral questioning. Limited generalisability: Acknowledged explicitly with transparent reporting of context enabling transferability assessment.</w:t>
      </w:r>
    </w:p>
    <w:p w14:paraId="64813383" w14:textId="77777777" w:rsidR="00F07075" w:rsidRDefault="00F07075">
      <w:pPr>
        <w:spacing w:line="360" w:lineRule="auto"/>
        <w:rPr>
          <w:rFonts w:ascii="Arial" w:hAnsi="Arial" w:cs="Arial"/>
        </w:rPr>
      </w:pPr>
    </w:p>
    <w:p w14:paraId="4BA21396" w14:textId="77777777" w:rsidR="00F07075" w:rsidRDefault="005735CD">
      <w:pPr>
        <w:spacing w:line="360" w:lineRule="auto"/>
      </w:pPr>
      <w:r>
        <w:rPr>
          <w:rFonts w:ascii="Arial" w:hAnsi="Arial" w:cs="Arial"/>
        </w:rPr>
        <w:t>5.</w:t>
      </w:r>
      <w:r>
        <w:rPr>
          <w:rFonts w:ascii="Arial" w:hAnsi="Arial" w:cs="Arial"/>
        </w:rPr>
        <w:tab/>
      </w:r>
      <w:r>
        <w:rPr>
          <w:rFonts w:ascii="Arial" w:hAnsi="Arial" w:cs="Arial"/>
          <w:b/>
          <w:bCs/>
        </w:rPr>
        <w:t>BUSINESS RELEVANCE &amp; PRACTICAL IMPLICATIONS</w:t>
      </w:r>
    </w:p>
    <w:p w14:paraId="23D64A05" w14:textId="77777777" w:rsidR="00F07075" w:rsidRDefault="005735CD">
      <w:pPr>
        <w:spacing w:line="360" w:lineRule="auto"/>
        <w:rPr>
          <w:rFonts w:ascii="Arial" w:hAnsi="Arial" w:cs="Arial"/>
        </w:rPr>
      </w:pPr>
      <w:r>
        <w:rPr>
          <w:rFonts w:ascii="Arial" w:hAnsi="Arial" w:cs="Arial"/>
        </w:rPr>
        <w:t>This study addressed a critical business problem with substantial practical implications. The £1.3 billion annual turnover cost represents a direct financial burden, while costs extend to compromised service quality, diminished patient safety, and reputational damage (NHS Employers, 2022). By rigorously identifying key turnover drivers and evaluating the effectiveness of retention strategies, this research equips NHS managers with evidence-based insights, enabling resource optimization, targeted interventions, strategic workforce planning, and cultural transformation initiatives.</w:t>
      </w:r>
    </w:p>
    <w:p w14:paraId="6EE26433" w14:textId="77777777" w:rsidR="00F07075" w:rsidRDefault="00F07075">
      <w:pPr>
        <w:spacing w:line="360" w:lineRule="auto"/>
        <w:rPr>
          <w:rFonts w:ascii="Arial" w:hAnsi="Arial" w:cs="Arial"/>
          <w:b/>
          <w:bCs/>
        </w:rPr>
      </w:pPr>
    </w:p>
    <w:p w14:paraId="7E2AF62E" w14:textId="77777777" w:rsidR="00F07075" w:rsidRDefault="005735CD">
      <w:pPr>
        <w:spacing w:line="360" w:lineRule="auto"/>
        <w:rPr>
          <w:rFonts w:ascii="Arial" w:hAnsi="Arial" w:cs="Arial"/>
          <w:b/>
          <w:bCs/>
        </w:rPr>
      </w:pPr>
      <w:r>
        <w:rPr>
          <w:rFonts w:ascii="Arial" w:hAnsi="Arial" w:cs="Arial"/>
          <w:b/>
          <w:bCs/>
        </w:rPr>
        <w:t>Informing Strategic Decision-Making</w:t>
      </w:r>
    </w:p>
    <w:p w14:paraId="51333414" w14:textId="77777777" w:rsidR="00F07075" w:rsidRDefault="005735CD">
      <w:pPr>
        <w:spacing w:line="360" w:lineRule="auto"/>
        <w:rPr>
          <w:rFonts w:ascii="Arial" w:hAnsi="Arial" w:cs="Arial"/>
        </w:rPr>
      </w:pPr>
      <w:r>
        <w:rPr>
          <w:rFonts w:ascii="Arial" w:hAnsi="Arial" w:cs="Arial"/>
        </w:rPr>
        <w:t>Trust-Level Strategic Planning: Senior leadership requires an evidence-based understanding of how trust-wide policies affect workforce stability and guide investment priorities in well-being programs, leadership development, and workload management.</w:t>
      </w:r>
    </w:p>
    <w:p w14:paraId="3461B65D" w14:textId="77777777" w:rsidR="00F07075" w:rsidRDefault="005735CD">
      <w:pPr>
        <w:spacing w:line="360" w:lineRule="auto"/>
        <w:rPr>
          <w:rFonts w:ascii="Arial" w:hAnsi="Arial" w:cs="Arial"/>
        </w:rPr>
      </w:pPr>
      <w:r>
        <w:rPr>
          <w:rFonts w:ascii="Arial" w:hAnsi="Arial" w:cs="Arial"/>
        </w:rPr>
        <w:t>Operational Management Guidance: Ward managers and clinical leads require practical guidance on day-to-day management practices that influence retention, including specific communication approaches, recognition practices, and team dynamics fostering retention.</w:t>
      </w:r>
    </w:p>
    <w:p w14:paraId="239DD21F" w14:textId="77777777" w:rsidR="00F07075" w:rsidRDefault="00F07075">
      <w:pPr>
        <w:spacing w:line="360" w:lineRule="auto"/>
        <w:rPr>
          <w:rFonts w:ascii="Arial" w:hAnsi="Arial" w:cs="Arial"/>
        </w:rPr>
      </w:pPr>
    </w:p>
    <w:p w14:paraId="7892BBE9" w14:textId="77777777" w:rsidR="00F07075" w:rsidRDefault="005735CD">
      <w:pPr>
        <w:spacing w:line="360" w:lineRule="auto"/>
        <w:rPr>
          <w:rFonts w:ascii="Arial" w:hAnsi="Arial" w:cs="Arial"/>
        </w:rPr>
      </w:pPr>
      <w:r>
        <w:rPr>
          <w:rFonts w:ascii="Arial" w:hAnsi="Arial" w:cs="Arial"/>
        </w:rPr>
        <w:lastRenderedPageBreak/>
        <w:t>National Policy Development: NHS England requires evidence regarding system-level factors to inform the national workforce strategy, resource allocation across regions, policy initiatives addressing structural barriers, and long-term workforce sustainability planning.</w:t>
      </w:r>
    </w:p>
    <w:p w14:paraId="303FD2E1" w14:textId="77777777" w:rsidR="00F07075" w:rsidRDefault="00F07075">
      <w:pPr>
        <w:spacing w:line="360" w:lineRule="auto"/>
        <w:rPr>
          <w:rFonts w:ascii="Arial" w:hAnsi="Arial" w:cs="Arial"/>
        </w:rPr>
      </w:pPr>
    </w:p>
    <w:p w14:paraId="1B89D7AF" w14:textId="77777777" w:rsidR="00F07075" w:rsidRDefault="005735CD">
      <w:pPr>
        <w:spacing w:line="360" w:lineRule="auto"/>
        <w:rPr>
          <w:rFonts w:ascii="Arial" w:hAnsi="Arial" w:cs="Arial"/>
          <w:b/>
          <w:bCs/>
        </w:rPr>
      </w:pPr>
      <w:r>
        <w:rPr>
          <w:rFonts w:ascii="Arial" w:hAnsi="Arial" w:cs="Arial"/>
          <w:b/>
          <w:bCs/>
        </w:rPr>
        <w:t>Benefits for Multiple Stakeholders</w:t>
      </w:r>
    </w:p>
    <w:p w14:paraId="1224152A" w14:textId="77777777" w:rsidR="00F07075" w:rsidRDefault="005735CD">
      <w:pPr>
        <w:spacing w:line="360" w:lineRule="auto"/>
        <w:rPr>
          <w:rFonts w:ascii="Arial" w:hAnsi="Arial" w:cs="Arial"/>
        </w:rPr>
      </w:pPr>
      <w:r>
        <w:rPr>
          <w:rFonts w:ascii="Arial" w:hAnsi="Arial" w:cs="Arial"/>
        </w:rPr>
        <w:t>NHS Staff, GPs, Doctors, Nurses: Enhanced working conditions, superior career development opportunities, improved well-being support, greater work-life balance, and increased job satisfaction.</w:t>
      </w:r>
    </w:p>
    <w:p w14:paraId="0D4CB5C4" w14:textId="77777777" w:rsidR="00F07075" w:rsidRDefault="005735CD">
      <w:pPr>
        <w:spacing w:line="360" w:lineRule="auto"/>
        <w:rPr>
          <w:rFonts w:ascii="Arial" w:hAnsi="Arial" w:cs="Arial"/>
        </w:rPr>
      </w:pPr>
      <w:r>
        <w:rPr>
          <w:rFonts w:ascii="Arial" w:hAnsi="Arial" w:cs="Arial"/>
        </w:rPr>
        <w:t>Patients: Improved care continuity through stable care teams, enhanced service quality, superior safety outcomes through experienced clinicians, and reduced waiting times.</w:t>
      </w:r>
    </w:p>
    <w:p w14:paraId="52E5DAF2" w14:textId="77777777" w:rsidR="00F07075" w:rsidRDefault="005735CD">
      <w:pPr>
        <w:spacing w:line="360" w:lineRule="auto"/>
        <w:rPr>
          <w:rFonts w:ascii="Arial" w:hAnsi="Arial" w:cs="Arial"/>
        </w:rPr>
      </w:pPr>
      <w:r>
        <w:rPr>
          <w:rFonts w:ascii="Arial" w:hAnsi="Arial" w:cs="Arial"/>
        </w:rPr>
        <w:t>NHS Organisations: Substantial cost savings redirectable to patient care, improved operational efficiency, enhanced employer reputation, better staff morale, and superior regulatory performance.</w:t>
      </w:r>
    </w:p>
    <w:p w14:paraId="570D5F56" w14:textId="77777777" w:rsidR="00F07075" w:rsidRDefault="005735CD">
      <w:pPr>
        <w:spacing w:line="360" w:lineRule="auto"/>
        <w:rPr>
          <w:rFonts w:ascii="Arial" w:hAnsi="Arial" w:cs="Arial"/>
        </w:rPr>
      </w:pPr>
      <w:r>
        <w:rPr>
          <w:rFonts w:ascii="Arial" w:hAnsi="Arial" w:cs="Arial"/>
        </w:rPr>
        <w:t>Society: Sustainable workforce management supporting long-term NHS viability, improved public health outcomes, enhanced public confidence, and better value for public investment.</w:t>
      </w:r>
    </w:p>
    <w:p w14:paraId="370F55E3" w14:textId="77777777" w:rsidR="00F07075" w:rsidRDefault="00F07075">
      <w:pPr>
        <w:spacing w:line="360" w:lineRule="auto"/>
        <w:rPr>
          <w:rFonts w:ascii="Arial" w:hAnsi="Arial" w:cs="Arial"/>
        </w:rPr>
      </w:pPr>
    </w:p>
    <w:p w14:paraId="625EB1AA" w14:textId="77777777" w:rsidR="00F07075" w:rsidRDefault="00F07075">
      <w:pPr>
        <w:spacing w:line="360" w:lineRule="auto"/>
        <w:rPr>
          <w:rFonts w:ascii="Arial" w:hAnsi="Arial" w:cs="Arial"/>
        </w:rPr>
      </w:pPr>
    </w:p>
    <w:p w14:paraId="65D2BC8B" w14:textId="77777777" w:rsidR="00F07075" w:rsidRDefault="00F07075">
      <w:pPr>
        <w:spacing w:line="360" w:lineRule="auto"/>
        <w:rPr>
          <w:rFonts w:ascii="Arial" w:hAnsi="Arial" w:cs="Arial"/>
        </w:rPr>
      </w:pPr>
    </w:p>
    <w:p w14:paraId="60980F03" w14:textId="77777777" w:rsidR="00F07075" w:rsidRDefault="00F07075">
      <w:pPr>
        <w:spacing w:line="360" w:lineRule="auto"/>
        <w:rPr>
          <w:rFonts w:ascii="Arial" w:hAnsi="Arial" w:cs="Arial"/>
        </w:rPr>
      </w:pPr>
    </w:p>
    <w:p w14:paraId="4484E338" w14:textId="77777777" w:rsidR="00F07075" w:rsidRDefault="00F07075">
      <w:pPr>
        <w:spacing w:line="360" w:lineRule="auto"/>
        <w:rPr>
          <w:rFonts w:ascii="Arial" w:hAnsi="Arial" w:cs="Arial"/>
        </w:rPr>
      </w:pPr>
    </w:p>
    <w:p w14:paraId="390DC239" w14:textId="77777777" w:rsidR="00F07075" w:rsidRDefault="00F07075">
      <w:pPr>
        <w:spacing w:line="360" w:lineRule="auto"/>
        <w:rPr>
          <w:rFonts w:ascii="Arial" w:hAnsi="Arial" w:cs="Arial"/>
        </w:rPr>
      </w:pPr>
    </w:p>
    <w:p w14:paraId="5FE0C73E" w14:textId="77777777" w:rsidR="00F07075" w:rsidRDefault="00F07075">
      <w:pPr>
        <w:spacing w:line="360" w:lineRule="auto"/>
        <w:rPr>
          <w:rFonts w:ascii="Arial" w:hAnsi="Arial" w:cs="Arial"/>
        </w:rPr>
      </w:pPr>
    </w:p>
    <w:p w14:paraId="4D487AC0" w14:textId="77777777" w:rsidR="00F07075" w:rsidRDefault="00F07075">
      <w:pPr>
        <w:spacing w:line="360" w:lineRule="auto"/>
        <w:rPr>
          <w:rFonts w:ascii="Arial" w:hAnsi="Arial" w:cs="Arial"/>
        </w:rPr>
      </w:pPr>
    </w:p>
    <w:p w14:paraId="709A00CC" w14:textId="77777777" w:rsidR="00F07075" w:rsidRDefault="00F07075">
      <w:pPr>
        <w:spacing w:line="360" w:lineRule="auto"/>
        <w:rPr>
          <w:rFonts w:ascii="Arial" w:hAnsi="Arial" w:cs="Arial"/>
        </w:rPr>
      </w:pPr>
    </w:p>
    <w:p w14:paraId="5F1D8546" w14:textId="77777777" w:rsidR="00F07075" w:rsidRDefault="00F07075">
      <w:pPr>
        <w:spacing w:line="360" w:lineRule="auto"/>
        <w:rPr>
          <w:rFonts w:ascii="Arial" w:hAnsi="Arial" w:cs="Arial"/>
        </w:rPr>
      </w:pPr>
    </w:p>
    <w:p w14:paraId="0A8EAF51" w14:textId="77777777" w:rsidR="00F07075" w:rsidRDefault="00F07075">
      <w:pPr>
        <w:spacing w:line="360" w:lineRule="auto"/>
        <w:rPr>
          <w:rFonts w:ascii="Arial" w:hAnsi="Arial" w:cs="Arial"/>
        </w:rPr>
      </w:pPr>
    </w:p>
    <w:p w14:paraId="1EE86495" w14:textId="77777777" w:rsidR="00F07075" w:rsidRDefault="00F07075">
      <w:pPr>
        <w:spacing w:line="360" w:lineRule="auto"/>
        <w:rPr>
          <w:rFonts w:ascii="Arial" w:hAnsi="Arial" w:cs="Arial"/>
        </w:rPr>
      </w:pPr>
    </w:p>
    <w:p w14:paraId="54677DC5" w14:textId="77777777" w:rsidR="00F07075" w:rsidRDefault="00F07075">
      <w:pPr>
        <w:spacing w:line="360" w:lineRule="auto"/>
        <w:rPr>
          <w:rFonts w:ascii="Arial" w:hAnsi="Arial" w:cs="Arial"/>
        </w:rPr>
      </w:pPr>
    </w:p>
    <w:p w14:paraId="2150E003" w14:textId="77777777" w:rsidR="00F07075" w:rsidRDefault="005735CD">
      <w:pPr>
        <w:spacing w:line="360" w:lineRule="auto"/>
      </w:pPr>
      <w:r>
        <w:rPr>
          <w:rFonts w:ascii="Arial" w:hAnsi="Arial" w:cs="Arial"/>
        </w:rPr>
        <w:lastRenderedPageBreak/>
        <w:t>6</w:t>
      </w:r>
      <w:r>
        <w:rPr>
          <w:rFonts w:ascii="Arial" w:hAnsi="Arial" w:cs="Arial"/>
          <w:b/>
          <w:bCs/>
        </w:rPr>
        <w:t>.</w:t>
      </w:r>
      <w:r>
        <w:rPr>
          <w:rFonts w:ascii="Arial" w:hAnsi="Arial" w:cs="Arial"/>
          <w:b/>
          <w:bCs/>
        </w:rPr>
        <w:tab/>
        <w:t>PLAN OF WORK AND TIME SCHEDULE</w:t>
      </w:r>
    </w:p>
    <w:p w14:paraId="3CD630D1" w14:textId="3B9D34BB" w:rsidR="00F07075" w:rsidRPr="00F63757" w:rsidRDefault="005735CD" w:rsidP="00F63757">
      <w:pPr>
        <w:spacing w:line="360" w:lineRule="auto"/>
        <w:rPr>
          <w:rFonts w:ascii="Arial" w:hAnsi="Arial" w:cs="Arial"/>
        </w:rPr>
      </w:pPr>
      <w:r>
        <w:rPr>
          <w:rFonts w:ascii="Arial" w:hAnsi="Arial" w:cs="Arial"/>
        </w:rPr>
        <w:t>This research will be conducted over 12 months in distinct phases to ensure systematic progression. The Gantt chart below illustrates this timeline:</w:t>
      </w:r>
      <w:bookmarkEnd w:id="0"/>
    </w:p>
    <w:tbl>
      <w:tblPr>
        <w:tblW w:w="9006" w:type="dxa"/>
        <w:tblCellMar>
          <w:left w:w="10" w:type="dxa"/>
          <w:right w:w="10" w:type="dxa"/>
        </w:tblCellMar>
        <w:tblLook w:val="0000" w:firstRow="0" w:lastRow="0" w:firstColumn="0" w:lastColumn="0" w:noHBand="0" w:noVBand="0"/>
      </w:tblPr>
      <w:tblGrid>
        <w:gridCol w:w="2077"/>
        <w:gridCol w:w="546"/>
        <w:gridCol w:w="547"/>
        <w:gridCol w:w="547"/>
        <w:gridCol w:w="547"/>
        <w:gridCol w:w="547"/>
        <w:gridCol w:w="547"/>
        <w:gridCol w:w="547"/>
        <w:gridCol w:w="547"/>
        <w:gridCol w:w="547"/>
        <w:gridCol w:w="669"/>
        <w:gridCol w:w="669"/>
        <w:gridCol w:w="669"/>
      </w:tblGrid>
      <w:tr w:rsidR="00F07075" w14:paraId="1AD4A0DF" w14:textId="77777777">
        <w:tc>
          <w:tcPr>
            <w:tcW w:w="2077" w:type="dxa"/>
            <w:tcBorders>
              <w:top w:val="single" w:sz="8" w:space="0" w:color="000000"/>
              <w:left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001B8B23" w14:textId="77777777" w:rsidR="00F07075" w:rsidRDefault="005735CD">
            <w:r>
              <w:rPr>
                <w:b/>
                <w:bCs/>
              </w:rPr>
              <w:t>Project Phase</w:t>
            </w:r>
          </w:p>
        </w:tc>
        <w:tc>
          <w:tcPr>
            <w:tcW w:w="546"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3BB55C96" w14:textId="77777777" w:rsidR="00F07075" w:rsidRDefault="005735CD">
            <w:r>
              <w:rPr>
                <w:b/>
                <w:bCs/>
              </w:rPr>
              <w:t>M1</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37ADBA0A" w14:textId="77777777" w:rsidR="00F07075" w:rsidRDefault="005735CD">
            <w:r>
              <w:rPr>
                <w:b/>
                <w:bCs/>
              </w:rPr>
              <w:t>M2</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1EC6E7CD" w14:textId="77777777" w:rsidR="00F07075" w:rsidRDefault="005735CD">
            <w:r>
              <w:rPr>
                <w:b/>
                <w:bCs/>
              </w:rPr>
              <w:t>M3</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4FB778F7" w14:textId="77777777" w:rsidR="00F07075" w:rsidRDefault="005735CD">
            <w:r>
              <w:rPr>
                <w:b/>
                <w:bCs/>
              </w:rPr>
              <w:t>M4</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4CA87F3C" w14:textId="77777777" w:rsidR="00F07075" w:rsidRDefault="005735CD">
            <w:r>
              <w:rPr>
                <w:b/>
                <w:bCs/>
              </w:rPr>
              <w:t>M5</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77260306" w14:textId="77777777" w:rsidR="00F07075" w:rsidRDefault="005735CD">
            <w:r>
              <w:rPr>
                <w:b/>
                <w:bCs/>
              </w:rPr>
              <w:t>M6</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084F0268" w14:textId="77777777" w:rsidR="00F07075" w:rsidRDefault="005735CD">
            <w:r>
              <w:rPr>
                <w:b/>
                <w:bCs/>
              </w:rPr>
              <w:t>M7</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5A1C01C2" w14:textId="77777777" w:rsidR="00F07075" w:rsidRDefault="005735CD">
            <w:r>
              <w:rPr>
                <w:b/>
                <w:bCs/>
              </w:rPr>
              <w:t>M8</w:t>
            </w:r>
          </w:p>
        </w:tc>
        <w:tc>
          <w:tcPr>
            <w:tcW w:w="547"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7F7C4F3B" w14:textId="77777777" w:rsidR="00F07075" w:rsidRDefault="005735CD">
            <w:r>
              <w:rPr>
                <w:b/>
                <w:bCs/>
              </w:rPr>
              <w:t>M9</w:t>
            </w:r>
          </w:p>
        </w:tc>
        <w:tc>
          <w:tcPr>
            <w:tcW w:w="669"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5EF88FE1" w14:textId="77777777" w:rsidR="00F07075" w:rsidRDefault="005735CD">
            <w:r>
              <w:rPr>
                <w:b/>
                <w:bCs/>
              </w:rPr>
              <w:t>M10</w:t>
            </w:r>
          </w:p>
        </w:tc>
        <w:tc>
          <w:tcPr>
            <w:tcW w:w="669"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00B497EA" w14:textId="77777777" w:rsidR="00F07075" w:rsidRDefault="005735CD">
            <w:r>
              <w:rPr>
                <w:b/>
                <w:bCs/>
              </w:rPr>
              <w:t>M11</w:t>
            </w:r>
          </w:p>
        </w:tc>
        <w:tc>
          <w:tcPr>
            <w:tcW w:w="669" w:type="dxa"/>
            <w:tcBorders>
              <w:top w:val="single" w:sz="8" w:space="0" w:color="000000"/>
              <w:bottom w:val="single" w:sz="8" w:space="0" w:color="000000"/>
              <w:right w:val="single" w:sz="8" w:space="0" w:color="000000"/>
            </w:tcBorders>
            <w:shd w:val="clear" w:color="auto" w:fill="D5E8F0"/>
            <w:tcMar>
              <w:top w:w="80" w:type="dxa"/>
              <w:left w:w="120" w:type="dxa"/>
              <w:bottom w:w="80" w:type="dxa"/>
              <w:right w:w="120" w:type="dxa"/>
            </w:tcMar>
          </w:tcPr>
          <w:p w14:paraId="2B349213" w14:textId="77777777" w:rsidR="00F07075" w:rsidRDefault="005735CD">
            <w:r>
              <w:rPr>
                <w:b/>
                <w:bCs/>
              </w:rPr>
              <w:t>M12</w:t>
            </w:r>
          </w:p>
        </w:tc>
      </w:tr>
      <w:tr w:rsidR="00F07075" w14:paraId="3B42765C"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6A2C524E" w14:textId="77777777" w:rsidR="00F07075" w:rsidRDefault="005735CD">
            <w:r>
              <w:t>Project Initiation &amp; Ethics</w:t>
            </w:r>
          </w:p>
        </w:tc>
        <w:tc>
          <w:tcPr>
            <w:tcW w:w="546" w:type="dxa"/>
            <w:tcBorders>
              <w:bottom w:val="single" w:sz="8" w:space="0" w:color="000000"/>
              <w:right w:val="single" w:sz="8" w:space="0" w:color="000000"/>
            </w:tcBorders>
            <w:shd w:val="clear" w:color="auto" w:fill="808080"/>
            <w:tcMar>
              <w:top w:w="80" w:type="dxa"/>
              <w:left w:w="120" w:type="dxa"/>
              <w:bottom w:w="80" w:type="dxa"/>
              <w:right w:w="120" w:type="dxa"/>
            </w:tcMar>
          </w:tcPr>
          <w:p w14:paraId="415E60E0"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5CB74E23"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F3D699B"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20957CA"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B79E394"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E1CA711"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C420C3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CDBA067"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0A56429"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74006371"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4DF3CB21"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1CC48C2E" w14:textId="77777777" w:rsidR="00F07075" w:rsidRDefault="00F07075"/>
        </w:tc>
      </w:tr>
      <w:tr w:rsidR="00F07075" w14:paraId="3F86E2C5"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7FC3835B" w14:textId="77777777" w:rsidR="00F07075" w:rsidRDefault="005735CD">
            <w:r>
              <w:t>Literature Review</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0A933565"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4C741691"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1C929F54"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3FF72D83"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899C5D2"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E46CADB"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4CE0E49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AAD3A35"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29EF18D"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76A57015"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43C9C8DE"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2F2BD493" w14:textId="77777777" w:rsidR="00F07075" w:rsidRDefault="00F07075"/>
        </w:tc>
      </w:tr>
      <w:tr w:rsidR="00F07075" w14:paraId="7161723B"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34B67177" w14:textId="77777777" w:rsidR="00F07075" w:rsidRDefault="005735CD">
            <w:r>
              <w:t>Quantitative Data Collection</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562BAA29"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42BCF1E"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7FB5A522"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768D177D"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1DCB0648"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0BCB2FA"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22AEADA"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380725B"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1AFD9A2"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323D0E1E"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6B536ECF"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7ACEFA33" w14:textId="77777777" w:rsidR="00F07075" w:rsidRDefault="00F07075"/>
        </w:tc>
      </w:tr>
      <w:tr w:rsidR="00F07075" w14:paraId="34239784"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42683D71" w14:textId="77777777" w:rsidR="00F07075" w:rsidRDefault="005735CD">
            <w:r>
              <w:t>Qualitative Preparation</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3409E334"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A5E22D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86BBA53"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27D7AD63"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18238164"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527855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832197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506D38D"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1EE976C"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1933E3DA"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76B8DEF6"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2D4E691F" w14:textId="77777777" w:rsidR="00F07075" w:rsidRDefault="00F07075"/>
        </w:tc>
      </w:tr>
      <w:tr w:rsidR="00F07075" w14:paraId="133741DF"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547860D8" w14:textId="77777777" w:rsidR="00F07075" w:rsidRDefault="005735CD">
            <w:r>
              <w:t>Participant Recruitment</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292819A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26D1E0C"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F2667EF"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F6E10CB"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6C872BD6"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18A9A6C2"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3F6F1740"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3DBC3A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40EC8EA4"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4E290849"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172FC924"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1F441DC8" w14:textId="77777777" w:rsidR="00F07075" w:rsidRDefault="00F07075"/>
        </w:tc>
      </w:tr>
      <w:tr w:rsidR="00F07075" w14:paraId="4F3805C1"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49E6D50A" w14:textId="77777777" w:rsidR="00F07075" w:rsidRDefault="005735CD">
            <w:r>
              <w:t>Qualitative Data Collection</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3787AFFC"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B7717BB"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2D6622F"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5818BA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5D752B1"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408C4603"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6066C8A4"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622C1677"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066B9BB"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0FF0275C"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0B22A188"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4A9B9F38" w14:textId="77777777" w:rsidR="00F07075" w:rsidRDefault="00F07075"/>
        </w:tc>
      </w:tr>
      <w:tr w:rsidR="00F07075" w14:paraId="3C64CDF1"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334191DC" w14:textId="77777777" w:rsidR="00F07075" w:rsidRDefault="005735CD">
            <w:r>
              <w:t>Qualitative Analysis</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7585691B"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A1E15E4"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F3A80A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26662AE"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CE48926"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66E4BC6"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705DC404"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5835CC88"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22F459A5"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131FD96C"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47E4CCD7"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2F932E52" w14:textId="77777777" w:rsidR="00F07075" w:rsidRDefault="00F07075"/>
        </w:tc>
      </w:tr>
      <w:tr w:rsidR="00F07075" w14:paraId="4D38EC84"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023D5B57" w14:textId="77777777" w:rsidR="00F07075" w:rsidRDefault="005735CD">
            <w:r>
              <w:t>Integration &amp; Recommendations</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06E5C25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75D641E"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4D69B93"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81B01F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0F261C1F"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4411932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145FF80"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567B947"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173BA24D"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65CE1EB7"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2F7D3BE8"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726FFC8F" w14:textId="77777777" w:rsidR="00F07075" w:rsidRDefault="00F07075"/>
        </w:tc>
      </w:tr>
      <w:tr w:rsidR="00F07075" w14:paraId="0398ECF0"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1BD65374" w14:textId="77777777" w:rsidR="00F07075" w:rsidRDefault="005735CD">
            <w:r>
              <w:t>Thesis Writing</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084C5845"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3E2FB59"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5D16C95"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E3F75A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53918C97"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1CB5F8A"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421CED13" w14:textId="77777777" w:rsidR="00F07075" w:rsidRDefault="00F07075"/>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6ABFD7BA" w14:textId="77777777" w:rsidR="00F07075" w:rsidRDefault="005735CD">
            <w:r>
              <w:rPr>
                <w:rFonts w:ascii="Arial" w:hAnsi="Arial" w:cs="Arial"/>
              </w:rPr>
              <w:t>■</w:t>
            </w:r>
          </w:p>
        </w:tc>
        <w:tc>
          <w:tcPr>
            <w:tcW w:w="547" w:type="dxa"/>
            <w:tcBorders>
              <w:bottom w:val="single" w:sz="8" w:space="0" w:color="000000"/>
              <w:right w:val="single" w:sz="8" w:space="0" w:color="000000"/>
            </w:tcBorders>
            <w:shd w:val="clear" w:color="auto" w:fill="808080"/>
            <w:tcMar>
              <w:top w:w="80" w:type="dxa"/>
              <w:left w:w="120" w:type="dxa"/>
              <w:bottom w:w="80" w:type="dxa"/>
              <w:right w:w="120" w:type="dxa"/>
            </w:tcMar>
          </w:tcPr>
          <w:p w14:paraId="5CC3F500"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649AF98F"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2864C6C1"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3D29B1DB" w14:textId="77777777" w:rsidR="00F07075" w:rsidRDefault="005735CD">
            <w:r>
              <w:rPr>
                <w:rFonts w:ascii="Arial" w:hAnsi="Arial" w:cs="Arial"/>
              </w:rPr>
              <w:t>■</w:t>
            </w:r>
          </w:p>
        </w:tc>
      </w:tr>
      <w:tr w:rsidR="00F07075" w14:paraId="6A2849BC" w14:textId="77777777">
        <w:tc>
          <w:tcPr>
            <w:tcW w:w="2077" w:type="dxa"/>
            <w:tcBorders>
              <w:left w:val="single" w:sz="8" w:space="0" w:color="000000"/>
              <w:bottom w:val="single" w:sz="8" w:space="0" w:color="000000"/>
              <w:right w:val="single" w:sz="8" w:space="0" w:color="000000"/>
            </w:tcBorders>
            <w:tcMar>
              <w:top w:w="80" w:type="dxa"/>
              <w:left w:w="120" w:type="dxa"/>
              <w:bottom w:w="80" w:type="dxa"/>
              <w:right w:w="120" w:type="dxa"/>
            </w:tcMar>
          </w:tcPr>
          <w:p w14:paraId="1CC66684" w14:textId="77777777" w:rsidR="00F07075" w:rsidRDefault="005735CD">
            <w:r>
              <w:t>Review &amp; Submission</w:t>
            </w:r>
          </w:p>
        </w:tc>
        <w:tc>
          <w:tcPr>
            <w:tcW w:w="546" w:type="dxa"/>
            <w:tcBorders>
              <w:bottom w:val="single" w:sz="8" w:space="0" w:color="000000"/>
              <w:right w:val="single" w:sz="8" w:space="0" w:color="000000"/>
            </w:tcBorders>
            <w:shd w:val="clear" w:color="auto" w:fill="FFFFFF"/>
            <w:tcMar>
              <w:top w:w="80" w:type="dxa"/>
              <w:left w:w="120" w:type="dxa"/>
              <w:bottom w:w="80" w:type="dxa"/>
              <w:right w:w="120" w:type="dxa"/>
            </w:tcMar>
          </w:tcPr>
          <w:p w14:paraId="025799B1"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5AFD691"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5C76C84"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7E9AEDD3"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18A2AAD2"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337FF4CF"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4EDF7DB8"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6EE6D17C" w14:textId="77777777" w:rsidR="00F07075" w:rsidRDefault="00F07075"/>
        </w:tc>
        <w:tc>
          <w:tcPr>
            <w:tcW w:w="547" w:type="dxa"/>
            <w:tcBorders>
              <w:bottom w:val="single" w:sz="8" w:space="0" w:color="000000"/>
              <w:right w:val="single" w:sz="8" w:space="0" w:color="000000"/>
            </w:tcBorders>
            <w:shd w:val="clear" w:color="auto" w:fill="FFFFFF"/>
            <w:tcMar>
              <w:top w:w="80" w:type="dxa"/>
              <w:left w:w="120" w:type="dxa"/>
              <w:bottom w:w="80" w:type="dxa"/>
              <w:right w:w="120" w:type="dxa"/>
            </w:tcMar>
          </w:tcPr>
          <w:p w14:paraId="27FF737D" w14:textId="77777777" w:rsidR="00F07075" w:rsidRDefault="00F07075"/>
        </w:tc>
        <w:tc>
          <w:tcPr>
            <w:tcW w:w="669" w:type="dxa"/>
            <w:tcBorders>
              <w:bottom w:val="single" w:sz="8" w:space="0" w:color="000000"/>
              <w:right w:val="single" w:sz="8" w:space="0" w:color="000000"/>
            </w:tcBorders>
            <w:shd w:val="clear" w:color="auto" w:fill="FFFFFF"/>
            <w:tcMar>
              <w:top w:w="80" w:type="dxa"/>
              <w:left w:w="120" w:type="dxa"/>
              <w:bottom w:w="80" w:type="dxa"/>
              <w:right w:w="120" w:type="dxa"/>
            </w:tcMar>
          </w:tcPr>
          <w:p w14:paraId="0DFE5C8D" w14:textId="77777777" w:rsidR="00F07075" w:rsidRDefault="00F07075"/>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72315467" w14:textId="77777777" w:rsidR="00F07075" w:rsidRDefault="005735CD">
            <w:r>
              <w:rPr>
                <w:rFonts w:ascii="Arial" w:hAnsi="Arial" w:cs="Arial"/>
              </w:rPr>
              <w:t>■</w:t>
            </w:r>
          </w:p>
        </w:tc>
        <w:tc>
          <w:tcPr>
            <w:tcW w:w="669" w:type="dxa"/>
            <w:tcBorders>
              <w:bottom w:val="single" w:sz="8" w:space="0" w:color="000000"/>
              <w:right w:val="single" w:sz="8" w:space="0" w:color="000000"/>
            </w:tcBorders>
            <w:shd w:val="clear" w:color="auto" w:fill="808080"/>
            <w:tcMar>
              <w:top w:w="80" w:type="dxa"/>
              <w:left w:w="120" w:type="dxa"/>
              <w:bottom w:w="80" w:type="dxa"/>
              <w:right w:w="120" w:type="dxa"/>
            </w:tcMar>
          </w:tcPr>
          <w:p w14:paraId="697FE2AF" w14:textId="77777777" w:rsidR="00F07075" w:rsidRDefault="005735CD">
            <w:r>
              <w:rPr>
                <w:rFonts w:ascii="Arial" w:hAnsi="Arial" w:cs="Arial"/>
              </w:rPr>
              <w:t>■</w:t>
            </w:r>
          </w:p>
        </w:tc>
      </w:tr>
    </w:tbl>
    <w:p w14:paraId="26A19C4C" w14:textId="77777777" w:rsidR="00F07075" w:rsidRDefault="00F07075"/>
    <w:p w14:paraId="20F5D1C6" w14:textId="77777777" w:rsidR="00F07075" w:rsidRDefault="00F07075"/>
    <w:p w14:paraId="117D5B52" w14:textId="77777777" w:rsidR="00F07075" w:rsidRDefault="00F07075"/>
    <w:p w14:paraId="112509B8" w14:textId="77777777" w:rsidR="00F07075" w:rsidRDefault="00F07075"/>
    <w:p w14:paraId="54F2A2C5" w14:textId="77777777" w:rsidR="00F07075" w:rsidRDefault="00F07075"/>
    <w:p w14:paraId="7B5B51FB" w14:textId="77777777" w:rsidR="00F07075" w:rsidRDefault="00F07075"/>
    <w:p w14:paraId="7964F208" w14:textId="77777777" w:rsidR="00F07075" w:rsidRDefault="00F07075"/>
    <w:p w14:paraId="30A613D2" w14:textId="77777777" w:rsidR="00F07075" w:rsidRDefault="00F07075"/>
    <w:p w14:paraId="6E531CF4" w14:textId="77777777" w:rsidR="00F07075" w:rsidRDefault="00F07075"/>
    <w:p w14:paraId="058AA94A" w14:textId="77777777" w:rsidR="00F07075" w:rsidRDefault="005735CD">
      <w:pPr>
        <w:spacing w:line="360" w:lineRule="auto"/>
        <w:rPr>
          <w:rFonts w:ascii="Arial" w:hAnsi="Arial" w:cs="Arial"/>
        </w:rPr>
      </w:pPr>
      <w:r>
        <w:rPr>
          <w:rFonts w:ascii="Arial" w:hAnsi="Arial" w:cs="Arial"/>
        </w:rPr>
        <w:t>Key Milestones: All ethics approvals secured (M2); quantitative analysis complete (M5); target recruitment achieved (M7); all interviews completed (M8); thematic framework finalized (M10); integrated findings complete (M11); and thesis submitted (M12).</w:t>
      </w:r>
    </w:p>
    <w:p w14:paraId="338D3E0C" w14:textId="77777777" w:rsidR="00F07075" w:rsidRDefault="00F07075">
      <w:pPr>
        <w:spacing w:line="360" w:lineRule="auto"/>
        <w:rPr>
          <w:rFonts w:ascii="Arial" w:hAnsi="Arial" w:cs="Arial"/>
        </w:rPr>
      </w:pPr>
    </w:p>
    <w:p w14:paraId="4C9214BF" w14:textId="77777777" w:rsidR="00F07075" w:rsidRDefault="005735CD">
      <w:pPr>
        <w:spacing w:line="360" w:lineRule="auto"/>
        <w:rPr>
          <w:rFonts w:ascii="Arial" w:hAnsi="Arial" w:cs="Arial"/>
        </w:rPr>
      </w:pPr>
      <w:r>
        <w:rPr>
          <w:rFonts w:ascii="Arial" w:hAnsi="Arial" w:cs="Arial"/>
        </w:rPr>
        <w:t>Risk Management &amp; Contingency</w:t>
      </w:r>
    </w:p>
    <w:p w14:paraId="1B32BAAE" w14:textId="77777777" w:rsidR="00F07075" w:rsidRDefault="005735CD">
      <w:pPr>
        <w:spacing w:line="360" w:lineRule="auto"/>
        <w:rPr>
          <w:rFonts w:ascii="Arial" w:hAnsi="Arial" w:cs="Arial"/>
        </w:rPr>
      </w:pPr>
      <w:r>
        <w:rPr>
          <w:rFonts w:ascii="Arial" w:hAnsi="Arial" w:cs="Arial"/>
        </w:rPr>
        <w:t>•</w:t>
      </w:r>
      <w:r>
        <w:rPr>
          <w:rFonts w:ascii="Arial" w:hAnsi="Arial" w:cs="Arial"/>
        </w:rPr>
        <w:tab/>
        <w:t xml:space="preserve">Ethics approval delays: Early submission, regular communication, 4-week buffer. </w:t>
      </w:r>
    </w:p>
    <w:p w14:paraId="04307025" w14:textId="77777777" w:rsidR="00F07075" w:rsidRDefault="005735CD">
      <w:pPr>
        <w:spacing w:line="360" w:lineRule="auto"/>
        <w:rPr>
          <w:rFonts w:ascii="Arial" w:hAnsi="Arial" w:cs="Arial"/>
        </w:rPr>
      </w:pPr>
      <w:r>
        <w:rPr>
          <w:rFonts w:ascii="Arial" w:hAnsi="Arial" w:cs="Arial"/>
        </w:rPr>
        <w:t>•</w:t>
      </w:r>
      <w:r>
        <w:rPr>
          <w:rFonts w:ascii="Arial" w:hAnsi="Arial" w:cs="Arial"/>
        </w:rPr>
        <w:tab/>
        <w:t>Recruitment difficulties: Multiple channels, trust partnerships, minimum viable sample of 20 identified, focusing on nursing staff.</w:t>
      </w:r>
    </w:p>
    <w:p w14:paraId="514AE121" w14:textId="77777777" w:rsidR="00F07075" w:rsidRDefault="005735CD">
      <w:pPr>
        <w:spacing w:line="360" w:lineRule="auto"/>
        <w:rPr>
          <w:rFonts w:ascii="Arial" w:hAnsi="Arial" w:cs="Arial"/>
        </w:rPr>
      </w:pPr>
      <w:r>
        <w:rPr>
          <w:rFonts w:ascii="Arial" w:hAnsi="Arial" w:cs="Arial"/>
        </w:rPr>
        <w:t>•</w:t>
      </w:r>
      <w:r>
        <w:rPr>
          <w:rFonts w:ascii="Arial" w:hAnsi="Arial" w:cs="Arial"/>
        </w:rPr>
        <w:tab/>
        <w:t>Data access restrictions: Early negotiations, flexibility regarding formats, and enhanced qualitative inquiry if necessary.</w:t>
      </w:r>
    </w:p>
    <w:p w14:paraId="40AB96D7" w14:textId="77777777" w:rsidR="00F07075" w:rsidRDefault="005735CD">
      <w:pPr>
        <w:spacing w:line="360" w:lineRule="auto"/>
        <w:rPr>
          <w:rFonts w:ascii="Arial" w:hAnsi="Arial" w:cs="Arial"/>
        </w:rPr>
      </w:pPr>
      <w:r>
        <w:rPr>
          <w:rFonts w:ascii="Arial" w:hAnsi="Arial" w:cs="Arial"/>
        </w:rPr>
        <w:t>•</w:t>
      </w:r>
      <w:r>
        <w:rPr>
          <w:rFonts w:ascii="Arial" w:hAnsi="Arial" w:cs="Arial"/>
        </w:rPr>
        <w:tab/>
        <w:t>Analysis complexity: Early thesis writing enables parallel working, scope reduction, and prioritizing of core questions, if necessary.</w:t>
      </w:r>
    </w:p>
    <w:p w14:paraId="11C68682" w14:textId="77777777" w:rsidR="00F07075" w:rsidRDefault="00F07075">
      <w:pPr>
        <w:spacing w:line="360" w:lineRule="auto"/>
        <w:rPr>
          <w:rFonts w:ascii="Arial" w:hAnsi="Arial" w:cs="Arial"/>
          <w:b/>
          <w:bCs/>
        </w:rPr>
      </w:pPr>
    </w:p>
    <w:p w14:paraId="30CA78D0" w14:textId="77777777" w:rsidR="00F63757" w:rsidRDefault="00F63757">
      <w:pPr>
        <w:spacing w:line="360" w:lineRule="auto"/>
        <w:rPr>
          <w:rFonts w:ascii="Arial" w:hAnsi="Arial" w:cs="Arial"/>
          <w:b/>
          <w:bCs/>
        </w:rPr>
      </w:pPr>
    </w:p>
    <w:p w14:paraId="54CA05B1" w14:textId="77777777" w:rsidR="00F63757" w:rsidRDefault="00F63757">
      <w:pPr>
        <w:spacing w:line="360" w:lineRule="auto"/>
        <w:rPr>
          <w:rFonts w:ascii="Arial" w:hAnsi="Arial" w:cs="Arial"/>
          <w:b/>
          <w:bCs/>
        </w:rPr>
      </w:pPr>
    </w:p>
    <w:p w14:paraId="45DD6D82" w14:textId="77777777" w:rsidR="00F63757" w:rsidRDefault="00F63757">
      <w:pPr>
        <w:spacing w:line="360" w:lineRule="auto"/>
        <w:rPr>
          <w:rFonts w:ascii="Arial" w:hAnsi="Arial" w:cs="Arial"/>
          <w:b/>
          <w:bCs/>
        </w:rPr>
      </w:pPr>
    </w:p>
    <w:p w14:paraId="66F1342D" w14:textId="77777777" w:rsidR="00F63757" w:rsidRDefault="00F63757">
      <w:pPr>
        <w:spacing w:line="360" w:lineRule="auto"/>
        <w:rPr>
          <w:rFonts w:ascii="Arial" w:hAnsi="Arial" w:cs="Arial"/>
          <w:b/>
          <w:bCs/>
        </w:rPr>
      </w:pPr>
    </w:p>
    <w:p w14:paraId="1161D73E" w14:textId="77777777" w:rsidR="00F63757" w:rsidRDefault="00F63757">
      <w:pPr>
        <w:spacing w:line="360" w:lineRule="auto"/>
        <w:rPr>
          <w:rFonts w:ascii="Arial" w:hAnsi="Arial" w:cs="Arial"/>
          <w:b/>
          <w:bCs/>
        </w:rPr>
      </w:pPr>
    </w:p>
    <w:p w14:paraId="03A38023" w14:textId="77777777" w:rsidR="00F63757" w:rsidRDefault="00F63757">
      <w:pPr>
        <w:spacing w:line="360" w:lineRule="auto"/>
        <w:rPr>
          <w:rFonts w:ascii="Arial" w:hAnsi="Arial" w:cs="Arial"/>
          <w:b/>
          <w:bCs/>
        </w:rPr>
      </w:pPr>
    </w:p>
    <w:p w14:paraId="2B421507" w14:textId="77777777" w:rsidR="00F63757" w:rsidRDefault="00F63757">
      <w:pPr>
        <w:spacing w:line="360" w:lineRule="auto"/>
        <w:rPr>
          <w:rFonts w:ascii="Arial" w:hAnsi="Arial" w:cs="Arial"/>
          <w:b/>
          <w:bCs/>
        </w:rPr>
      </w:pPr>
    </w:p>
    <w:p w14:paraId="6687FC1F" w14:textId="77777777" w:rsidR="00F63757" w:rsidRDefault="00F63757">
      <w:pPr>
        <w:spacing w:line="360" w:lineRule="auto"/>
        <w:rPr>
          <w:rFonts w:ascii="Arial" w:hAnsi="Arial" w:cs="Arial"/>
          <w:b/>
          <w:bCs/>
        </w:rPr>
      </w:pPr>
    </w:p>
    <w:p w14:paraId="774F857D" w14:textId="77777777" w:rsidR="00F63757" w:rsidRDefault="00F63757">
      <w:pPr>
        <w:spacing w:line="360" w:lineRule="auto"/>
        <w:rPr>
          <w:rFonts w:ascii="Arial" w:hAnsi="Arial" w:cs="Arial"/>
          <w:b/>
          <w:bCs/>
        </w:rPr>
      </w:pPr>
    </w:p>
    <w:p w14:paraId="46BD8F6C" w14:textId="77777777" w:rsidR="00F63757" w:rsidRDefault="00F63757">
      <w:pPr>
        <w:spacing w:line="360" w:lineRule="auto"/>
        <w:rPr>
          <w:rFonts w:ascii="Arial" w:hAnsi="Arial" w:cs="Arial"/>
          <w:b/>
          <w:bCs/>
        </w:rPr>
      </w:pPr>
    </w:p>
    <w:p w14:paraId="741202C9" w14:textId="77777777" w:rsidR="00F63757" w:rsidRDefault="00F63757">
      <w:pPr>
        <w:spacing w:line="360" w:lineRule="auto"/>
        <w:rPr>
          <w:rFonts w:ascii="Arial" w:hAnsi="Arial" w:cs="Arial"/>
          <w:b/>
          <w:bCs/>
        </w:rPr>
      </w:pPr>
    </w:p>
    <w:p w14:paraId="4967CEF1" w14:textId="77777777" w:rsidR="00F63757" w:rsidRDefault="00F63757">
      <w:pPr>
        <w:spacing w:line="360" w:lineRule="auto"/>
        <w:rPr>
          <w:rFonts w:ascii="Arial" w:hAnsi="Arial" w:cs="Arial"/>
          <w:b/>
          <w:bCs/>
        </w:rPr>
      </w:pPr>
    </w:p>
    <w:p w14:paraId="3637DD3F" w14:textId="77777777" w:rsidR="00F63757" w:rsidRDefault="00F63757">
      <w:pPr>
        <w:spacing w:line="360" w:lineRule="auto"/>
        <w:rPr>
          <w:rFonts w:ascii="Arial" w:hAnsi="Arial" w:cs="Arial"/>
          <w:b/>
          <w:bCs/>
        </w:rPr>
      </w:pPr>
    </w:p>
    <w:p w14:paraId="712F7BAD" w14:textId="77777777" w:rsidR="00F63757" w:rsidRDefault="00F63757">
      <w:pPr>
        <w:spacing w:line="360" w:lineRule="auto"/>
        <w:rPr>
          <w:rFonts w:ascii="Arial" w:hAnsi="Arial" w:cs="Arial"/>
          <w:b/>
          <w:bCs/>
        </w:rPr>
      </w:pPr>
    </w:p>
    <w:p w14:paraId="0822D8E2" w14:textId="45A885DF" w:rsidR="00F07075" w:rsidRDefault="005735CD">
      <w:pPr>
        <w:spacing w:line="360" w:lineRule="auto"/>
        <w:rPr>
          <w:rFonts w:ascii="Arial" w:hAnsi="Arial" w:cs="Arial"/>
          <w:b/>
          <w:bCs/>
        </w:rPr>
      </w:pPr>
      <w:r>
        <w:rPr>
          <w:rFonts w:ascii="Arial" w:hAnsi="Arial" w:cs="Arial"/>
          <w:b/>
          <w:bCs/>
        </w:rPr>
        <w:lastRenderedPageBreak/>
        <w:t>7.</w:t>
      </w:r>
      <w:r>
        <w:rPr>
          <w:rFonts w:ascii="Arial" w:hAnsi="Arial" w:cs="Arial"/>
          <w:b/>
          <w:bCs/>
        </w:rPr>
        <w:tab/>
        <w:t>REFERENCES</w:t>
      </w:r>
    </w:p>
    <w:p w14:paraId="3BE71DA9" w14:textId="77777777" w:rsidR="00F07075" w:rsidRDefault="00F07075">
      <w:pPr>
        <w:spacing w:line="360" w:lineRule="auto"/>
        <w:rPr>
          <w:rFonts w:ascii="Arial" w:hAnsi="Arial" w:cs="Arial"/>
        </w:rPr>
      </w:pPr>
    </w:p>
    <w:p w14:paraId="2C69A1C8" w14:textId="77777777" w:rsidR="00F07075" w:rsidRDefault="005735CD">
      <w:pPr>
        <w:spacing w:line="360" w:lineRule="auto"/>
        <w:rPr>
          <w:rFonts w:ascii="Arial" w:hAnsi="Arial" w:cs="Arial"/>
        </w:rPr>
      </w:pPr>
      <w:r>
        <w:rPr>
          <w:rFonts w:ascii="Arial" w:hAnsi="Arial" w:cs="Arial"/>
        </w:rPr>
        <w:t>Adams, J., Khan, H.T.A., Raeside, R. and White, D. (2007). Research Methods for Business and Social Science Students. 2nd edn. New Delhi: Sage Publications.</w:t>
      </w:r>
    </w:p>
    <w:p w14:paraId="6B7030C6" w14:textId="77777777" w:rsidR="00F07075" w:rsidRDefault="005735CD">
      <w:pPr>
        <w:spacing w:line="360" w:lineRule="auto"/>
        <w:rPr>
          <w:rFonts w:ascii="Arial" w:hAnsi="Arial" w:cs="Arial"/>
        </w:rPr>
      </w:pPr>
      <w:r>
        <w:rPr>
          <w:rFonts w:ascii="Arial" w:hAnsi="Arial" w:cs="Arial"/>
        </w:rPr>
        <w:t>Saunders, M.N.K., Lewis, P., and Thornhill, A. (2019). Research Methods for Business Students. 8th edn. Harlow: Pearson Education Limited.</w:t>
      </w:r>
    </w:p>
    <w:p w14:paraId="4A0C01D5" w14:textId="77777777" w:rsidR="00F07075" w:rsidRDefault="005735CD">
      <w:pPr>
        <w:spacing w:line="360" w:lineRule="auto"/>
        <w:rPr>
          <w:rFonts w:ascii="Arial" w:hAnsi="Arial" w:cs="Arial"/>
        </w:rPr>
      </w:pPr>
      <w:r>
        <w:rPr>
          <w:rFonts w:ascii="Arial" w:hAnsi="Arial" w:cs="Arial"/>
        </w:rPr>
        <w:tab/>
        <w:t>Walliman, N. (2004). Your Research Project: A Step-by-Step Guide for the First-Time Researcher. London: Sage Publications.</w:t>
      </w:r>
    </w:p>
    <w:p w14:paraId="49AF236B" w14:textId="77777777" w:rsidR="00F07075" w:rsidRDefault="005735CD">
      <w:pPr>
        <w:spacing w:line="360" w:lineRule="auto"/>
      </w:pPr>
      <w:r>
        <w:rPr>
          <w:rFonts w:ascii="Arial" w:hAnsi="Arial" w:cs="Arial"/>
        </w:rPr>
        <w:t>West, M.A., Bailey, S., and Williams, E. (2022). The NHS Leadership and Management in the NHS: Delivering the NHS Long T</w:t>
      </w:r>
      <w:r>
        <w:t>erm Plan. London: The King's Fund.</w:t>
      </w:r>
    </w:p>
    <w:p w14:paraId="5EEE8DF2" w14:textId="77777777" w:rsidR="00F07075" w:rsidRDefault="005735CD">
      <w:pPr>
        <w:spacing w:line="360" w:lineRule="auto"/>
        <w:rPr>
          <w:rFonts w:ascii="Arial" w:hAnsi="Arial" w:cs="Arial"/>
        </w:rPr>
      </w:pPr>
      <w:r>
        <w:rPr>
          <w:rFonts w:ascii="Arial" w:hAnsi="Arial" w:cs="Arial"/>
        </w:rPr>
        <w:t>Braun, V., and Clarke, V. (2006) 'Using thematic analysis in psychology', Qualitative Research in Psychology, 3(2), pp. 77-101.</w:t>
      </w:r>
    </w:p>
    <w:p w14:paraId="00C86119" w14:textId="77777777" w:rsidR="00F07075" w:rsidRDefault="005735CD">
      <w:pPr>
        <w:spacing w:line="360" w:lineRule="auto"/>
        <w:rPr>
          <w:rFonts w:ascii="Arial" w:hAnsi="Arial" w:cs="Arial"/>
        </w:rPr>
      </w:pPr>
      <w:r>
        <w:rPr>
          <w:rFonts w:ascii="Arial" w:hAnsi="Arial" w:cs="Arial"/>
        </w:rPr>
        <w:t>Buchan, J., Gershlick, B. and Charlesworth, A. (2022). NHS Workforce Challenges and Opportunities. London: The Health Foundation.</w:t>
      </w:r>
    </w:p>
    <w:p w14:paraId="2241A9F1" w14:textId="77777777" w:rsidR="00F07075" w:rsidRDefault="005735CD">
      <w:pPr>
        <w:spacing w:line="360" w:lineRule="auto"/>
        <w:rPr>
          <w:rFonts w:ascii="Arial" w:hAnsi="Arial" w:cs="Arial"/>
        </w:rPr>
      </w:pPr>
      <w:r>
        <w:rPr>
          <w:rFonts w:ascii="Arial" w:hAnsi="Arial" w:cs="Arial"/>
        </w:rPr>
        <w:t>Cooper, D.R. and Schindler, P.S. (2014) Business Research Methods. 12th edn. New York: McGraw-Hill Education.</w:t>
      </w:r>
    </w:p>
    <w:p w14:paraId="4C213C52" w14:textId="77777777" w:rsidR="00F07075" w:rsidRDefault="005735CD">
      <w:pPr>
        <w:spacing w:line="360" w:lineRule="auto"/>
        <w:rPr>
          <w:rFonts w:ascii="Arial" w:hAnsi="Arial" w:cs="Arial"/>
        </w:rPr>
      </w:pPr>
      <w:r>
        <w:rPr>
          <w:rFonts w:ascii="Arial" w:hAnsi="Arial" w:cs="Arial"/>
        </w:rPr>
        <w:t>Crowther, D., and Lancaster, G. (2009). Research Methods: A Concise Introduction to Research in Management and Business Consultancy. 2nd edn. Oxford: Elsevier Butterworth-Heinemann.</w:t>
      </w:r>
    </w:p>
    <w:p w14:paraId="3213FCDB" w14:textId="77777777" w:rsidR="00F07075" w:rsidRDefault="005735CD">
      <w:pPr>
        <w:spacing w:line="360" w:lineRule="auto"/>
        <w:rPr>
          <w:rFonts w:ascii="Arial" w:hAnsi="Arial" w:cs="Arial"/>
        </w:rPr>
      </w:pPr>
      <w:r>
        <w:rPr>
          <w:rFonts w:ascii="Arial" w:hAnsi="Arial" w:cs="Arial"/>
        </w:rPr>
        <w:t>Mobley, W.H. (1977) 'Intermediate linkages in the relationship between job satisfaction and employee turnover', Journal of Applied Psychology, 62(2), pp. 237-240.</w:t>
      </w:r>
    </w:p>
    <w:p w14:paraId="43D81E4C" w14:textId="77777777" w:rsidR="00F07075" w:rsidRDefault="005735CD">
      <w:pPr>
        <w:spacing w:line="360" w:lineRule="auto"/>
        <w:rPr>
          <w:rFonts w:ascii="Arial" w:hAnsi="Arial" w:cs="Arial"/>
        </w:rPr>
      </w:pPr>
      <w:r>
        <w:rPr>
          <w:rFonts w:ascii="Arial" w:hAnsi="Arial" w:cs="Arial"/>
        </w:rPr>
        <w:t>NHS Digital (2023) NHS Workforce Statistics - September 2023. Available at: https://digital.nhs.uk/data-and-information/publications/statistical/nhs-workforce-statistics (Accessed: 10 November 2023).</w:t>
      </w:r>
    </w:p>
    <w:p w14:paraId="550F210D" w14:textId="77777777" w:rsidR="00F07075" w:rsidRDefault="005735CD">
      <w:pPr>
        <w:spacing w:line="360" w:lineRule="auto"/>
        <w:rPr>
          <w:rFonts w:ascii="Arial" w:hAnsi="Arial" w:cs="Arial"/>
        </w:rPr>
      </w:pPr>
      <w:r>
        <w:rPr>
          <w:rFonts w:ascii="Arial" w:hAnsi="Arial" w:cs="Arial"/>
        </w:rPr>
        <w:t>NHS Employers (2022). Retention and Turnover: Supporting NHS Organisations to Keep Staff. London: NHS Employers.</w:t>
      </w:r>
    </w:p>
    <w:p w14:paraId="4073C897" w14:textId="77777777" w:rsidR="00F07075" w:rsidRDefault="005735CD">
      <w:pPr>
        <w:spacing w:line="360" w:lineRule="auto"/>
        <w:rPr>
          <w:rFonts w:ascii="Arial" w:hAnsi="Arial" w:cs="Arial"/>
        </w:rPr>
      </w:pPr>
      <w:r>
        <w:rPr>
          <w:rFonts w:ascii="Arial" w:hAnsi="Arial" w:cs="Arial"/>
        </w:rPr>
        <w:t>NHS England (2023) NHS Long Term Workforce Plan. London: NHS England.</w:t>
      </w:r>
    </w:p>
    <w:p w14:paraId="34E30CAB" w14:textId="77777777" w:rsidR="00F07075" w:rsidRDefault="00F07075">
      <w:pPr>
        <w:spacing w:line="360" w:lineRule="auto"/>
        <w:rPr>
          <w:rFonts w:ascii="Arial" w:hAnsi="Arial" w:cs="Arial"/>
        </w:rPr>
      </w:pPr>
    </w:p>
    <w:sectPr w:rsidR="00F07075">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A3E29" w14:textId="77777777" w:rsidR="005735CD" w:rsidRDefault="005735CD">
      <w:pPr>
        <w:spacing w:after="0" w:line="240" w:lineRule="auto"/>
      </w:pPr>
      <w:r>
        <w:separator/>
      </w:r>
    </w:p>
  </w:endnote>
  <w:endnote w:type="continuationSeparator" w:id="0">
    <w:p w14:paraId="6AEE97E6" w14:textId="77777777" w:rsidR="005735CD" w:rsidRDefault="00573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A5E77" w14:textId="77777777" w:rsidR="005735CD" w:rsidRDefault="005735CD">
    <w:pPr>
      <w:pStyle w:val="Footer"/>
      <w:jc w:val="right"/>
    </w:pPr>
    <w:r>
      <w:fldChar w:fldCharType="begin"/>
    </w:r>
    <w:r>
      <w:instrText xml:space="preserve"> PAGE </w:instrText>
    </w:r>
    <w:r>
      <w:fldChar w:fldCharType="separate"/>
    </w:r>
    <w:r>
      <w:t>2</w:t>
    </w:r>
    <w:r>
      <w:fldChar w:fldCharType="end"/>
    </w:r>
  </w:p>
  <w:p w14:paraId="7686CC99" w14:textId="77777777" w:rsidR="005735CD" w:rsidRDefault="00573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898C7" w14:textId="77777777" w:rsidR="005735CD" w:rsidRDefault="005735CD">
      <w:pPr>
        <w:spacing w:after="0" w:line="240" w:lineRule="auto"/>
      </w:pPr>
      <w:r>
        <w:rPr>
          <w:color w:val="000000"/>
        </w:rPr>
        <w:separator/>
      </w:r>
    </w:p>
  </w:footnote>
  <w:footnote w:type="continuationSeparator" w:id="0">
    <w:p w14:paraId="7341E988" w14:textId="77777777" w:rsidR="005735CD" w:rsidRDefault="005735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075"/>
    <w:rsid w:val="00096E3D"/>
    <w:rsid w:val="001C2243"/>
    <w:rsid w:val="001D0016"/>
    <w:rsid w:val="001E0219"/>
    <w:rsid w:val="003B047B"/>
    <w:rsid w:val="003D6D9A"/>
    <w:rsid w:val="005735CD"/>
    <w:rsid w:val="0060415C"/>
    <w:rsid w:val="00621AD9"/>
    <w:rsid w:val="00630AB8"/>
    <w:rsid w:val="00736689"/>
    <w:rsid w:val="008771B6"/>
    <w:rsid w:val="00902880"/>
    <w:rsid w:val="00AA33FE"/>
    <w:rsid w:val="00F07075"/>
    <w:rsid w:val="00F63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9D997"/>
  <w15:docId w15:val="{A03F548D-3C64-4DAD-A1C7-839D05287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13</Pages>
  <Words>3037</Words>
  <Characters>17312</Characters>
  <Application>Microsoft Office Word</Application>
  <DocSecurity>0</DocSecurity>
  <Lines>144</Lines>
  <Paragraphs>40</Paragraphs>
  <ScaleCrop>false</ScaleCrop>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amadeu dos santos</dc:creator>
  <dc:description/>
  <cp:lastModifiedBy>Berta Joao</cp:lastModifiedBy>
  <cp:revision>20</cp:revision>
  <dcterms:created xsi:type="dcterms:W3CDTF">2025-12-09T10:07:00Z</dcterms:created>
  <dcterms:modified xsi:type="dcterms:W3CDTF">2025-12-09T10:34:00Z</dcterms:modified>
</cp:coreProperties>
</file>