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3397F" w14:textId="77777777" w:rsidR="00F92215" w:rsidRDefault="00F92215" w:rsidP="00F92215">
      <w:pPr>
        <w:jc w:val="center"/>
        <w:rPr>
          <w:b/>
        </w:rPr>
      </w:pPr>
      <w:r>
        <w:rPr>
          <w:b/>
        </w:rPr>
        <w:t>STUDENT NAME : RADOSLAV KAMBEROV</w:t>
      </w:r>
    </w:p>
    <w:p w14:paraId="34F18D9C" w14:textId="77777777" w:rsidR="00F92215" w:rsidRDefault="00F92215" w:rsidP="00F92215">
      <w:pPr>
        <w:jc w:val="center"/>
        <w:rPr>
          <w:b/>
        </w:rPr>
      </w:pPr>
      <w:r>
        <w:rPr>
          <w:b/>
        </w:rPr>
        <w:t>STUDENT ID : 2029262</w:t>
      </w:r>
    </w:p>
    <w:p w14:paraId="0373FC6E" w14:textId="50474C08" w:rsidR="00622AB2" w:rsidRDefault="00622AB2" w:rsidP="00F92215">
      <w:pPr>
        <w:jc w:val="center"/>
        <w:rPr>
          <w:b/>
        </w:rPr>
      </w:pPr>
      <w:r>
        <w:rPr>
          <w:b/>
        </w:rPr>
        <w:t>LECTURER : NISHI RAMSURRUN</w:t>
      </w:r>
    </w:p>
    <w:p w14:paraId="4B5D812D" w14:textId="77777777" w:rsidR="00386CE2" w:rsidRDefault="00386CE2">
      <w:pPr>
        <w:jc w:val="center"/>
        <w:rPr>
          <w:b/>
          <w:sz w:val="32"/>
          <w:szCs w:val="32"/>
        </w:rPr>
      </w:pPr>
    </w:p>
    <w:p w14:paraId="5D31763C" w14:textId="77777777" w:rsidR="00386CE2" w:rsidRDefault="00386CE2">
      <w:pPr>
        <w:jc w:val="center"/>
        <w:rPr>
          <w:b/>
          <w:sz w:val="32"/>
          <w:szCs w:val="32"/>
        </w:rPr>
      </w:pPr>
    </w:p>
    <w:p w14:paraId="4D91C24C" w14:textId="77777777" w:rsidR="00386CE2" w:rsidRDefault="00386CE2">
      <w:pPr>
        <w:jc w:val="center"/>
        <w:rPr>
          <w:b/>
          <w:sz w:val="32"/>
          <w:szCs w:val="32"/>
        </w:rPr>
      </w:pPr>
    </w:p>
    <w:p w14:paraId="6BD7CA07" w14:textId="77777777" w:rsidR="00386CE2" w:rsidRDefault="00386CE2">
      <w:pPr>
        <w:jc w:val="center"/>
        <w:rPr>
          <w:b/>
          <w:sz w:val="32"/>
          <w:szCs w:val="32"/>
        </w:rPr>
      </w:pPr>
    </w:p>
    <w:p w14:paraId="506E6860" w14:textId="77777777" w:rsidR="00386CE2" w:rsidRDefault="00386CE2">
      <w:pPr>
        <w:jc w:val="center"/>
        <w:rPr>
          <w:b/>
          <w:sz w:val="32"/>
          <w:szCs w:val="32"/>
        </w:rPr>
      </w:pPr>
    </w:p>
    <w:p w14:paraId="36A71234" w14:textId="77777777" w:rsidR="001748C1" w:rsidRDefault="001748C1">
      <w:pPr>
        <w:jc w:val="center"/>
        <w:rPr>
          <w:b/>
          <w:sz w:val="32"/>
          <w:szCs w:val="32"/>
        </w:rPr>
      </w:pPr>
    </w:p>
    <w:p w14:paraId="42721AE0" w14:textId="77777777" w:rsidR="00386CE2" w:rsidRDefault="00386CE2" w:rsidP="00D35750">
      <w:pPr>
        <w:rPr>
          <w:b/>
          <w:sz w:val="32"/>
          <w:szCs w:val="32"/>
        </w:rPr>
      </w:pPr>
    </w:p>
    <w:p w14:paraId="2E7DCFE1" w14:textId="77777777" w:rsidR="007207FF" w:rsidRDefault="007207FF">
      <w:pPr>
        <w:jc w:val="center"/>
        <w:rPr>
          <w:b/>
          <w:sz w:val="32"/>
          <w:szCs w:val="32"/>
        </w:rPr>
      </w:pPr>
    </w:p>
    <w:p w14:paraId="2B9CAFAD" w14:textId="77777777" w:rsidR="007207FF" w:rsidRDefault="00000000">
      <w:pPr>
        <w:jc w:val="center"/>
        <w:rPr>
          <w:b/>
          <w:sz w:val="32"/>
          <w:szCs w:val="32"/>
        </w:rPr>
      </w:pPr>
      <w:r>
        <w:rPr>
          <w:b/>
          <w:sz w:val="32"/>
          <w:szCs w:val="32"/>
        </w:rPr>
        <w:t>MANAGING PEOPLE ASSESSMENT 2</w:t>
      </w:r>
    </w:p>
    <w:p w14:paraId="350C3785" w14:textId="77777777" w:rsidR="007207FF" w:rsidRDefault="00000000">
      <w:pPr>
        <w:rPr>
          <w:b/>
          <w:sz w:val="32"/>
          <w:szCs w:val="32"/>
        </w:rPr>
      </w:pPr>
      <w:r>
        <w:rPr>
          <w:b/>
          <w:sz w:val="32"/>
          <w:szCs w:val="32"/>
        </w:rPr>
        <w:br w:type="page"/>
      </w:r>
    </w:p>
    <w:sdt>
      <w:sdtPr>
        <w:rPr>
          <w:rFonts w:ascii="Times New Roman" w:eastAsia="Times New Roman" w:hAnsi="Times New Roman" w:cs="Times New Roman"/>
          <w:color w:val="222222"/>
          <w:sz w:val="24"/>
          <w:szCs w:val="24"/>
          <w:highlight w:val="white"/>
          <w:lang w:val="en-GB" w:eastAsia="en-IN"/>
        </w:rPr>
        <w:id w:val="1622188329"/>
        <w:docPartObj>
          <w:docPartGallery w:val="Table of Contents"/>
          <w:docPartUnique/>
        </w:docPartObj>
      </w:sdtPr>
      <w:sdtEndPr>
        <w:rPr>
          <w:b/>
          <w:bCs/>
          <w:noProof/>
        </w:rPr>
      </w:sdtEndPr>
      <w:sdtContent>
        <w:p w14:paraId="30BAC195" w14:textId="77777777" w:rsidR="007207FF" w:rsidRPr="007207FF" w:rsidRDefault="00000000" w:rsidP="007207FF">
          <w:pPr>
            <w:pStyle w:val="TOCHeading"/>
            <w:spacing w:line="360" w:lineRule="auto"/>
            <w:jc w:val="center"/>
            <w:rPr>
              <w:rFonts w:ascii="Times New Roman" w:hAnsi="Times New Roman" w:cs="Times New Roman"/>
              <w:b/>
              <w:bCs/>
              <w:color w:val="000000" w:themeColor="text1"/>
              <w:sz w:val="28"/>
              <w:szCs w:val="28"/>
            </w:rPr>
          </w:pPr>
          <w:r w:rsidRPr="007207FF">
            <w:rPr>
              <w:rFonts w:ascii="Times New Roman" w:hAnsi="Times New Roman" w:cs="Times New Roman"/>
              <w:b/>
              <w:bCs/>
              <w:color w:val="000000" w:themeColor="text1"/>
              <w:sz w:val="28"/>
              <w:szCs w:val="28"/>
            </w:rPr>
            <w:t>Table of Contents</w:t>
          </w:r>
        </w:p>
        <w:p w14:paraId="7A349417" w14:textId="4D545D6F"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r>
            <w:fldChar w:fldCharType="begin"/>
          </w:r>
          <w:r>
            <w:instrText xml:space="preserve"> TOC \o "1-3" \h \z \u </w:instrText>
          </w:r>
          <w:r>
            <w:fldChar w:fldCharType="separate"/>
          </w:r>
          <w:hyperlink w:anchor="_Toc111827948" w:history="1">
            <w:r w:rsidR="006C56CF" w:rsidRPr="00B86C04">
              <w:rPr>
                <w:rStyle w:val="Hyperlink"/>
                <w:noProof/>
              </w:rPr>
              <w:t>Introduction</w:t>
            </w:r>
            <w:r w:rsidR="006C56CF">
              <w:rPr>
                <w:noProof/>
                <w:webHidden/>
              </w:rPr>
              <w:tab/>
            </w:r>
            <w:r w:rsidR="006C56CF">
              <w:rPr>
                <w:noProof/>
                <w:webHidden/>
              </w:rPr>
              <w:fldChar w:fldCharType="begin"/>
            </w:r>
            <w:r w:rsidR="006C56CF">
              <w:rPr>
                <w:noProof/>
                <w:webHidden/>
              </w:rPr>
              <w:instrText xml:space="preserve"> PAGEREF _Toc111827948 \h </w:instrText>
            </w:r>
            <w:r w:rsidR="006C56CF">
              <w:rPr>
                <w:noProof/>
                <w:webHidden/>
              </w:rPr>
            </w:r>
            <w:r w:rsidR="006C56CF">
              <w:rPr>
                <w:noProof/>
                <w:webHidden/>
              </w:rPr>
              <w:fldChar w:fldCharType="separate"/>
            </w:r>
            <w:r w:rsidR="006C56CF">
              <w:rPr>
                <w:noProof/>
                <w:webHidden/>
              </w:rPr>
              <w:t>3</w:t>
            </w:r>
            <w:r w:rsidR="006C56CF">
              <w:rPr>
                <w:noProof/>
                <w:webHidden/>
              </w:rPr>
              <w:fldChar w:fldCharType="end"/>
            </w:r>
          </w:hyperlink>
        </w:p>
        <w:p w14:paraId="4E2231B0" w14:textId="5A2F2A04"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49" w:history="1">
            <w:r w:rsidR="006C56CF" w:rsidRPr="00B86C04">
              <w:rPr>
                <w:rStyle w:val="Hyperlink"/>
                <w:noProof/>
              </w:rPr>
              <w:t>Part 1</w:t>
            </w:r>
            <w:r w:rsidR="006C56CF">
              <w:rPr>
                <w:noProof/>
                <w:webHidden/>
              </w:rPr>
              <w:tab/>
            </w:r>
            <w:r w:rsidR="006C56CF">
              <w:rPr>
                <w:noProof/>
                <w:webHidden/>
              </w:rPr>
              <w:fldChar w:fldCharType="begin"/>
            </w:r>
            <w:r w:rsidR="006C56CF">
              <w:rPr>
                <w:noProof/>
                <w:webHidden/>
              </w:rPr>
              <w:instrText xml:space="preserve"> PAGEREF _Toc111827949 \h </w:instrText>
            </w:r>
            <w:r w:rsidR="006C56CF">
              <w:rPr>
                <w:noProof/>
                <w:webHidden/>
              </w:rPr>
            </w:r>
            <w:r w:rsidR="006C56CF">
              <w:rPr>
                <w:noProof/>
                <w:webHidden/>
              </w:rPr>
              <w:fldChar w:fldCharType="separate"/>
            </w:r>
            <w:r w:rsidR="006C56CF">
              <w:rPr>
                <w:noProof/>
                <w:webHidden/>
              </w:rPr>
              <w:t>3</w:t>
            </w:r>
            <w:r w:rsidR="006C56CF">
              <w:rPr>
                <w:noProof/>
                <w:webHidden/>
              </w:rPr>
              <w:fldChar w:fldCharType="end"/>
            </w:r>
          </w:hyperlink>
        </w:p>
        <w:p w14:paraId="10D9062E" w14:textId="3C54FD8A"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0" w:history="1">
            <w:r w:rsidR="006C56CF" w:rsidRPr="00B86C04">
              <w:rPr>
                <w:rStyle w:val="Hyperlink"/>
                <w:noProof/>
              </w:rPr>
              <w:t>“Explain how important these behaviours are for effective HR professionals working in the UK referring to the current CIPD Profession Map”</w:t>
            </w:r>
            <w:r w:rsidR="006C56CF">
              <w:rPr>
                <w:noProof/>
                <w:webHidden/>
              </w:rPr>
              <w:tab/>
            </w:r>
            <w:r w:rsidR="006C56CF">
              <w:rPr>
                <w:noProof/>
                <w:webHidden/>
              </w:rPr>
              <w:fldChar w:fldCharType="begin"/>
            </w:r>
            <w:r w:rsidR="006C56CF">
              <w:rPr>
                <w:noProof/>
                <w:webHidden/>
              </w:rPr>
              <w:instrText xml:space="preserve"> PAGEREF _Toc111827950 \h </w:instrText>
            </w:r>
            <w:r w:rsidR="006C56CF">
              <w:rPr>
                <w:noProof/>
                <w:webHidden/>
              </w:rPr>
            </w:r>
            <w:r w:rsidR="006C56CF">
              <w:rPr>
                <w:noProof/>
                <w:webHidden/>
              </w:rPr>
              <w:fldChar w:fldCharType="separate"/>
            </w:r>
            <w:r w:rsidR="006C56CF">
              <w:rPr>
                <w:noProof/>
                <w:webHidden/>
              </w:rPr>
              <w:t>3</w:t>
            </w:r>
            <w:r w:rsidR="006C56CF">
              <w:rPr>
                <w:noProof/>
                <w:webHidden/>
              </w:rPr>
              <w:fldChar w:fldCharType="end"/>
            </w:r>
          </w:hyperlink>
        </w:p>
        <w:p w14:paraId="70CED2FF" w14:textId="62930D7E"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1" w:history="1">
            <w:r w:rsidR="006C56CF" w:rsidRPr="00B86C04">
              <w:rPr>
                <w:rStyle w:val="Hyperlink"/>
                <w:noProof/>
              </w:rPr>
              <w:t>“Explain to what extent that this map could be applied to HR professionals working on a global scale regardless of sectors and sizes of organisations”</w:t>
            </w:r>
            <w:r w:rsidR="006C56CF">
              <w:rPr>
                <w:noProof/>
                <w:webHidden/>
              </w:rPr>
              <w:tab/>
            </w:r>
            <w:r w:rsidR="006C56CF">
              <w:rPr>
                <w:noProof/>
                <w:webHidden/>
              </w:rPr>
              <w:fldChar w:fldCharType="begin"/>
            </w:r>
            <w:r w:rsidR="006C56CF">
              <w:rPr>
                <w:noProof/>
                <w:webHidden/>
              </w:rPr>
              <w:instrText xml:space="preserve"> PAGEREF _Toc111827951 \h </w:instrText>
            </w:r>
            <w:r w:rsidR="006C56CF">
              <w:rPr>
                <w:noProof/>
                <w:webHidden/>
              </w:rPr>
            </w:r>
            <w:r w:rsidR="006C56CF">
              <w:rPr>
                <w:noProof/>
                <w:webHidden/>
              </w:rPr>
              <w:fldChar w:fldCharType="separate"/>
            </w:r>
            <w:r w:rsidR="006C56CF">
              <w:rPr>
                <w:noProof/>
                <w:webHidden/>
              </w:rPr>
              <w:t>7</w:t>
            </w:r>
            <w:r w:rsidR="006C56CF">
              <w:rPr>
                <w:noProof/>
                <w:webHidden/>
              </w:rPr>
              <w:fldChar w:fldCharType="end"/>
            </w:r>
          </w:hyperlink>
        </w:p>
        <w:p w14:paraId="49817AFF" w14:textId="52619A6C"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2" w:history="1">
            <w:r w:rsidR="006C56CF" w:rsidRPr="00B86C04">
              <w:rPr>
                <w:rStyle w:val="Hyperlink"/>
                <w:noProof/>
              </w:rPr>
              <w:t>Part 2</w:t>
            </w:r>
            <w:r w:rsidR="006C56CF">
              <w:rPr>
                <w:noProof/>
                <w:webHidden/>
              </w:rPr>
              <w:tab/>
            </w:r>
            <w:r w:rsidR="006C56CF">
              <w:rPr>
                <w:noProof/>
                <w:webHidden/>
              </w:rPr>
              <w:fldChar w:fldCharType="begin"/>
            </w:r>
            <w:r w:rsidR="006C56CF">
              <w:rPr>
                <w:noProof/>
                <w:webHidden/>
              </w:rPr>
              <w:instrText xml:space="preserve"> PAGEREF _Toc111827952 \h </w:instrText>
            </w:r>
            <w:r w:rsidR="006C56CF">
              <w:rPr>
                <w:noProof/>
                <w:webHidden/>
              </w:rPr>
            </w:r>
            <w:r w:rsidR="006C56CF">
              <w:rPr>
                <w:noProof/>
                <w:webHidden/>
              </w:rPr>
              <w:fldChar w:fldCharType="separate"/>
            </w:r>
            <w:r w:rsidR="006C56CF">
              <w:rPr>
                <w:noProof/>
                <w:webHidden/>
              </w:rPr>
              <w:t>7</w:t>
            </w:r>
            <w:r w:rsidR="006C56CF">
              <w:rPr>
                <w:noProof/>
                <w:webHidden/>
              </w:rPr>
              <w:fldChar w:fldCharType="end"/>
            </w:r>
          </w:hyperlink>
        </w:p>
        <w:p w14:paraId="075853F2" w14:textId="2EE80267"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3" w:history="1">
            <w:r w:rsidR="006C56CF" w:rsidRPr="00B86C04">
              <w:rPr>
                <w:rStyle w:val="Hyperlink"/>
                <w:noProof/>
              </w:rPr>
              <w:t>“Explain why do public sector in the UK is facing skills shortages despite the high unemployment rate”</w:t>
            </w:r>
            <w:r w:rsidR="006C56CF">
              <w:rPr>
                <w:noProof/>
                <w:webHidden/>
              </w:rPr>
              <w:tab/>
            </w:r>
            <w:r w:rsidR="006C56CF">
              <w:rPr>
                <w:noProof/>
                <w:webHidden/>
              </w:rPr>
              <w:fldChar w:fldCharType="begin"/>
            </w:r>
            <w:r w:rsidR="006C56CF">
              <w:rPr>
                <w:noProof/>
                <w:webHidden/>
              </w:rPr>
              <w:instrText xml:space="preserve"> PAGEREF _Toc111827953 \h </w:instrText>
            </w:r>
            <w:r w:rsidR="006C56CF">
              <w:rPr>
                <w:noProof/>
                <w:webHidden/>
              </w:rPr>
            </w:r>
            <w:r w:rsidR="006C56CF">
              <w:rPr>
                <w:noProof/>
                <w:webHidden/>
              </w:rPr>
              <w:fldChar w:fldCharType="separate"/>
            </w:r>
            <w:r w:rsidR="006C56CF">
              <w:rPr>
                <w:noProof/>
                <w:webHidden/>
              </w:rPr>
              <w:t>7</w:t>
            </w:r>
            <w:r w:rsidR="006C56CF">
              <w:rPr>
                <w:noProof/>
                <w:webHidden/>
              </w:rPr>
              <w:fldChar w:fldCharType="end"/>
            </w:r>
          </w:hyperlink>
        </w:p>
        <w:p w14:paraId="62990D14" w14:textId="797CA5D0"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4" w:history="1">
            <w:r w:rsidR="006C56CF" w:rsidRPr="00B86C04">
              <w:rPr>
                <w:rStyle w:val="Hyperlink"/>
                <w:noProof/>
              </w:rPr>
              <w:t>“Identify and discuss long-term labour market developments to address the skills shortages in healthcare sector professions in the UK”</w:t>
            </w:r>
            <w:r w:rsidR="006C56CF">
              <w:rPr>
                <w:noProof/>
                <w:webHidden/>
              </w:rPr>
              <w:tab/>
            </w:r>
            <w:r w:rsidR="006C56CF">
              <w:rPr>
                <w:noProof/>
                <w:webHidden/>
              </w:rPr>
              <w:fldChar w:fldCharType="begin"/>
            </w:r>
            <w:r w:rsidR="006C56CF">
              <w:rPr>
                <w:noProof/>
                <w:webHidden/>
              </w:rPr>
              <w:instrText xml:space="preserve"> PAGEREF _Toc111827954 \h </w:instrText>
            </w:r>
            <w:r w:rsidR="006C56CF">
              <w:rPr>
                <w:noProof/>
                <w:webHidden/>
              </w:rPr>
            </w:r>
            <w:r w:rsidR="006C56CF">
              <w:rPr>
                <w:noProof/>
                <w:webHidden/>
              </w:rPr>
              <w:fldChar w:fldCharType="separate"/>
            </w:r>
            <w:r w:rsidR="006C56CF">
              <w:rPr>
                <w:noProof/>
                <w:webHidden/>
              </w:rPr>
              <w:t>9</w:t>
            </w:r>
            <w:r w:rsidR="006C56CF">
              <w:rPr>
                <w:noProof/>
                <w:webHidden/>
              </w:rPr>
              <w:fldChar w:fldCharType="end"/>
            </w:r>
          </w:hyperlink>
        </w:p>
        <w:p w14:paraId="2497B1E0" w14:textId="7E66E8E6"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5" w:history="1">
            <w:r w:rsidR="006C56CF" w:rsidRPr="00B86C04">
              <w:rPr>
                <w:rStyle w:val="Hyperlink"/>
                <w:noProof/>
              </w:rPr>
              <w:t>Conclusion</w:t>
            </w:r>
            <w:r w:rsidR="006C56CF">
              <w:rPr>
                <w:noProof/>
                <w:webHidden/>
              </w:rPr>
              <w:tab/>
            </w:r>
            <w:r w:rsidR="006C56CF">
              <w:rPr>
                <w:noProof/>
                <w:webHidden/>
              </w:rPr>
              <w:fldChar w:fldCharType="begin"/>
            </w:r>
            <w:r w:rsidR="006C56CF">
              <w:rPr>
                <w:noProof/>
                <w:webHidden/>
              </w:rPr>
              <w:instrText xml:space="preserve"> PAGEREF _Toc111827955 \h </w:instrText>
            </w:r>
            <w:r w:rsidR="006C56CF">
              <w:rPr>
                <w:noProof/>
                <w:webHidden/>
              </w:rPr>
            </w:r>
            <w:r w:rsidR="006C56CF">
              <w:rPr>
                <w:noProof/>
                <w:webHidden/>
              </w:rPr>
              <w:fldChar w:fldCharType="separate"/>
            </w:r>
            <w:r w:rsidR="006C56CF">
              <w:rPr>
                <w:noProof/>
                <w:webHidden/>
              </w:rPr>
              <w:t>11</w:t>
            </w:r>
            <w:r w:rsidR="006C56CF">
              <w:rPr>
                <w:noProof/>
                <w:webHidden/>
              </w:rPr>
              <w:fldChar w:fldCharType="end"/>
            </w:r>
          </w:hyperlink>
        </w:p>
        <w:p w14:paraId="6A8FB0A5" w14:textId="4D27B46C"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6" w:history="1">
            <w:r w:rsidR="006C56CF" w:rsidRPr="00B86C04">
              <w:rPr>
                <w:rStyle w:val="Hyperlink"/>
                <w:noProof/>
              </w:rPr>
              <w:t>References</w:t>
            </w:r>
            <w:r w:rsidR="006C56CF">
              <w:rPr>
                <w:noProof/>
                <w:webHidden/>
              </w:rPr>
              <w:tab/>
            </w:r>
            <w:r w:rsidR="006C56CF">
              <w:rPr>
                <w:noProof/>
                <w:webHidden/>
              </w:rPr>
              <w:fldChar w:fldCharType="begin"/>
            </w:r>
            <w:r w:rsidR="006C56CF">
              <w:rPr>
                <w:noProof/>
                <w:webHidden/>
              </w:rPr>
              <w:instrText xml:space="preserve"> PAGEREF _Toc111827956 \h </w:instrText>
            </w:r>
            <w:r w:rsidR="006C56CF">
              <w:rPr>
                <w:noProof/>
                <w:webHidden/>
              </w:rPr>
            </w:r>
            <w:r w:rsidR="006C56CF">
              <w:rPr>
                <w:noProof/>
                <w:webHidden/>
              </w:rPr>
              <w:fldChar w:fldCharType="separate"/>
            </w:r>
            <w:r w:rsidR="006C56CF">
              <w:rPr>
                <w:noProof/>
                <w:webHidden/>
              </w:rPr>
              <w:t>12</w:t>
            </w:r>
            <w:r w:rsidR="006C56CF">
              <w:rPr>
                <w:noProof/>
                <w:webHidden/>
              </w:rPr>
              <w:fldChar w:fldCharType="end"/>
            </w:r>
          </w:hyperlink>
        </w:p>
        <w:p w14:paraId="257894B7" w14:textId="128DD899"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7" w:history="1">
            <w:r w:rsidR="006C56CF" w:rsidRPr="00B86C04">
              <w:rPr>
                <w:rStyle w:val="Hyperlink"/>
                <w:noProof/>
              </w:rPr>
              <w:t>Bibliography</w:t>
            </w:r>
            <w:r w:rsidR="006C56CF">
              <w:rPr>
                <w:noProof/>
                <w:webHidden/>
              </w:rPr>
              <w:tab/>
            </w:r>
            <w:r w:rsidR="006C56CF">
              <w:rPr>
                <w:noProof/>
                <w:webHidden/>
              </w:rPr>
              <w:fldChar w:fldCharType="begin"/>
            </w:r>
            <w:r w:rsidR="006C56CF">
              <w:rPr>
                <w:noProof/>
                <w:webHidden/>
              </w:rPr>
              <w:instrText xml:space="preserve"> PAGEREF _Toc111827957 \h </w:instrText>
            </w:r>
            <w:r w:rsidR="006C56CF">
              <w:rPr>
                <w:noProof/>
                <w:webHidden/>
              </w:rPr>
            </w:r>
            <w:r w:rsidR="006C56CF">
              <w:rPr>
                <w:noProof/>
                <w:webHidden/>
              </w:rPr>
              <w:fldChar w:fldCharType="separate"/>
            </w:r>
            <w:r w:rsidR="006C56CF">
              <w:rPr>
                <w:noProof/>
                <w:webHidden/>
              </w:rPr>
              <w:t>14</w:t>
            </w:r>
            <w:r w:rsidR="006C56CF">
              <w:rPr>
                <w:noProof/>
                <w:webHidden/>
              </w:rPr>
              <w:fldChar w:fldCharType="end"/>
            </w:r>
          </w:hyperlink>
        </w:p>
        <w:p w14:paraId="1DEE041A" w14:textId="3EC89D13" w:rsidR="006C56CF" w:rsidRDefault="00000000">
          <w:pPr>
            <w:pStyle w:val="TOC1"/>
            <w:tabs>
              <w:tab w:val="right" w:leader="dot" w:pos="9019"/>
            </w:tabs>
            <w:rPr>
              <w:rFonts w:asciiTheme="minorHAnsi" w:eastAsiaTheme="minorEastAsia" w:hAnsiTheme="minorHAnsi" w:cstheme="minorBidi"/>
              <w:noProof/>
              <w:color w:val="auto"/>
              <w:sz w:val="22"/>
              <w:szCs w:val="22"/>
              <w:highlight w:val="none"/>
              <w:lang w:val="en-IN"/>
            </w:rPr>
          </w:pPr>
          <w:hyperlink w:anchor="_Toc111827958" w:history="1">
            <w:r w:rsidR="006C56CF" w:rsidRPr="00B86C04">
              <w:rPr>
                <w:rStyle w:val="Hyperlink"/>
                <w:noProof/>
              </w:rPr>
              <w:t xml:space="preserve">Appendix: Core behaviours of </w:t>
            </w:r>
            <w:r w:rsidR="006C56CF" w:rsidRPr="00B86C04">
              <w:rPr>
                <w:rStyle w:val="Hyperlink"/>
                <w:i/>
                <w:noProof/>
              </w:rPr>
              <w:t>“CIPD professional map”</w:t>
            </w:r>
            <w:r w:rsidR="006C56CF">
              <w:rPr>
                <w:noProof/>
                <w:webHidden/>
              </w:rPr>
              <w:tab/>
            </w:r>
            <w:r w:rsidR="006C56CF">
              <w:rPr>
                <w:noProof/>
                <w:webHidden/>
              </w:rPr>
              <w:fldChar w:fldCharType="begin"/>
            </w:r>
            <w:r w:rsidR="006C56CF">
              <w:rPr>
                <w:noProof/>
                <w:webHidden/>
              </w:rPr>
              <w:instrText xml:space="preserve"> PAGEREF _Toc111827958 \h </w:instrText>
            </w:r>
            <w:r w:rsidR="006C56CF">
              <w:rPr>
                <w:noProof/>
                <w:webHidden/>
              </w:rPr>
            </w:r>
            <w:r w:rsidR="006C56CF">
              <w:rPr>
                <w:noProof/>
                <w:webHidden/>
              </w:rPr>
              <w:fldChar w:fldCharType="separate"/>
            </w:r>
            <w:r w:rsidR="006C56CF">
              <w:rPr>
                <w:noProof/>
                <w:webHidden/>
              </w:rPr>
              <w:t>15</w:t>
            </w:r>
            <w:r w:rsidR="006C56CF">
              <w:rPr>
                <w:noProof/>
                <w:webHidden/>
              </w:rPr>
              <w:fldChar w:fldCharType="end"/>
            </w:r>
          </w:hyperlink>
        </w:p>
        <w:p w14:paraId="3E659478" w14:textId="4F202832" w:rsidR="007207FF" w:rsidRDefault="00000000" w:rsidP="007207FF">
          <w:r>
            <w:rPr>
              <w:b/>
              <w:bCs/>
              <w:noProof/>
            </w:rPr>
            <w:fldChar w:fldCharType="end"/>
          </w:r>
        </w:p>
      </w:sdtContent>
    </w:sdt>
    <w:p w14:paraId="59FD9EC0" w14:textId="77777777" w:rsidR="00386CE2" w:rsidRDefault="00000000">
      <w:pPr>
        <w:jc w:val="center"/>
        <w:rPr>
          <w:b/>
          <w:sz w:val="32"/>
          <w:szCs w:val="32"/>
        </w:rPr>
      </w:pPr>
      <w:r>
        <w:br w:type="page"/>
      </w:r>
    </w:p>
    <w:p w14:paraId="71C01FD0" w14:textId="77777777" w:rsidR="00386CE2" w:rsidRDefault="00000000" w:rsidP="00DA2599">
      <w:pPr>
        <w:pStyle w:val="Heading1"/>
      </w:pPr>
      <w:bookmarkStart w:id="0" w:name="_Toc111827948"/>
      <w:r>
        <w:lastRenderedPageBreak/>
        <w:t>Introduction</w:t>
      </w:r>
      <w:bookmarkEnd w:id="0"/>
      <w:r>
        <w:t xml:space="preserve"> </w:t>
      </w:r>
    </w:p>
    <w:p w14:paraId="72915643" w14:textId="77777777" w:rsidR="00386CE2" w:rsidRDefault="00000000">
      <w:r>
        <w:t xml:space="preserve">This assignment is going to explain the behaviours of the current CIPD professional map and their effectiveness in the working procedure of HR professionals in the UK. The explanation of the issues of labour shortages instead of the high rate of employment along with the identification of the developments of the </w:t>
      </w:r>
      <w:r>
        <w:rPr>
          <w:b/>
          <w:i/>
        </w:rPr>
        <w:t>“long-term labour market”</w:t>
      </w:r>
      <w:r>
        <w:t xml:space="preserve"> for addressing the shortage of skills in the healthcare sector of the UK.  </w:t>
      </w:r>
    </w:p>
    <w:p w14:paraId="4CA7312A" w14:textId="77777777" w:rsidR="00386CE2" w:rsidRDefault="00000000">
      <w:pPr>
        <w:pStyle w:val="Heading1"/>
      </w:pPr>
      <w:bookmarkStart w:id="1" w:name="_j8vijvchha4m" w:colFirst="0" w:colLast="0"/>
      <w:bookmarkStart w:id="2" w:name="_Toc111827949"/>
      <w:bookmarkEnd w:id="1"/>
      <w:r>
        <w:t>Part 1</w:t>
      </w:r>
      <w:bookmarkEnd w:id="2"/>
      <w:r>
        <w:t xml:space="preserve"> </w:t>
      </w:r>
    </w:p>
    <w:p w14:paraId="4515F698" w14:textId="77777777" w:rsidR="00386CE2" w:rsidRDefault="00000000">
      <w:pPr>
        <w:pStyle w:val="Heading1"/>
      </w:pPr>
      <w:bookmarkStart w:id="3" w:name="_uq5lw2lezvte" w:colFirst="0" w:colLast="0"/>
      <w:bookmarkStart w:id="4" w:name="_Toc111827950"/>
      <w:bookmarkEnd w:id="3"/>
      <w:r>
        <w:t>“Explain how important these behaviours are for effective HR professionals working in the UK referring to the current CIPD Profession Map”</w:t>
      </w:r>
      <w:bookmarkEnd w:id="4"/>
    </w:p>
    <w:p w14:paraId="76A1F2FE" w14:textId="77777777" w:rsidR="00386CE2" w:rsidRDefault="00000000">
      <w:pPr>
        <w:rPr>
          <w:b/>
          <w:i/>
        </w:rPr>
      </w:pPr>
      <w:r>
        <w:rPr>
          <w:b/>
          <w:i/>
        </w:rPr>
        <w:t>Current CIPD professional map</w:t>
      </w:r>
    </w:p>
    <w:p w14:paraId="3DF3E8F1" w14:textId="77777777" w:rsidR="00386CE2" w:rsidRDefault="00000000">
      <w:r>
        <w:t xml:space="preserve">The </w:t>
      </w:r>
      <w:r>
        <w:rPr>
          <w:b/>
          <w:i/>
        </w:rPr>
        <w:t>“CIPD profession map”</w:t>
      </w:r>
      <w:r>
        <w:t xml:space="preserve"> refers to the benchmark of people’s professions and the usefulness of this profession map includes better decision-making, organisational drive change and career progression. The </w:t>
      </w:r>
      <w:r>
        <w:rPr>
          <w:b/>
          <w:i/>
        </w:rPr>
        <w:t>“professional standards”</w:t>
      </w:r>
      <w:r>
        <w:t xml:space="preserve"> of CIPD underpin the entry-level qualification of HR professionals (Griggs and Allen, 2018). The </w:t>
      </w:r>
      <w:r>
        <w:rPr>
          <w:b/>
          <w:i/>
        </w:rPr>
        <w:t xml:space="preserve">“CIPD profession map” </w:t>
      </w:r>
      <w:r>
        <w:t xml:space="preserve">consists of </w:t>
      </w:r>
      <w:r>
        <w:rPr>
          <w:b/>
          <w:i/>
        </w:rPr>
        <w:t>“specialist knowledge”, “core behaviour”</w:t>
      </w:r>
      <w:r>
        <w:t xml:space="preserve"> and </w:t>
      </w:r>
      <w:r>
        <w:rPr>
          <w:b/>
          <w:i/>
        </w:rPr>
        <w:t xml:space="preserve">“core knowledge”. </w:t>
      </w:r>
      <w:r>
        <w:t xml:space="preserve">The </w:t>
      </w:r>
      <w:r>
        <w:rPr>
          <w:b/>
          <w:i/>
        </w:rPr>
        <w:t>“core behaviours”</w:t>
      </w:r>
      <w:r>
        <w:t xml:space="preserve"> of this map include: </w:t>
      </w:r>
      <w:r>
        <w:rPr>
          <w:b/>
          <w:i/>
        </w:rPr>
        <w:t xml:space="preserve">“working inclusively”, “commercial drive”, “Passion for learning”, “Insights focused”, “Situational decision-making”, “Ethical practice”, “Professional courage and influence” </w:t>
      </w:r>
      <w:r>
        <w:t>and</w:t>
      </w:r>
      <w:r>
        <w:rPr>
          <w:b/>
          <w:i/>
        </w:rPr>
        <w:t xml:space="preserve"> “valuing people” </w:t>
      </w:r>
      <w:r>
        <w:t>[</w:t>
      </w:r>
      <w:r>
        <w:rPr>
          <w:b/>
          <w:i/>
        </w:rPr>
        <w:t>Refer to the appendix</w:t>
      </w:r>
      <w:r>
        <w:t xml:space="preserve">]. </w:t>
      </w:r>
    </w:p>
    <w:p w14:paraId="513C4A54" w14:textId="77777777" w:rsidR="00386CE2" w:rsidRDefault="00000000">
      <w:pPr>
        <w:jc w:val="center"/>
      </w:pPr>
      <w:r>
        <w:rPr>
          <w:noProof/>
        </w:rPr>
        <w:lastRenderedPageBreak/>
        <w:drawing>
          <wp:inline distT="114300" distB="114300" distL="114300" distR="114300" wp14:anchorId="367A2783" wp14:editId="074A8B75">
            <wp:extent cx="4167188" cy="3211864"/>
            <wp:effectExtent l="25400" t="25400" r="25400" b="25400"/>
            <wp:docPr id="2" name="image4.png"/>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7"/>
                    <a:stretch>
                      <a:fillRect/>
                    </a:stretch>
                  </pic:blipFill>
                  <pic:spPr>
                    <a:xfrm>
                      <a:off x="0" y="0"/>
                      <a:ext cx="4167188" cy="3211864"/>
                    </a:xfrm>
                    <a:prstGeom prst="rect">
                      <a:avLst/>
                    </a:prstGeom>
                    <a:ln w="25400">
                      <a:solidFill>
                        <a:srgbClr val="000000"/>
                      </a:solidFill>
                      <a:prstDash val="solid"/>
                    </a:ln>
                  </pic:spPr>
                </pic:pic>
              </a:graphicData>
            </a:graphic>
          </wp:inline>
        </w:drawing>
      </w:r>
    </w:p>
    <w:p w14:paraId="10FC5E1F" w14:textId="77777777" w:rsidR="00386CE2" w:rsidRDefault="00000000">
      <w:pPr>
        <w:jc w:val="center"/>
        <w:rPr>
          <w:b/>
        </w:rPr>
      </w:pPr>
      <w:r>
        <w:rPr>
          <w:b/>
        </w:rPr>
        <w:t>Figure 1: CIPD profession map</w:t>
      </w:r>
    </w:p>
    <w:p w14:paraId="3CB38A6D" w14:textId="77777777" w:rsidR="00386CE2" w:rsidRDefault="00000000">
      <w:pPr>
        <w:jc w:val="center"/>
      </w:pPr>
      <w:r>
        <w:t>(Source: Peopleprofession, 2021)</w:t>
      </w:r>
    </w:p>
    <w:p w14:paraId="4ED25628" w14:textId="77777777" w:rsidR="00386CE2" w:rsidRDefault="00000000">
      <w:pPr>
        <w:rPr>
          <w:b/>
          <w:i/>
        </w:rPr>
      </w:pPr>
      <w:r>
        <w:rPr>
          <w:b/>
          <w:i/>
        </w:rPr>
        <w:t>Working inclusively</w:t>
      </w:r>
    </w:p>
    <w:p w14:paraId="76401F35" w14:textId="77777777" w:rsidR="00386CE2" w:rsidRDefault="00000000">
      <w:r>
        <w:t xml:space="preserve">This behaviour deals with the importance of collaborating and working across boundaries by being inclusive and effective to achieve effective outcomes (Coates and Dutson, 2021). It also facilitates setting up and encouraging cross-boundary working, managing conflicts in constructive methods and building trustworthy relationships.  </w:t>
      </w:r>
    </w:p>
    <w:p w14:paraId="14FA3CED" w14:textId="77777777" w:rsidR="00386CE2" w:rsidRDefault="00000000">
      <w:pPr>
        <w:rPr>
          <w:b/>
          <w:i/>
        </w:rPr>
      </w:pPr>
      <w:r>
        <w:rPr>
          <w:b/>
          <w:i/>
        </w:rPr>
        <w:t>Commercial Drive</w:t>
      </w:r>
    </w:p>
    <w:p w14:paraId="5F000F8F" w14:textId="77777777" w:rsidR="00386CE2" w:rsidRDefault="00000000">
      <w:r>
        <w:t xml:space="preserve">This core behaviour uses a commercial mindset, demonstrates drive and enables change for value creation. This behaviour supports the areas of core knowledge regarding </w:t>
      </w:r>
      <w:r>
        <w:rPr>
          <w:b/>
          <w:i/>
        </w:rPr>
        <w:t>“business acumen”</w:t>
      </w:r>
      <w:r>
        <w:t xml:space="preserve"> and </w:t>
      </w:r>
      <w:r>
        <w:rPr>
          <w:b/>
          <w:i/>
        </w:rPr>
        <w:t>“change”</w:t>
      </w:r>
      <w:r>
        <w:t xml:space="preserve">.  </w:t>
      </w:r>
    </w:p>
    <w:p w14:paraId="2061DB62" w14:textId="77777777" w:rsidR="00386CE2" w:rsidRDefault="00000000">
      <w:pPr>
        <w:rPr>
          <w:b/>
          <w:i/>
        </w:rPr>
      </w:pPr>
      <w:r>
        <w:rPr>
          <w:b/>
          <w:i/>
        </w:rPr>
        <w:t>Passion for learning</w:t>
      </w:r>
    </w:p>
    <w:p w14:paraId="652A10CC" w14:textId="77777777" w:rsidR="00386CE2" w:rsidRDefault="00000000">
      <w:pPr>
        <w:rPr>
          <w:b/>
          <w:i/>
        </w:rPr>
      </w:pPr>
      <w:r>
        <w:t xml:space="preserve">This particular behaviour demonstrates curiosity and creates opportunities for improvement and innovation, which further helps in continuous professional development. </w:t>
      </w:r>
      <w:r>
        <w:rPr>
          <w:b/>
          <w:i/>
        </w:rPr>
        <w:t xml:space="preserve"> </w:t>
      </w:r>
    </w:p>
    <w:p w14:paraId="19D345EB" w14:textId="77777777" w:rsidR="00386CE2" w:rsidRDefault="00000000">
      <w:pPr>
        <w:rPr>
          <w:b/>
          <w:i/>
        </w:rPr>
      </w:pPr>
      <w:r>
        <w:rPr>
          <w:b/>
          <w:i/>
        </w:rPr>
        <w:t>Insights focused</w:t>
      </w:r>
    </w:p>
    <w:p w14:paraId="592DF9BF" w14:textId="77777777" w:rsidR="00386CE2" w:rsidRDefault="00000000">
      <w:r>
        <w:lastRenderedPageBreak/>
        <w:t xml:space="preserve">This core behaviour asks questions and evaluates different ideas and evidence to understand the insight. In addition, it also aggregates evidence to understand the issues with their wider implications.  </w:t>
      </w:r>
    </w:p>
    <w:p w14:paraId="53D30920" w14:textId="77777777" w:rsidR="00386CE2" w:rsidRDefault="00000000">
      <w:pPr>
        <w:rPr>
          <w:b/>
          <w:i/>
        </w:rPr>
      </w:pPr>
      <w:r>
        <w:rPr>
          <w:b/>
          <w:i/>
        </w:rPr>
        <w:t>Situational decision-making</w:t>
      </w:r>
    </w:p>
    <w:p w14:paraId="6211EA50" w14:textId="77777777" w:rsidR="00386CE2" w:rsidRDefault="00000000">
      <w:r>
        <w:t xml:space="preserve">It avoids the </w:t>
      </w:r>
      <w:r>
        <w:rPr>
          <w:b/>
          <w:i/>
        </w:rPr>
        <w:t>“one-size-fits-all”</w:t>
      </w:r>
      <w:r>
        <w:t xml:space="preserve"> approach and identifies different options regarding the risk factors and benefits associated with professional principles (Stenmark and Redfearn, 2022). It helps in making pragmatic and effective decisions based on the specific context or situation.</w:t>
      </w:r>
    </w:p>
    <w:p w14:paraId="6456E929" w14:textId="77777777" w:rsidR="00386CE2" w:rsidRDefault="00000000">
      <w:pPr>
        <w:rPr>
          <w:b/>
          <w:i/>
        </w:rPr>
      </w:pPr>
      <w:r>
        <w:rPr>
          <w:b/>
          <w:i/>
        </w:rPr>
        <w:t>Ethical practice</w:t>
      </w:r>
    </w:p>
    <w:p w14:paraId="753BAB86" w14:textId="77777777" w:rsidR="00386CE2" w:rsidRDefault="00000000">
      <w:pPr>
        <w:rPr>
          <w:b/>
          <w:i/>
        </w:rPr>
      </w:pPr>
      <w:r>
        <w:t xml:space="preserve">It majorly helps in building trust by taking the role model of ethical behaviour, as well as, applying values and principles in decision-making.   </w:t>
      </w:r>
      <w:r>
        <w:rPr>
          <w:b/>
          <w:i/>
        </w:rPr>
        <w:t xml:space="preserve"> </w:t>
      </w:r>
    </w:p>
    <w:p w14:paraId="0D302786" w14:textId="77777777" w:rsidR="00386CE2" w:rsidRDefault="00000000">
      <w:pPr>
        <w:rPr>
          <w:b/>
          <w:i/>
        </w:rPr>
      </w:pPr>
      <w:r>
        <w:rPr>
          <w:b/>
          <w:i/>
        </w:rPr>
        <w:t>Professional courage and influence</w:t>
      </w:r>
    </w:p>
    <w:p w14:paraId="0B68EC44" w14:textId="77777777" w:rsidR="00386CE2" w:rsidRDefault="00000000">
      <w:r>
        <w:t xml:space="preserve">The professionals require the key behaviours to influence others and provide courage to challenge decisions (Bennett </w:t>
      </w:r>
      <w:r>
        <w:rPr>
          <w:i/>
        </w:rPr>
        <w:t xml:space="preserve">et al. </w:t>
      </w:r>
      <w:r>
        <w:t xml:space="preserve">2020). Therefore, it requires the creation of strong relationships with others for an effective understanding of their views and concerns with the use of effective ways of communication to achieve necessary outcomes.   </w:t>
      </w:r>
    </w:p>
    <w:p w14:paraId="533CA31A" w14:textId="77777777" w:rsidR="00386CE2" w:rsidRDefault="00000000">
      <w:pPr>
        <w:rPr>
          <w:b/>
          <w:i/>
        </w:rPr>
      </w:pPr>
      <w:r>
        <w:rPr>
          <w:b/>
          <w:i/>
        </w:rPr>
        <w:t>Valuing people</w:t>
      </w:r>
    </w:p>
    <w:p w14:paraId="5849F157" w14:textId="77777777" w:rsidR="00386CE2" w:rsidRDefault="00000000">
      <w:pPr>
        <w:rPr>
          <w:b/>
          <w:i/>
        </w:rPr>
      </w:pPr>
      <w:r>
        <w:t xml:space="preserve">The centre of this approach is to balance consideration, fairness and compassion. Organisational leaders are advised to enable their management capabilities by encouraging the </w:t>
      </w:r>
      <w:r>
        <w:rPr>
          <w:b/>
          <w:i/>
        </w:rPr>
        <w:t>“culture of trust”, “people development”</w:t>
      </w:r>
      <w:r>
        <w:t xml:space="preserve"> and </w:t>
      </w:r>
      <w:r>
        <w:rPr>
          <w:b/>
          <w:i/>
        </w:rPr>
        <w:t>“wellbeing”</w:t>
      </w:r>
      <w:r>
        <w:t xml:space="preserve">. </w:t>
      </w:r>
      <w:r>
        <w:rPr>
          <w:b/>
          <w:i/>
        </w:rPr>
        <w:t xml:space="preserve"> </w:t>
      </w:r>
    </w:p>
    <w:p w14:paraId="27BC68BB" w14:textId="77777777" w:rsidR="00386CE2" w:rsidRDefault="00000000">
      <w:pPr>
        <w:rPr>
          <w:b/>
          <w:i/>
        </w:rPr>
      </w:pPr>
      <w:r>
        <w:rPr>
          <w:b/>
          <w:i/>
        </w:rPr>
        <w:t>Importance of the “CIPD profession map” in HR professionals</w:t>
      </w:r>
    </w:p>
    <w:p w14:paraId="020A8469" w14:textId="77777777" w:rsidR="00386CE2" w:rsidRDefault="00000000">
      <w:r>
        <w:t xml:space="preserve">The inclusive working behaviour of HR professionals helps them effectively work across </w:t>
      </w:r>
      <w:r>
        <w:rPr>
          <w:b/>
          <w:i/>
        </w:rPr>
        <w:t>boundaries, cultures and geographics</w:t>
      </w:r>
      <w:r>
        <w:t xml:space="preserve">. One of the major characteristics of HR professionals includes the ability to listen to others’ viewpoints to enable a friendly work culture inside the organisation (Harrison </w:t>
      </w:r>
      <w:r>
        <w:rPr>
          <w:i/>
        </w:rPr>
        <w:t xml:space="preserve">et al. </w:t>
      </w:r>
      <w:r>
        <w:t>2021). The most important responsibility of the HR professionals involves focusing on the factors that provide the most value for business and people. Commercial Drive is a prior element of the</w:t>
      </w:r>
      <w:r>
        <w:rPr>
          <w:b/>
          <w:i/>
        </w:rPr>
        <w:t xml:space="preserve"> “CIPD profession map”, </w:t>
      </w:r>
      <w:r>
        <w:t xml:space="preserve">for which the effective identification of organisational issues and risks can be progressed by the HR professionals. Following the manner enhances organisational performance and success. This behaviour indulged in the HR managers of the UK sectors helps them in identifying the </w:t>
      </w:r>
      <w:r>
        <w:rPr>
          <w:b/>
          <w:i/>
        </w:rPr>
        <w:t xml:space="preserve">benefits by </w:t>
      </w:r>
      <w:r>
        <w:rPr>
          <w:b/>
          <w:i/>
        </w:rPr>
        <w:lastRenderedPageBreak/>
        <w:t>partnering with consumers</w:t>
      </w:r>
      <w:r>
        <w:t xml:space="preserve"> along with the proper </w:t>
      </w:r>
      <w:r>
        <w:rPr>
          <w:b/>
          <w:i/>
        </w:rPr>
        <w:t>understanding of financial implications</w:t>
      </w:r>
      <w:r>
        <w:t xml:space="preserve"> by proving the changed behaviour of business cases (Griggs and Allen, 2018). Organisational progression requires continuous influence from the HR managers, which can be possible when the HR managers </w:t>
      </w:r>
      <w:r>
        <w:rPr>
          <w:b/>
          <w:i/>
        </w:rPr>
        <w:t>contribute their ideologies</w:t>
      </w:r>
      <w:r>
        <w:t xml:space="preserve"> to other employees, get </w:t>
      </w:r>
      <w:r>
        <w:rPr>
          <w:b/>
          <w:i/>
        </w:rPr>
        <w:t>sustainable collaboration with organisational stakeholders</w:t>
      </w:r>
      <w:r>
        <w:t xml:space="preserve"> and </w:t>
      </w:r>
      <w:r>
        <w:rPr>
          <w:b/>
          <w:i/>
        </w:rPr>
        <w:t>work effectively with the line managers</w:t>
      </w:r>
      <w:r>
        <w:t xml:space="preserve">. </w:t>
      </w:r>
    </w:p>
    <w:p w14:paraId="688665A4" w14:textId="77777777" w:rsidR="00386CE2" w:rsidRDefault="00000000">
      <w:pPr>
        <w:jc w:val="center"/>
      </w:pPr>
      <w:r>
        <w:rPr>
          <w:noProof/>
        </w:rPr>
        <w:drawing>
          <wp:inline distT="114300" distB="114300" distL="114300" distR="114300" wp14:anchorId="51D4CA30" wp14:editId="6B5D869A">
            <wp:extent cx="4324350" cy="2910656"/>
            <wp:effectExtent l="25400" t="25400" r="25400" b="25400"/>
            <wp:docPr id="6" name="image1.png"/>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8"/>
                    <a:stretch>
                      <a:fillRect/>
                    </a:stretch>
                  </pic:blipFill>
                  <pic:spPr>
                    <a:xfrm>
                      <a:off x="0" y="0"/>
                      <a:ext cx="4324350" cy="2910656"/>
                    </a:xfrm>
                    <a:prstGeom prst="rect">
                      <a:avLst/>
                    </a:prstGeom>
                    <a:ln w="25400">
                      <a:solidFill>
                        <a:srgbClr val="000000"/>
                      </a:solidFill>
                      <a:prstDash val="solid"/>
                    </a:ln>
                  </pic:spPr>
                </pic:pic>
              </a:graphicData>
            </a:graphic>
          </wp:inline>
        </w:drawing>
      </w:r>
    </w:p>
    <w:p w14:paraId="06F638F3" w14:textId="77777777" w:rsidR="00386CE2" w:rsidRDefault="00000000">
      <w:pPr>
        <w:jc w:val="center"/>
        <w:rPr>
          <w:b/>
          <w:i/>
        </w:rPr>
      </w:pPr>
      <w:r>
        <w:rPr>
          <w:b/>
        </w:rPr>
        <w:t xml:space="preserve">Figure 2: Role of HR professionals by following the </w:t>
      </w:r>
      <w:r>
        <w:rPr>
          <w:b/>
          <w:i/>
        </w:rPr>
        <w:t>“CIPD profession map”</w:t>
      </w:r>
    </w:p>
    <w:p w14:paraId="2EF369C4" w14:textId="77777777" w:rsidR="00386CE2" w:rsidRDefault="00000000">
      <w:pPr>
        <w:jc w:val="center"/>
      </w:pPr>
      <w:r>
        <w:t>(Source: Self-developed)</w:t>
      </w:r>
    </w:p>
    <w:p w14:paraId="4B2D537A" w14:textId="77777777" w:rsidR="00386CE2" w:rsidRDefault="00000000">
      <w:r>
        <w:t xml:space="preserve">The prior role of the HR professionals is to encourage the employees through influencing words in case the organisation is facing any opposition or resistance that brings barriers to its way of success (Hook and Jenkins, 2019). In addition, the HR professionals also need to take some key steps for enabling evidence-based practice, which are: </w:t>
      </w:r>
      <w:r>
        <w:rPr>
          <w:b/>
          <w:i/>
        </w:rPr>
        <w:t>“asking questions”, “acquiring evidence”, “critically assessing evidence”</w:t>
      </w:r>
      <w:r>
        <w:t xml:space="preserve"> and </w:t>
      </w:r>
      <w:r>
        <w:rPr>
          <w:b/>
          <w:i/>
        </w:rPr>
        <w:t>“aggregating evidence”</w:t>
      </w:r>
      <w:r>
        <w:t xml:space="preserve">. All these parameters help in understanding the entire issue faced by the organisation along with its wider implications. The HRs play an important role in identifying the reason, for which a decision cannot be successfully practised (Uppathampracha, 2019). Hence, the HR professionals need to consider </w:t>
      </w:r>
      <w:r>
        <w:rPr>
          <w:b/>
          <w:i/>
        </w:rPr>
        <w:t>different ethical perspectives</w:t>
      </w:r>
      <w:r>
        <w:t xml:space="preserve"> on organisational decision-making, challenge other employees on their decision-making and the maintenance of necessary transparency regarding professional values, integrity and principles.        </w:t>
      </w:r>
    </w:p>
    <w:p w14:paraId="24E84FE8" w14:textId="77777777" w:rsidR="00386CE2" w:rsidRDefault="00000000">
      <w:pPr>
        <w:pStyle w:val="Heading1"/>
      </w:pPr>
      <w:bookmarkStart w:id="5" w:name="_ru2i8ju5mu5x" w:colFirst="0" w:colLast="0"/>
      <w:bookmarkStart w:id="6" w:name="_Toc111827951"/>
      <w:bookmarkEnd w:id="5"/>
      <w:r>
        <w:lastRenderedPageBreak/>
        <w:t>“Explain to what extent that this map could be applied to HR professionals working on a global scale regardless of sectors and sizes of organisations”</w:t>
      </w:r>
      <w:bookmarkEnd w:id="6"/>
    </w:p>
    <w:p w14:paraId="7F4E2FEC" w14:textId="3B7782A2" w:rsidR="00386CE2" w:rsidRDefault="00000000">
      <w:r>
        <w:t xml:space="preserve">Business enterprises or organisations are divided into </w:t>
      </w:r>
      <w:r>
        <w:rPr>
          <w:b/>
          <w:i/>
        </w:rPr>
        <w:t>“large”</w:t>
      </w:r>
      <w:r>
        <w:t xml:space="preserve">, </w:t>
      </w:r>
      <w:r>
        <w:rPr>
          <w:b/>
          <w:i/>
        </w:rPr>
        <w:t>“Micro”, “small”</w:t>
      </w:r>
      <w:r>
        <w:t xml:space="preserve"> and </w:t>
      </w:r>
      <w:r>
        <w:rPr>
          <w:b/>
          <w:i/>
        </w:rPr>
        <w:t>“medium-sized enterprises”</w:t>
      </w:r>
      <w:r>
        <w:t xml:space="preserve">. This distinguished matter develops for the variations in employee numbers, the number of existing shareholders and market shares. The effective underpinning of the </w:t>
      </w:r>
      <w:r>
        <w:rPr>
          <w:b/>
          <w:i/>
        </w:rPr>
        <w:t xml:space="preserve">“CIPD’s professional </w:t>
      </w:r>
      <w:r w:rsidR="0073333C">
        <w:rPr>
          <w:b/>
          <w:i/>
        </w:rPr>
        <w:t>standards”</w:t>
      </w:r>
      <w:r w:rsidR="0073333C">
        <w:t xml:space="preserve"> helps</w:t>
      </w:r>
      <w:r>
        <w:t xml:space="preserve"> in the evaluation of the entry-level qualifications of HR (Roper and Higgins, 2020). The roles of HR managers in different sizes of organisations have made effective changes in the existing standards of the</w:t>
      </w:r>
      <w:r>
        <w:rPr>
          <w:b/>
          <w:i/>
        </w:rPr>
        <w:t xml:space="preserve"> “CIPD professional map”</w:t>
      </w:r>
      <w:r>
        <w:t xml:space="preserve">. The different roles of HR managers in different sizes of organisations exist due to various internal and external influences and perceptions of capabilities. The prior role of the HR professionals of small organisations is to learn essential organisational particularities from the bigger organisations, while the role of HRs of </w:t>
      </w:r>
      <w:r>
        <w:rPr>
          <w:b/>
          <w:i/>
        </w:rPr>
        <w:t>“medium-sized organisations”</w:t>
      </w:r>
      <w:r>
        <w:t xml:space="preserve"> </w:t>
      </w:r>
      <w:r w:rsidR="0073333C">
        <w:t>consists</w:t>
      </w:r>
      <w:r>
        <w:t xml:space="preserve"> of the target of making the organisations larger. </w:t>
      </w:r>
      <w:r>
        <w:rPr>
          <w:b/>
          <w:i/>
        </w:rPr>
        <w:t xml:space="preserve">“Wren Kitchens” </w:t>
      </w:r>
      <w:r>
        <w:t xml:space="preserve">is considered to be the number one kitchen retailer in the UK. Hence, it can be recognised as a large-sized organisation for its huge range of products (Wrenkitchens, 2022). The prior differences in the job roles of the HR professionals in various kinds of organisations are responsible for the changing perspective of the HR professionals in the digital era with the major use of </w:t>
      </w:r>
      <w:r>
        <w:rPr>
          <w:b/>
          <w:i/>
        </w:rPr>
        <w:t>“new priorities”, “technology”</w:t>
      </w:r>
      <w:r>
        <w:t xml:space="preserve"> and</w:t>
      </w:r>
      <w:r>
        <w:rPr>
          <w:b/>
          <w:i/>
        </w:rPr>
        <w:t xml:space="preserve"> “ways of working”</w:t>
      </w:r>
      <w:r>
        <w:t xml:space="preserve">.  When it comes to the matter of organising the management through global perspectives, the HR managers use these </w:t>
      </w:r>
      <w:r>
        <w:rPr>
          <w:b/>
          <w:i/>
        </w:rPr>
        <w:t>“CIPD professional standards”</w:t>
      </w:r>
      <w:r>
        <w:t xml:space="preserve"> to influence employees by shifting their focus to value-based decisions (</w:t>
      </w:r>
      <w:r w:rsidR="003A5B08">
        <w:rPr>
          <w:b/>
          <w:bCs/>
          <w:i/>
          <w:iCs/>
        </w:rPr>
        <w:t>Refer to bibliography</w:t>
      </w:r>
      <w:r>
        <w:t xml:space="preserve">). The apparent ideology regarding opening-up opportunities gets developed with the effective practice of this map.     </w:t>
      </w:r>
    </w:p>
    <w:p w14:paraId="75917D39" w14:textId="77777777" w:rsidR="00386CE2" w:rsidRDefault="00000000">
      <w:pPr>
        <w:pStyle w:val="Heading1"/>
      </w:pPr>
      <w:bookmarkStart w:id="7" w:name="_7iu8mrl9z1dh" w:colFirst="0" w:colLast="0"/>
      <w:bookmarkStart w:id="8" w:name="_Toc111827952"/>
      <w:bookmarkEnd w:id="7"/>
      <w:r>
        <w:t>Part 2</w:t>
      </w:r>
      <w:bookmarkEnd w:id="8"/>
      <w:r>
        <w:t xml:space="preserve"> </w:t>
      </w:r>
    </w:p>
    <w:p w14:paraId="697DE3B9" w14:textId="77777777" w:rsidR="00386CE2" w:rsidRDefault="00000000">
      <w:pPr>
        <w:pStyle w:val="Heading1"/>
      </w:pPr>
      <w:bookmarkStart w:id="9" w:name="_ra5zuighdji5" w:colFirst="0" w:colLast="0"/>
      <w:bookmarkStart w:id="10" w:name="_Toc111827953"/>
      <w:bookmarkEnd w:id="9"/>
      <w:r>
        <w:t>“Explain why do public sector in the UK is facing skills shortages despite the high unemployment rate”</w:t>
      </w:r>
      <w:bookmarkEnd w:id="10"/>
    </w:p>
    <w:p w14:paraId="1D961F54" w14:textId="77777777" w:rsidR="00386CE2" w:rsidRDefault="00000000">
      <w:r>
        <w:t xml:space="preserve">The </w:t>
      </w:r>
      <w:r>
        <w:rPr>
          <w:b/>
          <w:i/>
        </w:rPr>
        <w:t>“net employment balance”</w:t>
      </w:r>
      <w:r>
        <w:t xml:space="preserve"> refers to the effective difference between the expectation of employers to enhance staff levels within the next three months and the employers with the expectation of decreasing staff levels. It has been identified that in the UK, </w:t>
      </w:r>
      <w:r>
        <w:rPr>
          <w:b/>
          <w:i/>
        </w:rPr>
        <w:t>about 48% of employers</w:t>
      </w:r>
      <w:r>
        <w:t xml:space="preserve"> have responded to the recruitment barriers, </w:t>
      </w:r>
      <w:r>
        <w:rPr>
          <w:b/>
          <w:i/>
        </w:rPr>
        <w:t>46%</w:t>
      </w:r>
      <w:r>
        <w:t xml:space="preserve"> have responded to the flexible </w:t>
      </w:r>
      <w:r>
        <w:rPr>
          <w:b/>
          <w:i/>
        </w:rPr>
        <w:t>advertisements for more jobs</w:t>
      </w:r>
      <w:r>
        <w:t xml:space="preserve"> and </w:t>
      </w:r>
      <w:r>
        <w:rPr>
          <w:b/>
          <w:i/>
        </w:rPr>
        <w:t>44%</w:t>
      </w:r>
      <w:r>
        <w:t xml:space="preserve"> of employers have provided their responses to the </w:t>
      </w:r>
      <w:r>
        <w:rPr>
          <w:b/>
          <w:i/>
        </w:rPr>
        <w:t xml:space="preserve">necessity of upskilling existing staff members </w:t>
      </w:r>
      <w:r>
        <w:t xml:space="preserve">(CIPD, 2021a). There have been almost </w:t>
      </w:r>
      <w:r>
        <w:rPr>
          <w:b/>
          <w:i/>
        </w:rPr>
        <w:t xml:space="preserve">46% </w:t>
      </w:r>
      <w:r>
        <w:rPr>
          <w:b/>
          <w:i/>
        </w:rPr>
        <w:lastRenderedPageBreak/>
        <w:t>“hard-to-fill” vacancies</w:t>
      </w:r>
      <w:r>
        <w:t xml:space="preserve">, which are most commonly seen in public administration, public sector, construction sector and the healthcare sector. The high unemployment rate of the UK is developed to the planning of few employers regarding the reduction of staff members and the percentage of these employers is </w:t>
      </w:r>
      <w:r>
        <w:rPr>
          <w:b/>
          <w:i/>
        </w:rPr>
        <w:t>6%</w:t>
      </w:r>
      <w:r>
        <w:t xml:space="preserve">. The main reason, for which the public sector of the UK is facing the issue of skill shortage among employees, can be the existence of </w:t>
      </w:r>
      <w:r>
        <w:rPr>
          <w:b/>
          <w:i/>
        </w:rPr>
        <w:t>11% “proportion planning redundancies”</w:t>
      </w:r>
      <w:r>
        <w:t xml:space="preserve"> regarding the comparison with the last quarter and the circumstances before the pandemic of </w:t>
      </w:r>
      <w:r>
        <w:rPr>
          <w:b/>
          <w:i/>
        </w:rPr>
        <w:t>Covid-19</w:t>
      </w:r>
      <w:r>
        <w:t xml:space="preserve">. Employment opportunities in the UK public sector can be enhanced through flexibility and the chance of external recruitment becomes reduced in case of upskilling existing staff of the public sector organisations. The government of the UK needs to address a different policy of raising skills for supporting </w:t>
      </w:r>
      <w:r>
        <w:rPr>
          <w:b/>
          <w:i/>
        </w:rPr>
        <w:t xml:space="preserve">“greater employer investment” </w:t>
      </w:r>
      <w:r>
        <w:t xml:space="preserve">(CIPD, 2021a). The unavailability of necessary funding is another major reason for skill shortages in the public sector organisations of the UK, for which the government also needs to implement necessary funding to boost the skills of the labourers along with the increased level of productivity and job creation.       </w:t>
      </w:r>
    </w:p>
    <w:p w14:paraId="233C9B4E" w14:textId="77777777" w:rsidR="00386CE2" w:rsidRDefault="00000000">
      <w:pPr>
        <w:jc w:val="center"/>
      </w:pPr>
      <w:r>
        <w:rPr>
          <w:noProof/>
        </w:rPr>
        <w:drawing>
          <wp:inline distT="114300" distB="114300" distL="114300" distR="114300" wp14:anchorId="7E01A2C0" wp14:editId="1FCD93AB">
            <wp:extent cx="5186363" cy="3835657"/>
            <wp:effectExtent l="25400" t="25400" r="25400" b="2540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9"/>
                    <a:stretch>
                      <a:fillRect/>
                    </a:stretch>
                  </pic:blipFill>
                  <pic:spPr>
                    <a:xfrm>
                      <a:off x="0" y="0"/>
                      <a:ext cx="5186363" cy="3835657"/>
                    </a:xfrm>
                    <a:prstGeom prst="rect">
                      <a:avLst/>
                    </a:prstGeom>
                    <a:ln w="25400">
                      <a:solidFill>
                        <a:srgbClr val="000000"/>
                      </a:solidFill>
                      <a:prstDash val="solid"/>
                    </a:ln>
                  </pic:spPr>
                </pic:pic>
              </a:graphicData>
            </a:graphic>
          </wp:inline>
        </w:drawing>
      </w:r>
    </w:p>
    <w:p w14:paraId="671EC53E" w14:textId="77777777" w:rsidR="00386CE2" w:rsidRDefault="00000000">
      <w:pPr>
        <w:jc w:val="center"/>
        <w:rPr>
          <w:b/>
        </w:rPr>
      </w:pPr>
      <w:r>
        <w:rPr>
          <w:b/>
        </w:rPr>
        <w:t>Figure 3: “Net employment balance”</w:t>
      </w:r>
    </w:p>
    <w:p w14:paraId="2281C76C" w14:textId="77777777" w:rsidR="00386CE2" w:rsidRDefault="00000000">
      <w:pPr>
        <w:jc w:val="center"/>
      </w:pPr>
      <w:r>
        <w:t>(Source: CIPD, 2021a)</w:t>
      </w:r>
    </w:p>
    <w:p w14:paraId="67CC434A" w14:textId="77777777" w:rsidR="00386CE2" w:rsidRDefault="00000000">
      <w:r>
        <w:lastRenderedPageBreak/>
        <w:t>The positive</w:t>
      </w:r>
      <w:r>
        <w:rPr>
          <w:b/>
          <w:i/>
        </w:rPr>
        <w:t xml:space="preserve"> “net employment balance”</w:t>
      </w:r>
      <w:r>
        <w:t xml:space="preserve"> has been largely driven by the employers seeking staff hiring. The issue regarding the shortage of skills has been evaluated by the employers and they have increasingly focused on staff retention for effective achievement of the workforce size required to meet the demands. </w:t>
      </w:r>
    </w:p>
    <w:p w14:paraId="223E4B8C" w14:textId="77777777" w:rsidR="00386CE2" w:rsidRDefault="00000000">
      <w:pPr>
        <w:jc w:val="center"/>
      </w:pPr>
      <w:r>
        <w:rPr>
          <w:noProof/>
        </w:rPr>
        <w:drawing>
          <wp:inline distT="114300" distB="114300" distL="114300" distR="114300" wp14:anchorId="2CA6BA99" wp14:editId="13515142">
            <wp:extent cx="5081588" cy="3121547"/>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5" name="image3.png"/>
                    <pic:cNvPicPr/>
                  </pic:nvPicPr>
                  <pic:blipFill>
                    <a:blip r:embed="rId10"/>
                    <a:stretch>
                      <a:fillRect/>
                    </a:stretch>
                  </pic:blipFill>
                  <pic:spPr>
                    <a:xfrm>
                      <a:off x="0" y="0"/>
                      <a:ext cx="5081588" cy="3121547"/>
                    </a:xfrm>
                    <a:prstGeom prst="rect">
                      <a:avLst/>
                    </a:prstGeom>
                    <a:ln w="25400">
                      <a:solidFill>
                        <a:srgbClr val="000000"/>
                      </a:solidFill>
                      <a:prstDash val="solid"/>
                    </a:ln>
                  </pic:spPr>
                </pic:pic>
              </a:graphicData>
            </a:graphic>
          </wp:inline>
        </w:drawing>
      </w:r>
      <w:r>
        <w:t xml:space="preserve">  </w:t>
      </w:r>
    </w:p>
    <w:p w14:paraId="4AE4EF48" w14:textId="77777777" w:rsidR="00386CE2" w:rsidRDefault="00000000">
      <w:pPr>
        <w:jc w:val="center"/>
        <w:rPr>
          <w:b/>
        </w:rPr>
      </w:pPr>
      <w:r>
        <w:rPr>
          <w:b/>
        </w:rPr>
        <w:t>Figure 4:  “Composition of employment intentions”</w:t>
      </w:r>
    </w:p>
    <w:p w14:paraId="4BBC8A8D" w14:textId="77777777" w:rsidR="00386CE2" w:rsidRDefault="00000000">
      <w:pPr>
        <w:jc w:val="center"/>
      </w:pPr>
      <w:r>
        <w:t>(Source: CIPD, 2021a)</w:t>
      </w:r>
    </w:p>
    <w:p w14:paraId="1B1C248F" w14:textId="77777777" w:rsidR="00386CE2" w:rsidRDefault="00000000">
      <w:r>
        <w:t xml:space="preserve">A survey has been organised regarding the employment intentions and the factors responsible for the shortage of skills. The maximum percentage of responses indicated that the increased level of staff members in the public sector organisation is the main reason for the development of skill shortages. </w:t>
      </w:r>
      <w:r>
        <w:rPr>
          <w:b/>
          <w:i/>
        </w:rPr>
        <w:t>“External recruitment difficulties”</w:t>
      </w:r>
      <w:r>
        <w:t xml:space="preserve"> and </w:t>
      </w:r>
      <w:r>
        <w:rPr>
          <w:b/>
          <w:i/>
        </w:rPr>
        <w:t>“internal skill gaps”</w:t>
      </w:r>
      <w:r>
        <w:t xml:space="preserve"> are majorly responsible for focusing on the </w:t>
      </w:r>
      <w:r>
        <w:rPr>
          <w:b/>
          <w:i/>
        </w:rPr>
        <w:t>“hard-to-fill”</w:t>
      </w:r>
      <w:r>
        <w:t xml:space="preserve"> vacancies, which causes the enhanced level of skill shortage (Pouliakas and Wruuck, 2022). The lack of effective maintenance of organisational staff levels has also been identified as the emerging issue of the enhanced unemployment rate.     </w:t>
      </w:r>
    </w:p>
    <w:p w14:paraId="21B3338E" w14:textId="77777777" w:rsidR="00386CE2" w:rsidRDefault="00000000">
      <w:pPr>
        <w:pStyle w:val="Heading1"/>
      </w:pPr>
      <w:bookmarkStart w:id="11" w:name="_jn5w8b9zh5aj" w:colFirst="0" w:colLast="0"/>
      <w:bookmarkStart w:id="12" w:name="_Toc111827954"/>
      <w:bookmarkEnd w:id="11"/>
      <w:r>
        <w:t>“Identify and discuss long-term labour market developments to address the skills shortages in healthcare sector professions in the UK”</w:t>
      </w:r>
      <w:bookmarkEnd w:id="12"/>
    </w:p>
    <w:p w14:paraId="72CD8B80" w14:textId="77777777" w:rsidR="00386CE2" w:rsidRDefault="00000000">
      <w:r>
        <w:t>According to the “</w:t>
      </w:r>
      <w:r>
        <w:rPr>
          <w:b/>
          <w:i/>
        </w:rPr>
        <w:t>Labour Market Outlook-Summer 2021</w:t>
      </w:r>
      <w:r>
        <w:t xml:space="preserve">”, the recruitment difficulties are significantly prevalent in the UK’s hospitality and the “health and social care” sector </w:t>
      </w:r>
      <w:r>
        <w:lastRenderedPageBreak/>
        <w:t xml:space="preserve">respectively with a rate of </w:t>
      </w:r>
      <w:r>
        <w:rPr>
          <w:b/>
          <w:i/>
        </w:rPr>
        <w:t xml:space="preserve">51% </w:t>
      </w:r>
      <w:r>
        <w:t xml:space="preserve">and </w:t>
      </w:r>
      <w:r>
        <w:rPr>
          <w:b/>
          <w:i/>
        </w:rPr>
        <w:t xml:space="preserve">49% </w:t>
      </w:r>
      <w:r>
        <w:t xml:space="preserve">(CIPD, 2021b). This evidence depicts that the labour market is facing an issue of </w:t>
      </w:r>
      <w:r>
        <w:rPr>
          <w:b/>
          <w:i/>
        </w:rPr>
        <w:t>limited recruitment skills</w:t>
      </w:r>
      <w:r>
        <w:t xml:space="preserve">. Apart from this the </w:t>
      </w:r>
      <w:r w:rsidR="0073333C">
        <w:t>summer</w:t>
      </w:r>
      <w:r>
        <w:t xml:space="preserve"> report also illustrated that “</w:t>
      </w:r>
      <w:r>
        <w:rPr>
          <w:b/>
          <w:i/>
        </w:rPr>
        <w:t>upskilling of existing staff</w:t>
      </w:r>
      <w:r>
        <w:t xml:space="preserve">” is also a major issue for the labour market of the UK, which further hampers the productivity and efficiency of the organisation.   </w:t>
      </w:r>
      <w:r>
        <w:rPr>
          <w:b/>
          <w:i/>
        </w:rPr>
        <w:t>“Recruitment difficulties”</w:t>
      </w:r>
      <w:r>
        <w:t xml:space="preserve"> have been identified as another reason for the emerging labour shortage in UK healthcare organisations. The scarcity of local applicants with poor-quality applicants in the health sector is enhancing the lack of necessary education among the health service providers. The skill shortages of the employees of healthcare organisations can be addressed when the patients are seen to be treated with less care. </w:t>
      </w:r>
    </w:p>
    <w:p w14:paraId="526DA130" w14:textId="77777777" w:rsidR="00386CE2" w:rsidRDefault="00000000">
      <w:r>
        <w:t xml:space="preserve">In addition, the lack of medical skills can also be addressed when there are fewer healthcare employees along with the inclusion of scarcity of skills through the caregiving strategies applied by the healthcare employees. Another issue has been identified as the </w:t>
      </w:r>
      <w:r>
        <w:rPr>
          <w:b/>
          <w:i/>
        </w:rPr>
        <w:t>unequal distribution of the salary scale</w:t>
      </w:r>
      <w:r>
        <w:t xml:space="preserve"> of the health care providers. The increased unemployment rate in this sector has been attributed to the lack of recruitment of part-time workers as full-time nurses have the opportunity of earning </w:t>
      </w:r>
      <w:r>
        <w:rPr>
          <w:b/>
          <w:i/>
        </w:rPr>
        <w:t>40 times higher wages</w:t>
      </w:r>
      <w:r>
        <w:t xml:space="preserve"> than part-time health labourers (CIPD, 2021b). The </w:t>
      </w:r>
      <w:r>
        <w:rPr>
          <w:b/>
          <w:i/>
        </w:rPr>
        <w:t>“new immigration system”</w:t>
      </w:r>
      <w:r>
        <w:t xml:space="preserve"> can also be addressed as the reason for the reduction of long-term labour market developments. The UK healthcare sector has recently adopted the recruitment of migrant workers, especially from outside of the EU. The long-term developmental goal is fulfilled by the sustainable growth of this organisation with enhanced service quality provided by the healthcare industry, which is noticed to be hampered by recruiting migrant health workers, whose skills are not prioritised before recruitment.          </w:t>
      </w:r>
    </w:p>
    <w:p w14:paraId="52CD99A9" w14:textId="77777777" w:rsidR="00386CE2" w:rsidRDefault="00000000">
      <w:pPr>
        <w:jc w:val="center"/>
      </w:pPr>
      <w:r>
        <w:rPr>
          <w:noProof/>
        </w:rPr>
        <w:lastRenderedPageBreak/>
        <w:drawing>
          <wp:inline distT="114300" distB="114300" distL="114300" distR="114300" wp14:anchorId="31A70401" wp14:editId="6F516896">
            <wp:extent cx="5343525" cy="3848100"/>
            <wp:effectExtent l="25400" t="25400" r="25400" b="25400"/>
            <wp:docPr id="4" name="image2.png"/>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11"/>
                    <a:stretch>
                      <a:fillRect/>
                    </a:stretch>
                  </pic:blipFill>
                  <pic:spPr>
                    <a:xfrm>
                      <a:off x="0" y="0"/>
                      <a:ext cx="5343525" cy="3848100"/>
                    </a:xfrm>
                    <a:prstGeom prst="rect">
                      <a:avLst/>
                    </a:prstGeom>
                    <a:ln w="25400">
                      <a:solidFill>
                        <a:srgbClr val="000000"/>
                      </a:solidFill>
                      <a:prstDash val="solid"/>
                    </a:ln>
                  </pic:spPr>
                </pic:pic>
              </a:graphicData>
            </a:graphic>
          </wp:inline>
        </w:drawing>
      </w:r>
    </w:p>
    <w:p w14:paraId="348CBF76" w14:textId="77777777" w:rsidR="00386CE2" w:rsidRDefault="00000000">
      <w:pPr>
        <w:jc w:val="center"/>
        <w:rPr>
          <w:b/>
        </w:rPr>
      </w:pPr>
      <w:r>
        <w:rPr>
          <w:b/>
        </w:rPr>
        <w:t>Figure 5</w:t>
      </w:r>
      <w:r w:rsidR="0073333C">
        <w:rPr>
          <w:b/>
        </w:rPr>
        <w:t>: “</w:t>
      </w:r>
      <w:r>
        <w:rPr>
          <w:b/>
        </w:rPr>
        <w:t>Employers with hard-to-fill vacancies, by industry”</w:t>
      </w:r>
    </w:p>
    <w:p w14:paraId="1699EE42" w14:textId="77777777" w:rsidR="00386CE2" w:rsidRDefault="00000000">
      <w:pPr>
        <w:jc w:val="center"/>
      </w:pPr>
      <w:r>
        <w:t>(Source: CIPD, 2021a)</w:t>
      </w:r>
    </w:p>
    <w:p w14:paraId="2A560C08" w14:textId="77777777" w:rsidR="00386CE2" w:rsidRDefault="00000000">
      <w:r>
        <w:t>It has been noticed from the above figure that the</w:t>
      </w:r>
      <w:r>
        <w:rPr>
          <w:b/>
          <w:i/>
        </w:rPr>
        <w:t xml:space="preserve"> “net employment balance”</w:t>
      </w:r>
      <w:r>
        <w:t xml:space="preserve"> of the healthcare sector of the UK is </w:t>
      </w:r>
      <w:r>
        <w:rPr>
          <w:b/>
          <w:i/>
        </w:rPr>
        <w:t>64%</w:t>
      </w:r>
      <w:r>
        <w:t xml:space="preserve">. It indicates that this sector is majorly facing the issues of unemployment. The </w:t>
      </w:r>
      <w:r>
        <w:rPr>
          <w:b/>
          <w:i/>
        </w:rPr>
        <w:t>“hard-to-fill”</w:t>
      </w:r>
      <w:r>
        <w:t xml:space="preserve"> vacancies if employees are not utilised by the recruiters of the healthcare organisations of the UK and for this reason, the issue regarding skill shortage due to enhanced unemployment rate has emerged.  </w:t>
      </w:r>
    </w:p>
    <w:p w14:paraId="42184F45" w14:textId="77777777" w:rsidR="00386CE2" w:rsidRDefault="00000000">
      <w:pPr>
        <w:pStyle w:val="Heading1"/>
      </w:pPr>
      <w:bookmarkStart w:id="13" w:name="_ws3an0jc7hjl" w:colFirst="0" w:colLast="0"/>
      <w:bookmarkStart w:id="14" w:name="_Toc111827955"/>
      <w:bookmarkEnd w:id="13"/>
      <w:r>
        <w:t>Conclusion</w:t>
      </w:r>
      <w:bookmarkEnd w:id="14"/>
    </w:p>
    <w:p w14:paraId="39A5E508" w14:textId="77777777" w:rsidR="00386CE2" w:rsidRDefault="00000000">
      <w:r>
        <w:t>From the above discussions, it can be identified that the “</w:t>
      </w:r>
      <w:r>
        <w:rPr>
          <w:b/>
          <w:i/>
        </w:rPr>
        <w:t>CIPD professional map</w:t>
      </w:r>
      <w:r>
        <w:t>” is an effective framework for supporting HR professionals to perform their professional functions. This assignment depicts that the shortage of workforce is a significant issue in the UK’s labour market, which can be mitigated by the achievement of long-term professional goals along with the application of the “</w:t>
      </w:r>
      <w:r>
        <w:rPr>
          <w:b/>
          <w:i/>
        </w:rPr>
        <w:t>CIPD professional map</w:t>
      </w:r>
      <w:r>
        <w:t xml:space="preserve">”.   </w:t>
      </w:r>
    </w:p>
    <w:p w14:paraId="2C502B04" w14:textId="77777777" w:rsidR="00386CE2" w:rsidRDefault="00386CE2"/>
    <w:p w14:paraId="1A8EFA65" w14:textId="77777777" w:rsidR="00386CE2" w:rsidRDefault="00386CE2">
      <w:pPr>
        <w:rPr>
          <w:b/>
        </w:rPr>
      </w:pPr>
    </w:p>
    <w:p w14:paraId="7A28A22B" w14:textId="77777777" w:rsidR="00386CE2" w:rsidRDefault="00000000">
      <w:pPr>
        <w:pStyle w:val="Heading1"/>
      </w:pPr>
      <w:bookmarkStart w:id="15" w:name="_axt90xu92les" w:colFirst="0" w:colLast="0"/>
      <w:bookmarkStart w:id="16" w:name="_Toc111827956"/>
      <w:bookmarkEnd w:id="15"/>
      <w:r>
        <w:lastRenderedPageBreak/>
        <w:t>References</w:t>
      </w:r>
      <w:bookmarkEnd w:id="16"/>
    </w:p>
    <w:p w14:paraId="03E255A5" w14:textId="77777777" w:rsidR="00784F68" w:rsidRDefault="00000000">
      <w:pPr>
        <w:spacing w:before="240" w:after="160"/>
        <w:rPr>
          <w:color w:val="000000"/>
        </w:rPr>
      </w:pPr>
      <w:r>
        <w:rPr>
          <w:color w:val="000000"/>
        </w:rPr>
        <w:t xml:space="preserve">Bennett, T., Saundry, R. and Fisher, V., 2020. </w:t>
      </w:r>
      <w:r>
        <w:rPr>
          <w:i/>
          <w:color w:val="000000"/>
        </w:rPr>
        <w:t>Managing Employment Relations</w:t>
      </w:r>
      <w:r>
        <w:rPr>
          <w:color w:val="000000"/>
        </w:rPr>
        <w:t>. Kogan Page Publishers.</w:t>
      </w:r>
    </w:p>
    <w:p w14:paraId="1CFC3E89" w14:textId="77777777" w:rsidR="00784F68" w:rsidRDefault="00000000">
      <w:pPr>
        <w:spacing w:before="240" w:after="160"/>
        <w:rPr>
          <w:color w:val="000000"/>
        </w:rPr>
      </w:pPr>
      <w:r>
        <w:t>CIPD, 2021a</w:t>
      </w:r>
      <w:r>
        <w:rPr>
          <w:color w:val="000000"/>
        </w:rPr>
        <w:t xml:space="preserve">. </w:t>
      </w:r>
      <w:r>
        <w:rPr>
          <w:i/>
          <w:color w:val="000000"/>
        </w:rPr>
        <w:t>Labour Market Outlook Winter 2021–22</w:t>
      </w:r>
      <w:r>
        <w:rPr>
          <w:color w:val="000000"/>
        </w:rPr>
        <w:t>. [online] cipd.co.uk Available at: &lt;https://www.cipd.co.uk/Images/labour-market-outlook-winter-2021-22_tcm18-109270.pdf&gt; [Accessed 5 August 2022].</w:t>
      </w:r>
    </w:p>
    <w:p w14:paraId="13F7CBF7" w14:textId="77777777" w:rsidR="00784F68" w:rsidRDefault="00000000">
      <w:pPr>
        <w:spacing w:before="240" w:after="160"/>
        <w:rPr>
          <w:color w:val="000000"/>
        </w:rPr>
      </w:pPr>
      <w:r>
        <w:t>CIPD, 2021b</w:t>
      </w:r>
      <w:r>
        <w:rPr>
          <w:color w:val="000000"/>
        </w:rPr>
        <w:t xml:space="preserve">. </w:t>
      </w:r>
      <w:r>
        <w:rPr>
          <w:i/>
          <w:color w:val="000000"/>
        </w:rPr>
        <w:t>ADDRESSING SKILLS AND LABOUR SHORTAGES POST-BREXIT</w:t>
      </w:r>
      <w:r>
        <w:rPr>
          <w:color w:val="000000"/>
        </w:rPr>
        <w:t>. [online] cipd.co.uk Available at: &lt;https://www.cipd.co.uk/Images/addressing-skills-labour-shortages-post-brexit_tcm18-102313.pdf&gt; [Accessed 5 August 2022].</w:t>
      </w:r>
    </w:p>
    <w:p w14:paraId="24586D11" w14:textId="77777777" w:rsidR="00784F68" w:rsidRDefault="00000000">
      <w:pPr>
        <w:spacing w:before="240" w:after="160"/>
        <w:rPr>
          <w:color w:val="000000"/>
        </w:rPr>
      </w:pPr>
      <w:r>
        <w:rPr>
          <w:color w:val="000000"/>
        </w:rPr>
        <w:t xml:space="preserve">Coates, N. and Dutson, R., 2021. The HR consultant–an experiential learning approach: A case study approach of HR students working on live client projects. </w:t>
      </w:r>
      <w:r>
        <w:rPr>
          <w:i/>
          <w:color w:val="000000"/>
        </w:rPr>
        <w:t>In Organisation Studies and Human Resource Management</w:t>
      </w:r>
      <w:r>
        <w:rPr>
          <w:color w:val="000000"/>
        </w:rPr>
        <w:t xml:space="preserve"> (pp. 150-165). Routledge.</w:t>
      </w:r>
    </w:p>
    <w:p w14:paraId="5B8B06D3" w14:textId="77777777" w:rsidR="00784F68" w:rsidRDefault="00000000">
      <w:pPr>
        <w:spacing w:before="240" w:after="160"/>
        <w:rPr>
          <w:color w:val="000000"/>
        </w:rPr>
      </w:pPr>
      <w:r>
        <w:rPr>
          <w:color w:val="000000"/>
        </w:rPr>
        <w:t xml:space="preserve">Griggs, V. and Allen, J., 2018. The Value of an HR Professional Group for Organizational Learning. </w:t>
      </w:r>
      <w:r>
        <w:rPr>
          <w:i/>
          <w:color w:val="000000"/>
        </w:rPr>
        <w:t>International Journal of HRD Policy, Practice and Research</w:t>
      </w:r>
      <w:r>
        <w:rPr>
          <w:color w:val="000000"/>
        </w:rPr>
        <w:t>, 3(1), pp.43-57.</w:t>
      </w:r>
    </w:p>
    <w:p w14:paraId="14985FD3" w14:textId="77777777" w:rsidR="00784F68" w:rsidRDefault="00000000">
      <w:pPr>
        <w:spacing w:before="240" w:after="160"/>
        <w:rPr>
          <w:color w:val="000000"/>
        </w:rPr>
      </w:pPr>
      <w:r>
        <w:rPr>
          <w:color w:val="000000"/>
        </w:rPr>
        <w:t xml:space="preserve">Harrison, P., Tosey, P., Anderson, V. and Elliott, C., 2021. HRD professional education provision in the UK: past, present and future. </w:t>
      </w:r>
      <w:r>
        <w:rPr>
          <w:i/>
          <w:color w:val="000000"/>
        </w:rPr>
        <w:t>Human Resource Development International</w:t>
      </w:r>
      <w:r>
        <w:rPr>
          <w:color w:val="000000"/>
        </w:rPr>
        <w:t>, 24(2), pp.200-218.</w:t>
      </w:r>
    </w:p>
    <w:p w14:paraId="34A0D787" w14:textId="77777777" w:rsidR="00784F68" w:rsidRDefault="00000000">
      <w:pPr>
        <w:spacing w:before="240" w:after="160"/>
        <w:rPr>
          <w:color w:val="000000"/>
        </w:rPr>
      </w:pPr>
      <w:r>
        <w:rPr>
          <w:color w:val="000000"/>
        </w:rPr>
        <w:t xml:space="preserve">Hook, C. and Jenkins, A.K., 2019. </w:t>
      </w:r>
      <w:r>
        <w:rPr>
          <w:i/>
          <w:color w:val="000000"/>
        </w:rPr>
        <w:t>Introducing human resource management</w:t>
      </w:r>
      <w:r>
        <w:rPr>
          <w:color w:val="000000"/>
        </w:rPr>
        <w:t>. Pearson UK.</w:t>
      </w:r>
    </w:p>
    <w:p w14:paraId="19792086" w14:textId="77777777" w:rsidR="00784F68" w:rsidRDefault="00000000">
      <w:pPr>
        <w:spacing w:before="240" w:after="160"/>
        <w:rPr>
          <w:color w:val="000000"/>
        </w:rPr>
      </w:pPr>
      <w:r>
        <w:t>Peopleprofession, 2021</w:t>
      </w:r>
      <w:r>
        <w:rPr>
          <w:color w:val="000000"/>
        </w:rPr>
        <w:t xml:space="preserve">. </w:t>
      </w:r>
      <w:r>
        <w:rPr>
          <w:i/>
          <w:color w:val="000000"/>
        </w:rPr>
        <w:t>Explore the Profession Map</w:t>
      </w:r>
      <w:r>
        <w:rPr>
          <w:color w:val="000000"/>
        </w:rPr>
        <w:t>. [online] peopleprofession.cipd.org Available at: &lt;https://peopleprofession.cipd.org/profession-map#gref&gt; [Accessed 5 August 2022].</w:t>
      </w:r>
    </w:p>
    <w:p w14:paraId="56E17D49" w14:textId="77777777" w:rsidR="00784F68" w:rsidRDefault="00000000">
      <w:pPr>
        <w:spacing w:before="240" w:after="160"/>
        <w:rPr>
          <w:color w:val="000000"/>
        </w:rPr>
      </w:pPr>
      <w:r>
        <w:rPr>
          <w:color w:val="000000"/>
        </w:rPr>
        <w:t xml:space="preserve">Pouliakas, K. and Wruuck, P., 2022. </w:t>
      </w:r>
      <w:r>
        <w:rPr>
          <w:i/>
          <w:color w:val="000000"/>
        </w:rPr>
        <w:t>Corporate Training and Skill Gaps: Did COVID-19 Stem EU Convergence in Training Investments?</w:t>
      </w:r>
      <w:r>
        <w:rPr>
          <w:color w:val="000000"/>
        </w:rPr>
        <w:t xml:space="preserve"> (No. 15343). Institute of Labor Economics (IZA).</w:t>
      </w:r>
      <w:r>
        <w:br w:type="page"/>
      </w:r>
    </w:p>
    <w:p w14:paraId="239033BC" w14:textId="77777777" w:rsidR="00784F68" w:rsidRDefault="00000000">
      <w:pPr>
        <w:spacing w:before="240" w:after="160"/>
        <w:rPr>
          <w:color w:val="000000"/>
        </w:rPr>
      </w:pPr>
      <w:r>
        <w:rPr>
          <w:color w:val="000000"/>
        </w:rPr>
        <w:lastRenderedPageBreak/>
        <w:t xml:space="preserve">Roper, I. and Higgins, P., 2020. Hidden in plain sight? The human resource management practitioner's role in dealing with workplace conflict as a source of organisational–professional power. </w:t>
      </w:r>
      <w:r>
        <w:rPr>
          <w:i/>
          <w:color w:val="000000"/>
        </w:rPr>
        <w:t>Human Resource Management Journal</w:t>
      </w:r>
      <w:r>
        <w:rPr>
          <w:color w:val="000000"/>
        </w:rPr>
        <w:t>, 30(4), pp.508-524.</w:t>
      </w:r>
    </w:p>
    <w:p w14:paraId="6E1D8172" w14:textId="77777777" w:rsidR="00784F68" w:rsidRDefault="00000000">
      <w:pPr>
        <w:spacing w:before="240" w:after="160"/>
        <w:rPr>
          <w:color w:val="000000"/>
        </w:rPr>
      </w:pPr>
      <w:r>
        <w:rPr>
          <w:color w:val="000000"/>
        </w:rPr>
        <w:t xml:space="preserve">Stenmark, C.K. and Redfearn, R., 2022. The role of sensory processing sensitivity and analytic mindset in ethical decision-making. </w:t>
      </w:r>
      <w:r>
        <w:rPr>
          <w:i/>
          <w:color w:val="000000"/>
        </w:rPr>
        <w:t>Ethics &amp; Behavior</w:t>
      </w:r>
      <w:r>
        <w:rPr>
          <w:color w:val="000000"/>
        </w:rPr>
        <w:t>, 32(4), pp.344-358.</w:t>
      </w:r>
    </w:p>
    <w:p w14:paraId="7CFBDD8F" w14:textId="77777777" w:rsidR="00784F68" w:rsidRDefault="00000000">
      <w:pPr>
        <w:spacing w:before="240" w:after="160"/>
        <w:rPr>
          <w:color w:val="000000"/>
        </w:rPr>
      </w:pPr>
      <w:r>
        <w:rPr>
          <w:color w:val="000000"/>
        </w:rPr>
        <w:t xml:space="preserve">Uppathampracha, R., 2019. Competencies of human resources professionals. </w:t>
      </w:r>
      <w:r>
        <w:rPr>
          <w:i/>
          <w:color w:val="000000"/>
        </w:rPr>
        <w:t>WMS Journal of Management</w:t>
      </w:r>
      <w:r>
        <w:rPr>
          <w:color w:val="000000"/>
        </w:rPr>
        <w:t>, 8(2), pp.122-135.</w:t>
      </w:r>
    </w:p>
    <w:p w14:paraId="656FAD8F" w14:textId="44F7BBC9" w:rsidR="00C11009" w:rsidRDefault="00000000">
      <w:pPr>
        <w:spacing w:before="240" w:after="160"/>
        <w:rPr>
          <w:color w:val="000000"/>
        </w:rPr>
      </w:pPr>
      <w:r>
        <w:t>Wrenkitchens, 2022</w:t>
      </w:r>
      <w:r>
        <w:rPr>
          <w:color w:val="000000"/>
        </w:rPr>
        <w:t xml:space="preserve">. </w:t>
      </w:r>
      <w:r>
        <w:rPr>
          <w:i/>
          <w:color w:val="000000"/>
        </w:rPr>
        <w:t>FITTED KITCHENS</w:t>
      </w:r>
      <w:r>
        <w:rPr>
          <w:color w:val="000000"/>
        </w:rPr>
        <w:t>. [online] wrenkitchens.com Available at: &lt;https://www.wrenkitchens.com/kitchens&gt; [Accessed 5 August 2022].</w:t>
      </w:r>
    </w:p>
    <w:p w14:paraId="6EEBE77B" w14:textId="77777777" w:rsidR="00C11009" w:rsidRDefault="00C11009">
      <w:pPr>
        <w:rPr>
          <w:color w:val="000000"/>
        </w:rPr>
      </w:pPr>
      <w:r>
        <w:rPr>
          <w:color w:val="000000"/>
        </w:rPr>
        <w:br w:type="page"/>
      </w:r>
    </w:p>
    <w:p w14:paraId="379407B0" w14:textId="07C6AB2A" w:rsidR="00784F68" w:rsidRDefault="00C11009" w:rsidP="00C11009">
      <w:pPr>
        <w:pStyle w:val="Heading1"/>
      </w:pPr>
      <w:bookmarkStart w:id="17" w:name="_Toc111827957"/>
      <w:r>
        <w:lastRenderedPageBreak/>
        <w:t>Bibliography</w:t>
      </w:r>
      <w:bookmarkEnd w:id="17"/>
    </w:p>
    <w:p w14:paraId="6BA127EC" w14:textId="77777777" w:rsidR="00C11009" w:rsidRDefault="00C11009" w:rsidP="00C11009">
      <w:pPr>
        <w:spacing w:before="240" w:after="160"/>
        <w:rPr>
          <w:color w:val="000000"/>
        </w:rPr>
      </w:pPr>
      <w:r>
        <w:t>Dpglearn, 2021</w:t>
      </w:r>
      <w:r>
        <w:rPr>
          <w:color w:val="000000"/>
        </w:rPr>
        <w:t xml:space="preserve">. </w:t>
      </w:r>
      <w:r>
        <w:rPr>
          <w:i/>
          <w:color w:val="000000"/>
        </w:rPr>
        <w:t>CIPD Profession Map</w:t>
      </w:r>
      <w:r>
        <w:rPr>
          <w:color w:val="000000"/>
        </w:rPr>
        <w:t>. [online] dpglearn.co.uk Available at: &lt;https://dpglearn.co.uk/blog/human-resources/cipd-profession-map/&gt; [Accessed 5 August 2022].</w:t>
      </w:r>
    </w:p>
    <w:p w14:paraId="7B9A9BFA" w14:textId="77777777" w:rsidR="00C11009" w:rsidRDefault="00C11009">
      <w:pPr>
        <w:spacing w:before="240" w:after="160"/>
        <w:rPr>
          <w:color w:val="000000"/>
        </w:rPr>
      </w:pPr>
    </w:p>
    <w:p w14:paraId="3775237A" w14:textId="77777777" w:rsidR="00C11009" w:rsidRDefault="00C11009">
      <w:pPr>
        <w:rPr>
          <w:b/>
          <w:color w:val="000000"/>
          <w:sz w:val="28"/>
          <w:szCs w:val="28"/>
        </w:rPr>
      </w:pPr>
      <w:bookmarkStart w:id="18" w:name="_gtrwnxsg17c9" w:colFirst="0" w:colLast="0"/>
      <w:bookmarkEnd w:id="18"/>
      <w:r>
        <w:rPr>
          <w:color w:val="000000"/>
        </w:rPr>
        <w:br w:type="page"/>
      </w:r>
    </w:p>
    <w:p w14:paraId="08623579" w14:textId="606901C1" w:rsidR="00386CE2" w:rsidRDefault="00000000">
      <w:pPr>
        <w:pStyle w:val="Heading1"/>
        <w:spacing w:before="240" w:after="160"/>
      </w:pPr>
      <w:bookmarkStart w:id="19" w:name="_Toc111827958"/>
      <w:r>
        <w:rPr>
          <w:color w:val="000000"/>
        </w:rPr>
        <w:lastRenderedPageBreak/>
        <w:t xml:space="preserve">Appendix: Core behaviours of </w:t>
      </w:r>
      <w:r>
        <w:rPr>
          <w:i/>
          <w:color w:val="000000"/>
        </w:rPr>
        <w:t>“</w:t>
      </w:r>
      <w:r>
        <w:rPr>
          <w:i/>
        </w:rPr>
        <w:t>CIPD professional map”</w:t>
      </w:r>
      <w:bookmarkEnd w:id="19"/>
    </w:p>
    <w:p w14:paraId="3AAA135D" w14:textId="77777777" w:rsidR="00386CE2" w:rsidRDefault="00000000">
      <w:pPr>
        <w:jc w:val="center"/>
        <w:rPr>
          <w:b/>
        </w:rPr>
      </w:pPr>
      <w:r>
        <w:rPr>
          <w:b/>
          <w:noProof/>
        </w:rPr>
        <w:drawing>
          <wp:inline distT="114300" distB="114300" distL="114300" distR="114300" wp14:anchorId="2126349C" wp14:editId="51BD10B9">
            <wp:extent cx="3481388" cy="3581332"/>
            <wp:effectExtent l="25400" t="25400" r="25400" b="2540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2"/>
                    <a:stretch>
                      <a:fillRect/>
                    </a:stretch>
                  </pic:blipFill>
                  <pic:spPr>
                    <a:xfrm>
                      <a:off x="0" y="0"/>
                      <a:ext cx="3481388" cy="3581332"/>
                    </a:xfrm>
                    <a:prstGeom prst="rect">
                      <a:avLst/>
                    </a:prstGeom>
                    <a:ln w="25400">
                      <a:solidFill>
                        <a:srgbClr val="000000"/>
                      </a:solidFill>
                      <a:prstDash val="solid"/>
                    </a:ln>
                  </pic:spPr>
                </pic:pic>
              </a:graphicData>
            </a:graphic>
          </wp:inline>
        </w:drawing>
      </w:r>
    </w:p>
    <w:p w14:paraId="29B5974D" w14:textId="77777777" w:rsidR="00386CE2" w:rsidRDefault="00000000">
      <w:pPr>
        <w:jc w:val="center"/>
        <w:rPr>
          <w:b/>
        </w:rPr>
      </w:pPr>
      <w:r>
        <w:t>(Source: Peopleprofession, 2021)</w:t>
      </w:r>
    </w:p>
    <w:sectPr w:rsidR="00386CE2" w:rsidSect="001748C1">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39229F" w14:textId="77777777" w:rsidR="005971DB" w:rsidRDefault="005971DB">
      <w:pPr>
        <w:spacing w:before="0" w:line="240" w:lineRule="auto"/>
      </w:pPr>
      <w:r>
        <w:separator/>
      </w:r>
    </w:p>
  </w:endnote>
  <w:endnote w:type="continuationSeparator" w:id="0">
    <w:p w14:paraId="1A23E9C8" w14:textId="77777777" w:rsidR="005971DB" w:rsidRDefault="005971DB">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79324053"/>
      <w:docPartObj>
        <w:docPartGallery w:val="Page Numbers (Bottom of Page)"/>
        <w:docPartUnique/>
      </w:docPartObj>
    </w:sdtPr>
    <w:sdtEndPr>
      <w:rPr>
        <w:noProof/>
        <w:color w:val="000000" w:themeColor="text1"/>
        <w:sz w:val="20"/>
        <w:szCs w:val="20"/>
      </w:rPr>
    </w:sdtEndPr>
    <w:sdtContent>
      <w:p w14:paraId="787A0B29" w14:textId="77777777" w:rsidR="001748C1" w:rsidRPr="001748C1" w:rsidRDefault="00000000">
        <w:pPr>
          <w:pStyle w:val="Footer"/>
          <w:jc w:val="right"/>
          <w:rPr>
            <w:color w:val="000000" w:themeColor="text1"/>
            <w:sz w:val="20"/>
            <w:szCs w:val="20"/>
          </w:rPr>
        </w:pPr>
        <w:r w:rsidRPr="001748C1">
          <w:rPr>
            <w:color w:val="000000" w:themeColor="text1"/>
            <w:sz w:val="20"/>
            <w:szCs w:val="20"/>
          </w:rPr>
          <w:fldChar w:fldCharType="begin"/>
        </w:r>
        <w:r w:rsidRPr="001748C1">
          <w:rPr>
            <w:color w:val="000000" w:themeColor="text1"/>
            <w:sz w:val="20"/>
            <w:szCs w:val="20"/>
          </w:rPr>
          <w:instrText xml:space="preserve"> PAGE   \* MERGEFORMAT </w:instrText>
        </w:r>
        <w:r w:rsidRPr="001748C1">
          <w:rPr>
            <w:color w:val="000000" w:themeColor="text1"/>
            <w:sz w:val="20"/>
            <w:szCs w:val="20"/>
          </w:rPr>
          <w:fldChar w:fldCharType="separate"/>
        </w:r>
        <w:r w:rsidRPr="001748C1">
          <w:rPr>
            <w:noProof/>
            <w:color w:val="000000" w:themeColor="text1"/>
            <w:sz w:val="20"/>
            <w:szCs w:val="20"/>
          </w:rPr>
          <w:t>2</w:t>
        </w:r>
        <w:r w:rsidRPr="001748C1">
          <w:rPr>
            <w:noProof/>
            <w:color w:val="000000" w:themeColor="text1"/>
            <w:sz w:val="20"/>
            <w:szCs w:val="20"/>
          </w:rPr>
          <w:fldChar w:fldCharType="end"/>
        </w:r>
      </w:p>
    </w:sdtContent>
  </w:sdt>
  <w:p w14:paraId="7D0B2E6F" w14:textId="77777777" w:rsidR="001748C1" w:rsidRDefault="001748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9C11EB" w14:textId="77777777" w:rsidR="005971DB" w:rsidRDefault="005971DB">
      <w:pPr>
        <w:spacing w:before="0" w:line="240" w:lineRule="auto"/>
      </w:pPr>
      <w:r>
        <w:separator/>
      </w:r>
    </w:p>
  </w:footnote>
  <w:footnote w:type="continuationSeparator" w:id="0">
    <w:p w14:paraId="076143BA" w14:textId="77777777" w:rsidR="005971DB" w:rsidRDefault="005971DB">
      <w:pPr>
        <w:spacing w:before="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6CE2"/>
    <w:rsid w:val="00032A98"/>
    <w:rsid w:val="001748C1"/>
    <w:rsid w:val="002C56D5"/>
    <w:rsid w:val="00386CE2"/>
    <w:rsid w:val="003A5B08"/>
    <w:rsid w:val="004660E6"/>
    <w:rsid w:val="005971DB"/>
    <w:rsid w:val="00597C8A"/>
    <w:rsid w:val="00622AB2"/>
    <w:rsid w:val="006C56CF"/>
    <w:rsid w:val="007034C7"/>
    <w:rsid w:val="007207FF"/>
    <w:rsid w:val="00724B0A"/>
    <w:rsid w:val="0073333C"/>
    <w:rsid w:val="00784F68"/>
    <w:rsid w:val="00B734DF"/>
    <w:rsid w:val="00C11009"/>
    <w:rsid w:val="00C8685A"/>
    <w:rsid w:val="00CF3FE1"/>
    <w:rsid w:val="00D35750"/>
    <w:rsid w:val="00DA2599"/>
    <w:rsid w:val="00F1023D"/>
    <w:rsid w:val="00F9221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9A920"/>
  <w15:docId w15:val="{7B3C5552-832B-4C11-993C-DA13DE4EC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color w:val="222222"/>
        <w:sz w:val="24"/>
        <w:szCs w:val="24"/>
        <w:highlight w:val="white"/>
        <w:lang w:val="en-GB" w:eastAsia="en-IN" w:bidi="ar-SA"/>
      </w:rPr>
    </w:rPrDefault>
    <w:pPrDefault>
      <w:pPr>
        <w:spacing w:before="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1748C1"/>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748C1"/>
  </w:style>
  <w:style w:type="paragraph" w:styleId="Footer">
    <w:name w:val="footer"/>
    <w:basedOn w:val="Normal"/>
    <w:link w:val="FooterChar"/>
    <w:uiPriority w:val="99"/>
    <w:unhideWhenUsed/>
    <w:rsid w:val="001748C1"/>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748C1"/>
  </w:style>
  <w:style w:type="paragraph" w:styleId="TOCHeading">
    <w:name w:val="TOC Heading"/>
    <w:basedOn w:val="Heading1"/>
    <w:next w:val="Normal"/>
    <w:uiPriority w:val="39"/>
    <w:unhideWhenUsed/>
    <w:qFormat/>
    <w:rsid w:val="007207FF"/>
    <w:pPr>
      <w:spacing w:before="240" w:line="259" w:lineRule="auto"/>
      <w:jc w:val="left"/>
      <w:outlineLvl w:val="9"/>
    </w:pPr>
    <w:rPr>
      <w:rFonts w:asciiTheme="majorHAnsi" w:eastAsiaTheme="majorEastAsia" w:hAnsiTheme="majorHAnsi" w:cstheme="majorBidi"/>
      <w:b w:val="0"/>
      <w:color w:val="365F91" w:themeColor="accent1" w:themeShade="BF"/>
      <w:sz w:val="32"/>
      <w:szCs w:val="32"/>
      <w:highlight w:val="none"/>
      <w:lang w:val="en-US" w:eastAsia="en-US"/>
    </w:rPr>
  </w:style>
  <w:style w:type="paragraph" w:styleId="TOC1">
    <w:name w:val="toc 1"/>
    <w:basedOn w:val="Normal"/>
    <w:next w:val="Normal"/>
    <w:autoRedefine/>
    <w:uiPriority w:val="39"/>
    <w:unhideWhenUsed/>
    <w:rsid w:val="007207FF"/>
    <w:pPr>
      <w:spacing w:after="100"/>
    </w:pPr>
  </w:style>
  <w:style w:type="character" w:styleId="Hyperlink">
    <w:name w:val="Hyperlink"/>
    <w:basedOn w:val="DefaultParagraphFont"/>
    <w:uiPriority w:val="99"/>
    <w:unhideWhenUsed/>
    <w:rsid w:val="007207F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163563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DB1ED9-EA2E-4C3B-8057-3AB2D14FA5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2686</Words>
  <Characters>15314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Razer</dc:creator>
  <cp:lastModifiedBy>Radoslav</cp:lastModifiedBy>
  <cp:revision>4</cp:revision>
  <dcterms:created xsi:type="dcterms:W3CDTF">2022-09-01T19:54:00Z</dcterms:created>
  <dcterms:modified xsi:type="dcterms:W3CDTF">2022-09-01T20:14:00Z</dcterms:modified>
</cp:coreProperties>
</file>