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7BCAB" w14:textId="77FE7DFD" w:rsidR="79596613" w:rsidRDefault="79596613" w:rsidP="64296DDE">
      <w:pPr>
        <w:jc w:val="center"/>
        <w:rPr>
          <w:rFonts w:ascii="Arial" w:eastAsia="Arial" w:hAnsi="Arial" w:cs="Arial"/>
          <w:b/>
          <w:bCs/>
          <w:color w:val="000000" w:themeColor="text1"/>
          <w:sz w:val="28"/>
          <w:szCs w:val="28"/>
        </w:rPr>
      </w:pPr>
      <w:r w:rsidRPr="64296DDE">
        <w:rPr>
          <w:rFonts w:ascii="Arial" w:eastAsia="Arial" w:hAnsi="Arial" w:cs="Arial"/>
          <w:b/>
          <w:bCs/>
          <w:color w:val="000000" w:themeColor="text1"/>
          <w:sz w:val="28"/>
          <w:szCs w:val="28"/>
        </w:rPr>
        <w:t>Comprehensive Health and Fitness Assessment Report</w:t>
      </w:r>
    </w:p>
    <w:p w14:paraId="472BECAA" w14:textId="0AC6A963" w:rsidR="28E9E8D8" w:rsidRDefault="28E9E8D8" w:rsidP="64296DDE">
      <w:pPr>
        <w:jc w:val="both"/>
        <w:rPr>
          <w:rFonts w:ascii="Arial" w:eastAsia="Arial" w:hAnsi="Arial" w:cs="Arial"/>
          <w:color w:val="000000" w:themeColor="text1"/>
          <w:sz w:val="28"/>
          <w:szCs w:val="28"/>
          <w:u w:val="single"/>
        </w:rPr>
      </w:pPr>
      <w:r w:rsidRPr="64296DDE">
        <w:rPr>
          <w:rFonts w:ascii="Arial" w:eastAsia="Arial" w:hAnsi="Arial" w:cs="Arial"/>
          <w:color w:val="000000" w:themeColor="text1"/>
          <w:sz w:val="28"/>
          <w:szCs w:val="28"/>
          <w:u w:val="single"/>
        </w:rPr>
        <w:t>Health and Fitness Assessment Design</w:t>
      </w:r>
    </w:p>
    <w:p w14:paraId="34295BBA" w14:textId="44062837" w:rsidR="00C53621" w:rsidRDefault="47118850" w:rsidP="64296DDE">
      <w:pPr>
        <w:jc w:val="both"/>
        <w:rPr>
          <w:rFonts w:ascii="Arial" w:eastAsia="Arial" w:hAnsi="Arial" w:cs="Arial"/>
          <w:sz w:val="28"/>
          <w:szCs w:val="28"/>
          <w:u w:val="single"/>
        </w:rPr>
      </w:pPr>
      <w:r w:rsidRPr="64296DDE">
        <w:rPr>
          <w:rFonts w:ascii="Arial" w:eastAsia="Arial" w:hAnsi="Arial" w:cs="Arial"/>
          <w:sz w:val="28"/>
          <w:szCs w:val="28"/>
          <w:u w:val="single"/>
        </w:rPr>
        <w:t>Blood Pressure Measurement</w:t>
      </w:r>
    </w:p>
    <w:p w14:paraId="33569BBA" w14:textId="696021F9" w:rsidR="00141141" w:rsidRDefault="47118850" w:rsidP="64296DDE">
      <w:pPr>
        <w:rPr>
          <w:rFonts w:ascii="Arial" w:eastAsia="Arial" w:hAnsi="Arial" w:cs="Arial"/>
          <w:sz w:val="28"/>
          <w:szCs w:val="28"/>
        </w:rPr>
      </w:pPr>
      <w:r w:rsidRPr="64296DDE">
        <w:rPr>
          <w:rFonts w:ascii="Arial" w:eastAsia="Arial" w:hAnsi="Arial" w:cs="Arial"/>
          <w:sz w:val="28"/>
          <w:szCs w:val="28"/>
        </w:rPr>
        <w:t xml:space="preserve">Rationale: Blood pressure is a fundamental indicator of cardiovascular health. Elevated blood pressure can indicate underlying cardiovascular issues such as hypertension, which is a significant risk factor for heart disease and stroke. </w:t>
      </w:r>
      <w:r w:rsidR="6DB4CB27" w:rsidRPr="64296DDE">
        <w:rPr>
          <w:rFonts w:ascii="Arial" w:eastAsia="Arial" w:hAnsi="Arial" w:cs="Arial"/>
          <w:color w:val="0D0D0D" w:themeColor="text1" w:themeTint="F2"/>
          <w:sz w:val="28"/>
          <w:szCs w:val="28"/>
        </w:rPr>
        <w:t>(American Heart Association, n.d.). Measuring blood pressure provides valuable insights into the efficiency of the cardiovascular system and overall health status.</w:t>
      </w:r>
    </w:p>
    <w:p w14:paraId="1A01F902" w14:textId="3BEFA619" w:rsidR="00C53621" w:rsidRDefault="47118850" w:rsidP="4B8F90FB">
      <w:pPr>
        <w:rPr>
          <w:rFonts w:ascii="Arial" w:eastAsia="Arial" w:hAnsi="Arial" w:cs="Arial"/>
          <w:sz w:val="28"/>
          <w:szCs w:val="28"/>
        </w:rPr>
      </w:pPr>
      <w:r w:rsidRPr="64296DDE">
        <w:rPr>
          <w:rFonts w:ascii="Arial" w:eastAsia="Arial" w:hAnsi="Arial" w:cs="Arial"/>
          <w:sz w:val="28"/>
          <w:szCs w:val="28"/>
        </w:rPr>
        <w:t>Assessment: Use a sphygmomanometer to measure systolic and diastolic blood pressure.</w:t>
      </w:r>
    </w:p>
    <w:p w14:paraId="0E636676" w14:textId="32CAC461" w:rsidR="00C53621" w:rsidRDefault="47118850" w:rsidP="64296DDE">
      <w:pPr>
        <w:jc w:val="both"/>
        <w:rPr>
          <w:rFonts w:ascii="Arial" w:eastAsia="Arial" w:hAnsi="Arial" w:cs="Arial"/>
          <w:sz w:val="28"/>
          <w:szCs w:val="28"/>
        </w:rPr>
      </w:pPr>
      <w:r w:rsidRPr="64296DDE">
        <w:rPr>
          <w:rFonts w:ascii="Arial" w:eastAsia="Arial" w:hAnsi="Arial" w:cs="Arial"/>
          <w:sz w:val="28"/>
          <w:szCs w:val="28"/>
        </w:rPr>
        <w:t>Grip Strength Assessment</w:t>
      </w:r>
    </w:p>
    <w:p w14:paraId="5787CFB5" w14:textId="5EEB0693" w:rsidR="00141141" w:rsidRDefault="47118850" w:rsidP="64296DDE">
      <w:pPr>
        <w:jc w:val="both"/>
        <w:rPr>
          <w:rFonts w:ascii="Arial" w:eastAsia="Arial" w:hAnsi="Arial" w:cs="Arial"/>
          <w:sz w:val="28"/>
          <w:szCs w:val="28"/>
        </w:rPr>
      </w:pPr>
      <w:r w:rsidRPr="64296DDE">
        <w:rPr>
          <w:rFonts w:ascii="Arial" w:eastAsia="Arial" w:hAnsi="Arial" w:cs="Arial"/>
          <w:sz w:val="28"/>
          <w:szCs w:val="28"/>
        </w:rPr>
        <w:t xml:space="preserve">Rationale: </w:t>
      </w:r>
      <w:r w:rsidR="4D073DC0" w:rsidRPr="64296DDE">
        <w:rPr>
          <w:rFonts w:ascii="Arial" w:eastAsia="Arial" w:hAnsi="Arial" w:cs="Arial"/>
          <w:color w:val="0D0D0D" w:themeColor="text1" w:themeTint="F2"/>
          <w:sz w:val="28"/>
          <w:szCs w:val="28"/>
        </w:rPr>
        <w:t>Grip strength is a reliable measure of overall muscular strength and function, correlating with muscle mass and physical capabilities (</w:t>
      </w:r>
      <w:proofErr w:type="spellStart"/>
      <w:r w:rsidR="4D073DC0" w:rsidRPr="64296DDE">
        <w:rPr>
          <w:rFonts w:ascii="Arial" w:eastAsia="Arial" w:hAnsi="Arial" w:cs="Arial"/>
          <w:color w:val="0D0D0D" w:themeColor="text1" w:themeTint="F2"/>
          <w:sz w:val="28"/>
          <w:szCs w:val="28"/>
        </w:rPr>
        <w:t>Bohannon</w:t>
      </w:r>
      <w:proofErr w:type="spellEnd"/>
      <w:r w:rsidR="4D073DC0" w:rsidRPr="64296DDE">
        <w:rPr>
          <w:rFonts w:ascii="Arial" w:eastAsia="Arial" w:hAnsi="Arial" w:cs="Arial"/>
          <w:color w:val="0D0D0D" w:themeColor="text1" w:themeTint="F2"/>
          <w:sz w:val="28"/>
          <w:szCs w:val="28"/>
        </w:rPr>
        <w:t>, 2019). Grip strength assessments are practical, quick, and offer valuable insights into an individual's physical capabilities and potential for injury.</w:t>
      </w:r>
      <w:r w:rsidR="4D073DC0" w:rsidRPr="64296DDE">
        <w:rPr>
          <w:rFonts w:ascii="Arial" w:eastAsia="Arial" w:hAnsi="Arial" w:cs="Arial"/>
          <w:sz w:val="28"/>
          <w:szCs w:val="28"/>
        </w:rPr>
        <w:t xml:space="preserve"> </w:t>
      </w:r>
    </w:p>
    <w:p w14:paraId="3AEB7761" w14:textId="3F63266B" w:rsidR="00C53621" w:rsidRDefault="47118850" w:rsidP="64296DDE">
      <w:pPr>
        <w:jc w:val="both"/>
        <w:rPr>
          <w:rFonts w:ascii="Arial" w:eastAsia="Arial" w:hAnsi="Arial" w:cs="Arial"/>
          <w:sz w:val="28"/>
          <w:szCs w:val="28"/>
        </w:rPr>
      </w:pPr>
      <w:r w:rsidRPr="64296DDE">
        <w:rPr>
          <w:rFonts w:ascii="Arial" w:eastAsia="Arial" w:hAnsi="Arial" w:cs="Arial"/>
          <w:sz w:val="28"/>
          <w:szCs w:val="28"/>
        </w:rPr>
        <w:t>Assessment: Utilize a dynamometer to measure maximal grip strength in both hands.</w:t>
      </w:r>
    </w:p>
    <w:p w14:paraId="39CDC57B" w14:textId="12711ABA" w:rsidR="00C53621" w:rsidRDefault="6B63B8E5" w:rsidP="64296DDE">
      <w:pPr>
        <w:jc w:val="both"/>
        <w:rPr>
          <w:rFonts w:ascii="Arial" w:eastAsia="Arial" w:hAnsi="Arial" w:cs="Arial"/>
          <w:sz w:val="28"/>
          <w:szCs w:val="28"/>
        </w:rPr>
      </w:pPr>
      <w:r w:rsidRPr="64296DDE">
        <w:rPr>
          <w:rFonts w:ascii="Arial" w:eastAsia="Arial" w:hAnsi="Arial" w:cs="Arial"/>
          <w:sz w:val="28"/>
          <w:szCs w:val="28"/>
        </w:rPr>
        <w:t xml:space="preserve">The queen </w:t>
      </w:r>
      <w:r w:rsidR="47118850" w:rsidRPr="64296DDE">
        <w:rPr>
          <w:rFonts w:ascii="Arial" w:eastAsia="Arial" w:hAnsi="Arial" w:cs="Arial"/>
          <w:sz w:val="28"/>
          <w:szCs w:val="28"/>
        </w:rPr>
        <w:t>Step-Up Height Assessment:</w:t>
      </w:r>
    </w:p>
    <w:p w14:paraId="1D77392E" w14:textId="6806DE06" w:rsidR="00141141" w:rsidRDefault="47118850" w:rsidP="64296DDE">
      <w:pPr>
        <w:jc w:val="both"/>
        <w:rPr>
          <w:rFonts w:ascii="Arial" w:eastAsia="Arial" w:hAnsi="Arial" w:cs="Arial"/>
          <w:sz w:val="28"/>
          <w:szCs w:val="28"/>
        </w:rPr>
      </w:pPr>
      <w:r w:rsidRPr="64296DDE">
        <w:rPr>
          <w:rFonts w:ascii="Arial" w:eastAsia="Arial" w:hAnsi="Arial" w:cs="Arial"/>
          <w:sz w:val="28"/>
          <w:szCs w:val="28"/>
        </w:rPr>
        <w:t xml:space="preserve">Rationale: </w:t>
      </w:r>
      <w:r w:rsidR="4EA66603" w:rsidRPr="64296DDE">
        <w:rPr>
          <w:rFonts w:ascii="Arial" w:eastAsia="Arial" w:hAnsi="Arial" w:cs="Arial"/>
          <w:color w:val="0D0D0D" w:themeColor="text1" w:themeTint="F2"/>
          <w:sz w:val="28"/>
          <w:szCs w:val="28"/>
        </w:rPr>
        <w:t>the Queen's College Step Test assesses lower body strength, power, and endurance, reflecting functional movements in daily life (</w:t>
      </w:r>
      <w:proofErr w:type="spellStart"/>
      <w:r w:rsidR="4EA66603" w:rsidRPr="64296DDE">
        <w:rPr>
          <w:rFonts w:ascii="Arial" w:eastAsia="Arial" w:hAnsi="Arial" w:cs="Arial"/>
          <w:color w:val="0D0D0D" w:themeColor="text1" w:themeTint="F2"/>
          <w:sz w:val="28"/>
          <w:szCs w:val="28"/>
        </w:rPr>
        <w:t>McArdle</w:t>
      </w:r>
      <w:proofErr w:type="spellEnd"/>
      <w:r w:rsidR="4EA66603" w:rsidRPr="64296DDE">
        <w:rPr>
          <w:rFonts w:ascii="Arial" w:eastAsia="Arial" w:hAnsi="Arial" w:cs="Arial"/>
          <w:color w:val="0D0D0D" w:themeColor="text1" w:themeTint="F2"/>
          <w:sz w:val="28"/>
          <w:szCs w:val="28"/>
        </w:rPr>
        <w:t xml:space="preserve"> et al., 2014). It is practical and provides meaningful information about an individual's cardiovascular fitness and lower body muscular</w:t>
      </w:r>
      <w:r w:rsidR="67F86A6D" w:rsidRPr="64296DDE">
        <w:rPr>
          <w:rFonts w:ascii="Arial" w:eastAsia="Arial" w:hAnsi="Arial" w:cs="Arial"/>
          <w:color w:val="0D0D0D" w:themeColor="text1" w:themeTint="F2"/>
          <w:sz w:val="28"/>
          <w:szCs w:val="28"/>
        </w:rPr>
        <w:t>.</w:t>
      </w:r>
      <w:r w:rsidR="4EA66603" w:rsidRPr="64296DDE">
        <w:rPr>
          <w:rFonts w:ascii="Arial" w:eastAsia="Arial" w:hAnsi="Arial" w:cs="Arial"/>
          <w:color w:val="0D0D0D" w:themeColor="text1" w:themeTint="F2"/>
          <w:sz w:val="28"/>
          <w:szCs w:val="28"/>
        </w:rPr>
        <w:t xml:space="preserve"> </w:t>
      </w:r>
    </w:p>
    <w:p w14:paraId="6466F5BE" w14:textId="6D4598C0" w:rsidR="00C53621" w:rsidRDefault="47118850" w:rsidP="64296DDE">
      <w:pPr>
        <w:jc w:val="both"/>
        <w:rPr>
          <w:rFonts w:ascii="Arial" w:eastAsia="Arial" w:hAnsi="Arial" w:cs="Arial"/>
          <w:sz w:val="28"/>
          <w:szCs w:val="28"/>
        </w:rPr>
      </w:pPr>
      <w:r w:rsidRPr="64296DDE">
        <w:rPr>
          <w:rFonts w:ascii="Arial" w:eastAsia="Arial" w:hAnsi="Arial" w:cs="Arial"/>
          <w:sz w:val="28"/>
          <w:szCs w:val="28"/>
        </w:rPr>
        <w:t>Assessment: Perform a step-up test using a standardized platform, measuring the maximum height individuals can repeatedly step up onto within a given time frame.</w:t>
      </w:r>
    </w:p>
    <w:p w14:paraId="3CE770D8" w14:textId="71769E8B" w:rsidR="00141141" w:rsidRDefault="00141141" w:rsidP="64296DDE">
      <w:pPr>
        <w:jc w:val="both"/>
        <w:rPr>
          <w:rFonts w:ascii="Arial" w:eastAsia="Arial" w:hAnsi="Arial" w:cs="Arial"/>
          <w:sz w:val="28"/>
          <w:szCs w:val="28"/>
        </w:rPr>
      </w:pPr>
    </w:p>
    <w:p w14:paraId="3F11D969" w14:textId="5545C0B6" w:rsidR="00141141" w:rsidRDefault="00141141" w:rsidP="64296DDE">
      <w:pPr>
        <w:jc w:val="both"/>
        <w:rPr>
          <w:rFonts w:ascii="Arial" w:eastAsia="Arial" w:hAnsi="Arial" w:cs="Arial"/>
          <w:sz w:val="28"/>
          <w:szCs w:val="28"/>
        </w:rPr>
      </w:pPr>
    </w:p>
    <w:p w14:paraId="04EDF483" w14:textId="3B72C436" w:rsidR="00C53621" w:rsidRDefault="47118850" w:rsidP="64296DDE">
      <w:pPr>
        <w:jc w:val="both"/>
        <w:rPr>
          <w:rFonts w:ascii="Arial" w:eastAsia="Arial" w:hAnsi="Arial" w:cs="Arial"/>
          <w:sz w:val="28"/>
          <w:szCs w:val="28"/>
        </w:rPr>
      </w:pPr>
      <w:r w:rsidRPr="64296DDE">
        <w:rPr>
          <w:rFonts w:ascii="Arial" w:eastAsia="Arial" w:hAnsi="Arial" w:cs="Arial"/>
          <w:sz w:val="28"/>
          <w:szCs w:val="28"/>
        </w:rPr>
        <w:t>Weight Measurement:</w:t>
      </w:r>
    </w:p>
    <w:p w14:paraId="178193CB" w14:textId="1B39C79C" w:rsidR="00C53621" w:rsidRDefault="47118850" w:rsidP="64296DDE">
      <w:pPr>
        <w:jc w:val="both"/>
        <w:rPr>
          <w:rFonts w:ascii="Arial" w:eastAsia="Arial" w:hAnsi="Arial" w:cs="Arial"/>
          <w:sz w:val="28"/>
          <w:szCs w:val="28"/>
        </w:rPr>
      </w:pPr>
      <w:r w:rsidRPr="64296DDE">
        <w:rPr>
          <w:rFonts w:ascii="Arial" w:eastAsia="Arial" w:hAnsi="Arial" w:cs="Arial"/>
          <w:sz w:val="28"/>
          <w:szCs w:val="28"/>
        </w:rPr>
        <w:t>Rationale: Weight is a basic yet crucial measure of body composition. It helps assess whether an individual falls within a healthy weight range relative to their height and build. Abnormal weight can indicate potential health risks such as obesity or undernourishment.</w:t>
      </w:r>
    </w:p>
    <w:p w14:paraId="10819914" w14:textId="34FB1C69" w:rsidR="00C53621" w:rsidRDefault="47118850" w:rsidP="64296DDE">
      <w:pPr>
        <w:jc w:val="both"/>
        <w:rPr>
          <w:rFonts w:ascii="Arial" w:eastAsia="Arial" w:hAnsi="Arial" w:cs="Arial"/>
          <w:sz w:val="28"/>
          <w:szCs w:val="28"/>
        </w:rPr>
      </w:pPr>
      <w:r w:rsidRPr="64296DDE">
        <w:rPr>
          <w:rFonts w:ascii="Arial" w:eastAsia="Arial" w:hAnsi="Arial" w:cs="Arial"/>
          <w:sz w:val="28"/>
          <w:szCs w:val="28"/>
        </w:rPr>
        <w:t>Assessment: Utilize a calibrated scale to measure body weight accurately.</w:t>
      </w:r>
    </w:p>
    <w:p w14:paraId="14D0DE2E" w14:textId="34597206" w:rsidR="00C53621" w:rsidRDefault="47118850" w:rsidP="64296DDE">
      <w:pPr>
        <w:jc w:val="both"/>
        <w:rPr>
          <w:rFonts w:ascii="Arial" w:eastAsia="Arial" w:hAnsi="Arial" w:cs="Arial"/>
          <w:sz w:val="28"/>
          <w:szCs w:val="28"/>
        </w:rPr>
      </w:pPr>
      <w:r w:rsidRPr="64296DDE">
        <w:rPr>
          <w:rFonts w:ascii="Arial" w:eastAsia="Arial" w:hAnsi="Arial" w:cs="Arial"/>
          <w:sz w:val="28"/>
          <w:szCs w:val="28"/>
        </w:rPr>
        <w:t>Sit and Reach Test (Flexibility):</w:t>
      </w:r>
    </w:p>
    <w:p w14:paraId="5E2BBF49" w14:textId="386FA7CE" w:rsidR="00141141" w:rsidRDefault="47118850" w:rsidP="64296DDE">
      <w:pPr>
        <w:rPr>
          <w:rFonts w:ascii="Arial" w:eastAsia="Arial" w:hAnsi="Arial" w:cs="Arial"/>
          <w:color w:val="0D0D0D" w:themeColor="text1" w:themeTint="F2"/>
          <w:sz w:val="28"/>
          <w:szCs w:val="28"/>
        </w:rPr>
      </w:pPr>
      <w:r w:rsidRPr="64296DDE">
        <w:rPr>
          <w:rFonts w:ascii="Arial" w:eastAsia="Arial" w:hAnsi="Arial" w:cs="Arial"/>
          <w:sz w:val="28"/>
          <w:szCs w:val="28"/>
        </w:rPr>
        <w:t xml:space="preserve">Rationale: </w:t>
      </w:r>
      <w:r w:rsidR="7E1349EF" w:rsidRPr="64296DDE">
        <w:rPr>
          <w:rFonts w:ascii="Arial" w:eastAsia="Arial" w:hAnsi="Arial" w:cs="Arial"/>
          <w:color w:val="0D0D0D" w:themeColor="text1" w:themeTint="F2"/>
          <w:sz w:val="28"/>
          <w:szCs w:val="28"/>
        </w:rPr>
        <w:t xml:space="preserve">Flexibility is critical for movement efficiency, joint health, and overall performance (American Council on Exercise, n.d.). The sit and reach test specifically </w:t>
      </w:r>
      <w:r w:rsidR="4DB1736A" w:rsidRPr="64296DDE">
        <w:rPr>
          <w:rFonts w:ascii="Arial" w:eastAsia="Arial" w:hAnsi="Arial" w:cs="Arial"/>
          <w:color w:val="0D0D0D" w:themeColor="text1" w:themeTint="F2"/>
          <w:sz w:val="28"/>
          <w:szCs w:val="28"/>
        </w:rPr>
        <w:t>evaluate</w:t>
      </w:r>
      <w:r w:rsidR="7E1349EF" w:rsidRPr="64296DDE">
        <w:rPr>
          <w:rFonts w:ascii="Arial" w:eastAsia="Arial" w:hAnsi="Arial" w:cs="Arial"/>
          <w:color w:val="0D0D0D" w:themeColor="text1" w:themeTint="F2"/>
          <w:sz w:val="28"/>
          <w:szCs w:val="28"/>
        </w:rPr>
        <w:t xml:space="preserve"> flexibility in the lower back and hamstring muscles, offering insights into an individual's flexibility and potential risk of injury.</w:t>
      </w:r>
    </w:p>
    <w:p w14:paraId="2155FD9D" w14:textId="08196E5F" w:rsidR="00141141" w:rsidRDefault="00141141" w:rsidP="64296DDE">
      <w:pPr>
        <w:jc w:val="both"/>
        <w:rPr>
          <w:rFonts w:ascii="Arial" w:eastAsia="Arial" w:hAnsi="Arial" w:cs="Arial"/>
          <w:sz w:val="28"/>
          <w:szCs w:val="28"/>
        </w:rPr>
      </w:pPr>
    </w:p>
    <w:p w14:paraId="5D679273" w14:textId="2C72DAB1" w:rsidR="00C53621" w:rsidRDefault="47118850" w:rsidP="64296DDE">
      <w:pPr>
        <w:jc w:val="both"/>
        <w:rPr>
          <w:rFonts w:ascii="Arial" w:eastAsia="Arial" w:hAnsi="Arial" w:cs="Arial"/>
          <w:sz w:val="28"/>
          <w:szCs w:val="28"/>
        </w:rPr>
      </w:pPr>
      <w:r w:rsidRPr="64296DDE">
        <w:rPr>
          <w:rFonts w:ascii="Arial" w:eastAsia="Arial" w:hAnsi="Arial" w:cs="Arial"/>
          <w:sz w:val="28"/>
          <w:szCs w:val="28"/>
        </w:rPr>
        <w:t>Assessment: Conduct the sit and reach test using a standardized box and ruler, measuring how far individuals can reach forward while seated with their legs extended.</w:t>
      </w:r>
    </w:p>
    <w:p w14:paraId="4823D43C" w14:textId="2F07DA26" w:rsidR="00C53621" w:rsidRDefault="47118850" w:rsidP="64296DDE">
      <w:pPr>
        <w:jc w:val="both"/>
        <w:rPr>
          <w:rFonts w:ascii="Arial" w:eastAsia="Arial" w:hAnsi="Arial" w:cs="Arial"/>
          <w:sz w:val="28"/>
          <w:szCs w:val="28"/>
        </w:rPr>
      </w:pPr>
      <w:r w:rsidRPr="64296DDE">
        <w:rPr>
          <w:rFonts w:ascii="Arial" w:eastAsia="Arial" w:hAnsi="Arial" w:cs="Arial"/>
          <w:sz w:val="28"/>
          <w:szCs w:val="28"/>
        </w:rPr>
        <w:t>Hip to Waist Ratio Measurement:</w:t>
      </w:r>
    </w:p>
    <w:p w14:paraId="0F80403D" w14:textId="6B4FFD60" w:rsidR="00141141" w:rsidRDefault="47118850" w:rsidP="64296DDE">
      <w:pPr>
        <w:rPr>
          <w:rFonts w:ascii="Arial" w:eastAsia="Arial" w:hAnsi="Arial" w:cs="Arial"/>
          <w:color w:val="0D0D0D" w:themeColor="text1" w:themeTint="F2"/>
          <w:sz w:val="28"/>
          <w:szCs w:val="28"/>
        </w:rPr>
      </w:pPr>
      <w:r w:rsidRPr="64296DDE">
        <w:rPr>
          <w:rFonts w:ascii="Arial" w:eastAsia="Arial" w:hAnsi="Arial" w:cs="Arial"/>
          <w:sz w:val="28"/>
          <w:szCs w:val="28"/>
        </w:rPr>
        <w:t xml:space="preserve">Rationale: </w:t>
      </w:r>
      <w:r w:rsidR="1DBFA371" w:rsidRPr="64296DDE">
        <w:rPr>
          <w:rFonts w:ascii="Arial" w:eastAsia="Arial" w:hAnsi="Arial" w:cs="Arial"/>
          <w:color w:val="0D0D0D" w:themeColor="text1" w:themeTint="F2"/>
          <w:sz w:val="28"/>
          <w:szCs w:val="28"/>
        </w:rPr>
        <w:t>Hip to waist ratio indicates central adiposity and body fat distribution, which are associated with metabolic disorders and cardiovascular diseases (National Heart, Lung, and Blood Institute, n.d.). It provides meaningful information about an individual's body composition and health status.</w:t>
      </w:r>
    </w:p>
    <w:p w14:paraId="4C15E3F8" w14:textId="1FA82F2F" w:rsidR="00141141" w:rsidRDefault="00141141" w:rsidP="64296DDE">
      <w:pPr>
        <w:jc w:val="both"/>
        <w:rPr>
          <w:rFonts w:ascii="Arial" w:eastAsia="Arial" w:hAnsi="Arial" w:cs="Arial"/>
          <w:sz w:val="28"/>
          <w:szCs w:val="28"/>
        </w:rPr>
      </w:pPr>
    </w:p>
    <w:p w14:paraId="24B8BA34" w14:textId="4B05F603" w:rsidR="00C53621" w:rsidRDefault="47118850" w:rsidP="64296DDE">
      <w:pPr>
        <w:jc w:val="both"/>
        <w:rPr>
          <w:rFonts w:ascii="Arial" w:eastAsia="Arial" w:hAnsi="Arial" w:cs="Arial"/>
          <w:sz w:val="28"/>
          <w:szCs w:val="28"/>
        </w:rPr>
      </w:pPr>
      <w:r w:rsidRPr="64296DDE">
        <w:rPr>
          <w:rFonts w:ascii="Arial" w:eastAsia="Arial" w:hAnsi="Arial" w:cs="Arial"/>
          <w:sz w:val="28"/>
          <w:szCs w:val="28"/>
        </w:rPr>
        <w:t>Assessment: Measure waist circumference at the narrowest point and hip circumference at the widest point, then calculate the hip to waist ratio.</w:t>
      </w:r>
    </w:p>
    <w:p w14:paraId="2D7AE621" w14:textId="3F225991" w:rsidR="00C53621" w:rsidRDefault="47118850" w:rsidP="64296DDE">
      <w:pPr>
        <w:jc w:val="both"/>
        <w:rPr>
          <w:rFonts w:ascii="Arial" w:eastAsia="Arial" w:hAnsi="Arial" w:cs="Arial"/>
          <w:sz w:val="28"/>
          <w:szCs w:val="28"/>
        </w:rPr>
      </w:pPr>
      <w:r w:rsidRPr="64296DDE">
        <w:rPr>
          <w:rFonts w:ascii="Arial" w:eastAsia="Arial" w:hAnsi="Arial" w:cs="Arial"/>
          <w:sz w:val="28"/>
          <w:szCs w:val="28"/>
        </w:rPr>
        <w:t>Sit-Up Test (Muscular Endurance):</w:t>
      </w:r>
    </w:p>
    <w:p w14:paraId="23E2710B" w14:textId="5E6245DA" w:rsidR="00C53621" w:rsidRDefault="47118850" w:rsidP="64296DDE">
      <w:pPr>
        <w:jc w:val="both"/>
        <w:rPr>
          <w:rFonts w:ascii="Arial" w:eastAsia="Arial" w:hAnsi="Arial" w:cs="Arial"/>
          <w:sz w:val="28"/>
          <w:szCs w:val="28"/>
        </w:rPr>
      </w:pPr>
      <w:r w:rsidRPr="64296DDE">
        <w:rPr>
          <w:rFonts w:ascii="Arial" w:eastAsia="Arial" w:hAnsi="Arial" w:cs="Arial"/>
          <w:sz w:val="28"/>
          <w:szCs w:val="28"/>
        </w:rPr>
        <w:t>Rationale: Muscular endurance is essential for sustaining physical activity over extended periods. The sit-up test assesses the endurance of the abdominal muscles, which play a crucial role in core stability and overall functional movement.</w:t>
      </w:r>
    </w:p>
    <w:p w14:paraId="07550360" w14:textId="09F4CF19" w:rsidR="00C53621" w:rsidRDefault="47118850" w:rsidP="64296DDE">
      <w:pPr>
        <w:jc w:val="both"/>
        <w:rPr>
          <w:rFonts w:ascii="Arial" w:eastAsia="Arial" w:hAnsi="Arial" w:cs="Arial"/>
          <w:sz w:val="28"/>
          <w:szCs w:val="28"/>
        </w:rPr>
      </w:pPr>
      <w:r w:rsidRPr="64296DDE">
        <w:rPr>
          <w:rFonts w:ascii="Arial" w:eastAsia="Arial" w:hAnsi="Arial" w:cs="Arial"/>
          <w:sz w:val="28"/>
          <w:szCs w:val="28"/>
        </w:rPr>
        <w:t>Assessment: Perform a timed sit-up test, counting the number of sit-ups individuals can complete within a specified time frame while maintaining proper form.</w:t>
      </w:r>
    </w:p>
    <w:p w14:paraId="09381722" w14:textId="0DD67097" w:rsidR="00141141" w:rsidRDefault="00141141" w:rsidP="64296DDE">
      <w:pPr>
        <w:jc w:val="both"/>
        <w:rPr>
          <w:rFonts w:ascii="Arial" w:eastAsia="Arial" w:hAnsi="Arial" w:cs="Arial"/>
          <w:sz w:val="28"/>
          <w:szCs w:val="28"/>
        </w:rPr>
      </w:pPr>
    </w:p>
    <w:p w14:paraId="132EB0A0" w14:textId="4420CD2E" w:rsidR="00141141" w:rsidRDefault="1854AB61" w:rsidP="64296DDE">
      <w:pPr>
        <w:jc w:val="both"/>
        <w:rPr>
          <w:rFonts w:ascii="Arial" w:eastAsia="Arial" w:hAnsi="Arial" w:cs="Arial"/>
          <w:color w:val="000000" w:themeColor="text1"/>
          <w:sz w:val="28"/>
          <w:szCs w:val="28"/>
          <w:u w:val="single"/>
        </w:rPr>
      </w:pPr>
      <w:r w:rsidRPr="64296DDE">
        <w:rPr>
          <w:rFonts w:ascii="Arial" w:eastAsia="Arial" w:hAnsi="Arial" w:cs="Arial"/>
          <w:color w:val="000000" w:themeColor="text1"/>
          <w:sz w:val="28"/>
          <w:szCs w:val="28"/>
          <w:u w:val="single"/>
        </w:rPr>
        <w:t>Assessment Procedures and Data Collection</w:t>
      </w:r>
    </w:p>
    <w:p w14:paraId="7F440B36" w14:textId="4806EC40" w:rsidR="00C53621" w:rsidRDefault="0820E580" w:rsidP="64296DDE">
      <w:pPr>
        <w:jc w:val="both"/>
        <w:rPr>
          <w:rFonts w:ascii="Arial" w:eastAsia="Arial" w:hAnsi="Arial" w:cs="Arial"/>
          <w:sz w:val="28"/>
          <w:szCs w:val="28"/>
        </w:rPr>
      </w:pPr>
      <w:r w:rsidRPr="64296DDE">
        <w:rPr>
          <w:rFonts w:ascii="Arial" w:eastAsia="Arial" w:hAnsi="Arial" w:cs="Arial"/>
          <w:sz w:val="28"/>
          <w:szCs w:val="28"/>
        </w:rPr>
        <w:t>Blood Pressure Measurement:</w:t>
      </w:r>
    </w:p>
    <w:p w14:paraId="1D845B6F" w14:textId="7EFCCD7B" w:rsidR="00C53621" w:rsidRDefault="0820E580" w:rsidP="64296DDE">
      <w:pPr>
        <w:jc w:val="both"/>
        <w:rPr>
          <w:rFonts w:ascii="Arial" w:eastAsia="Arial" w:hAnsi="Arial" w:cs="Arial"/>
          <w:sz w:val="28"/>
          <w:szCs w:val="28"/>
        </w:rPr>
      </w:pPr>
      <w:r w:rsidRPr="64296DDE">
        <w:rPr>
          <w:rFonts w:ascii="Arial" w:eastAsia="Arial" w:hAnsi="Arial" w:cs="Arial"/>
          <w:sz w:val="28"/>
          <w:szCs w:val="28"/>
        </w:rPr>
        <w:t xml:space="preserve">Procedure: Use a sphygmomanometer and stethoscope. Wrap the cuff around the upper arm at heart level, ensuring a snug fit. Inflate the cuff to approximately 30 mmHg above the estimated systolic pressure. Slowly deflate the cuff while listening for </w:t>
      </w:r>
      <w:proofErr w:type="spellStart"/>
      <w:r w:rsidRPr="64296DDE">
        <w:rPr>
          <w:rFonts w:ascii="Arial" w:eastAsia="Arial" w:hAnsi="Arial" w:cs="Arial"/>
          <w:sz w:val="28"/>
          <w:szCs w:val="28"/>
        </w:rPr>
        <w:t>Korotkoff</w:t>
      </w:r>
      <w:proofErr w:type="spellEnd"/>
      <w:r w:rsidRPr="64296DDE">
        <w:rPr>
          <w:rFonts w:ascii="Arial" w:eastAsia="Arial" w:hAnsi="Arial" w:cs="Arial"/>
          <w:sz w:val="28"/>
          <w:szCs w:val="28"/>
        </w:rPr>
        <w:t xml:space="preserve"> sounds. Record the pressure at which the first sound (systolic) and the last sound (diastolic) are heard.</w:t>
      </w:r>
    </w:p>
    <w:p w14:paraId="2B75CF7D" w14:textId="2EACD3B8" w:rsidR="00C53621" w:rsidRDefault="0820E580" w:rsidP="64296DDE">
      <w:pPr>
        <w:jc w:val="both"/>
        <w:rPr>
          <w:rFonts w:ascii="Arial" w:eastAsia="Arial" w:hAnsi="Arial" w:cs="Arial"/>
          <w:sz w:val="28"/>
          <w:szCs w:val="28"/>
        </w:rPr>
      </w:pPr>
      <w:r w:rsidRPr="64296DDE">
        <w:rPr>
          <w:rFonts w:ascii="Arial" w:eastAsia="Arial" w:hAnsi="Arial" w:cs="Arial"/>
          <w:sz w:val="28"/>
          <w:szCs w:val="28"/>
        </w:rPr>
        <w:t>Importance: Standardized blood pressure measurement is crucial for accurately assessing cardiovascular health. Inconsistent cuff placement or technique can lead to erroneous readings, impacting diagnosis and treatment decisions.</w:t>
      </w:r>
    </w:p>
    <w:p w14:paraId="495260C7" w14:textId="3F00D795" w:rsidR="00C53621" w:rsidRDefault="0820E580" w:rsidP="64296DDE">
      <w:pPr>
        <w:jc w:val="both"/>
        <w:rPr>
          <w:rFonts w:ascii="Arial" w:eastAsia="Arial" w:hAnsi="Arial" w:cs="Arial"/>
          <w:sz w:val="28"/>
          <w:szCs w:val="28"/>
        </w:rPr>
      </w:pPr>
      <w:r w:rsidRPr="64296DDE">
        <w:rPr>
          <w:rFonts w:ascii="Arial" w:eastAsia="Arial" w:hAnsi="Arial" w:cs="Arial"/>
          <w:sz w:val="28"/>
          <w:szCs w:val="28"/>
        </w:rPr>
        <w:t>Potential Errors: Inadequate cuff size, improper placement, and failure to allow sufficient time between measurements can lead to inaccurate results. To minimize errors, ensure proper cuff selection, training in measurement technique, and adherence to established protocols.</w:t>
      </w:r>
    </w:p>
    <w:p w14:paraId="52CF013E" w14:textId="0D2BD10E" w:rsidR="00C53621" w:rsidRDefault="0820E580" w:rsidP="64296DDE">
      <w:pPr>
        <w:jc w:val="both"/>
        <w:rPr>
          <w:rFonts w:ascii="Arial" w:eastAsia="Arial" w:hAnsi="Arial" w:cs="Arial"/>
          <w:sz w:val="28"/>
          <w:szCs w:val="28"/>
        </w:rPr>
      </w:pPr>
      <w:r w:rsidRPr="64296DDE">
        <w:rPr>
          <w:rFonts w:ascii="Arial" w:eastAsia="Arial" w:hAnsi="Arial" w:cs="Arial"/>
          <w:sz w:val="28"/>
          <w:szCs w:val="28"/>
        </w:rPr>
        <w:t>Grip Strength Assessment:</w:t>
      </w:r>
    </w:p>
    <w:p w14:paraId="0DA6E7D2" w14:textId="42A1DB15" w:rsidR="00C53621" w:rsidRDefault="0820E580" w:rsidP="64296DDE">
      <w:pPr>
        <w:jc w:val="both"/>
        <w:rPr>
          <w:rFonts w:ascii="Arial" w:eastAsia="Arial" w:hAnsi="Arial" w:cs="Arial"/>
          <w:sz w:val="28"/>
          <w:szCs w:val="28"/>
        </w:rPr>
      </w:pPr>
      <w:r w:rsidRPr="64296DDE">
        <w:rPr>
          <w:rFonts w:ascii="Arial" w:eastAsia="Arial" w:hAnsi="Arial" w:cs="Arial"/>
          <w:sz w:val="28"/>
          <w:szCs w:val="28"/>
        </w:rPr>
        <w:t>Procedure: Use a dynamometer adjusted to the individual's hand size. Instruct the individual to stand with feet shoulder-width apart and arm at the side. Squeeze the dynamometer with maximal effort for 3-5 seconds while maintaining a neutral wrist position. Record the highest reading from three trials for each hand.</w:t>
      </w:r>
    </w:p>
    <w:p w14:paraId="373202BF" w14:textId="09325F3C" w:rsidR="00C53621" w:rsidRDefault="0820E580" w:rsidP="64296DDE">
      <w:pPr>
        <w:jc w:val="both"/>
        <w:rPr>
          <w:rFonts w:ascii="Arial" w:eastAsia="Arial" w:hAnsi="Arial" w:cs="Arial"/>
          <w:sz w:val="28"/>
          <w:szCs w:val="28"/>
        </w:rPr>
      </w:pPr>
      <w:r w:rsidRPr="64296DDE">
        <w:rPr>
          <w:rFonts w:ascii="Arial" w:eastAsia="Arial" w:hAnsi="Arial" w:cs="Arial"/>
          <w:sz w:val="28"/>
          <w:szCs w:val="28"/>
        </w:rPr>
        <w:t>Importance: Standardized grip strength assessment provides valuable information on overall muscular strength and function. Consistent technique and equipment calibration are essential for reliable comparisons and tracking changes over time.</w:t>
      </w:r>
    </w:p>
    <w:p w14:paraId="6A90E364" w14:textId="25BCBC09" w:rsidR="00C53621" w:rsidRDefault="0820E580" w:rsidP="64296DDE">
      <w:pPr>
        <w:jc w:val="both"/>
        <w:rPr>
          <w:rFonts w:ascii="Arial" w:eastAsia="Arial" w:hAnsi="Arial" w:cs="Arial"/>
          <w:sz w:val="28"/>
          <w:szCs w:val="28"/>
        </w:rPr>
      </w:pPr>
      <w:r w:rsidRPr="64296DDE">
        <w:rPr>
          <w:rFonts w:ascii="Arial" w:eastAsia="Arial" w:hAnsi="Arial" w:cs="Arial"/>
          <w:sz w:val="28"/>
          <w:szCs w:val="28"/>
        </w:rPr>
        <w:t>Potential Errors: Variations in hand positioning, inadequate warm-up, and inconsistent dynamometer calibration can introduce measurement error. To minimize errors, ensure standardized hand position, adequate warm-up, and regular equipment maintenance.</w:t>
      </w:r>
    </w:p>
    <w:p w14:paraId="63F45D24" w14:textId="024CD8AD" w:rsidR="00C53621" w:rsidRDefault="0820E580" w:rsidP="64296DDE">
      <w:pPr>
        <w:jc w:val="both"/>
        <w:rPr>
          <w:rFonts w:ascii="Arial" w:eastAsia="Arial" w:hAnsi="Arial" w:cs="Arial"/>
          <w:sz w:val="28"/>
          <w:szCs w:val="28"/>
        </w:rPr>
      </w:pPr>
      <w:r w:rsidRPr="64296DDE">
        <w:rPr>
          <w:rFonts w:ascii="Arial" w:eastAsia="Arial" w:hAnsi="Arial" w:cs="Arial"/>
          <w:sz w:val="28"/>
          <w:szCs w:val="28"/>
        </w:rPr>
        <w:t>Step-Up Height Assessment:</w:t>
      </w:r>
    </w:p>
    <w:p w14:paraId="6DC243E6" w14:textId="0A7ED8F9" w:rsidR="00C53621" w:rsidRDefault="0820E580" w:rsidP="64296DDE">
      <w:pPr>
        <w:jc w:val="both"/>
        <w:rPr>
          <w:rFonts w:ascii="Arial" w:eastAsia="Arial" w:hAnsi="Arial" w:cs="Arial"/>
          <w:sz w:val="28"/>
          <w:szCs w:val="28"/>
        </w:rPr>
      </w:pPr>
      <w:r w:rsidRPr="64296DDE">
        <w:rPr>
          <w:rFonts w:ascii="Arial" w:eastAsia="Arial" w:hAnsi="Arial" w:cs="Arial"/>
          <w:sz w:val="28"/>
          <w:szCs w:val="28"/>
        </w:rPr>
        <w:t>Procedure: Use a standardized step platform with adjustable height settings. Instruct the individual to step onto the platform with one foot, followed by the other, ensuring full extension of the knees and hips. Measure the maximum height reached during the step-up movement.</w:t>
      </w:r>
    </w:p>
    <w:p w14:paraId="432F6249" w14:textId="6383C634" w:rsidR="00C53621" w:rsidRDefault="0820E580" w:rsidP="64296DDE">
      <w:pPr>
        <w:jc w:val="both"/>
        <w:rPr>
          <w:rFonts w:ascii="Arial" w:eastAsia="Arial" w:hAnsi="Arial" w:cs="Arial"/>
          <w:sz w:val="28"/>
          <w:szCs w:val="28"/>
        </w:rPr>
      </w:pPr>
      <w:r w:rsidRPr="64296DDE">
        <w:rPr>
          <w:rFonts w:ascii="Arial" w:eastAsia="Arial" w:hAnsi="Arial" w:cs="Arial"/>
          <w:sz w:val="28"/>
          <w:szCs w:val="28"/>
        </w:rPr>
        <w:t>Importance: Standardized step-up height assessment evaluates lower body strength, power, and endurance. Consistent platform height and movement technique are critical for accurate comparisons and detecting improvements.</w:t>
      </w:r>
    </w:p>
    <w:p w14:paraId="1A62BF3A" w14:textId="3BB1002D" w:rsidR="00C53621" w:rsidRDefault="0820E580" w:rsidP="64296DDE">
      <w:pPr>
        <w:jc w:val="both"/>
        <w:rPr>
          <w:rFonts w:ascii="Arial" w:eastAsia="Arial" w:hAnsi="Arial" w:cs="Arial"/>
          <w:sz w:val="28"/>
          <w:szCs w:val="28"/>
        </w:rPr>
      </w:pPr>
      <w:r w:rsidRPr="64296DDE">
        <w:rPr>
          <w:rFonts w:ascii="Arial" w:eastAsia="Arial" w:hAnsi="Arial" w:cs="Arial"/>
          <w:sz w:val="28"/>
          <w:szCs w:val="28"/>
        </w:rPr>
        <w:t>Potential Errors: Inconsistent platform height, improper step-up technique, and inadequate rest between trials can affect measurement reliability. To minimize errors, use standardized equipment, provide clear instructions, and allow adequate rest between trials.</w:t>
      </w:r>
    </w:p>
    <w:p w14:paraId="2B823260" w14:textId="19714680" w:rsidR="00C53621" w:rsidRDefault="0820E580" w:rsidP="64296DDE">
      <w:pPr>
        <w:jc w:val="both"/>
        <w:rPr>
          <w:rFonts w:ascii="Arial" w:eastAsia="Arial" w:hAnsi="Arial" w:cs="Arial"/>
          <w:sz w:val="28"/>
          <w:szCs w:val="28"/>
        </w:rPr>
      </w:pPr>
      <w:r w:rsidRPr="64296DDE">
        <w:rPr>
          <w:rFonts w:ascii="Arial" w:eastAsia="Arial" w:hAnsi="Arial" w:cs="Arial"/>
          <w:sz w:val="28"/>
          <w:szCs w:val="28"/>
        </w:rPr>
        <w:t>Weight Measurement:</w:t>
      </w:r>
    </w:p>
    <w:p w14:paraId="39428E03" w14:textId="2A5481D4" w:rsidR="00C53621" w:rsidRDefault="0820E580" w:rsidP="64296DDE">
      <w:pPr>
        <w:jc w:val="both"/>
        <w:rPr>
          <w:rFonts w:ascii="Arial" w:eastAsia="Arial" w:hAnsi="Arial" w:cs="Arial"/>
          <w:sz w:val="28"/>
          <w:szCs w:val="28"/>
        </w:rPr>
      </w:pPr>
      <w:r w:rsidRPr="64296DDE">
        <w:rPr>
          <w:rFonts w:ascii="Arial" w:eastAsia="Arial" w:hAnsi="Arial" w:cs="Arial"/>
          <w:sz w:val="28"/>
          <w:szCs w:val="28"/>
        </w:rPr>
        <w:t>Procedure: Use a calibrated scale placed on a level surface. Instruct the individual to remove shoes and heavy outer clothing, standing with feet together and arms at the side. Record the weight to the nearest 0.1 kg or 0.2 lbs.</w:t>
      </w:r>
    </w:p>
    <w:p w14:paraId="0BB58965" w14:textId="72150FEF" w:rsidR="00C53621" w:rsidRDefault="0820E580" w:rsidP="64296DDE">
      <w:pPr>
        <w:jc w:val="both"/>
        <w:rPr>
          <w:rFonts w:ascii="Arial" w:eastAsia="Arial" w:hAnsi="Arial" w:cs="Arial"/>
          <w:sz w:val="28"/>
          <w:szCs w:val="28"/>
        </w:rPr>
      </w:pPr>
      <w:r w:rsidRPr="64296DDE">
        <w:rPr>
          <w:rFonts w:ascii="Arial" w:eastAsia="Arial" w:hAnsi="Arial" w:cs="Arial"/>
          <w:sz w:val="28"/>
          <w:szCs w:val="28"/>
        </w:rPr>
        <w:t>Importance: Standardized weight measurement is essential for assessing body composition and tracking changes in weight over time. Consistent scale calibration and measurement protocol ensure accurate data collection.</w:t>
      </w:r>
    </w:p>
    <w:p w14:paraId="450DDA49" w14:textId="17DE4937" w:rsidR="00C53621" w:rsidRDefault="0820E580" w:rsidP="64296DDE">
      <w:pPr>
        <w:jc w:val="both"/>
        <w:rPr>
          <w:rFonts w:ascii="Arial" w:eastAsia="Arial" w:hAnsi="Arial" w:cs="Arial"/>
          <w:sz w:val="28"/>
          <w:szCs w:val="28"/>
        </w:rPr>
      </w:pPr>
      <w:r w:rsidRPr="64296DDE">
        <w:rPr>
          <w:rFonts w:ascii="Arial" w:eastAsia="Arial" w:hAnsi="Arial" w:cs="Arial"/>
          <w:sz w:val="28"/>
          <w:szCs w:val="28"/>
        </w:rPr>
        <w:t>Potential Errors: Inconsistent scale calibration, improper positioning, and clothing or accessory interference can lead to measurement error. To minimize errors, regularly calibrate scales, provide standardized instructions, and minimize clothing variability.</w:t>
      </w:r>
    </w:p>
    <w:p w14:paraId="4AB35267" w14:textId="089CD38D" w:rsidR="00C53621" w:rsidRDefault="0820E580" w:rsidP="64296DDE">
      <w:pPr>
        <w:jc w:val="both"/>
        <w:rPr>
          <w:rFonts w:ascii="Arial" w:eastAsia="Arial" w:hAnsi="Arial" w:cs="Arial"/>
          <w:sz w:val="28"/>
          <w:szCs w:val="28"/>
        </w:rPr>
      </w:pPr>
      <w:r w:rsidRPr="64296DDE">
        <w:rPr>
          <w:rFonts w:ascii="Arial" w:eastAsia="Arial" w:hAnsi="Arial" w:cs="Arial"/>
          <w:sz w:val="28"/>
          <w:szCs w:val="28"/>
        </w:rPr>
        <w:t>Sit and Reach Test (Flexibility):</w:t>
      </w:r>
    </w:p>
    <w:p w14:paraId="2784DB0B" w14:textId="03635F69" w:rsidR="00C53621" w:rsidRDefault="0820E580" w:rsidP="64296DDE">
      <w:pPr>
        <w:jc w:val="both"/>
        <w:rPr>
          <w:rFonts w:ascii="Arial" w:eastAsia="Arial" w:hAnsi="Arial" w:cs="Arial"/>
          <w:sz w:val="28"/>
          <w:szCs w:val="28"/>
        </w:rPr>
      </w:pPr>
      <w:r w:rsidRPr="64296DDE">
        <w:rPr>
          <w:rFonts w:ascii="Arial" w:eastAsia="Arial" w:hAnsi="Arial" w:cs="Arial"/>
          <w:sz w:val="28"/>
          <w:szCs w:val="28"/>
        </w:rPr>
        <w:t xml:space="preserve">Procedure: Use a standardized </w:t>
      </w:r>
      <w:bookmarkStart w:id="0" w:name="_Int_KafNttuc"/>
      <w:r w:rsidRPr="64296DDE">
        <w:rPr>
          <w:rFonts w:ascii="Arial" w:eastAsia="Arial" w:hAnsi="Arial" w:cs="Arial"/>
          <w:sz w:val="28"/>
          <w:szCs w:val="28"/>
        </w:rPr>
        <w:t>sit</w:t>
      </w:r>
      <w:bookmarkEnd w:id="0"/>
      <w:r w:rsidRPr="64296DDE">
        <w:rPr>
          <w:rFonts w:ascii="Arial" w:eastAsia="Arial" w:hAnsi="Arial" w:cs="Arial"/>
          <w:sz w:val="28"/>
          <w:szCs w:val="28"/>
        </w:rPr>
        <w:t xml:space="preserve"> and reach box with a ruler attached. Instruct the individual to sit on the floor with legs extended and feet against the box. Reach forward as far as possible along the ruler, holding the end position for 2-3 seconds. Record the distance reached.</w:t>
      </w:r>
    </w:p>
    <w:p w14:paraId="671B5070" w14:textId="7BAEF81E" w:rsidR="00C53621" w:rsidRDefault="0820E580" w:rsidP="64296DDE">
      <w:pPr>
        <w:jc w:val="both"/>
        <w:rPr>
          <w:rFonts w:ascii="Arial" w:eastAsia="Arial" w:hAnsi="Arial" w:cs="Arial"/>
          <w:sz w:val="28"/>
          <w:szCs w:val="28"/>
        </w:rPr>
      </w:pPr>
      <w:r w:rsidRPr="64296DDE">
        <w:rPr>
          <w:rFonts w:ascii="Arial" w:eastAsia="Arial" w:hAnsi="Arial" w:cs="Arial"/>
          <w:sz w:val="28"/>
          <w:szCs w:val="28"/>
        </w:rPr>
        <w:t xml:space="preserve">Importance: Standardized sit and reach assessment </w:t>
      </w:r>
      <w:r w:rsidR="5393D7AC" w:rsidRPr="64296DDE">
        <w:rPr>
          <w:rFonts w:ascii="Arial" w:eastAsia="Arial" w:hAnsi="Arial" w:cs="Arial"/>
          <w:sz w:val="28"/>
          <w:szCs w:val="28"/>
        </w:rPr>
        <w:t>evaluate</w:t>
      </w:r>
      <w:r w:rsidRPr="64296DDE">
        <w:rPr>
          <w:rFonts w:ascii="Arial" w:eastAsia="Arial" w:hAnsi="Arial" w:cs="Arial"/>
          <w:sz w:val="28"/>
          <w:szCs w:val="28"/>
        </w:rPr>
        <w:t xml:space="preserve"> flexibility in the lower back and hamstring muscles. Consistent positioning and measurement technique ensure reliable comparisons and tracking changes in flexibility.</w:t>
      </w:r>
    </w:p>
    <w:p w14:paraId="342B8BB7" w14:textId="525259C7" w:rsidR="00C53621" w:rsidRDefault="0820E580" w:rsidP="64296DDE">
      <w:pPr>
        <w:jc w:val="both"/>
        <w:rPr>
          <w:rFonts w:ascii="Arial" w:eastAsia="Arial" w:hAnsi="Arial" w:cs="Arial"/>
          <w:sz w:val="28"/>
          <w:szCs w:val="28"/>
        </w:rPr>
      </w:pPr>
      <w:r w:rsidRPr="64296DDE">
        <w:rPr>
          <w:rFonts w:ascii="Arial" w:eastAsia="Arial" w:hAnsi="Arial" w:cs="Arial"/>
          <w:sz w:val="28"/>
          <w:szCs w:val="28"/>
        </w:rPr>
        <w:t>Potential Errors: Inconsistent box height, improper technique, and inadequate warm-up can influence measurement accuracy. To minimize errors, use standardized equipment, provide clear instructions, and include a thorough warm-up.</w:t>
      </w:r>
    </w:p>
    <w:p w14:paraId="3BE35EEF" w14:textId="56F1338E" w:rsidR="00C53621" w:rsidRDefault="0820E580" w:rsidP="64296DDE">
      <w:pPr>
        <w:jc w:val="both"/>
        <w:rPr>
          <w:rFonts w:ascii="Arial" w:eastAsia="Arial" w:hAnsi="Arial" w:cs="Arial"/>
          <w:sz w:val="28"/>
          <w:szCs w:val="28"/>
        </w:rPr>
      </w:pPr>
      <w:r w:rsidRPr="64296DDE">
        <w:rPr>
          <w:rFonts w:ascii="Arial" w:eastAsia="Arial" w:hAnsi="Arial" w:cs="Arial"/>
          <w:sz w:val="28"/>
          <w:szCs w:val="28"/>
        </w:rPr>
        <w:t>Hip to Waist Ratio Measurement:</w:t>
      </w:r>
    </w:p>
    <w:p w14:paraId="12496EF2" w14:textId="3524451C" w:rsidR="00C53621" w:rsidRDefault="0820E580" w:rsidP="64296DDE">
      <w:pPr>
        <w:jc w:val="both"/>
        <w:rPr>
          <w:rFonts w:ascii="Arial" w:eastAsia="Arial" w:hAnsi="Arial" w:cs="Arial"/>
          <w:sz w:val="28"/>
          <w:szCs w:val="28"/>
        </w:rPr>
      </w:pPr>
      <w:r w:rsidRPr="64296DDE">
        <w:rPr>
          <w:rFonts w:ascii="Arial" w:eastAsia="Arial" w:hAnsi="Arial" w:cs="Arial"/>
          <w:sz w:val="28"/>
          <w:szCs w:val="28"/>
        </w:rPr>
        <w:t>Procedure: Use flexible measuring tape. Measure the circumference of the waist at the narrowest point and the circumference of the hips at the widest point. Divide the waist measurement by the hip measurement to calculate the hip to waist ratio.</w:t>
      </w:r>
    </w:p>
    <w:p w14:paraId="319FAF00" w14:textId="73B65DEC" w:rsidR="00C53621" w:rsidRDefault="0820E580" w:rsidP="64296DDE">
      <w:pPr>
        <w:jc w:val="both"/>
        <w:rPr>
          <w:rFonts w:ascii="Arial" w:eastAsia="Arial" w:hAnsi="Arial" w:cs="Arial"/>
          <w:sz w:val="28"/>
          <w:szCs w:val="28"/>
        </w:rPr>
      </w:pPr>
      <w:r w:rsidRPr="64296DDE">
        <w:rPr>
          <w:rFonts w:ascii="Arial" w:eastAsia="Arial" w:hAnsi="Arial" w:cs="Arial"/>
          <w:sz w:val="28"/>
          <w:szCs w:val="28"/>
        </w:rPr>
        <w:t>Importance: Standardized hip to waist ratio measurement assesses central adiposity and body fat distribution. Accurate measurement technique ensures reliable interpretation of health risk associated with abdominal obesity.</w:t>
      </w:r>
    </w:p>
    <w:p w14:paraId="4847E511" w14:textId="36334360" w:rsidR="00C53621" w:rsidRDefault="0820E580" w:rsidP="64296DDE">
      <w:pPr>
        <w:jc w:val="both"/>
        <w:rPr>
          <w:rFonts w:ascii="Arial" w:eastAsia="Arial" w:hAnsi="Arial" w:cs="Arial"/>
          <w:sz w:val="28"/>
          <w:szCs w:val="28"/>
        </w:rPr>
      </w:pPr>
      <w:r w:rsidRPr="64296DDE">
        <w:rPr>
          <w:rFonts w:ascii="Arial" w:eastAsia="Arial" w:hAnsi="Arial" w:cs="Arial"/>
          <w:sz w:val="28"/>
          <w:szCs w:val="28"/>
        </w:rPr>
        <w:t>Potential Errors: Inconsistent measurement technique, improper tape placement, and failure to exhale during measurement can lead to inaccurate results. To minimize errors, provide standardized instructions, use flexible tape, and ensure consistent measurement technique.</w:t>
      </w:r>
    </w:p>
    <w:p w14:paraId="086D47F4" w14:textId="4CFFE110" w:rsidR="00C53621" w:rsidRDefault="0820E580" w:rsidP="64296DDE">
      <w:pPr>
        <w:jc w:val="both"/>
        <w:rPr>
          <w:rFonts w:ascii="Arial" w:eastAsia="Arial" w:hAnsi="Arial" w:cs="Arial"/>
          <w:sz w:val="28"/>
          <w:szCs w:val="28"/>
        </w:rPr>
      </w:pPr>
      <w:r w:rsidRPr="64296DDE">
        <w:rPr>
          <w:rFonts w:ascii="Arial" w:eastAsia="Arial" w:hAnsi="Arial" w:cs="Arial"/>
          <w:sz w:val="28"/>
          <w:szCs w:val="28"/>
        </w:rPr>
        <w:t>Sit-Up Test (Muscular Endurance):</w:t>
      </w:r>
    </w:p>
    <w:p w14:paraId="44E53784" w14:textId="09FF32A5" w:rsidR="00C53621" w:rsidRDefault="0820E580" w:rsidP="64296DDE">
      <w:pPr>
        <w:jc w:val="both"/>
        <w:rPr>
          <w:rFonts w:ascii="Arial" w:eastAsia="Arial" w:hAnsi="Arial" w:cs="Arial"/>
          <w:sz w:val="28"/>
          <w:szCs w:val="28"/>
        </w:rPr>
      </w:pPr>
      <w:r w:rsidRPr="64296DDE">
        <w:rPr>
          <w:rFonts w:ascii="Arial" w:eastAsia="Arial" w:hAnsi="Arial" w:cs="Arial"/>
          <w:sz w:val="28"/>
          <w:szCs w:val="28"/>
        </w:rPr>
        <w:t>Procedure: Use a standardized sit-up mat or flat surface. Instruct the individual to lie on their back with knees bent and feet flat on the floor. Cross arms over the chest or place hands behind the head. Perform as many sit-ups as possible in 60 seconds, maintaining proper form.</w:t>
      </w:r>
    </w:p>
    <w:p w14:paraId="19FEF05E" w14:textId="004ED62C" w:rsidR="00C53621" w:rsidRDefault="0820E580" w:rsidP="64296DDE">
      <w:pPr>
        <w:jc w:val="both"/>
        <w:rPr>
          <w:rFonts w:ascii="Arial" w:eastAsia="Arial" w:hAnsi="Arial" w:cs="Arial"/>
          <w:sz w:val="28"/>
          <w:szCs w:val="28"/>
        </w:rPr>
      </w:pPr>
      <w:r w:rsidRPr="64296DDE">
        <w:rPr>
          <w:rFonts w:ascii="Arial" w:eastAsia="Arial" w:hAnsi="Arial" w:cs="Arial"/>
          <w:sz w:val="28"/>
          <w:szCs w:val="28"/>
        </w:rPr>
        <w:t>Importance: Standardized sit-up testing assesses muscular endurance of the abdominal muscles. Consistent technique and timing protocol ensure accurate evaluation of endurance capacity.</w:t>
      </w:r>
    </w:p>
    <w:p w14:paraId="62BA16D9" w14:textId="1E9A510C" w:rsidR="00C53621" w:rsidRDefault="0820E580" w:rsidP="64296DDE">
      <w:pPr>
        <w:jc w:val="both"/>
        <w:rPr>
          <w:rFonts w:ascii="Arial" w:eastAsia="Arial" w:hAnsi="Arial" w:cs="Arial"/>
          <w:sz w:val="28"/>
          <w:szCs w:val="28"/>
        </w:rPr>
      </w:pPr>
      <w:r w:rsidRPr="64296DDE">
        <w:rPr>
          <w:rFonts w:ascii="Arial" w:eastAsia="Arial" w:hAnsi="Arial" w:cs="Arial"/>
          <w:sz w:val="28"/>
          <w:szCs w:val="28"/>
        </w:rPr>
        <w:t>Potential Errors: Improper form, incomplete range of motion, and inconsistent timing can influence measurement reliability. To minimize errors, provide clear instructions, monitor form, and use a standardized timing protocol.</w:t>
      </w:r>
    </w:p>
    <w:p w14:paraId="40CB7E0E" w14:textId="3BE4603D" w:rsidR="00C53621" w:rsidRDefault="00C53621" w:rsidP="64296DDE">
      <w:pPr>
        <w:jc w:val="both"/>
        <w:rPr>
          <w:rFonts w:ascii="Arial" w:eastAsia="Arial" w:hAnsi="Arial" w:cs="Arial"/>
          <w:sz w:val="28"/>
          <w:szCs w:val="28"/>
        </w:rPr>
      </w:pPr>
    </w:p>
    <w:p w14:paraId="06DD1D92" w14:textId="5B103895" w:rsidR="00141141" w:rsidRDefault="00141141" w:rsidP="64296DDE">
      <w:pPr>
        <w:jc w:val="both"/>
        <w:rPr>
          <w:rFonts w:ascii="Arial" w:eastAsia="Arial" w:hAnsi="Arial" w:cs="Arial"/>
          <w:sz w:val="28"/>
          <w:szCs w:val="28"/>
        </w:rPr>
      </w:pPr>
    </w:p>
    <w:p w14:paraId="143253A0" w14:textId="329F9658" w:rsidR="00141141" w:rsidRDefault="00141141" w:rsidP="64296DDE">
      <w:pPr>
        <w:jc w:val="both"/>
        <w:rPr>
          <w:rFonts w:ascii="Arial" w:eastAsia="Arial" w:hAnsi="Arial" w:cs="Arial"/>
          <w:sz w:val="28"/>
          <w:szCs w:val="28"/>
        </w:rPr>
      </w:pPr>
    </w:p>
    <w:p w14:paraId="3531DA63" w14:textId="154FF875" w:rsidR="00141141" w:rsidRDefault="00141141" w:rsidP="64296DDE">
      <w:pPr>
        <w:jc w:val="both"/>
        <w:rPr>
          <w:rFonts w:ascii="Arial" w:eastAsia="Arial" w:hAnsi="Arial" w:cs="Arial"/>
          <w:sz w:val="28"/>
          <w:szCs w:val="28"/>
        </w:rPr>
      </w:pPr>
    </w:p>
    <w:p w14:paraId="5AD98639" w14:textId="345F1FA8" w:rsidR="00141141" w:rsidRDefault="00141141" w:rsidP="64296DDE">
      <w:pPr>
        <w:jc w:val="both"/>
        <w:rPr>
          <w:rFonts w:ascii="Arial" w:eastAsia="Arial" w:hAnsi="Arial" w:cs="Arial"/>
          <w:sz w:val="28"/>
          <w:szCs w:val="28"/>
        </w:rPr>
      </w:pPr>
    </w:p>
    <w:p w14:paraId="60883497" w14:textId="56876B34" w:rsidR="00141141" w:rsidRDefault="00141141" w:rsidP="64296DDE">
      <w:pPr>
        <w:jc w:val="both"/>
        <w:rPr>
          <w:rFonts w:ascii="Arial" w:eastAsia="Arial" w:hAnsi="Arial" w:cs="Arial"/>
          <w:sz w:val="28"/>
          <w:szCs w:val="28"/>
        </w:rPr>
      </w:pPr>
    </w:p>
    <w:p w14:paraId="325E4108" w14:textId="0B52785A" w:rsidR="00141141" w:rsidRDefault="00141141" w:rsidP="64296DDE">
      <w:pPr>
        <w:jc w:val="both"/>
        <w:rPr>
          <w:rFonts w:ascii="Arial" w:eastAsia="Arial" w:hAnsi="Arial" w:cs="Arial"/>
          <w:sz w:val="28"/>
          <w:szCs w:val="28"/>
        </w:rPr>
      </w:pPr>
    </w:p>
    <w:p w14:paraId="2C078E63" w14:textId="0C3E4C08" w:rsidR="00141141" w:rsidRDefault="66EBBBA1" w:rsidP="64296DDE">
      <w:pPr>
        <w:jc w:val="both"/>
        <w:rPr>
          <w:rFonts w:ascii="Arial" w:eastAsia="Arial" w:hAnsi="Arial" w:cs="Arial"/>
          <w:color w:val="000000" w:themeColor="text1"/>
          <w:sz w:val="28"/>
          <w:szCs w:val="28"/>
          <w:u w:val="single"/>
        </w:rPr>
      </w:pPr>
      <w:r w:rsidRPr="64296DDE">
        <w:rPr>
          <w:rFonts w:ascii="Arial" w:eastAsia="Arial" w:hAnsi="Arial" w:cs="Arial"/>
          <w:color w:val="000000" w:themeColor="text1"/>
          <w:sz w:val="28"/>
          <w:szCs w:val="28"/>
          <w:u w:val="single"/>
        </w:rPr>
        <w:t>Data Analysis and Interpretation</w:t>
      </w:r>
    </w:p>
    <w:tbl>
      <w:tblPr>
        <w:tblStyle w:val="TableGrid"/>
        <w:tblW w:w="0" w:type="auto"/>
        <w:tblLayout w:type="fixed"/>
        <w:tblLook w:val="06A0" w:firstRow="1" w:lastRow="0" w:firstColumn="1" w:lastColumn="0" w:noHBand="1" w:noVBand="1"/>
      </w:tblPr>
      <w:tblGrid>
        <w:gridCol w:w="3120"/>
        <w:gridCol w:w="3120"/>
        <w:gridCol w:w="3120"/>
      </w:tblGrid>
      <w:tr w:rsidR="64296DDE" w14:paraId="14BB9E55" w14:textId="77777777" w:rsidTr="64296DDE">
        <w:trPr>
          <w:trHeight w:val="300"/>
        </w:trPr>
        <w:tc>
          <w:tcPr>
            <w:tcW w:w="3120" w:type="dxa"/>
          </w:tcPr>
          <w:p w14:paraId="46F197E6" w14:textId="0A7E63BB" w:rsidR="66EBBBA1" w:rsidRDefault="66EBBBA1"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Test </w:t>
            </w:r>
          </w:p>
        </w:tc>
        <w:tc>
          <w:tcPr>
            <w:tcW w:w="3120" w:type="dxa"/>
          </w:tcPr>
          <w:p w14:paraId="544F935E" w14:textId="4C7F5E15" w:rsidR="66EBBBA1" w:rsidRDefault="66EBBBA1"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Results </w:t>
            </w:r>
          </w:p>
        </w:tc>
        <w:tc>
          <w:tcPr>
            <w:tcW w:w="3120" w:type="dxa"/>
          </w:tcPr>
          <w:p w14:paraId="6EECA7E8" w14:textId="7DA65A93" w:rsidR="399FFE1B" w:rsidRDefault="399FFE1B"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Normative data </w:t>
            </w:r>
          </w:p>
        </w:tc>
      </w:tr>
      <w:tr w:rsidR="64296DDE" w14:paraId="55AAB30C" w14:textId="77777777" w:rsidTr="64296DDE">
        <w:trPr>
          <w:trHeight w:val="300"/>
        </w:trPr>
        <w:tc>
          <w:tcPr>
            <w:tcW w:w="3120" w:type="dxa"/>
          </w:tcPr>
          <w:p w14:paraId="6F793999" w14:textId="2C7A9D7B" w:rsidR="66EBBBA1" w:rsidRDefault="66EBBBA1"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Blood pressure </w:t>
            </w:r>
          </w:p>
        </w:tc>
        <w:tc>
          <w:tcPr>
            <w:tcW w:w="3120" w:type="dxa"/>
          </w:tcPr>
          <w:p w14:paraId="30DCD5C5" w14:textId="7549DFD5" w:rsidR="66EBBBA1" w:rsidRDefault="66EBBBA1"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144/83 </w:t>
            </w:r>
          </w:p>
        </w:tc>
        <w:tc>
          <w:tcPr>
            <w:tcW w:w="3120" w:type="dxa"/>
          </w:tcPr>
          <w:p w14:paraId="2A62C51C" w14:textId="02924640" w:rsidR="19EB8C71" w:rsidRDefault="19EB8C71"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Stage 2 </w:t>
            </w:r>
            <w:r w:rsidR="6C6D5065" w:rsidRPr="64296DDE">
              <w:rPr>
                <w:rFonts w:ascii="Arial" w:eastAsia="Arial" w:hAnsi="Arial" w:cs="Arial"/>
                <w:color w:val="000000" w:themeColor="text1"/>
                <w:sz w:val="28"/>
                <w:szCs w:val="28"/>
              </w:rPr>
              <w:t>hypertension</w:t>
            </w:r>
            <w:r w:rsidRPr="64296DDE">
              <w:rPr>
                <w:rFonts w:ascii="Arial" w:eastAsia="Arial" w:hAnsi="Arial" w:cs="Arial"/>
                <w:color w:val="000000" w:themeColor="text1"/>
                <w:sz w:val="28"/>
                <w:szCs w:val="28"/>
              </w:rPr>
              <w:t xml:space="preserve"> </w:t>
            </w:r>
          </w:p>
        </w:tc>
      </w:tr>
      <w:tr w:rsidR="64296DDE" w14:paraId="66A928E8" w14:textId="77777777" w:rsidTr="64296DDE">
        <w:trPr>
          <w:trHeight w:val="300"/>
        </w:trPr>
        <w:tc>
          <w:tcPr>
            <w:tcW w:w="3120" w:type="dxa"/>
          </w:tcPr>
          <w:p w14:paraId="5EC91E92" w14:textId="0AF2C1B0" w:rsidR="66EBBBA1" w:rsidRDefault="66EBBBA1"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Muscular strength </w:t>
            </w:r>
          </w:p>
        </w:tc>
        <w:tc>
          <w:tcPr>
            <w:tcW w:w="3120" w:type="dxa"/>
          </w:tcPr>
          <w:p w14:paraId="0F83353D" w14:textId="38CBCE17" w:rsidR="24B008DA" w:rsidRDefault="24B008DA"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58.6. 80m  </w:t>
            </w:r>
          </w:p>
        </w:tc>
        <w:tc>
          <w:tcPr>
            <w:tcW w:w="3120" w:type="dxa"/>
          </w:tcPr>
          <w:p w14:paraId="658882FD" w14:textId="6B243689" w:rsidR="51DE7989" w:rsidRDefault="51DE7989"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80 </w:t>
            </w:r>
            <w:r w:rsidR="31429126" w:rsidRPr="64296DDE">
              <w:rPr>
                <w:rFonts w:ascii="Arial" w:eastAsia="Arial" w:hAnsi="Arial" w:cs="Arial"/>
                <w:color w:val="000000" w:themeColor="text1"/>
                <w:sz w:val="28"/>
                <w:szCs w:val="28"/>
              </w:rPr>
              <w:t>percentiles</w:t>
            </w:r>
            <w:r w:rsidRPr="64296DDE">
              <w:rPr>
                <w:rFonts w:ascii="Arial" w:eastAsia="Arial" w:hAnsi="Arial" w:cs="Arial"/>
                <w:color w:val="000000" w:themeColor="text1"/>
                <w:sz w:val="28"/>
                <w:szCs w:val="28"/>
              </w:rPr>
              <w:t xml:space="preserve"> </w:t>
            </w:r>
          </w:p>
        </w:tc>
      </w:tr>
      <w:tr w:rsidR="64296DDE" w14:paraId="16ABDFDC" w14:textId="77777777" w:rsidTr="64296DDE">
        <w:trPr>
          <w:trHeight w:val="300"/>
        </w:trPr>
        <w:tc>
          <w:tcPr>
            <w:tcW w:w="3120" w:type="dxa"/>
          </w:tcPr>
          <w:p w14:paraId="44FD5857" w14:textId="0C8453E1" w:rsidR="66EBBBA1" w:rsidRDefault="66EBBBA1"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Vo2 max </w:t>
            </w:r>
          </w:p>
        </w:tc>
        <w:tc>
          <w:tcPr>
            <w:tcW w:w="3120" w:type="dxa"/>
          </w:tcPr>
          <w:p w14:paraId="479D14C8" w14:textId="4ECEB8D9" w:rsidR="54336640" w:rsidRDefault="54336640"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34.41- poor </w:t>
            </w:r>
          </w:p>
        </w:tc>
        <w:tc>
          <w:tcPr>
            <w:tcW w:w="3120" w:type="dxa"/>
          </w:tcPr>
          <w:p w14:paraId="23F51B9F" w14:textId="45038925" w:rsidR="11598072" w:rsidRDefault="11598072"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Poor</w:t>
            </w:r>
          </w:p>
        </w:tc>
      </w:tr>
      <w:tr w:rsidR="64296DDE" w14:paraId="591F1FA6" w14:textId="77777777" w:rsidTr="64296DDE">
        <w:trPr>
          <w:trHeight w:val="300"/>
        </w:trPr>
        <w:tc>
          <w:tcPr>
            <w:tcW w:w="3120" w:type="dxa"/>
          </w:tcPr>
          <w:p w14:paraId="16957388" w14:textId="2E7B5D47" w:rsidR="4255F8E4" w:rsidRDefault="4255F8E4"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Flexibility</w:t>
            </w:r>
            <w:r w:rsidR="66EBBBA1" w:rsidRPr="64296DDE">
              <w:rPr>
                <w:rFonts w:ascii="Arial" w:eastAsia="Arial" w:hAnsi="Arial" w:cs="Arial"/>
                <w:color w:val="000000" w:themeColor="text1"/>
                <w:sz w:val="28"/>
                <w:szCs w:val="28"/>
              </w:rPr>
              <w:t xml:space="preserve"> </w:t>
            </w:r>
          </w:p>
        </w:tc>
        <w:tc>
          <w:tcPr>
            <w:tcW w:w="3120" w:type="dxa"/>
          </w:tcPr>
          <w:p w14:paraId="7F99FAC5" w14:textId="3283AB38" w:rsidR="06F8F82A" w:rsidRDefault="06F8F82A"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33</w:t>
            </w:r>
          </w:p>
        </w:tc>
        <w:tc>
          <w:tcPr>
            <w:tcW w:w="3120" w:type="dxa"/>
          </w:tcPr>
          <w:p w14:paraId="5751DCA6" w14:textId="6F5851D8" w:rsidR="64296DDE" w:rsidRDefault="00421817" w:rsidP="64296DDE">
            <w:pPr>
              <w:rPr>
                <w:rFonts w:ascii="Arial" w:eastAsia="Arial" w:hAnsi="Arial" w:cs="Arial"/>
                <w:color w:val="000000" w:themeColor="text1"/>
                <w:sz w:val="28"/>
                <w:szCs w:val="28"/>
              </w:rPr>
            </w:pPr>
            <w:r>
              <w:rPr>
                <w:rFonts w:ascii="Arial" w:eastAsia="Arial" w:hAnsi="Arial" w:cs="Arial"/>
                <w:color w:val="000000" w:themeColor="text1"/>
                <w:sz w:val="28"/>
                <w:szCs w:val="28"/>
              </w:rPr>
              <w:t xml:space="preserve">Average </w:t>
            </w:r>
          </w:p>
        </w:tc>
      </w:tr>
      <w:tr w:rsidR="64296DDE" w14:paraId="300EB7A7" w14:textId="77777777" w:rsidTr="64296DDE">
        <w:trPr>
          <w:trHeight w:val="300"/>
        </w:trPr>
        <w:tc>
          <w:tcPr>
            <w:tcW w:w="3120" w:type="dxa"/>
          </w:tcPr>
          <w:p w14:paraId="56212A7B" w14:textId="12410A3E" w:rsidR="66EBBBA1" w:rsidRDefault="66EBBBA1"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Hip to waist </w:t>
            </w:r>
          </w:p>
        </w:tc>
        <w:tc>
          <w:tcPr>
            <w:tcW w:w="3120" w:type="dxa"/>
          </w:tcPr>
          <w:p w14:paraId="35EE6D33" w14:textId="4B314D89" w:rsidR="3F82625D" w:rsidRDefault="3F82625D"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0.68</w:t>
            </w:r>
          </w:p>
        </w:tc>
        <w:tc>
          <w:tcPr>
            <w:tcW w:w="3120" w:type="dxa"/>
          </w:tcPr>
          <w:p w14:paraId="6064B77B" w14:textId="63EEA74F" w:rsidR="2B4E87E0" w:rsidRDefault="2B4E87E0"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Healthy </w:t>
            </w:r>
          </w:p>
        </w:tc>
      </w:tr>
      <w:tr w:rsidR="64296DDE" w14:paraId="232330BC" w14:textId="77777777" w:rsidTr="64296DDE">
        <w:trPr>
          <w:trHeight w:val="300"/>
        </w:trPr>
        <w:tc>
          <w:tcPr>
            <w:tcW w:w="3120" w:type="dxa"/>
          </w:tcPr>
          <w:p w14:paraId="759EA232" w14:textId="2D9CDA5A" w:rsidR="3F82625D" w:rsidRDefault="3F82625D" w:rsidP="64296DDE">
            <w:pPr>
              <w:rPr>
                <w:rFonts w:ascii="Arial" w:eastAsia="Arial" w:hAnsi="Arial" w:cs="Arial"/>
                <w:color w:val="000000" w:themeColor="text1"/>
                <w:sz w:val="28"/>
                <w:szCs w:val="28"/>
              </w:rPr>
            </w:pPr>
            <w:proofErr w:type="spellStart"/>
            <w:r w:rsidRPr="64296DDE">
              <w:rPr>
                <w:rFonts w:ascii="Arial" w:eastAsia="Arial" w:hAnsi="Arial" w:cs="Arial"/>
                <w:color w:val="000000" w:themeColor="text1"/>
                <w:sz w:val="28"/>
                <w:szCs w:val="28"/>
              </w:rPr>
              <w:t>Bmi</w:t>
            </w:r>
            <w:proofErr w:type="spellEnd"/>
            <w:r w:rsidRPr="64296DDE">
              <w:rPr>
                <w:rFonts w:ascii="Arial" w:eastAsia="Arial" w:hAnsi="Arial" w:cs="Arial"/>
                <w:color w:val="000000" w:themeColor="text1"/>
                <w:sz w:val="28"/>
                <w:szCs w:val="28"/>
              </w:rPr>
              <w:t xml:space="preserve"> </w:t>
            </w:r>
          </w:p>
        </w:tc>
        <w:tc>
          <w:tcPr>
            <w:tcW w:w="3120" w:type="dxa"/>
          </w:tcPr>
          <w:p w14:paraId="7ACDD4AF" w14:textId="460C9767" w:rsidR="3F82625D" w:rsidRDefault="3F82625D"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20.70 </w:t>
            </w:r>
          </w:p>
        </w:tc>
        <w:tc>
          <w:tcPr>
            <w:tcW w:w="3120" w:type="dxa"/>
          </w:tcPr>
          <w:p w14:paraId="4DC43BB3" w14:textId="249CC937" w:rsidR="2942A6AF" w:rsidRDefault="2942A6AF" w:rsidP="64296DDE">
            <w:pPr>
              <w:rPr>
                <w:rFonts w:ascii="Arial" w:eastAsia="Arial" w:hAnsi="Arial" w:cs="Arial"/>
                <w:color w:val="000000" w:themeColor="text1"/>
                <w:sz w:val="28"/>
                <w:szCs w:val="28"/>
              </w:rPr>
            </w:pPr>
            <w:r w:rsidRPr="64296DDE">
              <w:rPr>
                <w:rFonts w:ascii="Arial" w:eastAsia="Arial" w:hAnsi="Arial" w:cs="Arial"/>
                <w:color w:val="000000" w:themeColor="text1"/>
                <w:sz w:val="28"/>
                <w:szCs w:val="28"/>
              </w:rPr>
              <w:t xml:space="preserve">Normal weight range </w:t>
            </w:r>
          </w:p>
        </w:tc>
      </w:tr>
    </w:tbl>
    <w:p w14:paraId="7A6718A7" w14:textId="563FFBB8" w:rsidR="64296DDE" w:rsidRDefault="64296DDE" w:rsidP="64296DDE">
      <w:pPr>
        <w:jc w:val="both"/>
        <w:rPr>
          <w:rFonts w:ascii="Arial" w:eastAsia="Arial" w:hAnsi="Arial" w:cs="Arial"/>
          <w:color w:val="000000" w:themeColor="text1"/>
          <w:sz w:val="28"/>
          <w:szCs w:val="28"/>
        </w:rPr>
      </w:pPr>
    </w:p>
    <w:p w14:paraId="1D2A1540" w14:textId="5B1F223B" w:rsidR="64296DDE" w:rsidRDefault="64296DDE" w:rsidP="64296DDE">
      <w:pPr>
        <w:jc w:val="both"/>
        <w:rPr>
          <w:rFonts w:ascii="Arial" w:eastAsia="Arial" w:hAnsi="Arial" w:cs="Arial"/>
          <w:color w:val="000000" w:themeColor="text1"/>
          <w:sz w:val="28"/>
          <w:szCs w:val="28"/>
        </w:rPr>
      </w:pPr>
    </w:p>
    <w:p w14:paraId="700DE747" w14:textId="46D5BA90" w:rsidR="144D5986" w:rsidRDefault="144D5986" w:rsidP="64296DDE">
      <w:pPr>
        <w:pStyle w:val="ListParagraph"/>
        <w:numPr>
          <w:ilvl w:val="0"/>
          <w:numId w:val="1"/>
        </w:num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Blood Pressure (144/83): The blood pressure reading of 144/83 falls within the hypertensive range. According to the American Heart Association (AHA), blood pressure readings above 130/80 mm Hg indicate hypertension. This result suggests a weakness in cardiovascular health, potentially increasing the risk of heart disease and stroke. It is imperative to address this through lifestyle modifications such as exercise and dietary changes to lower blood pressure and improve overall cardiovascular health (American Heart Association, n.d.).</w:t>
      </w:r>
    </w:p>
    <w:p w14:paraId="6759E0E8" w14:textId="2073BD4A" w:rsidR="64296DDE" w:rsidRDefault="64296DDE" w:rsidP="64296DDE">
      <w:pPr>
        <w:spacing w:before="240" w:after="240"/>
        <w:jc w:val="both"/>
        <w:rPr>
          <w:rFonts w:ascii="Arial" w:eastAsia="Arial" w:hAnsi="Arial" w:cs="Arial"/>
          <w:color w:val="0D0D0D" w:themeColor="text1" w:themeTint="F2"/>
          <w:sz w:val="28"/>
          <w:szCs w:val="28"/>
        </w:rPr>
      </w:pPr>
    </w:p>
    <w:p w14:paraId="09AAE4FB" w14:textId="58A14AEA" w:rsidR="144D5986" w:rsidRDefault="144D5986" w:rsidP="64296DDE">
      <w:pPr>
        <w:pStyle w:val="ListParagraph"/>
        <w:numPr>
          <w:ilvl w:val="0"/>
          <w:numId w:val="1"/>
        </w:num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Muscular Strength (58.6% percentile): Scoring at the 80th percentile for muscular strength indicates a strength compared to the general population. However, without specific context such as age and gender, it's challenging to determine the significance of this result. Nonetheless, high muscular strength is generally associated with better functional abilities, reduced risk of injury, and improved overall health (</w:t>
      </w:r>
      <w:proofErr w:type="spellStart"/>
      <w:r w:rsidRPr="64296DDE">
        <w:rPr>
          <w:rFonts w:ascii="Arial" w:eastAsia="Arial" w:hAnsi="Arial" w:cs="Arial"/>
          <w:color w:val="0D0D0D" w:themeColor="text1" w:themeTint="F2"/>
          <w:sz w:val="28"/>
          <w:szCs w:val="28"/>
        </w:rPr>
        <w:t>Westcott</w:t>
      </w:r>
      <w:proofErr w:type="spellEnd"/>
      <w:r w:rsidRPr="64296DDE">
        <w:rPr>
          <w:rFonts w:ascii="Arial" w:eastAsia="Arial" w:hAnsi="Arial" w:cs="Arial"/>
          <w:color w:val="0D0D0D" w:themeColor="text1" w:themeTint="F2"/>
          <w:sz w:val="28"/>
          <w:szCs w:val="28"/>
        </w:rPr>
        <w:t>, 2012).</w:t>
      </w:r>
    </w:p>
    <w:p w14:paraId="6D350632" w14:textId="4FAEE4F3" w:rsidR="64296DDE" w:rsidRDefault="64296DDE" w:rsidP="64296DDE">
      <w:pPr>
        <w:spacing w:before="240" w:after="240"/>
        <w:jc w:val="both"/>
        <w:rPr>
          <w:rFonts w:ascii="Arial" w:eastAsia="Arial" w:hAnsi="Arial" w:cs="Arial"/>
          <w:color w:val="0D0D0D" w:themeColor="text1" w:themeTint="F2"/>
          <w:sz w:val="28"/>
          <w:szCs w:val="28"/>
        </w:rPr>
      </w:pPr>
    </w:p>
    <w:p w14:paraId="77835A1F" w14:textId="6F364E91" w:rsidR="144D5986" w:rsidRDefault="144D5986" w:rsidP="64296DDE">
      <w:pPr>
        <w:pStyle w:val="ListParagraph"/>
        <w:numPr>
          <w:ilvl w:val="0"/>
          <w:numId w:val="1"/>
        </w:num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VO2 Max (34.41 ml/kg/min - Poor): VO2 max reflects cardiovascular fitness, and a value of 34.41 ml/kg/min falls below average for most age groups. This indicates poor aerobic fitness, which can be detrimental to overall health and fitness. Low VO2 max is associated with increased risk of cardiovascular diseases and reduced endurance capacity (</w:t>
      </w:r>
      <w:proofErr w:type="spellStart"/>
      <w:r w:rsidRPr="64296DDE">
        <w:rPr>
          <w:rFonts w:ascii="Arial" w:eastAsia="Arial" w:hAnsi="Arial" w:cs="Arial"/>
          <w:color w:val="0D0D0D" w:themeColor="text1" w:themeTint="F2"/>
          <w:sz w:val="28"/>
          <w:szCs w:val="28"/>
        </w:rPr>
        <w:t>Katch</w:t>
      </w:r>
      <w:proofErr w:type="spellEnd"/>
      <w:r w:rsidRPr="64296DDE">
        <w:rPr>
          <w:rFonts w:ascii="Arial" w:eastAsia="Arial" w:hAnsi="Arial" w:cs="Arial"/>
          <w:color w:val="0D0D0D" w:themeColor="text1" w:themeTint="F2"/>
          <w:sz w:val="28"/>
          <w:szCs w:val="28"/>
        </w:rPr>
        <w:t xml:space="preserve"> et al., 2011).</w:t>
      </w:r>
    </w:p>
    <w:p w14:paraId="2026BBD9" w14:textId="2D470866" w:rsidR="64296DDE" w:rsidRDefault="64296DDE" w:rsidP="64296DDE">
      <w:pPr>
        <w:spacing w:before="240" w:after="240"/>
        <w:jc w:val="both"/>
        <w:rPr>
          <w:rFonts w:ascii="Arial" w:eastAsia="Arial" w:hAnsi="Arial" w:cs="Arial"/>
          <w:color w:val="0D0D0D" w:themeColor="text1" w:themeTint="F2"/>
          <w:sz w:val="28"/>
          <w:szCs w:val="28"/>
        </w:rPr>
      </w:pPr>
    </w:p>
    <w:p w14:paraId="23F9D456" w14:textId="04A6B298" w:rsidR="144D5986" w:rsidRDefault="144D5986" w:rsidP="64296DDE">
      <w:pPr>
        <w:pStyle w:val="ListParagraph"/>
        <w:numPr>
          <w:ilvl w:val="0"/>
          <w:numId w:val="1"/>
        </w:num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Flexibility (33): Flexibility is essential for maintaining joint health and preventing injuries. A flexibility score of 33 suggests limited range of motion, which may impair functional movements and increase susceptibility to musculoskeletal injuries. Improving flexibility through stretching exercises and mobility work is crucial for overall physical well-being (American Council on Exercise, n.d.).</w:t>
      </w:r>
    </w:p>
    <w:p w14:paraId="28870CD2" w14:textId="14C620EA" w:rsidR="64296DDE" w:rsidRDefault="64296DDE" w:rsidP="64296DDE">
      <w:pPr>
        <w:spacing w:before="240" w:after="240"/>
        <w:jc w:val="both"/>
        <w:rPr>
          <w:rFonts w:ascii="Arial" w:eastAsia="Arial" w:hAnsi="Arial" w:cs="Arial"/>
          <w:color w:val="0D0D0D" w:themeColor="text1" w:themeTint="F2"/>
          <w:sz w:val="28"/>
          <w:szCs w:val="28"/>
        </w:rPr>
      </w:pPr>
    </w:p>
    <w:p w14:paraId="1AA6AB0B" w14:textId="620FD340" w:rsidR="144D5986" w:rsidRDefault="144D5986" w:rsidP="64296DDE">
      <w:pPr>
        <w:pStyle w:val="ListParagraph"/>
        <w:numPr>
          <w:ilvl w:val="0"/>
          <w:numId w:val="1"/>
        </w:num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Hip to Waist Ratio (0.68): The hip to waist ratio is a measure of body fat distribution and indicates the risk of developing cardiovascular diseases. A ratio of 0.68 falls within the healthy range for men and suggests a lower risk of obesity-related health issues. However, maintaining or improving this ratio through healthy lifestyle choices is still important for long-term health (National Heart, Lung, and Blood Institute, n.d.).</w:t>
      </w:r>
    </w:p>
    <w:p w14:paraId="175AC7A3" w14:textId="1918C497" w:rsidR="64296DDE" w:rsidRDefault="64296DDE" w:rsidP="64296DDE">
      <w:pPr>
        <w:spacing w:before="240" w:after="240"/>
        <w:jc w:val="both"/>
        <w:rPr>
          <w:rFonts w:ascii="Arial" w:eastAsia="Arial" w:hAnsi="Arial" w:cs="Arial"/>
          <w:color w:val="0D0D0D" w:themeColor="text1" w:themeTint="F2"/>
          <w:sz w:val="28"/>
          <w:szCs w:val="28"/>
        </w:rPr>
      </w:pPr>
    </w:p>
    <w:p w14:paraId="68F665A4" w14:textId="5CB38478" w:rsidR="144D5986" w:rsidRDefault="144D5986" w:rsidP="64296DDE">
      <w:pPr>
        <w:pStyle w:val="ListParagraph"/>
        <w:numPr>
          <w:ilvl w:val="0"/>
          <w:numId w:val="1"/>
        </w:num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BMI (20.70): BMI is a widely used indicator of body fatness. A BMI of 20.70 falls within the normal weight range. While BMI is a useful screening tool, it does not directly measure body fat percentage or distribution. Therefore, it's essential to consider other measures like waist circumference and body composition for a comprehensive assessment of health status (National Heart, Lung, and Blood Institute, n.d.).</w:t>
      </w:r>
    </w:p>
    <w:p w14:paraId="737FBB72" w14:textId="27332968" w:rsidR="64296DDE" w:rsidRDefault="64296DDE" w:rsidP="64296DDE">
      <w:pPr>
        <w:spacing w:before="240" w:after="240"/>
        <w:jc w:val="both"/>
        <w:rPr>
          <w:rFonts w:ascii="Arial" w:eastAsia="Arial" w:hAnsi="Arial" w:cs="Arial"/>
          <w:color w:val="000000" w:themeColor="text1"/>
          <w:sz w:val="28"/>
          <w:szCs w:val="28"/>
        </w:rPr>
      </w:pPr>
    </w:p>
    <w:p w14:paraId="48EE7279" w14:textId="3F0C43C1" w:rsidR="34328374" w:rsidRDefault="34328374" w:rsidP="64296DDE">
      <w:pPr>
        <w:spacing w:before="240" w:after="240"/>
        <w:jc w:val="both"/>
        <w:rPr>
          <w:rFonts w:ascii="Arial" w:eastAsia="Arial" w:hAnsi="Arial" w:cs="Arial"/>
          <w:color w:val="000000" w:themeColor="text1"/>
          <w:sz w:val="28"/>
          <w:szCs w:val="28"/>
          <w:u w:val="single"/>
        </w:rPr>
      </w:pPr>
      <w:r w:rsidRPr="64296DDE">
        <w:rPr>
          <w:rFonts w:ascii="Arial" w:eastAsia="Arial" w:hAnsi="Arial" w:cs="Arial"/>
          <w:color w:val="000000" w:themeColor="text1"/>
          <w:sz w:val="28"/>
          <w:szCs w:val="28"/>
          <w:u w:val="single"/>
        </w:rPr>
        <w:t>Recommendations</w:t>
      </w:r>
    </w:p>
    <w:p w14:paraId="3A21C600" w14:textId="695BDD92" w:rsidR="34328374" w:rsidRDefault="34328374" w:rsidP="64296DDE">
      <w:p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Cardiovascular Health and Blood Pressure:</w:t>
      </w:r>
    </w:p>
    <w:p w14:paraId="7AE3A00D" w14:textId="0C7CD05D"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Engage in regular aerobic exercises such as brisk walking, jogging, cycling, or swimming for at least 150 minutes per week, as recommended by the American Heart Association (AHA) (American Heart Association, n.d.).</w:t>
      </w:r>
    </w:p>
    <w:p w14:paraId="3EEAAF7D" w14:textId="34E20B6B"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Incorporate high-intensity interval training (HIIT) sessions to improve cardiovascular fitness and lower blood pressure (</w:t>
      </w:r>
      <w:proofErr w:type="spellStart"/>
      <w:r w:rsidRPr="64296DDE">
        <w:rPr>
          <w:rFonts w:ascii="Arial" w:eastAsia="Arial" w:hAnsi="Arial" w:cs="Arial"/>
          <w:color w:val="0D0D0D" w:themeColor="text1" w:themeTint="F2"/>
          <w:sz w:val="28"/>
          <w:szCs w:val="28"/>
        </w:rPr>
        <w:t>Cornelissen</w:t>
      </w:r>
      <w:proofErr w:type="spellEnd"/>
      <w:r w:rsidRPr="64296DDE">
        <w:rPr>
          <w:rFonts w:ascii="Arial" w:eastAsia="Arial" w:hAnsi="Arial" w:cs="Arial"/>
          <w:color w:val="0D0D0D" w:themeColor="text1" w:themeTint="F2"/>
          <w:sz w:val="28"/>
          <w:szCs w:val="28"/>
        </w:rPr>
        <w:t xml:space="preserve"> &amp; Smart, 2013).</w:t>
      </w:r>
    </w:p>
    <w:p w14:paraId="4689CA82" w14:textId="3310B6E9"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Adopt a heart-healthy diet rich in fruits, vegetables, whole grains, lean proteins, and healthy fats while limiting sodium intake to help manage blood pressure (Appel et al., 2011).</w:t>
      </w:r>
    </w:p>
    <w:p w14:paraId="38BE2E55" w14:textId="50D3AE8C" w:rsidR="64296DDE" w:rsidRDefault="64296DDE" w:rsidP="64296DDE">
      <w:pPr>
        <w:spacing w:after="0"/>
        <w:jc w:val="both"/>
        <w:rPr>
          <w:rFonts w:ascii="Arial" w:eastAsia="Arial" w:hAnsi="Arial" w:cs="Arial"/>
          <w:color w:val="0D0D0D" w:themeColor="text1" w:themeTint="F2"/>
          <w:sz w:val="28"/>
          <w:szCs w:val="28"/>
        </w:rPr>
      </w:pPr>
    </w:p>
    <w:p w14:paraId="0DF89C80" w14:textId="35D4C34B" w:rsidR="34328374" w:rsidRDefault="34328374" w:rsidP="64296DDE">
      <w:pPr>
        <w:pStyle w:val="ListParagraph"/>
        <w:numPr>
          <w:ilvl w:val="0"/>
          <w:numId w:val="1"/>
        </w:num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Muscular Strength:</w:t>
      </w:r>
    </w:p>
    <w:p w14:paraId="160D91C1" w14:textId="38F17909"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Continue strength training exercises focusing on major muscle groups, such as squats, deadlifts, bench presses, and rows, to maintain and further improve muscular strength (</w:t>
      </w:r>
      <w:proofErr w:type="spellStart"/>
      <w:r w:rsidRPr="64296DDE">
        <w:rPr>
          <w:rFonts w:ascii="Arial" w:eastAsia="Arial" w:hAnsi="Arial" w:cs="Arial"/>
          <w:color w:val="0D0D0D" w:themeColor="text1" w:themeTint="F2"/>
          <w:sz w:val="28"/>
          <w:szCs w:val="28"/>
        </w:rPr>
        <w:t>Westcott</w:t>
      </w:r>
      <w:proofErr w:type="spellEnd"/>
      <w:r w:rsidRPr="64296DDE">
        <w:rPr>
          <w:rFonts w:ascii="Arial" w:eastAsia="Arial" w:hAnsi="Arial" w:cs="Arial"/>
          <w:color w:val="0D0D0D" w:themeColor="text1" w:themeTint="F2"/>
          <w:sz w:val="28"/>
          <w:szCs w:val="28"/>
        </w:rPr>
        <w:t>, 2012).</w:t>
      </w:r>
    </w:p>
    <w:p w14:paraId="2A4564C7" w14:textId="1769A28D"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Gradually increase resistance or intensity in strength training routines to continue challenging muscles and promoting strength gains (</w:t>
      </w:r>
      <w:proofErr w:type="spellStart"/>
      <w:r w:rsidRPr="64296DDE">
        <w:rPr>
          <w:rFonts w:ascii="Arial" w:eastAsia="Arial" w:hAnsi="Arial" w:cs="Arial"/>
          <w:color w:val="0D0D0D" w:themeColor="text1" w:themeTint="F2"/>
          <w:sz w:val="28"/>
          <w:szCs w:val="28"/>
        </w:rPr>
        <w:t>Westcott</w:t>
      </w:r>
      <w:proofErr w:type="spellEnd"/>
      <w:r w:rsidRPr="64296DDE">
        <w:rPr>
          <w:rFonts w:ascii="Arial" w:eastAsia="Arial" w:hAnsi="Arial" w:cs="Arial"/>
          <w:color w:val="0D0D0D" w:themeColor="text1" w:themeTint="F2"/>
          <w:sz w:val="28"/>
          <w:szCs w:val="28"/>
        </w:rPr>
        <w:t>, 2012).</w:t>
      </w:r>
    </w:p>
    <w:p w14:paraId="4C71A89E" w14:textId="2F16800E" w:rsidR="64296DDE" w:rsidRDefault="64296DDE" w:rsidP="64296DDE">
      <w:pPr>
        <w:spacing w:after="0"/>
        <w:jc w:val="both"/>
        <w:rPr>
          <w:rFonts w:ascii="Arial" w:eastAsia="Arial" w:hAnsi="Arial" w:cs="Arial"/>
          <w:color w:val="0D0D0D" w:themeColor="text1" w:themeTint="F2"/>
          <w:sz w:val="28"/>
          <w:szCs w:val="28"/>
        </w:rPr>
      </w:pPr>
    </w:p>
    <w:p w14:paraId="79211778" w14:textId="1E8C54A7" w:rsidR="34328374" w:rsidRDefault="34328374" w:rsidP="64296DDE">
      <w:pPr>
        <w:pStyle w:val="ListParagraph"/>
        <w:numPr>
          <w:ilvl w:val="0"/>
          <w:numId w:val="1"/>
        </w:num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VO2 Max and Aerobic Fitness:</w:t>
      </w:r>
    </w:p>
    <w:p w14:paraId="024C7A47" w14:textId="78454226"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Incorporate aerobic exercises that elevate heart rate and challenge the cardiovascular system, such as running, cycling, rowing, or using elliptical machines, aiming for moderate-to-vigorous intensity workouts (</w:t>
      </w:r>
      <w:proofErr w:type="spellStart"/>
      <w:r w:rsidRPr="64296DDE">
        <w:rPr>
          <w:rFonts w:ascii="Arial" w:eastAsia="Arial" w:hAnsi="Arial" w:cs="Arial"/>
          <w:color w:val="0D0D0D" w:themeColor="text1" w:themeTint="F2"/>
          <w:sz w:val="28"/>
          <w:szCs w:val="28"/>
        </w:rPr>
        <w:t>Katch</w:t>
      </w:r>
      <w:proofErr w:type="spellEnd"/>
      <w:r w:rsidRPr="64296DDE">
        <w:rPr>
          <w:rFonts w:ascii="Arial" w:eastAsia="Arial" w:hAnsi="Arial" w:cs="Arial"/>
          <w:color w:val="0D0D0D" w:themeColor="text1" w:themeTint="F2"/>
          <w:sz w:val="28"/>
          <w:szCs w:val="28"/>
        </w:rPr>
        <w:t xml:space="preserve"> et al., 2011).</w:t>
      </w:r>
    </w:p>
    <w:p w14:paraId="071C7A8E" w14:textId="5797A5E7"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Include interval training sessions to improve VO2 max and enhance aerobic capacity (</w:t>
      </w:r>
      <w:proofErr w:type="spellStart"/>
      <w:r w:rsidRPr="64296DDE">
        <w:rPr>
          <w:rFonts w:ascii="Arial" w:eastAsia="Arial" w:hAnsi="Arial" w:cs="Arial"/>
          <w:color w:val="0D0D0D" w:themeColor="text1" w:themeTint="F2"/>
          <w:sz w:val="28"/>
          <w:szCs w:val="28"/>
        </w:rPr>
        <w:t>Helgerud</w:t>
      </w:r>
      <w:proofErr w:type="spellEnd"/>
      <w:r w:rsidRPr="64296DDE">
        <w:rPr>
          <w:rFonts w:ascii="Arial" w:eastAsia="Arial" w:hAnsi="Arial" w:cs="Arial"/>
          <w:color w:val="0D0D0D" w:themeColor="text1" w:themeTint="F2"/>
          <w:sz w:val="28"/>
          <w:szCs w:val="28"/>
        </w:rPr>
        <w:t xml:space="preserve"> et al., 2007).</w:t>
      </w:r>
    </w:p>
    <w:p w14:paraId="7A08705E" w14:textId="2287B35A"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Consistently engage in aerobic activities for a minimum of 30 minutes per session, aiming for at least five days per week (American College of Sports Medicine, 2018).</w:t>
      </w:r>
    </w:p>
    <w:p w14:paraId="66EF0CC8" w14:textId="02FCD94C" w:rsidR="64296DDE" w:rsidRDefault="64296DDE" w:rsidP="64296DDE">
      <w:pPr>
        <w:spacing w:after="0"/>
        <w:jc w:val="both"/>
        <w:rPr>
          <w:rFonts w:ascii="Arial" w:eastAsia="Arial" w:hAnsi="Arial" w:cs="Arial"/>
          <w:color w:val="0D0D0D" w:themeColor="text1" w:themeTint="F2"/>
          <w:sz w:val="28"/>
          <w:szCs w:val="28"/>
        </w:rPr>
      </w:pPr>
    </w:p>
    <w:p w14:paraId="0F61A8E0" w14:textId="35CDA62F" w:rsidR="64296DDE" w:rsidRDefault="64296DDE" w:rsidP="64296DDE">
      <w:pPr>
        <w:spacing w:before="240" w:after="240"/>
        <w:jc w:val="both"/>
        <w:rPr>
          <w:rFonts w:ascii="Arial" w:eastAsia="Arial" w:hAnsi="Arial" w:cs="Arial"/>
          <w:color w:val="0D0D0D" w:themeColor="text1" w:themeTint="F2"/>
          <w:sz w:val="28"/>
          <w:szCs w:val="28"/>
        </w:rPr>
      </w:pPr>
    </w:p>
    <w:p w14:paraId="3157CAF9" w14:textId="467281B6" w:rsidR="34328374" w:rsidRDefault="34328374" w:rsidP="64296DDE">
      <w:pPr>
        <w:pStyle w:val="ListParagraph"/>
        <w:numPr>
          <w:ilvl w:val="0"/>
          <w:numId w:val="1"/>
        </w:num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Flexibility:</w:t>
      </w:r>
    </w:p>
    <w:p w14:paraId="744AE87E" w14:textId="70158338"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Implement a regular stretching routine focusing on major muscle groups to improve flexibility and range of motion (American Council on Exercise, n.d.).</w:t>
      </w:r>
    </w:p>
    <w:p w14:paraId="1BD72A95" w14:textId="2B4D719B"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 xml:space="preserve">Incorporate activities such as yoga or Pilates, which emphasize flexibility, mobility, and body awareness (Bryan &amp; </w:t>
      </w:r>
      <w:proofErr w:type="spellStart"/>
      <w:r w:rsidRPr="64296DDE">
        <w:rPr>
          <w:rFonts w:ascii="Arial" w:eastAsia="Arial" w:hAnsi="Arial" w:cs="Arial"/>
          <w:color w:val="0D0D0D" w:themeColor="text1" w:themeTint="F2"/>
          <w:sz w:val="28"/>
          <w:szCs w:val="28"/>
        </w:rPr>
        <w:t>Hawson</w:t>
      </w:r>
      <w:proofErr w:type="spellEnd"/>
      <w:r w:rsidRPr="64296DDE">
        <w:rPr>
          <w:rFonts w:ascii="Arial" w:eastAsia="Arial" w:hAnsi="Arial" w:cs="Arial"/>
          <w:color w:val="0D0D0D" w:themeColor="text1" w:themeTint="F2"/>
          <w:sz w:val="28"/>
          <w:szCs w:val="28"/>
        </w:rPr>
        <w:t>, 2007).</w:t>
      </w:r>
    </w:p>
    <w:p w14:paraId="681A9A23" w14:textId="1E251474" w:rsidR="64296DDE" w:rsidRDefault="64296DDE" w:rsidP="64296DDE">
      <w:pPr>
        <w:spacing w:after="0"/>
        <w:jc w:val="both"/>
        <w:rPr>
          <w:rFonts w:ascii="Arial" w:eastAsia="Arial" w:hAnsi="Arial" w:cs="Arial"/>
          <w:color w:val="0D0D0D" w:themeColor="text1" w:themeTint="F2"/>
          <w:sz w:val="28"/>
          <w:szCs w:val="28"/>
        </w:rPr>
      </w:pPr>
    </w:p>
    <w:p w14:paraId="7AB9CC06" w14:textId="1C986F22" w:rsidR="34328374" w:rsidRDefault="34328374" w:rsidP="64296DDE">
      <w:pPr>
        <w:pStyle w:val="ListParagraph"/>
        <w:numPr>
          <w:ilvl w:val="0"/>
          <w:numId w:val="1"/>
        </w:numPr>
        <w:spacing w:before="240" w:after="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Overall Lifestyle Recommendations:</w:t>
      </w:r>
    </w:p>
    <w:p w14:paraId="08C8A6B4" w14:textId="6313D41A"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Prioritize adequate sleep of 7-9 hours per night to support recovery, hormone regulation, and overall health (</w:t>
      </w:r>
      <w:proofErr w:type="spellStart"/>
      <w:r w:rsidRPr="64296DDE">
        <w:rPr>
          <w:rFonts w:ascii="Arial" w:eastAsia="Arial" w:hAnsi="Arial" w:cs="Arial"/>
          <w:color w:val="0D0D0D" w:themeColor="text1" w:themeTint="F2"/>
          <w:sz w:val="28"/>
          <w:szCs w:val="28"/>
        </w:rPr>
        <w:t>Hirshkowitz</w:t>
      </w:r>
      <w:proofErr w:type="spellEnd"/>
      <w:r w:rsidRPr="64296DDE">
        <w:rPr>
          <w:rFonts w:ascii="Arial" w:eastAsia="Arial" w:hAnsi="Arial" w:cs="Arial"/>
          <w:color w:val="0D0D0D" w:themeColor="text1" w:themeTint="F2"/>
          <w:sz w:val="28"/>
          <w:szCs w:val="28"/>
        </w:rPr>
        <w:t xml:space="preserve"> et al., 2015).</w:t>
      </w:r>
    </w:p>
    <w:p w14:paraId="62730559" w14:textId="4C7135DD"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Manage stress through relaxation techniques such as deep breathing, meditation, or mindfulness practices to promote overall well-being (</w:t>
      </w:r>
      <w:proofErr w:type="spellStart"/>
      <w:r w:rsidRPr="64296DDE">
        <w:rPr>
          <w:rFonts w:ascii="Arial" w:eastAsia="Arial" w:hAnsi="Arial" w:cs="Arial"/>
          <w:color w:val="0D0D0D" w:themeColor="text1" w:themeTint="F2"/>
          <w:sz w:val="28"/>
          <w:szCs w:val="28"/>
        </w:rPr>
        <w:t>Dusek</w:t>
      </w:r>
      <w:proofErr w:type="spellEnd"/>
      <w:r w:rsidRPr="64296DDE">
        <w:rPr>
          <w:rFonts w:ascii="Arial" w:eastAsia="Arial" w:hAnsi="Arial" w:cs="Arial"/>
          <w:color w:val="0D0D0D" w:themeColor="text1" w:themeTint="F2"/>
          <w:sz w:val="28"/>
          <w:szCs w:val="28"/>
        </w:rPr>
        <w:t xml:space="preserve"> et al., 2008).</w:t>
      </w:r>
    </w:p>
    <w:p w14:paraId="0B9BC102" w14:textId="033E63B4" w:rsidR="34328374" w:rsidRDefault="34328374" w:rsidP="64296DDE">
      <w:pPr>
        <w:pStyle w:val="ListParagraph"/>
        <w:numPr>
          <w:ilvl w:val="1"/>
          <w:numId w:val="1"/>
        </w:numPr>
        <w:spacing w:after="0"/>
        <w:ind w:left="240"/>
        <w:jc w:val="both"/>
        <w:rPr>
          <w:rFonts w:ascii="Arial" w:eastAsia="Arial" w:hAnsi="Arial" w:cs="Arial"/>
          <w:color w:val="0D0D0D" w:themeColor="text1" w:themeTint="F2"/>
          <w:sz w:val="28"/>
          <w:szCs w:val="28"/>
        </w:rPr>
      </w:pPr>
      <w:r w:rsidRPr="64296DDE">
        <w:rPr>
          <w:rFonts w:ascii="Arial" w:eastAsia="Arial" w:hAnsi="Arial" w:cs="Arial"/>
          <w:color w:val="0D0D0D" w:themeColor="text1" w:themeTint="F2"/>
          <w:sz w:val="28"/>
          <w:szCs w:val="28"/>
        </w:rPr>
        <w:t>Maintain a balanced diet consisting of whole foods, adequate hydration, and portion control to support overall health and fitness goals (Campbell &amp; Campbell, 2017).</w:t>
      </w:r>
    </w:p>
    <w:p w14:paraId="384C22F3" w14:textId="0F605B70" w:rsidR="64296DDE" w:rsidRDefault="64296DDE" w:rsidP="64296DDE">
      <w:pPr>
        <w:spacing w:after="0"/>
        <w:jc w:val="center"/>
        <w:rPr>
          <w:rFonts w:ascii="ui-sans-serif" w:eastAsia="ui-sans-serif" w:hAnsi="ui-sans-serif" w:cs="ui-sans-serif"/>
          <w:color w:val="0D0D0D" w:themeColor="text1" w:themeTint="F2"/>
        </w:rPr>
      </w:pPr>
    </w:p>
    <w:p w14:paraId="739D6B9C" w14:textId="081627B7" w:rsidR="64296DDE" w:rsidRDefault="64296DDE" w:rsidP="64296DDE">
      <w:pPr>
        <w:spacing w:after="0"/>
        <w:jc w:val="center"/>
        <w:rPr>
          <w:rFonts w:ascii="ui-sans-serif" w:eastAsia="ui-sans-serif" w:hAnsi="ui-sans-serif" w:cs="ui-sans-serif"/>
          <w:color w:val="0D0D0D" w:themeColor="text1" w:themeTint="F2"/>
        </w:rPr>
      </w:pPr>
    </w:p>
    <w:p w14:paraId="79FFAB07" w14:textId="1F0BE2CE" w:rsidR="7D5E3114" w:rsidRDefault="7D5E3114" w:rsidP="64296DDE">
      <w:pPr>
        <w:spacing w:after="0"/>
        <w:jc w:val="center"/>
        <w:rPr>
          <w:rFonts w:ascii="ui-sans-serif" w:eastAsia="ui-sans-serif" w:hAnsi="ui-sans-serif" w:cs="ui-sans-serif"/>
          <w:color w:val="0D0D0D" w:themeColor="text1" w:themeTint="F2"/>
        </w:rPr>
      </w:pPr>
      <w:r w:rsidRPr="64296DDE">
        <w:rPr>
          <w:rFonts w:ascii="ui-sans-serif" w:eastAsia="ui-sans-serif" w:hAnsi="ui-sans-serif" w:cs="ui-sans-serif"/>
          <w:color w:val="0D0D0D" w:themeColor="text1" w:themeTint="F2"/>
        </w:rPr>
        <w:t xml:space="preserve">Word count </w:t>
      </w:r>
      <w:r w:rsidR="000C316C">
        <w:rPr>
          <w:rFonts w:ascii="ui-sans-serif" w:eastAsia="ui-sans-serif" w:hAnsi="ui-sans-serif" w:cs="ui-sans-serif"/>
          <w:color w:val="0D0D0D" w:themeColor="text1" w:themeTint="F2"/>
        </w:rPr>
        <w:t>–</w:t>
      </w:r>
      <w:r w:rsidR="251C5B70" w:rsidRPr="64296DDE">
        <w:rPr>
          <w:rFonts w:ascii="ui-sans-serif" w:eastAsia="ui-sans-serif" w:hAnsi="ui-sans-serif" w:cs="ui-sans-serif"/>
          <w:color w:val="0D0D0D" w:themeColor="text1" w:themeTint="F2"/>
        </w:rPr>
        <w:t xml:space="preserve"> 1949</w:t>
      </w:r>
    </w:p>
    <w:p w14:paraId="4D6EEBEA" w14:textId="77777777" w:rsidR="000C316C" w:rsidRDefault="000C316C" w:rsidP="64296DDE">
      <w:pPr>
        <w:spacing w:after="0"/>
        <w:jc w:val="center"/>
        <w:rPr>
          <w:rFonts w:ascii="ui-sans-serif" w:eastAsia="ui-sans-serif" w:hAnsi="ui-sans-serif" w:cs="ui-sans-serif"/>
          <w:color w:val="0D0D0D" w:themeColor="text1" w:themeTint="F2"/>
        </w:rPr>
      </w:pPr>
    </w:p>
    <w:p w14:paraId="387C0B91" w14:textId="77777777" w:rsidR="000C316C" w:rsidRDefault="000C316C" w:rsidP="64296DDE">
      <w:pPr>
        <w:spacing w:after="0"/>
        <w:jc w:val="center"/>
        <w:rPr>
          <w:rFonts w:ascii="ui-sans-serif" w:eastAsia="ui-sans-serif" w:hAnsi="ui-sans-serif" w:cs="ui-sans-serif"/>
          <w:color w:val="0D0D0D" w:themeColor="text1" w:themeTint="F2"/>
        </w:rPr>
      </w:pPr>
    </w:p>
    <w:p w14:paraId="3BBE9A08" w14:textId="77777777" w:rsidR="000C316C" w:rsidRDefault="000C316C" w:rsidP="64296DDE">
      <w:pPr>
        <w:spacing w:after="0"/>
        <w:jc w:val="center"/>
        <w:rPr>
          <w:rFonts w:ascii="ui-sans-serif" w:eastAsia="ui-sans-serif" w:hAnsi="ui-sans-serif" w:cs="ui-sans-serif"/>
          <w:color w:val="0D0D0D" w:themeColor="text1" w:themeTint="F2"/>
        </w:rPr>
      </w:pPr>
    </w:p>
    <w:p w14:paraId="08933786" w14:textId="77777777" w:rsidR="000C316C" w:rsidRDefault="000C316C" w:rsidP="64296DDE">
      <w:pPr>
        <w:spacing w:after="0"/>
        <w:jc w:val="center"/>
        <w:rPr>
          <w:rFonts w:ascii="ui-sans-serif" w:eastAsia="ui-sans-serif" w:hAnsi="ui-sans-serif" w:cs="ui-sans-serif"/>
          <w:color w:val="0D0D0D" w:themeColor="text1" w:themeTint="F2"/>
        </w:rPr>
      </w:pPr>
    </w:p>
    <w:p w14:paraId="4794CA70" w14:textId="77777777" w:rsidR="000C316C" w:rsidRDefault="000C316C" w:rsidP="64296DDE">
      <w:pPr>
        <w:spacing w:after="0"/>
        <w:jc w:val="center"/>
        <w:rPr>
          <w:rFonts w:ascii="ui-sans-serif" w:eastAsia="ui-sans-serif" w:hAnsi="ui-sans-serif" w:cs="ui-sans-serif"/>
          <w:color w:val="0D0D0D" w:themeColor="text1" w:themeTint="F2"/>
        </w:rPr>
      </w:pPr>
    </w:p>
    <w:p w14:paraId="1C057651" w14:textId="77777777" w:rsidR="000C316C" w:rsidRDefault="000C316C" w:rsidP="64296DDE">
      <w:pPr>
        <w:spacing w:after="0"/>
        <w:jc w:val="center"/>
        <w:rPr>
          <w:rFonts w:ascii="ui-sans-serif" w:eastAsia="ui-sans-serif" w:hAnsi="ui-sans-serif" w:cs="ui-sans-serif"/>
          <w:color w:val="0D0D0D" w:themeColor="text1" w:themeTint="F2"/>
        </w:rPr>
      </w:pPr>
    </w:p>
    <w:p w14:paraId="34F67860" w14:textId="77777777" w:rsidR="000C316C" w:rsidRDefault="000C316C" w:rsidP="64296DDE">
      <w:pPr>
        <w:spacing w:after="0"/>
        <w:jc w:val="center"/>
        <w:rPr>
          <w:rFonts w:ascii="ui-sans-serif" w:eastAsia="ui-sans-serif" w:hAnsi="ui-sans-serif" w:cs="ui-sans-serif"/>
          <w:color w:val="0D0D0D" w:themeColor="text1" w:themeTint="F2"/>
        </w:rPr>
      </w:pPr>
    </w:p>
    <w:p w14:paraId="12DAA49D" w14:textId="77777777" w:rsidR="000C316C" w:rsidRDefault="000C316C" w:rsidP="64296DDE">
      <w:pPr>
        <w:spacing w:after="0"/>
        <w:jc w:val="center"/>
        <w:rPr>
          <w:rFonts w:ascii="ui-sans-serif" w:eastAsia="ui-sans-serif" w:hAnsi="ui-sans-serif" w:cs="ui-sans-serif"/>
          <w:color w:val="0D0D0D" w:themeColor="text1" w:themeTint="F2"/>
        </w:rPr>
      </w:pPr>
    </w:p>
    <w:p w14:paraId="6CD24731" w14:textId="77777777" w:rsidR="000C316C" w:rsidRDefault="000C316C" w:rsidP="64296DDE">
      <w:pPr>
        <w:spacing w:after="0"/>
        <w:jc w:val="center"/>
        <w:rPr>
          <w:rFonts w:ascii="ui-sans-serif" w:eastAsia="ui-sans-serif" w:hAnsi="ui-sans-serif" w:cs="ui-sans-serif"/>
          <w:color w:val="0D0D0D" w:themeColor="text1" w:themeTint="F2"/>
        </w:rPr>
      </w:pPr>
    </w:p>
    <w:p w14:paraId="1AD29F7B" w14:textId="77777777" w:rsidR="000C316C" w:rsidRDefault="000C316C" w:rsidP="64296DDE">
      <w:pPr>
        <w:spacing w:after="0"/>
        <w:jc w:val="center"/>
        <w:rPr>
          <w:rFonts w:ascii="ui-sans-serif" w:eastAsia="ui-sans-serif" w:hAnsi="ui-sans-serif" w:cs="ui-sans-serif"/>
          <w:color w:val="0D0D0D" w:themeColor="text1" w:themeTint="F2"/>
        </w:rPr>
      </w:pPr>
    </w:p>
    <w:p w14:paraId="462CF0AD" w14:textId="77777777" w:rsidR="000C316C" w:rsidRDefault="000C316C" w:rsidP="64296DDE">
      <w:pPr>
        <w:spacing w:after="0"/>
        <w:jc w:val="center"/>
        <w:rPr>
          <w:rFonts w:ascii="ui-sans-serif" w:eastAsia="ui-sans-serif" w:hAnsi="ui-sans-serif" w:cs="ui-sans-serif"/>
          <w:color w:val="0D0D0D" w:themeColor="text1" w:themeTint="F2"/>
        </w:rPr>
      </w:pPr>
    </w:p>
    <w:p w14:paraId="0FF4314B" w14:textId="77777777" w:rsidR="000C316C" w:rsidRDefault="000C316C" w:rsidP="64296DDE">
      <w:pPr>
        <w:spacing w:after="0"/>
        <w:jc w:val="center"/>
        <w:rPr>
          <w:rFonts w:ascii="ui-sans-serif" w:eastAsia="ui-sans-serif" w:hAnsi="ui-sans-serif" w:cs="ui-sans-serif"/>
          <w:color w:val="0D0D0D" w:themeColor="text1" w:themeTint="F2"/>
        </w:rPr>
      </w:pPr>
    </w:p>
    <w:p w14:paraId="60987A66" w14:textId="77777777" w:rsidR="000C316C" w:rsidRDefault="000C316C" w:rsidP="64296DDE">
      <w:pPr>
        <w:spacing w:after="0"/>
        <w:jc w:val="center"/>
        <w:rPr>
          <w:rFonts w:ascii="ui-sans-serif" w:eastAsia="ui-sans-serif" w:hAnsi="ui-sans-serif" w:cs="ui-sans-serif"/>
          <w:color w:val="0D0D0D" w:themeColor="text1" w:themeTint="F2"/>
        </w:rPr>
      </w:pPr>
    </w:p>
    <w:p w14:paraId="15FD3029" w14:textId="77777777" w:rsidR="000C316C" w:rsidRDefault="000C316C" w:rsidP="64296DDE">
      <w:pPr>
        <w:spacing w:after="0"/>
        <w:jc w:val="center"/>
        <w:rPr>
          <w:rFonts w:ascii="ui-sans-serif" w:eastAsia="ui-sans-serif" w:hAnsi="ui-sans-serif" w:cs="ui-sans-serif"/>
          <w:color w:val="0D0D0D" w:themeColor="text1" w:themeTint="F2"/>
        </w:rPr>
      </w:pPr>
    </w:p>
    <w:p w14:paraId="4065F1D8" w14:textId="51AAE66F" w:rsidR="000C316C" w:rsidRDefault="000C316C" w:rsidP="64296DDE">
      <w:pPr>
        <w:spacing w:after="0"/>
        <w:jc w:val="center"/>
        <w:rPr>
          <w:rFonts w:ascii="ui-sans-serif" w:eastAsia="ui-sans-serif" w:hAnsi="ui-sans-serif" w:cs="ui-sans-serif"/>
          <w:color w:val="0D0D0D" w:themeColor="text1" w:themeTint="F2"/>
        </w:rPr>
      </w:pPr>
    </w:p>
    <w:p w14:paraId="3211AA91" w14:textId="505C55C7" w:rsidR="64296DDE" w:rsidRDefault="64296DDE" w:rsidP="64296DDE">
      <w:pPr>
        <w:rPr>
          <w:rFonts w:ascii="Arial" w:eastAsia="Arial" w:hAnsi="Arial" w:cs="Arial"/>
          <w:b/>
          <w:bCs/>
          <w:color w:val="000000" w:themeColor="text1"/>
        </w:rPr>
      </w:pPr>
    </w:p>
    <w:p w14:paraId="79A23F89" w14:textId="2A147DFB" w:rsidR="64296DDE" w:rsidRDefault="64296DDE" w:rsidP="64296DDE"/>
    <w:p w14:paraId="28DBA8D8" w14:textId="77777777" w:rsidR="000C316C" w:rsidRDefault="000C316C" w:rsidP="64296DDE"/>
    <w:p w14:paraId="4427987B" w14:textId="77777777" w:rsidR="000C316C" w:rsidRDefault="000C316C" w:rsidP="64296DDE"/>
    <w:p w14:paraId="4031A9B7" w14:textId="77777777" w:rsidR="000C316C" w:rsidRDefault="000C316C" w:rsidP="64296DDE"/>
    <w:p w14:paraId="199F48F3" w14:textId="77777777" w:rsidR="000C316C" w:rsidRDefault="000C316C" w:rsidP="64296DDE"/>
    <w:p w14:paraId="34A38D7E" w14:textId="77777777" w:rsidR="000C316C" w:rsidRDefault="000C316C" w:rsidP="64296DDE"/>
    <w:p w14:paraId="71718265" w14:textId="77777777" w:rsidR="000C316C" w:rsidRDefault="000C316C" w:rsidP="64296DDE"/>
    <w:p w14:paraId="720CB00C" w14:textId="77777777" w:rsidR="000C316C" w:rsidRDefault="000C316C" w:rsidP="64296DDE"/>
    <w:p w14:paraId="27119A74" w14:textId="3B255588" w:rsidR="144D5986" w:rsidRPr="000C316C" w:rsidRDefault="000C316C" w:rsidP="64296DDE">
      <w:pPr>
        <w:rPr>
          <w:rFonts w:ascii="Arial" w:eastAsia="Arial" w:hAnsi="Arial" w:cs="Arial"/>
          <w:color w:val="000000" w:themeColor="text1"/>
          <w:u w:val="single"/>
        </w:rPr>
      </w:pPr>
      <w:r w:rsidRPr="000C316C">
        <w:rPr>
          <w:rFonts w:ascii="Arial" w:eastAsia="Arial" w:hAnsi="Arial" w:cs="Arial"/>
          <w:color w:val="000000" w:themeColor="text1"/>
          <w:u w:val="single"/>
        </w:rPr>
        <w:t>References</w:t>
      </w:r>
      <w:r w:rsidR="144D5986" w:rsidRPr="000C316C">
        <w:rPr>
          <w:rFonts w:ascii="Arial" w:eastAsia="Arial" w:hAnsi="Arial" w:cs="Arial"/>
          <w:color w:val="000000" w:themeColor="text1"/>
          <w:u w:val="single"/>
        </w:rPr>
        <w:t xml:space="preserve"> </w:t>
      </w:r>
    </w:p>
    <w:p w14:paraId="56C0B587" w14:textId="3C9174F4" w:rsidR="64296DDE" w:rsidRDefault="64296DDE" w:rsidP="64296DDE">
      <w:pPr>
        <w:rPr>
          <w:rFonts w:ascii="Arial" w:eastAsia="Arial" w:hAnsi="Arial" w:cs="Arial"/>
          <w:b/>
          <w:bCs/>
          <w:color w:val="000000" w:themeColor="text1"/>
        </w:rPr>
      </w:pPr>
    </w:p>
    <w:p w14:paraId="73B206EB" w14:textId="77E08600" w:rsidR="144D5986" w:rsidRDefault="144D5986" w:rsidP="64296DDE">
      <w:pPr>
        <w:pStyle w:val="ListParagraph"/>
        <w:numPr>
          <w:ilvl w:val="0"/>
          <w:numId w:val="1"/>
        </w:numPr>
        <w:spacing w:after="0"/>
        <w:rPr>
          <w:rFonts w:ascii="ui-sans-serif" w:eastAsia="ui-sans-serif" w:hAnsi="ui-sans-serif" w:cs="ui-sans-serif"/>
          <w:color w:val="0D0D0D" w:themeColor="text1" w:themeTint="F2"/>
        </w:rPr>
      </w:pPr>
      <w:r w:rsidRPr="64296DDE">
        <w:rPr>
          <w:rFonts w:ascii="ui-sans-serif" w:eastAsia="ui-sans-serif" w:hAnsi="ui-sans-serif" w:cs="ui-sans-serif"/>
          <w:color w:val="0D0D0D" w:themeColor="text1" w:themeTint="F2"/>
        </w:rPr>
        <w:t xml:space="preserve">American Heart Association. (n.d.). Understanding Blood Pressure Readings. Retrieved from </w:t>
      </w:r>
      <w:hyperlink r:id="rId7">
        <w:r w:rsidRPr="64296DDE">
          <w:rPr>
            <w:rStyle w:val="Hyperlink"/>
          </w:rPr>
          <w:t>https://www.heart.org/en/health-topics/high-blood-pressure/understanding-blood-pressure-readings</w:t>
        </w:r>
      </w:hyperlink>
    </w:p>
    <w:p w14:paraId="46EC2E7F" w14:textId="294B4AC6" w:rsidR="144D5986" w:rsidRDefault="144D5986" w:rsidP="64296DDE">
      <w:pPr>
        <w:pStyle w:val="ListParagraph"/>
        <w:numPr>
          <w:ilvl w:val="0"/>
          <w:numId w:val="1"/>
        </w:numPr>
        <w:spacing w:after="0"/>
        <w:rPr>
          <w:rFonts w:ascii="ui-sans-serif" w:eastAsia="ui-sans-serif" w:hAnsi="ui-sans-serif" w:cs="ui-sans-serif"/>
          <w:color w:val="0D0D0D" w:themeColor="text1" w:themeTint="F2"/>
        </w:rPr>
      </w:pPr>
      <w:r w:rsidRPr="64296DDE">
        <w:rPr>
          <w:rFonts w:ascii="ui-sans-serif" w:eastAsia="ui-sans-serif" w:hAnsi="ui-sans-serif" w:cs="ui-sans-serif"/>
          <w:color w:val="0D0D0D" w:themeColor="text1" w:themeTint="F2"/>
        </w:rPr>
        <w:t xml:space="preserve">American Council on Exercise. (n.d.). Why is Flexibility Important? Retrieved from </w:t>
      </w:r>
      <w:hyperlink r:id="rId8">
        <w:r w:rsidRPr="64296DDE">
          <w:rPr>
            <w:rStyle w:val="Hyperlink"/>
          </w:rPr>
          <w:t>https://www.acefitness.org/education-and-resources/lifestyle/blog/6396/why-is-flexibility-important/</w:t>
        </w:r>
      </w:hyperlink>
    </w:p>
    <w:p w14:paraId="5AEFBA8A" w14:textId="7C28CC69" w:rsidR="144D5986" w:rsidRDefault="144D5986" w:rsidP="64296DDE">
      <w:pPr>
        <w:pStyle w:val="ListParagraph"/>
        <w:numPr>
          <w:ilvl w:val="0"/>
          <w:numId w:val="1"/>
        </w:numPr>
        <w:spacing w:after="0"/>
        <w:rPr>
          <w:rFonts w:ascii="ui-sans-serif" w:eastAsia="ui-sans-serif" w:hAnsi="ui-sans-serif" w:cs="ui-sans-serif"/>
          <w:color w:val="0D0D0D" w:themeColor="text1" w:themeTint="F2"/>
        </w:rPr>
      </w:pPr>
      <w:proofErr w:type="spellStart"/>
      <w:r w:rsidRPr="64296DDE">
        <w:rPr>
          <w:rFonts w:ascii="ui-sans-serif" w:eastAsia="ui-sans-serif" w:hAnsi="ui-sans-serif" w:cs="ui-sans-serif"/>
          <w:color w:val="0D0D0D" w:themeColor="text1" w:themeTint="F2"/>
        </w:rPr>
        <w:t>Katch</w:t>
      </w:r>
      <w:proofErr w:type="spellEnd"/>
      <w:r w:rsidRPr="64296DDE">
        <w:rPr>
          <w:rFonts w:ascii="ui-sans-serif" w:eastAsia="ui-sans-serif" w:hAnsi="ui-sans-serif" w:cs="ui-sans-serif"/>
          <w:color w:val="0D0D0D" w:themeColor="text1" w:themeTint="F2"/>
        </w:rPr>
        <w:t xml:space="preserve">, F. I., </w:t>
      </w:r>
      <w:proofErr w:type="spellStart"/>
      <w:r w:rsidRPr="64296DDE">
        <w:rPr>
          <w:rFonts w:ascii="ui-sans-serif" w:eastAsia="ui-sans-serif" w:hAnsi="ui-sans-serif" w:cs="ui-sans-serif"/>
          <w:color w:val="0D0D0D" w:themeColor="text1" w:themeTint="F2"/>
        </w:rPr>
        <w:t>McArdle</w:t>
      </w:r>
      <w:proofErr w:type="spellEnd"/>
      <w:r w:rsidRPr="64296DDE">
        <w:rPr>
          <w:rFonts w:ascii="ui-sans-serif" w:eastAsia="ui-sans-serif" w:hAnsi="ui-sans-serif" w:cs="ui-sans-serif"/>
          <w:color w:val="0D0D0D" w:themeColor="text1" w:themeTint="F2"/>
        </w:rPr>
        <w:t xml:space="preserve">, W. D., &amp; </w:t>
      </w:r>
      <w:proofErr w:type="spellStart"/>
      <w:r w:rsidRPr="64296DDE">
        <w:rPr>
          <w:rFonts w:ascii="ui-sans-serif" w:eastAsia="ui-sans-serif" w:hAnsi="ui-sans-serif" w:cs="ui-sans-serif"/>
          <w:color w:val="0D0D0D" w:themeColor="text1" w:themeTint="F2"/>
        </w:rPr>
        <w:t>Katch</w:t>
      </w:r>
      <w:proofErr w:type="spellEnd"/>
      <w:r w:rsidRPr="64296DDE">
        <w:rPr>
          <w:rFonts w:ascii="ui-sans-serif" w:eastAsia="ui-sans-serif" w:hAnsi="ui-sans-serif" w:cs="ui-sans-serif"/>
          <w:color w:val="0D0D0D" w:themeColor="text1" w:themeTint="F2"/>
        </w:rPr>
        <w:t xml:space="preserve">, V. L. (2011). Exercise Physiology: Nutrition, Energy, and Human Performance. </w:t>
      </w:r>
      <w:proofErr w:type="spellStart"/>
      <w:r w:rsidRPr="64296DDE">
        <w:rPr>
          <w:rFonts w:ascii="ui-sans-serif" w:eastAsia="ui-sans-serif" w:hAnsi="ui-sans-serif" w:cs="ui-sans-serif"/>
          <w:color w:val="0D0D0D" w:themeColor="text1" w:themeTint="F2"/>
        </w:rPr>
        <w:t>Lippincott</w:t>
      </w:r>
      <w:proofErr w:type="spellEnd"/>
      <w:r w:rsidRPr="64296DDE">
        <w:rPr>
          <w:rFonts w:ascii="ui-sans-serif" w:eastAsia="ui-sans-serif" w:hAnsi="ui-sans-serif" w:cs="ui-sans-serif"/>
          <w:color w:val="0D0D0D" w:themeColor="text1" w:themeTint="F2"/>
        </w:rPr>
        <w:t xml:space="preserve"> Williams &amp; Wilkins.</w:t>
      </w:r>
    </w:p>
    <w:p w14:paraId="20A67410" w14:textId="5B0A7FA8" w:rsidR="144D5986" w:rsidRDefault="144D5986" w:rsidP="64296DDE">
      <w:pPr>
        <w:pStyle w:val="ListParagraph"/>
        <w:numPr>
          <w:ilvl w:val="0"/>
          <w:numId w:val="1"/>
        </w:numPr>
        <w:spacing w:after="0"/>
        <w:rPr>
          <w:rFonts w:ascii="ui-sans-serif" w:eastAsia="ui-sans-serif" w:hAnsi="ui-sans-serif" w:cs="ui-sans-serif"/>
          <w:color w:val="0D0D0D" w:themeColor="text1" w:themeTint="F2"/>
        </w:rPr>
      </w:pPr>
      <w:r w:rsidRPr="64296DDE">
        <w:rPr>
          <w:rFonts w:ascii="ui-sans-serif" w:eastAsia="ui-sans-serif" w:hAnsi="ui-sans-serif" w:cs="ui-sans-serif"/>
          <w:color w:val="0D0D0D" w:themeColor="text1" w:themeTint="F2"/>
        </w:rPr>
        <w:t xml:space="preserve">National Heart, Lung, and Blood Institute. (n.d.). Assessing Your Weight and Health Risk. Retrieved from </w:t>
      </w:r>
      <w:hyperlink r:id="rId9">
        <w:r w:rsidRPr="64296DDE">
          <w:rPr>
            <w:rStyle w:val="Hyperlink"/>
            <w:color w:val="0D0D0D" w:themeColor="text1" w:themeTint="F2"/>
          </w:rPr>
          <w:t>https://www.nhlbi.nih.gov/health/educational/lose_wt/risk.htm</w:t>
        </w:r>
      </w:hyperlink>
    </w:p>
    <w:p w14:paraId="35796921" w14:textId="54A8E854" w:rsidR="144D5986" w:rsidRDefault="144D5986" w:rsidP="64296DDE">
      <w:pPr>
        <w:pStyle w:val="ListParagraph"/>
        <w:numPr>
          <w:ilvl w:val="0"/>
          <w:numId w:val="1"/>
        </w:numPr>
        <w:spacing w:after="0"/>
        <w:rPr>
          <w:rFonts w:ascii="ui-sans-serif" w:eastAsia="ui-sans-serif" w:hAnsi="ui-sans-serif" w:cs="ui-sans-serif"/>
          <w:color w:val="0D0D0D" w:themeColor="text1" w:themeTint="F2"/>
        </w:rPr>
      </w:pPr>
      <w:proofErr w:type="spellStart"/>
      <w:r w:rsidRPr="64296DDE">
        <w:rPr>
          <w:rFonts w:ascii="ui-sans-serif" w:eastAsia="ui-sans-serif" w:hAnsi="ui-sans-serif" w:cs="ui-sans-serif"/>
          <w:color w:val="0D0D0D" w:themeColor="text1" w:themeTint="F2"/>
        </w:rPr>
        <w:t>Westcott</w:t>
      </w:r>
      <w:proofErr w:type="spellEnd"/>
      <w:r w:rsidRPr="64296DDE">
        <w:rPr>
          <w:rFonts w:ascii="ui-sans-serif" w:eastAsia="ui-sans-serif" w:hAnsi="ui-sans-serif" w:cs="ui-sans-serif"/>
          <w:color w:val="0D0D0D" w:themeColor="text1" w:themeTint="F2"/>
        </w:rPr>
        <w:t>, W. L. (2012). Resistance Training is Medicine: Effects of Strength Training on Health. Current Sports Medicine Reports, 11(4), 209-216.</w:t>
      </w:r>
    </w:p>
    <w:p w14:paraId="14C261C1" w14:textId="7E2936E6" w:rsidR="41DF7DE9" w:rsidRDefault="41DF7DE9" w:rsidP="64296DDE">
      <w:pPr>
        <w:pStyle w:val="ListParagraph"/>
        <w:numPr>
          <w:ilvl w:val="0"/>
          <w:numId w:val="1"/>
        </w:numPr>
        <w:spacing w:after="0"/>
        <w:rPr>
          <w:rFonts w:ascii="ui-sans-serif" w:eastAsia="ui-sans-serif" w:hAnsi="ui-sans-serif" w:cs="ui-sans-serif"/>
          <w:color w:val="0D0D0D" w:themeColor="text1" w:themeTint="F2"/>
        </w:rPr>
      </w:pPr>
      <w:r w:rsidRPr="64296DDE">
        <w:rPr>
          <w:rFonts w:ascii="ui-sans-serif" w:eastAsia="ui-sans-serif" w:hAnsi="ui-sans-serif" w:cs="ui-sans-serif"/>
          <w:color w:val="0D0D0D" w:themeColor="text1" w:themeTint="F2"/>
        </w:rPr>
        <w:t xml:space="preserve">American College of Sports Medicine. (2018). ACSM's Guidelines for Exercise Testing and Prescription (Tenth Edition). </w:t>
      </w:r>
      <w:proofErr w:type="spellStart"/>
      <w:r w:rsidRPr="64296DDE">
        <w:rPr>
          <w:rFonts w:ascii="ui-sans-serif" w:eastAsia="ui-sans-serif" w:hAnsi="ui-sans-serif" w:cs="ui-sans-serif"/>
          <w:color w:val="0D0D0D" w:themeColor="text1" w:themeTint="F2"/>
        </w:rPr>
        <w:t>Wolters</w:t>
      </w:r>
      <w:proofErr w:type="spellEnd"/>
      <w:r w:rsidRPr="64296DDE">
        <w:rPr>
          <w:rFonts w:ascii="ui-sans-serif" w:eastAsia="ui-sans-serif" w:hAnsi="ui-sans-serif" w:cs="ui-sans-serif"/>
          <w:color w:val="0D0D0D" w:themeColor="text1" w:themeTint="F2"/>
        </w:rPr>
        <w:t xml:space="preserve"> </w:t>
      </w:r>
      <w:proofErr w:type="spellStart"/>
      <w:r w:rsidRPr="64296DDE">
        <w:rPr>
          <w:rFonts w:ascii="ui-sans-serif" w:eastAsia="ui-sans-serif" w:hAnsi="ui-sans-serif" w:cs="ui-sans-serif"/>
          <w:color w:val="0D0D0D" w:themeColor="text1" w:themeTint="F2"/>
        </w:rPr>
        <w:t>Kluwer</w:t>
      </w:r>
      <w:proofErr w:type="spellEnd"/>
      <w:r w:rsidRPr="64296DDE">
        <w:rPr>
          <w:rFonts w:ascii="ui-sans-serif" w:eastAsia="ui-sans-serif" w:hAnsi="ui-sans-serif" w:cs="ui-sans-serif"/>
          <w:color w:val="0D0D0D" w:themeColor="text1" w:themeTint="F2"/>
        </w:rPr>
        <w:t>.</w:t>
      </w:r>
    </w:p>
    <w:p w14:paraId="58270BF7" w14:textId="6BDA871A" w:rsidR="41DF7DE9" w:rsidRDefault="41DF7DE9" w:rsidP="64296DDE">
      <w:pPr>
        <w:pStyle w:val="ListParagraph"/>
        <w:numPr>
          <w:ilvl w:val="0"/>
          <w:numId w:val="1"/>
        </w:numPr>
        <w:spacing w:after="0"/>
        <w:rPr>
          <w:rFonts w:ascii="ui-sans-serif" w:eastAsia="ui-sans-serif" w:hAnsi="ui-sans-serif" w:cs="ui-sans-serif"/>
          <w:color w:val="0D0D0D" w:themeColor="text1" w:themeTint="F2"/>
        </w:rPr>
      </w:pPr>
      <w:r w:rsidRPr="64296DDE">
        <w:rPr>
          <w:rFonts w:ascii="ui-sans-serif" w:eastAsia="ui-sans-serif" w:hAnsi="ui-sans-serif" w:cs="ui-sans-serif"/>
          <w:color w:val="0D0D0D" w:themeColor="text1" w:themeTint="F2"/>
        </w:rPr>
        <w:t xml:space="preserve">Appel, L. J., Brands, M. W., Daniels, S. R., </w:t>
      </w:r>
      <w:proofErr w:type="spellStart"/>
      <w:r w:rsidRPr="64296DDE">
        <w:rPr>
          <w:rFonts w:ascii="ui-sans-serif" w:eastAsia="ui-sans-serif" w:hAnsi="ui-sans-serif" w:cs="ui-sans-serif"/>
          <w:color w:val="0D0D0D" w:themeColor="text1" w:themeTint="F2"/>
        </w:rPr>
        <w:t>Karanja</w:t>
      </w:r>
      <w:proofErr w:type="spellEnd"/>
      <w:r w:rsidRPr="64296DDE">
        <w:rPr>
          <w:rFonts w:ascii="ui-sans-serif" w:eastAsia="ui-sans-serif" w:hAnsi="ui-sans-serif" w:cs="ui-sans-serif"/>
          <w:color w:val="0D0D0D" w:themeColor="text1" w:themeTint="F2"/>
        </w:rPr>
        <w:t>, N., Elmer, P. J., &amp; Sacks, F. M. (2011). Dietary Approaches to Prevent and Treat Hypertension: A Scientific Statement from the American Heart Association. Hypertension, 47(2), 296-308.</w:t>
      </w:r>
    </w:p>
    <w:p w14:paraId="0D77F536" w14:textId="5CDC1AB7" w:rsidR="41DF7DE9" w:rsidRDefault="41DF7DE9" w:rsidP="64296DDE">
      <w:pPr>
        <w:pStyle w:val="ListParagraph"/>
        <w:numPr>
          <w:ilvl w:val="0"/>
          <w:numId w:val="1"/>
        </w:numPr>
        <w:spacing w:after="0"/>
        <w:rPr>
          <w:rFonts w:ascii="ui-sans-serif" w:eastAsia="ui-sans-serif" w:hAnsi="ui-sans-serif" w:cs="ui-sans-serif"/>
          <w:color w:val="0D0D0D" w:themeColor="text1" w:themeTint="F2"/>
        </w:rPr>
      </w:pPr>
      <w:r w:rsidRPr="64296DDE">
        <w:rPr>
          <w:rFonts w:ascii="ui-sans-serif" w:eastAsia="ui-sans-serif" w:hAnsi="ui-sans-serif" w:cs="ui-sans-serif"/>
          <w:color w:val="0D0D0D" w:themeColor="text1" w:themeTint="F2"/>
        </w:rPr>
        <w:t xml:space="preserve">Bryan, S. N., &amp; </w:t>
      </w:r>
      <w:proofErr w:type="spellStart"/>
      <w:r w:rsidRPr="64296DDE">
        <w:rPr>
          <w:rFonts w:ascii="ui-sans-serif" w:eastAsia="ui-sans-serif" w:hAnsi="ui-sans-serif" w:cs="ui-sans-serif"/>
          <w:color w:val="0D0D0D" w:themeColor="text1" w:themeTint="F2"/>
        </w:rPr>
        <w:t>Hawson</w:t>
      </w:r>
      <w:proofErr w:type="spellEnd"/>
      <w:r w:rsidRPr="64296DDE">
        <w:rPr>
          <w:rFonts w:ascii="ui-sans-serif" w:eastAsia="ui-sans-serif" w:hAnsi="ui-sans-serif" w:cs="ui-sans-serif"/>
          <w:color w:val="0D0D0D" w:themeColor="text1" w:themeTint="F2"/>
        </w:rPr>
        <w:t>, S. A. (2007). The Benefits of Pilates: A Mind-Body Exercise Technique. Journal of Bodywork and Movement Therapies, 11(3), 208-216.</w:t>
      </w:r>
    </w:p>
    <w:p w14:paraId="0F94C04A" w14:textId="0B751797" w:rsidR="41DF7DE9" w:rsidRDefault="41DF7DE9" w:rsidP="64296DDE">
      <w:pPr>
        <w:pStyle w:val="ListParagraph"/>
        <w:numPr>
          <w:ilvl w:val="0"/>
          <w:numId w:val="1"/>
        </w:numPr>
        <w:spacing w:after="0"/>
        <w:rPr>
          <w:rFonts w:ascii="ui-sans-serif" w:eastAsia="ui-sans-serif" w:hAnsi="ui-sans-serif" w:cs="ui-sans-serif"/>
          <w:color w:val="0D0D0D" w:themeColor="text1" w:themeTint="F2"/>
        </w:rPr>
      </w:pPr>
      <w:proofErr w:type="spellStart"/>
      <w:r w:rsidRPr="64296DDE">
        <w:rPr>
          <w:rFonts w:ascii="ui-sans-serif" w:eastAsia="ui-sans-serif" w:hAnsi="ui-sans-serif" w:cs="ui-sans-serif"/>
          <w:color w:val="0D0D0D" w:themeColor="text1" w:themeTint="F2"/>
        </w:rPr>
        <w:t>Cornelissen</w:t>
      </w:r>
      <w:proofErr w:type="spellEnd"/>
      <w:r w:rsidRPr="64296DDE">
        <w:rPr>
          <w:rFonts w:ascii="ui-sans-serif" w:eastAsia="ui-sans-serif" w:hAnsi="ui-sans-serif" w:cs="ui-sans-serif"/>
          <w:color w:val="0D0D0D" w:themeColor="text1" w:themeTint="F2"/>
        </w:rPr>
        <w:t>, V. A., &amp; Smart, N. A. (2013). Exercise Training for Blood Pressure: A Systematic Review and Meta-analysis. Journal of the American Heart Association, 5(3), e002269.</w:t>
      </w:r>
    </w:p>
    <w:p w14:paraId="6ED2F99B" w14:textId="3815A7D0" w:rsidR="41DF7DE9" w:rsidRDefault="41DF7DE9" w:rsidP="64296DDE">
      <w:pPr>
        <w:pStyle w:val="ListParagraph"/>
        <w:numPr>
          <w:ilvl w:val="0"/>
          <w:numId w:val="1"/>
        </w:numPr>
        <w:spacing w:after="0"/>
        <w:rPr>
          <w:rFonts w:ascii="ui-sans-serif" w:eastAsia="ui-sans-serif" w:hAnsi="ui-sans-serif" w:cs="ui-sans-serif"/>
          <w:color w:val="0D0D0D" w:themeColor="text1" w:themeTint="F2"/>
        </w:rPr>
      </w:pPr>
      <w:proofErr w:type="spellStart"/>
      <w:r w:rsidRPr="64296DDE">
        <w:rPr>
          <w:rFonts w:ascii="ui-sans-serif" w:eastAsia="ui-sans-serif" w:hAnsi="ui-sans-serif" w:cs="ui-sans-serif"/>
          <w:color w:val="0D0D0D" w:themeColor="text1" w:themeTint="F2"/>
        </w:rPr>
        <w:t>Dusek</w:t>
      </w:r>
      <w:proofErr w:type="spellEnd"/>
      <w:r w:rsidRPr="64296DDE">
        <w:rPr>
          <w:rFonts w:ascii="ui-sans-serif" w:eastAsia="ui-sans-serif" w:hAnsi="ui-sans-serif" w:cs="ui-sans-serif"/>
          <w:color w:val="0D0D0D" w:themeColor="text1" w:themeTint="F2"/>
        </w:rPr>
        <w:t xml:space="preserve">, J. A., </w:t>
      </w:r>
      <w:proofErr w:type="spellStart"/>
      <w:r w:rsidRPr="64296DDE">
        <w:rPr>
          <w:rFonts w:ascii="ui-sans-serif" w:eastAsia="ui-sans-serif" w:hAnsi="ui-sans-serif" w:cs="ui-sans-serif"/>
          <w:color w:val="0D0D0D" w:themeColor="text1" w:themeTint="F2"/>
        </w:rPr>
        <w:t>Otu</w:t>
      </w:r>
      <w:proofErr w:type="spellEnd"/>
      <w:r w:rsidRPr="64296DDE">
        <w:rPr>
          <w:rFonts w:ascii="ui-sans-serif" w:eastAsia="ui-sans-serif" w:hAnsi="ui-sans-serif" w:cs="ui-sans-serif"/>
          <w:color w:val="0D0D0D" w:themeColor="text1" w:themeTint="F2"/>
        </w:rPr>
        <w:t xml:space="preserve">, H. H., </w:t>
      </w:r>
      <w:proofErr w:type="spellStart"/>
      <w:r w:rsidRPr="64296DDE">
        <w:rPr>
          <w:rFonts w:ascii="ui-sans-serif" w:eastAsia="ui-sans-serif" w:hAnsi="ui-sans-serif" w:cs="ui-sans-serif"/>
          <w:color w:val="0D0D0D" w:themeColor="text1" w:themeTint="F2"/>
        </w:rPr>
        <w:t>Wohlhueter</w:t>
      </w:r>
      <w:proofErr w:type="spellEnd"/>
      <w:r w:rsidRPr="64296DDE">
        <w:rPr>
          <w:rFonts w:ascii="ui-sans-serif" w:eastAsia="ui-sans-serif" w:hAnsi="ui-sans-serif" w:cs="ui-sans-serif"/>
          <w:color w:val="0D0D0D" w:themeColor="text1" w:themeTint="F2"/>
        </w:rPr>
        <w:t xml:space="preserve">, A. L., </w:t>
      </w:r>
      <w:proofErr w:type="spellStart"/>
      <w:r w:rsidRPr="64296DDE">
        <w:rPr>
          <w:rFonts w:ascii="ui-sans-serif" w:eastAsia="ui-sans-serif" w:hAnsi="ui-sans-serif" w:cs="ui-sans-serif"/>
          <w:color w:val="0D0D0D" w:themeColor="text1" w:themeTint="F2"/>
        </w:rPr>
        <w:t>Bhasin</w:t>
      </w:r>
      <w:proofErr w:type="spellEnd"/>
      <w:r w:rsidRPr="64296DDE">
        <w:rPr>
          <w:rFonts w:ascii="ui-sans-serif" w:eastAsia="ui-sans-serif" w:hAnsi="ui-sans-serif" w:cs="ui-sans-serif"/>
          <w:color w:val="0D0D0D" w:themeColor="text1" w:themeTint="F2"/>
        </w:rPr>
        <w:t xml:space="preserve">, M., </w:t>
      </w:r>
      <w:proofErr w:type="spellStart"/>
      <w:r w:rsidRPr="64296DDE">
        <w:rPr>
          <w:rFonts w:ascii="ui-sans-serif" w:eastAsia="ui-sans-serif" w:hAnsi="ui-sans-serif" w:cs="ui-sans-serif"/>
          <w:color w:val="0D0D0D" w:themeColor="text1" w:themeTint="F2"/>
        </w:rPr>
        <w:t>Zerbini</w:t>
      </w:r>
      <w:proofErr w:type="spellEnd"/>
      <w:r w:rsidRPr="64296DDE">
        <w:rPr>
          <w:rFonts w:ascii="ui-sans-serif" w:eastAsia="ui-sans-serif" w:hAnsi="ui-sans-serif" w:cs="ui-sans-serif"/>
          <w:color w:val="0D0D0D" w:themeColor="text1" w:themeTint="F2"/>
        </w:rPr>
        <w:t>, L. F., Joseph, M. G., ... &amp; Benson, H. (2008). Genomic Counter-Stress Changes Induced by the Relaxation Response. PLoS ONE, 3(7), e2576.</w:t>
      </w:r>
    </w:p>
    <w:p w14:paraId="3C4C951D" w14:textId="05F941AD" w:rsidR="41DF7DE9" w:rsidRDefault="41DF7DE9" w:rsidP="64296DDE">
      <w:pPr>
        <w:pStyle w:val="ListParagraph"/>
        <w:numPr>
          <w:ilvl w:val="0"/>
          <w:numId w:val="1"/>
        </w:numPr>
        <w:spacing w:after="0"/>
        <w:rPr>
          <w:rFonts w:ascii="ui-sans-serif" w:eastAsia="ui-sans-serif" w:hAnsi="ui-sans-serif" w:cs="ui-sans-serif"/>
          <w:color w:val="0D0D0D" w:themeColor="text1" w:themeTint="F2"/>
        </w:rPr>
      </w:pPr>
      <w:proofErr w:type="spellStart"/>
      <w:r w:rsidRPr="64296DDE">
        <w:rPr>
          <w:rFonts w:ascii="ui-sans-serif" w:eastAsia="ui-sans-serif" w:hAnsi="ui-sans-serif" w:cs="ui-sans-serif"/>
          <w:color w:val="0D0D0D" w:themeColor="text1" w:themeTint="F2"/>
        </w:rPr>
        <w:t>Helgerud</w:t>
      </w:r>
      <w:proofErr w:type="spellEnd"/>
      <w:r w:rsidRPr="64296DDE">
        <w:rPr>
          <w:rFonts w:ascii="ui-sans-serif" w:eastAsia="ui-sans-serif" w:hAnsi="ui-sans-serif" w:cs="ui-sans-serif"/>
          <w:color w:val="0D0D0D" w:themeColor="text1" w:themeTint="F2"/>
        </w:rPr>
        <w:t xml:space="preserve">, J., </w:t>
      </w:r>
      <w:proofErr w:type="spellStart"/>
      <w:r w:rsidRPr="64296DDE">
        <w:rPr>
          <w:rFonts w:ascii="ui-sans-serif" w:eastAsia="ui-sans-serif" w:hAnsi="ui-sans-serif" w:cs="ui-sans-serif"/>
          <w:color w:val="0D0D0D" w:themeColor="text1" w:themeTint="F2"/>
        </w:rPr>
        <w:t>Høydal</w:t>
      </w:r>
      <w:proofErr w:type="spellEnd"/>
      <w:r w:rsidRPr="64296DDE">
        <w:rPr>
          <w:rFonts w:ascii="ui-sans-serif" w:eastAsia="ui-sans-serif" w:hAnsi="ui-sans-serif" w:cs="ui-sans-serif"/>
          <w:color w:val="0D0D0D" w:themeColor="text1" w:themeTint="F2"/>
        </w:rPr>
        <w:t xml:space="preserve">, K., Wang, E., </w:t>
      </w:r>
      <w:proofErr w:type="spellStart"/>
      <w:r w:rsidRPr="64296DDE">
        <w:rPr>
          <w:rFonts w:ascii="ui-sans-serif" w:eastAsia="ui-sans-serif" w:hAnsi="ui-sans-serif" w:cs="ui-sans-serif"/>
          <w:color w:val="0D0D0D" w:themeColor="text1" w:themeTint="F2"/>
        </w:rPr>
        <w:t>Karlsen</w:t>
      </w:r>
      <w:proofErr w:type="spellEnd"/>
      <w:r w:rsidRPr="64296DDE">
        <w:rPr>
          <w:rFonts w:ascii="ui-sans-serif" w:eastAsia="ui-sans-serif" w:hAnsi="ui-sans-serif" w:cs="ui-sans-serif"/>
          <w:color w:val="0D0D0D" w:themeColor="text1" w:themeTint="F2"/>
        </w:rPr>
        <w:t xml:space="preserve">, T., Berg, P., </w:t>
      </w:r>
      <w:proofErr w:type="spellStart"/>
      <w:r w:rsidRPr="64296DDE">
        <w:rPr>
          <w:rFonts w:ascii="ui-sans-serif" w:eastAsia="ui-sans-serif" w:hAnsi="ui-sans-serif" w:cs="ui-sans-serif"/>
          <w:color w:val="0D0D0D" w:themeColor="text1" w:themeTint="F2"/>
        </w:rPr>
        <w:t>Bjerkaas</w:t>
      </w:r>
      <w:proofErr w:type="spellEnd"/>
      <w:r w:rsidRPr="64296DDE">
        <w:rPr>
          <w:rFonts w:ascii="ui-sans-serif" w:eastAsia="ui-sans-serif" w:hAnsi="ui-sans-serif" w:cs="ui-sans-serif"/>
          <w:color w:val="0D0D0D" w:themeColor="text1" w:themeTint="F2"/>
        </w:rPr>
        <w:t>, M., ... &amp; Hoff, J. (2007). Aerobic High-Intensity Intervals Improve VO2max More Than Moderate Training. Medicine &amp; Science in Sports &amp; Exercise, 39(4), 665-671.</w:t>
      </w:r>
    </w:p>
    <w:p w14:paraId="0064571C" w14:textId="5578EA68" w:rsidR="41DF7DE9" w:rsidRDefault="41DF7DE9" w:rsidP="64296DDE">
      <w:pPr>
        <w:pStyle w:val="ListParagraph"/>
        <w:numPr>
          <w:ilvl w:val="0"/>
          <w:numId w:val="1"/>
        </w:numPr>
        <w:spacing w:after="0"/>
        <w:rPr>
          <w:rFonts w:ascii="ui-sans-serif" w:eastAsia="ui-sans-serif" w:hAnsi="ui-sans-serif" w:cs="ui-sans-serif"/>
          <w:color w:val="0D0D0D" w:themeColor="text1" w:themeTint="F2"/>
        </w:rPr>
      </w:pPr>
      <w:proofErr w:type="spellStart"/>
      <w:r w:rsidRPr="64296DDE">
        <w:rPr>
          <w:rFonts w:ascii="ui-sans-serif" w:eastAsia="ui-sans-serif" w:hAnsi="ui-sans-serif" w:cs="ui-sans-serif"/>
          <w:color w:val="0D0D0D" w:themeColor="text1" w:themeTint="F2"/>
        </w:rPr>
        <w:t>Hirshkowitz</w:t>
      </w:r>
      <w:proofErr w:type="spellEnd"/>
      <w:r w:rsidRPr="64296DDE">
        <w:rPr>
          <w:rFonts w:ascii="ui-sans-serif" w:eastAsia="ui-sans-serif" w:hAnsi="ui-sans-serif" w:cs="ui-sans-serif"/>
          <w:color w:val="0D0D0D" w:themeColor="text1" w:themeTint="F2"/>
        </w:rPr>
        <w:t xml:space="preserve">, M., </w:t>
      </w:r>
      <w:proofErr w:type="spellStart"/>
      <w:r w:rsidRPr="64296DDE">
        <w:rPr>
          <w:rFonts w:ascii="ui-sans-serif" w:eastAsia="ui-sans-serif" w:hAnsi="ui-sans-serif" w:cs="ui-sans-serif"/>
          <w:color w:val="0D0D0D" w:themeColor="text1" w:themeTint="F2"/>
        </w:rPr>
        <w:t>Whiton</w:t>
      </w:r>
      <w:proofErr w:type="spellEnd"/>
      <w:r w:rsidRPr="64296DDE">
        <w:rPr>
          <w:rFonts w:ascii="ui-sans-serif" w:eastAsia="ui-sans-serif" w:hAnsi="ui-sans-serif" w:cs="ui-sans-serif"/>
          <w:color w:val="0D0D0D" w:themeColor="text1" w:themeTint="F2"/>
        </w:rPr>
        <w:t xml:space="preserve">, K., Albert, S. M., </w:t>
      </w:r>
      <w:proofErr w:type="spellStart"/>
      <w:r w:rsidRPr="64296DDE">
        <w:rPr>
          <w:rFonts w:ascii="ui-sans-serif" w:eastAsia="ui-sans-serif" w:hAnsi="ui-sans-serif" w:cs="ui-sans-serif"/>
          <w:color w:val="0D0D0D" w:themeColor="text1" w:themeTint="F2"/>
        </w:rPr>
        <w:t>Alessi</w:t>
      </w:r>
      <w:proofErr w:type="spellEnd"/>
      <w:r w:rsidRPr="64296DDE">
        <w:rPr>
          <w:rFonts w:ascii="ui-sans-serif" w:eastAsia="ui-sans-serif" w:hAnsi="ui-sans-serif" w:cs="ui-sans-serif"/>
          <w:color w:val="0D0D0D" w:themeColor="text1" w:themeTint="F2"/>
        </w:rPr>
        <w:t xml:space="preserve">, C., Bruni, O., DonCarlos, L., ... &amp; </w:t>
      </w:r>
      <w:proofErr w:type="spellStart"/>
      <w:r w:rsidRPr="64296DDE">
        <w:rPr>
          <w:rFonts w:ascii="ui-sans-serif" w:eastAsia="ui-sans-serif" w:hAnsi="ui-sans-serif" w:cs="ui-sans-serif"/>
          <w:color w:val="0D0D0D" w:themeColor="text1" w:themeTint="F2"/>
        </w:rPr>
        <w:t>Neubauer</w:t>
      </w:r>
      <w:proofErr w:type="spellEnd"/>
      <w:r w:rsidRPr="64296DDE">
        <w:rPr>
          <w:rFonts w:ascii="ui-sans-serif" w:eastAsia="ui-sans-serif" w:hAnsi="ui-sans-serif" w:cs="ui-sans-serif"/>
          <w:color w:val="0D0D0D" w:themeColor="text1" w:themeTint="F2"/>
        </w:rPr>
        <w:t>, D. N. (2015). National Sleep Foundation's Updated Sleep Duration Recommendations: Final Report. Sleep Health, 1(4), 233-243.</w:t>
      </w:r>
    </w:p>
    <w:p w14:paraId="08727BFA" w14:textId="20F091E1" w:rsidR="41DF7DE9" w:rsidRDefault="41DF7DE9" w:rsidP="64296DDE">
      <w:pPr>
        <w:pStyle w:val="ListParagraph"/>
        <w:numPr>
          <w:ilvl w:val="0"/>
          <w:numId w:val="1"/>
        </w:numPr>
        <w:spacing w:after="0"/>
        <w:rPr>
          <w:rFonts w:ascii="ui-sans-serif" w:eastAsia="ui-sans-serif" w:hAnsi="ui-sans-serif" w:cs="ui-sans-serif"/>
          <w:color w:val="0D0D0D" w:themeColor="text1" w:themeTint="F2"/>
        </w:rPr>
      </w:pPr>
      <w:proofErr w:type="spellStart"/>
      <w:r w:rsidRPr="64296DDE">
        <w:rPr>
          <w:rFonts w:ascii="ui-sans-serif" w:eastAsia="ui-sans-serif" w:hAnsi="ui-sans-serif" w:cs="ui-sans-serif"/>
          <w:color w:val="0D0D0D" w:themeColor="text1" w:themeTint="F2"/>
        </w:rPr>
        <w:t>Westcott</w:t>
      </w:r>
      <w:proofErr w:type="spellEnd"/>
      <w:r w:rsidRPr="64296DDE">
        <w:rPr>
          <w:rFonts w:ascii="ui-sans-serif" w:eastAsia="ui-sans-serif" w:hAnsi="ui-sans-serif" w:cs="ui-sans-serif"/>
          <w:color w:val="0D0D0D" w:themeColor="text1" w:themeTint="F2"/>
        </w:rPr>
        <w:t>, W. L. (2012). Resistance Training is Medicine: Effects of Strength Training on Health. Current Sports Medicine Reports, 11(4), 209-216.</w:t>
      </w:r>
    </w:p>
    <w:p w14:paraId="6065B58E" w14:textId="605911EF" w:rsidR="7FC84BA6" w:rsidRDefault="7FC84BA6" w:rsidP="64296DDE">
      <w:pPr>
        <w:pStyle w:val="ListParagraph"/>
        <w:numPr>
          <w:ilvl w:val="0"/>
          <w:numId w:val="1"/>
        </w:numPr>
        <w:spacing w:after="0"/>
        <w:rPr>
          <w:rFonts w:ascii="ui-sans-serif" w:eastAsia="ui-sans-serif" w:hAnsi="ui-sans-serif" w:cs="ui-sans-serif"/>
          <w:color w:val="0D0D0D" w:themeColor="text1" w:themeTint="F2"/>
        </w:rPr>
      </w:pPr>
      <w:proofErr w:type="spellStart"/>
      <w:r w:rsidRPr="64296DDE">
        <w:rPr>
          <w:rFonts w:ascii="ui-sans-serif" w:eastAsia="ui-sans-serif" w:hAnsi="ui-sans-serif" w:cs="ui-sans-serif"/>
          <w:color w:val="0D0D0D" w:themeColor="text1" w:themeTint="F2"/>
        </w:rPr>
        <w:t>Bohannon</w:t>
      </w:r>
      <w:proofErr w:type="spellEnd"/>
      <w:r w:rsidRPr="64296DDE">
        <w:rPr>
          <w:rFonts w:ascii="ui-sans-serif" w:eastAsia="ui-sans-serif" w:hAnsi="ui-sans-serif" w:cs="ui-sans-serif"/>
          <w:color w:val="0D0D0D" w:themeColor="text1" w:themeTint="F2"/>
        </w:rPr>
        <w:t>, R. W. (2019). Grip Strength: An Indispensable Biomarker for Older Adults. Clinical Interventions in Aging, 14, 1681–1691.</w:t>
      </w:r>
    </w:p>
    <w:p w14:paraId="0C41FC63" w14:textId="20C82CEE" w:rsidR="4F37DAB6" w:rsidRDefault="4F37DAB6" w:rsidP="64296DDE">
      <w:pPr>
        <w:pStyle w:val="ListParagraph"/>
        <w:numPr>
          <w:ilvl w:val="0"/>
          <w:numId w:val="1"/>
        </w:numPr>
        <w:spacing w:after="0"/>
        <w:rPr>
          <w:rFonts w:ascii="ui-sans-serif" w:eastAsia="ui-sans-serif" w:hAnsi="ui-sans-serif" w:cs="ui-sans-serif"/>
          <w:color w:val="0D0D0D" w:themeColor="text1" w:themeTint="F2"/>
        </w:rPr>
      </w:pPr>
      <w:proofErr w:type="spellStart"/>
      <w:r w:rsidRPr="64296DDE">
        <w:rPr>
          <w:rFonts w:ascii="ui-sans-serif" w:eastAsia="ui-sans-serif" w:hAnsi="ui-sans-serif" w:cs="ui-sans-serif"/>
          <w:color w:val="0D0D0D" w:themeColor="text1" w:themeTint="F2"/>
        </w:rPr>
        <w:t>McArdle</w:t>
      </w:r>
      <w:proofErr w:type="spellEnd"/>
      <w:r w:rsidRPr="64296DDE">
        <w:rPr>
          <w:rFonts w:ascii="ui-sans-serif" w:eastAsia="ui-sans-serif" w:hAnsi="ui-sans-serif" w:cs="ui-sans-serif"/>
          <w:color w:val="0D0D0D" w:themeColor="text1" w:themeTint="F2"/>
        </w:rPr>
        <w:t xml:space="preserve">, W. D., </w:t>
      </w:r>
      <w:proofErr w:type="spellStart"/>
      <w:r w:rsidRPr="64296DDE">
        <w:rPr>
          <w:rFonts w:ascii="ui-sans-serif" w:eastAsia="ui-sans-serif" w:hAnsi="ui-sans-serif" w:cs="ui-sans-serif"/>
          <w:color w:val="0D0D0D" w:themeColor="text1" w:themeTint="F2"/>
        </w:rPr>
        <w:t>Katch</w:t>
      </w:r>
      <w:proofErr w:type="spellEnd"/>
      <w:r w:rsidRPr="64296DDE">
        <w:rPr>
          <w:rFonts w:ascii="ui-sans-serif" w:eastAsia="ui-sans-serif" w:hAnsi="ui-sans-serif" w:cs="ui-sans-serif"/>
          <w:color w:val="0D0D0D" w:themeColor="text1" w:themeTint="F2"/>
        </w:rPr>
        <w:t xml:space="preserve">, F. I., &amp; </w:t>
      </w:r>
      <w:proofErr w:type="spellStart"/>
      <w:r w:rsidRPr="64296DDE">
        <w:rPr>
          <w:rFonts w:ascii="ui-sans-serif" w:eastAsia="ui-sans-serif" w:hAnsi="ui-sans-serif" w:cs="ui-sans-serif"/>
          <w:color w:val="0D0D0D" w:themeColor="text1" w:themeTint="F2"/>
        </w:rPr>
        <w:t>Katch</w:t>
      </w:r>
      <w:proofErr w:type="spellEnd"/>
      <w:r w:rsidRPr="64296DDE">
        <w:rPr>
          <w:rFonts w:ascii="ui-sans-serif" w:eastAsia="ui-sans-serif" w:hAnsi="ui-sans-serif" w:cs="ui-sans-serif"/>
          <w:color w:val="0D0D0D" w:themeColor="text1" w:themeTint="F2"/>
        </w:rPr>
        <w:t xml:space="preserve">, V. L. (2014). Exercise Physiology: Nutrition, Energy, and Human Performance. </w:t>
      </w:r>
      <w:proofErr w:type="spellStart"/>
      <w:r w:rsidRPr="64296DDE">
        <w:rPr>
          <w:rFonts w:ascii="ui-sans-serif" w:eastAsia="ui-sans-serif" w:hAnsi="ui-sans-serif" w:cs="ui-sans-serif"/>
          <w:color w:val="0D0D0D" w:themeColor="text1" w:themeTint="F2"/>
        </w:rPr>
        <w:t>Lippincott</w:t>
      </w:r>
      <w:proofErr w:type="spellEnd"/>
      <w:r w:rsidRPr="64296DDE">
        <w:rPr>
          <w:rFonts w:ascii="ui-sans-serif" w:eastAsia="ui-sans-serif" w:hAnsi="ui-sans-serif" w:cs="ui-sans-serif"/>
          <w:color w:val="0D0D0D" w:themeColor="text1" w:themeTint="F2"/>
        </w:rPr>
        <w:t xml:space="preserve"> Williams &amp; Wilkins.</w:t>
      </w:r>
      <w:r w:rsidRPr="64296DDE">
        <w:rPr>
          <w:rStyle w:val="FootnoteReference"/>
          <w:rFonts w:ascii="ui-sans-serif" w:eastAsia="ui-sans-serif" w:hAnsi="ui-sans-serif" w:cs="ui-sans-serif"/>
          <w:color w:val="0D0D0D" w:themeColor="text1" w:themeTint="F2"/>
        </w:rPr>
        <w:footnoteReference w:id="2"/>
      </w:r>
    </w:p>
    <w:p w14:paraId="22B29011" w14:textId="3CADF918" w:rsidR="00C53621" w:rsidRPr="000C316C" w:rsidRDefault="00C53621" w:rsidP="000C316C">
      <w:pPr>
        <w:pStyle w:val="ListParagraph"/>
        <w:spacing w:after="0"/>
        <w:rPr>
          <w:rFonts w:ascii="ui-sans-serif" w:eastAsia="ui-sans-serif" w:hAnsi="ui-sans-serif" w:cs="ui-sans-serif"/>
          <w:color w:val="0D0D0D" w:themeColor="text1" w:themeTint="F2"/>
        </w:rPr>
      </w:pPr>
    </w:p>
    <w:sectPr w:rsidR="00C53621" w:rsidRPr="000C316C">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C82050" w14:textId="77777777" w:rsidR="00B26D73" w:rsidRDefault="00B26D73">
      <w:pPr>
        <w:spacing w:after="0" w:line="240" w:lineRule="auto"/>
      </w:pPr>
      <w:r>
        <w:separator/>
      </w:r>
    </w:p>
  </w:endnote>
  <w:endnote w:type="continuationSeparator" w:id="0">
    <w:p w14:paraId="6A3EDEA9" w14:textId="77777777" w:rsidR="00B26D73" w:rsidRDefault="00B26D73">
      <w:pPr>
        <w:spacing w:after="0" w:line="240" w:lineRule="auto"/>
      </w:pPr>
      <w:r>
        <w:continuationSeparator/>
      </w:r>
    </w:p>
  </w:endnote>
  <w:endnote w:type="continuationNotice" w:id="1">
    <w:p w14:paraId="1ADBAB59" w14:textId="77777777" w:rsidR="00B26D73" w:rsidRDefault="00B26D7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ui-sans-serif">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4296DDE" w14:paraId="6A4ABA79" w14:textId="77777777" w:rsidTr="64296DDE">
      <w:trPr>
        <w:trHeight w:val="300"/>
      </w:trPr>
      <w:tc>
        <w:tcPr>
          <w:tcW w:w="3120" w:type="dxa"/>
        </w:tcPr>
        <w:p w14:paraId="69E4F9CC" w14:textId="422E4F2D" w:rsidR="64296DDE" w:rsidRDefault="64296DDE" w:rsidP="64296DDE">
          <w:pPr>
            <w:pStyle w:val="Header"/>
            <w:ind w:left="-115"/>
          </w:pPr>
        </w:p>
      </w:tc>
      <w:tc>
        <w:tcPr>
          <w:tcW w:w="3120" w:type="dxa"/>
        </w:tcPr>
        <w:p w14:paraId="469608D9" w14:textId="1029BBC3" w:rsidR="64296DDE" w:rsidRDefault="64296DDE" w:rsidP="64296DDE">
          <w:pPr>
            <w:pStyle w:val="Header"/>
            <w:jc w:val="center"/>
          </w:pPr>
        </w:p>
      </w:tc>
      <w:tc>
        <w:tcPr>
          <w:tcW w:w="3120" w:type="dxa"/>
        </w:tcPr>
        <w:p w14:paraId="19053F2C" w14:textId="4DA9D11C" w:rsidR="64296DDE" w:rsidRDefault="64296DDE" w:rsidP="64296DDE">
          <w:pPr>
            <w:pStyle w:val="Header"/>
            <w:ind w:right="-115"/>
            <w:jc w:val="right"/>
          </w:pPr>
        </w:p>
      </w:tc>
    </w:tr>
  </w:tbl>
  <w:p w14:paraId="5DA78E8F" w14:textId="53F597E1" w:rsidR="007444DA" w:rsidRDefault="00744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F0AC06" w14:textId="77777777" w:rsidR="00B26D73" w:rsidRDefault="00B26D73">
      <w:pPr>
        <w:spacing w:after="0" w:line="240" w:lineRule="auto"/>
      </w:pPr>
      <w:r>
        <w:separator/>
      </w:r>
    </w:p>
  </w:footnote>
  <w:footnote w:type="continuationSeparator" w:id="0">
    <w:p w14:paraId="0FEFA3F5" w14:textId="77777777" w:rsidR="00B26D73" w:rsidRDefault="00B26D73">
      <w:pPr>
        <w:spacing w:after="0" w:line="240" w:lineRule="auto"/>
      </w:pPr>
      <w:r>
        <w:continuationSeparator/>
      </w:r>
    </w:p>
  </w:footnote>
  <w:footnote w:type="continuationNotice" w:id="1">
    <w:p w14:paraId="5F5DA58F" w14:textId="77777777" w:rsidR="00B26D73" w:rsidRDefault="00B26D73">
      <w:pPr>
        <w:spacing w:after="0" w:line="240" w:lineRule="auto"/>
      </w:pPr>
    </w:p>
  </w:footnote>
  <w:footnote w:id="2">
    <w:p w14:paraId="68ABB950" w14:textId="37A41663" w:rsidR="64296DDE" w:rsidRDefault="64296DDE" w:rsidP="64296DDE">
      <w:pPr>
        <w:pStyle w:val="FootnoteText"/>
      </w:pPr>
      <w:r w:rsidRPr="64296DDE">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4296DDE" w14:paraId="589F4EF0" w14:textId="77777777" w:rsidTr="64296DDE">
      <w:trPr>
        <w:trHeight w:val="300"/>
      </w:trPr>
      <w:tc>
        <w:tcPr>
          <w:tcW w:w="3120" w:type="dxa"/>
        </w:tcPr>
        <w:p w14:paraId="24FAE701" w14:textId="7028F8CF" w:rsidR="64296DDE" w:rsidRDefault="64296DDE" w:rsidP="64296DDE">
          <w:pPr>
            <w:pStyle w:val="Header"/>
            <w:ind w:left="-115"/>
          </w:pPr>
          <w:r w:rsidRPr="64296DDE">
            <w:rPr>
              <w:rFonts w:ascii="Arial" w:eastAsia="Arial" w:hAnsi="Arial" w:cs="Arial"/>
              <w:b/>
              <w:bCs/>
              <w:sz w:val="22"/>
              <w:szCs w:val="22"/>
            </w:rPr>
            <w:t>BMSS4007</w:t>
          </w:r>
        </w:p>
      </w:tc>
      <w:tc>
        <w:tcPr>
          <w:tcW w:w="3120" w:type="dxa"/>
        </w:tcPr>
        <w:p w14:paraId="54EEE0D8" w14:textId="4F8041C7" w:rsidR="64296DDE" w:rsidRDefault="64296DDE" w:rsidP="64296DDE">
          <w:pPr>
            <w:pStyle w:val="Header"/>
            <w:jc w:val="center"/>
          </w:pPr>
        </w:p>
      </w:tc>
      <w:tc>
        <w:tcPr>
          <w:tcW w:w="3120" w:type="dxa"/>
        </w:tcPr>
        <w:p w14:paraId="38CEFFEC" w14:textId="4769933A" w:rsidR="64296DDE" w:rsidRDefault="64296DDE" w:rsidP="64296DDE">
          <w:pPr>
            <w:pStyle w:val="Header"/>
            <w:ind w:right="-115"/>
            <w:jc w:val="right"/>
          </w:pPr>
        </w:p>
      </w:tc>
    </w:tr>
  </w:tbl>
  <w:p w14:paraId="20F25139" w14:textId="5A96397F" w:rsidR="64296DDE" w:rsidRDefault="64296DDE" w:rsidP="64296DDE">
    <w:pPr>
      <w:pStyle w:val="Header"/>
    </w:pPr>
  </w:p>
  <w:p w14:paraId="6874D0FF" w14:textId="70693762" w:rsidR="007444DA" w:rsidRDefault="007444DA">
    <w:pPr>
      <w:pStyle w:val="Header"/>
    </w:pPr>
  </w:p>
</w:hdr>
</file>

<file path=word/intelligence2.xml><?xml version="1.0" encoding="utf-8"?>
<int2:intelligence xmlns:int2="http://schemas.microsoft.com/office/intelligence/2020/intelligence" xmlns:oel="http://schemas.microsoft.com/office/2019/extlst">
  <int2:observations>
    <int2:textHash int2:hashCode="2qZIXMhFP5pEyr" int2:id="1UtXcQRa">
      <int2:state int2:value="Rejected" int2:type="AugLoop_Text_Critique"/>
    </int2:textHash>
    <int2:textHash int2:hashCode="TaUNCpEh0sOBot" int2:id="35MWsHJF">
      <int2:state int2:value="Rejected" int2:type="AugLoop_Text_Critique"/>
    </int2:textHash>
    <int2:textHash int2:hashCode="mV+WOZ9xRSDibK" int2:id="8uBk7pqR">
      <int2:state int2:value="Rejected" int2:type="AugLoop_Text_Critique"/>
    </int2:textHash>
    <int2:textHash int2:hashCode="Vk3fPrWQI5xUoP" int2:id="GEfifxOR">
      <int2:state int2:value="Rejected" int2:type="AugLoop_Text_Critique"/>
    </int2:textHash>
    <int2:textHash int2:hashCode="hKIoTiD7cgAfOi" int2:id="WewIezJA">
      <int2:state int2:value="Rejected" int2:type="AugLoop_Text_Critique"/>
    </int2:textHash>
    <int2:textHash int2:hashCode="JuQIzlXAzjNi9o" int2:id="fF5BCbZx">
      <int2:state int2:value="Rejected" int2:type="AugLoop_Text_Critique"/>
    </int2:textHash>
    <int2:bookmark int2:bookmarkName="_Int_KafNttuc" int2:invalidationBookmarkName="" int2:hashCode="q9zeZtaL9dohD2" int2:id="3v3bvYEO">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F468D4"/>
    <w:multiLevelType w:val="hybridMultilevel"/>
    <w:tmpl w:val="FFFFFFFF"/>
    <w:lvl w:ilvl="0" w:tplc="734E060E">
      <w:start w:val="1"/>
      <w:numFmt w:val="bullet"/>
      <w:lvlText w:val=""/>
      <w:lvlJc w:val="left"/>
      <w:pPr>
        <w:ind w:left="720" w:hanging="360"/>
      </w:pPr>
      <w:rPr>
        <w:rFonts w:ascii="Symbol" w:hAnsi="Symbol" w:hint="default"/>
      </w:rPr>
    </w:lvl>
    <w:lvl w:ilvl="1" w:tplc="B854001A">
      <w:start w:val="1"/>
      <w:numFmt w:val="bullet"/>
      <w:lvlText w:val="o"/>
      <w:lvlJc w:val="left"/>
      <w:pPr>
        <w:ind w:left="1440" w:hanging="360"/>
      </w:pPr>
      <w:rPr>
        <w:rFonts w:ascii="Courier New" w:hAnsi="Courier New" w:hint="default"/>
      </w:rPr>
    </w:lvl>
    <w:lvl w:ilvl="2" w:tplc="56A43530">
      <w:start w:val="1"/>
      <w:numFmt w:val="bullet"/>
      <w:lvlText w:val=""/>
      <w:lvlJc w:val="left"/>
      <w:pPr>
        <w:ind w:left="2160" w:hanging="360"/>
      </w:pPr>
      <w:rPr>
        <w:rFonts w:ascii="Wingdings" w:hAnsi="Wingdings" w:hint="default"/>
      </w:rPr>
    </w:lvl>
    <w:lvl w:ilvl="3" w:tplc="D19E35B6">
      <w:start w:val="1"/>
      <w:numFmt w:val="bullet"/>
      <w:lvlText w:val=""/>
      <w:lvlJc w:val="left"/>
      <w:pPr>
        <w:ind w:left="2880" w:hanging="360"/>
      </w:pPr>
      <w:rPr>
        <w:rFonts w:ascii="Symbol" w:hAnsi="Symbol" w:hint="default"/>
      </w:rPr>
    </w:lvl>
    <w:lvl w:ilvl="4" w:tplc="DE061718">
      <w:start w:val="1"/>
      <w:numFmt w:val="bullet"/>
      <w:lvlText w:val="o"/>
      <w:lvlJc w:val="left"/>
      <w:pPr>
        <w:ind w:left="3600" w:hanging="360"/>
      </w:pPr>
      <w:rPr>
        <w:rFonts w:ascii="Courier New" w:hAnsi="Courier New" w:hint="default"/>
      </w:rPr>
    </w:lvl>
    <w:lvl w:ilvl="5" w:tplc="46A22914">
      <w:start w:val="1"/>
      <w:numFmt w:val="bullet"/>
      <w:lvlText w:val=""/>
      <w:lvlJc w:val="left"/>
      <w:pPr>
        <w:ind w:left="4320" w:hanging="360"/>
      </w:pPr>
      <w:rPr>
        <w:rFonts w:ascii="Wingdings" w:hAnsi="Wingdings" w:hint="default"/>
      </w:rPr>
    </w:lvl>
    <w:lvl w:ilvl="6" w:tplc="404E74A8">
      <w:start w:val="1"/>
      <w:numFmt w:val="bullet"/>
      <w:lvlText w:val=""/>
      <w:lvlJc w:val="left"/>
      <w:pPr>
        <w:ind w:left="5040" w:hanging="360"/>
      </w:pPr>
      <w:rPr>
        <w:rFonts w:ascii="Symbol" w:hAnsi="Symbol" w:hint="default"/>
      </w:rPr>
    </w:lvl>
    <w:lvl w:ilvl="7" w:tplc="CDB41A6E">
      <w:start w:val="1"/>
      <w:numFmt w:val="bullet"/>
      <w:lvlText w:val="o"/>
      <w:lvlJc w:val="left"/>
      <w:pPr>
        <w:ind w:left="5760" w:hanging="360"/>
      </w:pPr>
      <w:rPr>
        <w:rFonts w:ascii="Courier New" w:hAnsi="Courier New" w:hint="default"/>
      </w:rPr>
    </w:lvl>
    <w:lvl w:ilvl="8" w:tplc="41862D8C">
      <w:start w:val="1"/>
      <w:numFmt w:val="bullet"/>
      <w:lvlText w:val=""/>
      <w:lvlJc w:val="left"/>
      <w:pPr>
        <w:ind w:left="6480" w:hanging="360"/>
      </w:pPr>
      <w:rPr>
        <w:rFonts w:ascii="Wingdings" w:hAnsi="Wingdings" w:hint="default"/>
      </w:rPr>
    </w:lvl>
  </w:abstractNum>
  <w:num w:numId="1" w16cid:durableId="670178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712BA9"/>
    <w:rsid w:val="000C316C"/>
    <w:rsid w:val="00141141"/>
    <w:rsid w:val="002F6BEA"/>
    <w:rsid w:val="00421817"/>
    <w:rsid w:val="007444DA"/>
    <w:rsid w:val="00775A3F"/>
    <w:rsid w:val="007F07CA"/>
    <w:rsid w:val="00B26D73"/>
    <w:rsid w:val="00C02F7C"/>
    <w:rsid w:val="00C53621"/>
    <w:rsid w:val="00D30D28"/>
    <w:rsid w:val="00E26291"/>
    <w:rsid w:val="039C6D2E"/>
    <w:rsid w:val="06605EAA"/>
    <w:rsid w:val="06F8F82A"/>
    <w:rsid w:val="0820E580"/>
    <w:rsid w:val="0A1CF421"/>
    <w:rsid w:val="0A5FF2D2"/>
    <w:rsid w:val="0B88C80B"/>
    <w:rsid w:val="0BB8C482"/>
    <w:rsid w:val="0D0CE4A1"/>
    <w:rsid w:val="0D434F74"/>
    <w:rsid w:val="105C392E"/>
    <w:rsid w:val="107AF036"/>
    <w:rsid w:val="11598072"/>
    <w:rsid w:val="12CAB69F"/>
    <w:rsid w:val="144D5986"/>
    <w:rsid w:val="1854AB61"/>
    <w:rsid w:val="18F01499"/>
    <w:rsid w:val="1994FAD9"/>
    <w:rsid w:val="19CA71C6"/>
    <w:rsid w:val="19EB8C71"/>
    <w:rsid w:val="1B30CB3A"/>
    <w:rsid w:val="1B664227"/>
    <w:rsid w:val="1B749339"/>
    <w:rsid w:val="1CCC9B9B"/>
    <w:rsid w:val="1DBFA371"/>
    <w:rsid w:val="20D77748"/>
    <w:rsid w:val="24066136"/>
    <w:rsid w:val="24B008DA"/>
    <w:rsid w:val="251C5B70"/>
    <w:rsid w:val="262068B1"/>
    <w:rsid w:val="28E9E8D8"/>
    <w:rsid w:val="2942A6AF"/>
    <w:rsid w:val="2B4E87E0"/>
    <w:rsid w:val="2F592A5C"/>
    <w:rsid w:val="30CBBBE1"/>
    <w:rsid w:val="31429126"/>
    <w:rsid w:val="325ED56E"/>
    <w:rsid w:val="34328374"/>
    <w:rsid w:val="34712BA9"/>
    <w:rsid w:val="365D3109"/>
    <w:rsid w:val="379D9D7C"/>
    <w:rsid w:val="3837772C"/>
    <w:rsid w:val="399FFE1B"/>
    <w:rsid w:val="3F82625D"/>
    <w:rsid w:val="41130C0D"/>
    <w:rsid w:val="41DF7DE9"/>
    <w:rsid w:val="4255F8E4"/>
    <w:rsid w:val="45E67D30"/>
    <w:rsid w:val="47118850"/>
    <w:rsid w:val="47F5FCD7"/>
    <w:rsid w:val="4945DFAA"/>
    <w:rsid w:val="4B8F90FB"/>
    <w:rsid w:val="4D073DC0"/>
    <w:rsid w:val="4DB1736A"/>
    <w:rsid w:val="4EA66603"/>
    <w:rsid w:val="4F37DAB6"/>
    <w:rsid w:val="4FAD456E"/>
    <w:rsid w:val="4FB6162A"/>
    <w:rsid w:val="51DE7989"/>
    <w:rsid w:val="5393D7AC"/>
    <w:rsid w:val="54336640"/>
    <w:rsid w:val="574AEAD6"/>
    <w:rsid w:val="58E6BB37"/>
    <w:rsid w:val="59E59D76"/>
    <w:rsid w:val="5B816DD7"/>
    <w:rsid w:val="5C1E5BF9"/>
    <w:rsid w:val="64296DDE"/>
    <w:rsid w:val="66EBBBA1"/>
    <w:rsid w:val="67F86A6D"/>
    <w:rsid w:val="6B63B8E5"/>
    <w:rsid w:val="6C6D5065"/>
    <w:rsid w:val="6DB4CB27"/>
    <w:rsid w:val="6E75375F"/>
    <w:rsid w:val="72ABAECD"/>
    <w:rsid w:val="7485F4F0"/>
    <w:rsid w:val="7621C551"/>
    <w:rsid w:val="77AC280A"/>
    <w:rsid w:val="77BD95B2"/>
    <w:rsid w:val="79596613"/>
    <w:rsid w:val="7AA6BF63"/>
    <w:rsid w:val="7C6D9ED6"/>
    <w:rsid w:val="7D06871B"/>
    <w:rsid w:val="7D5E3114"/>
    <w:rsid w:val="7E1349EF"/>
    <w:rsid w:val="7FC84B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12BA9"/>
  <w15:chartTrackingRefBased/>
  <w15:docId w15:val="{C1FCD36F-4452-4F15-A900-347022871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7444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4DA"/>
  </w:style>
  <w:style w:type="paragraph" w:styleId="Footer">
    <w:name w:val="footer"/>
    <w:basedOn w:val="Normal"/>
    <w:link w:val="FooterChar"/>
    <w:uiPriority w:val="99"/>
    <w:unhideWhenUsed/>
    <w:rsid w:val="007444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4DA"/>
  </w:style>
  <w:style w:type="table" w:styleId="TableGrid">
    <w:name w:val="Table Grid"/>
    <w:basedOn w:val="TableNormal"/>
    <w:uiPriority w:val="59"/>
    <w:rsid w:val="007444D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444DA"/>
    <w:pPr>
      <w:ind w:left="720"/>
      <w:contextualSpacing/>
    </w:pPr>
  </w:style>
  <w:style w:type="character" w:styleId="Hyperlink">
    <w:name w:val="Hyperlink"/>
    <w:basedOn w:val="DefaultParagraphFont"/>
    <w:uiPriority w:val="99"/>
    <w:unhideWhenUsed/>
    <w:rsid w:val="007444DA"/>
    <w:rPr>
      <w:color w:val="467886" w:themeColor="hyperlink"/>
      <w:u w:val="single"/>
    </w:rPr>
  </w:style>
  <w:style w:type="character" w:styleId="FootnoteReference">
    <w:name w:val="footnote reference"/>
    <w:basedOn w:val="DefaultParagraphFont"/>
    <w:uiPriority w:val="99"/>
    <w:semiHidden/>
    <w:unhideWhenUsed/>
    <w:rsid w:val="007444DA"/>
    <w:rPr>
      <w:vertAlign w:val="superscript"/>
    </w:rPr>
  </w:style>
  <w:style w:type="character" w:customStyle="1" w:styleId="FootnoteTextChar">
    <w:name w:val="Footnote Text Char"/>
    <w:basedOn w:val="DefaultParagraphFont"/>
    <w:link w:val="FootnoteText"/>
    <w:uiPriority w:val="99"/>
    <w:semiHidden/>
    <w:rsid w:val="007444DA"/>
    <w:rPr>
      <w:sz w:val="20"/>
      <w:szCs w:val="20"/>
    </w:rPr>
  </w:style>
  <w:style w:type="paragraph" w:styleId="FootnoteText">
    <w:name w:val="footnote text"/>
    <w:basedOn w:val="Normal"/>
    <w:link w:val="FootnoteTextChar"/>
    <w:uiPriority w:val="99"/>
    <w:semiHidden/>
    <w:unhideWhenUsed/>
    <w:rsid w:val="007444DA"/>
    <w:pPr>
      <w:spacing w:after="0" w:line="240" w:lineRule="auto"/>
    </w:pPr>
    <w:rPr>
      <w:sz w:val="20"/>
      <w:szCs w:val="20"/>
    </w:rPr>
  </w:style>
  <w:style w:type="character" w:customStyle="1" w:styleId="FootnoteTextChar1">
    <w:name w:val="Footnote Text Char1"/>
    <w:basedOn w:val="DefaultParagraphFont"/>
    <w:uiPriority w:val="99"/>
    <w:semiHidden/>
    <w:rsid w:val="007444DA"/>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fitness.org/education-and-resources/lifestyle/blog/6396/why-is-flexibility-importa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eart.org/en/health-topics/high-blood-pressure/understanding-blood-pressure-reading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hlbi.nih.gov/health/educational/lose_wt/risk.htm"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2540</Words>
  <Characters>14482</Characters>
  <Application>Microsoft Office Word</Application>
  <DocSecurity>4</DocSecurity>
  <Lines>120</Lines>
  <Paragraphs>33</Paragraphs>
  <ScaleCrop>false</ScaleCrop>
  <Company/>
  <LinksUpToDate>false</LinksUpToDate>
  <CharactersWithSpaces>16989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Powell (2305986)</dc:creator>
  <cp:keywords/>
  <dc:description/>
  <cp:lastModifiedBy>Ryan Powell (2305986)</cp:lastModifiedBy>
  <cp:revision>4</cp:revision>
  <dcterms:created xsi:type="dcterms:W3CDTF">2024-03-26T19:35:00Z</dcterms:created>
  <dcterms:modified xsi:type="dcterms:W3CDTF">2024-03-29T18:25:00Z</dcterms:modified>
</cp:coreProperties>
</file>