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docProps/core.xml" ContentType="application/vnd.openxmlformats-package.core-properties+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spacing w:before="0" w:after="0"/>
        <w:ind w:left="-180" w:right="-334"/>
        <w:rPr/>
      </w:pPr>
      <w:r>
        <w:rPr>
          <w:noProof/>
          <w:lang w:eastAsia="en-GB"/>
        </w:rPr>
        <w:drawing>
          <wp:inline distT="0" distB="0" distR="0" distL="0">
            <wp:extent cx="2058035" cy="856869"/>
            <wp:effectExtent l="0" t="0" r="0" b="0"/>
            <wp:docPr id="1026" name="Image1" descr="C:\Users\ablettm\AppData\Local\Microsoft\Windows\Temporary Internet Files\Content.Outlook\R41HOZLM\UWTSD Logo.jpg"/>
            <wp:cNvGraphicFramePr>
              <a:graphicFrameLocks xmlns:a="http://schemas.openxmlformats.org/drawingml/2006/main" noChangeAspect="tru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2058035" cy="856869"/>
                    </a:xfrm>
                    <a:prstGeom prst="rect">
                      <a:avLst/>
                    </a:prstGeom>
                  </pic:spPr>
                </pic:pic>
              </a:graphicData>
            </a:graphic>
          </wp:inline>
        </w:drawing>
      </w:r>
    </w:p>
    <w:p>
      <w:pPr>
        <w:spacing w:before="0" w:after="0"/>
        <w:ind w:left="-180" w:right="-334"/>
        <w:rPr/>
      </w:pPr>
    </w:p>
    <w:p>
      <w:pPr>
        <w:spacing w:before="0" w:after="0"/>
        <w:ind w:left="-180" w:right="-334"/>
        <w:rPr/>
      </w:pPr>
    </w:p>
    <w:p>
      <w:pPr>
        <w:spacing w:before="0" w:after="0"/>
        <w:ind w:left="-180" w:right="-334"/>
        <w:jc w:val="center"/>
        <w:rPr/>
      </w:pPr>
      <w:r>
        <w:rPr>
          <w:rFonts w:ascii="Arial" w:cs="Arial" w:hAnsi="Arial" w:hint="default"/>
          <w:b/>
          <w:bCs/>
          <w:sz w:val="28"/>
          <w:szCs w:val="28"/>
          <w:lang w:val="cy-GB"/>
        </w:rPr>
        <w:t>Postgraduate</w:t>
      </w:r>
      <w:r>
        <w:rPr>
          <w:rFonts w:ascii="Arial" w:cs="Arial" w:hAnsi="Arial" w:hint="default"/>
          <w:b/>
          <w:bCs/>
          <w:sz w:val="28"/>
          <w:szCs w:val="28"/>
          <w:lang w:val="cy-GB"/>
        </w:rPr>
        <w:t>/Distance</w:t>
      </w:r>
      <w:r>
        <w:rPr>
          <w:rFonts w:ascii="Arial" w:cs="Arial" w:hAnsi="Arial" w:hint="default"/>
          <w:b/>
          <w:bCs/>
          <w:sz w:val="28"/>
          <w:szCs w:val="28"/>
          <w:lang w:val="cy-GB"/>
        </w:rPr>
        <w:t xml:space="preserve"> </w:t>
      </w:r>
      <w:r>
        <w:rPr>
          <w:rFonts w:ascii="Arial" w:cs="Arial" w:hAnsi="Arial" w:hint="default"/>
          <w:b/>
          <w:bCs/>
          <w:sz w:val="28"/>
          <w:szCs w:val="28"/>
          <w:lang w:val="cy-GB"/>
        </w:rPr>
        <w:t>Learning</w:t>
      </w:r>
      <w:r>
        <w:rPr>
          <w:rFonts w:ascii="Arial" w:cs="Arial" w:hAnsi="Arial" w:hint="default"/>
          <w:b/>
          <w:bCs/>
          <w:sz w:val="28"/>
          <w:szCs w:val="28"/>
          <w:lang w:val="cy-GB"/>
        </w:rPr>
        <w:t xml:space="preserve"> </w:t>
      </w:r>
    </w:p>
    <w:p>
      <w:pPr>
        <w:spacing w:before="0" w:after="0"/>
        <w:ind w:left="-180" w:right="-334"/>
        <w:jc w:val="center"/>
        <w:rPr/>
      </w:pPr>
      <w:r>
        <w:rPr>
          <w:rFonts w:ascii="Arial" w:cs="Arial" w:hAnsi="Arial" w:hint="default"/>
          <w:b/>
          <w:bCs/>
          <w:sz w:val="28"/>
          <w:szCs w:val="28"/>
          <w:lang w:val="cy-GB"/>
        </w:rPr>
        <w:t>A</w:t>
      </w:r>
      <w:r>
        <w:rPr>
          <w:rFonts w:ascii="Arial" w:cs="Arial" w:hAnsi="Arial" w:hint="default"/>
          <w:b/>
          <w:bCs/>
          <w:sz w:val="28"/>
          <w:szCs w:val="28"/>
          <w:lang w:val="cy-GB"/>
        </w:rPr>
        <w:t>ssignment</w:t>
      </w:r>
      <w:r>
        <w:rPr>
          <w:rFonts w:ascii="Arial" w:cs="Arial" w:hAnsi="Arial" w:hint="default"/>
          <w:b/>
          <w:bCs/>
          <w:sz w:val="28"/>
          <w:szCs w:val="28"/>
          <w:lang w:val="cy-GB"/>
        </w:rPr>
        <w:t xml:space="preserve"> </w:t>
      </w:r>
      <w:r>
        <w:rPr>
          <w:rFonts w:ascii="Arial" w:cs="Arial" w:hAnsi="Arial" w:hint="default"/>
          <w:b/>
          <w:bCs/>
          <w:sz w:val="28"/>
          <w:szCs w:val="28"/>
          <w:lang w:val="cy-GB"/>
        </w:rPr>
        <w:t>coversheet</w:t>
      </w:r>
      <w:r>
        <w:rPr>
          <w:rFonts w:ascii="Arial" w:cs="Arial" w:hAnsi="Arial" w:hint="default"/>
          <w:b/>
          <w:bCs/>
          <w:sz w:val="28"/>
          <w:szCs w:val="28"/>
          <w:lang w:val="cy-GB"/>
        </w:rPr>
        <w:t xml:space="preserve"> </w:t>
      </w:r>
      <w:r>
        <w:rPr>
          <w:rFonts w:ascii="Arial" w:cs="Arial" w:hAnsi="Arial" w:hint="default"/>
          <w:b/>
          <w:bCs/>
          <w:sz w:val="28"/>
          <w:szCs w:val="28"/>
          <w:lang w:val="cy-GB"/>
        </w:rPr>
        <w:t>&amp;</w:t>
      </w:r>
      <w:r>
        <w:rPr>
          <w:rFonts w:ascii="Arial" w:cs="Arial" w:hAnsi="Arial" w:hint="default"/>
          <w:b/>
          <w:bCs/>
          <w:sz w:val="28"/>
          <w:szCs w:val="28"/>
          <w:lang w:val="cy-GB"/>
        </w:rPr>
        <w:t xml:space="preserve"> </w:t>
      </w:r>
      <w:r>
        <w:rPr>
          <w:rFonts w:ascii="Arial" w:cs="Arial" w:hAnsi="Arial" w:hint="default"/>
          <w:b/>
          <w:bCs/>
          <w:sz w:val="28"/>
          <w:szCs w:val="28"/>
          <w:lang w:val="cy-GB"/>
        </w:rPr>
        <w:t>feedback</w:t>
      </w:r>
      <w:r>
        <w:rPr>
          <w:rFonts w:ascii="Arial" w:cs="Arial" w:hAnsi="Arial" w:hint="default"/>
          <w:b/>
          <w:bCs/>
          <w:sz w:val="28"/>
          <w:szCs w:val="28"/>
          <w:lang w:val="cy-GB"/>
        </w:rPr>
        <w:t xml:space="preserve"> </w:t>
      </w:r>
      <w:r>
        <w:rPr>
          <w:rFonts w:ascii="Arial" w:cs="Arial" w:hAnsi="Arial" w:hint="default"/>
          <w:b/>
          <w:bCs/>
          <w:sz w:val="28"/>
          <w:szCs w:val="28"/>
          <w:lang w:val="cy-GB"/>
        </w:rPr>
        <w:t>form</w:t>
      </w:r>
    </w:p>
    <w:p>
      <w:pPr>
        <w:rPr/>
      </w:pPr>
    </w:p>
    <w:p>
      <w:pPr>
        <w:jc w:val="center"/>
        <w:rPr/>
      </w:pPr>
      <w:r>
        <w:rPr>
          <w:rFonts w:hint="default"/>
          <w:lang w:val="cy-GB"/>
        </w:rPr>
        <w:t>THIS</w:t>
      </w:r>
      <w:r>
        <w:rPr>
          <w:rFonts w:hint="default"/>
          <w:lang w:val="cy-GB"/>
        </w:rPr>
        <w:t xml:space="preserve"> </w:t>
      </w:r>
      <w:r>
        <w:rPr>
          <w:rFonts w:hint="default"/>
          <w:lang w:val="cy-GB"/>
        </w:rPr>
        <w:t>SHEET</w:t>
      </w:r>
      <w:r>
        <w:rPr>
          <w:rFonts w:hint="default"/>
          <w:lang w:val="cy-GB"/>
        </w:rPr>
        <w:t xml:space="preserve"> </w:t>
      </w:r>
      <w:r>
        <w:rPr>
          <w:rFonts w:hint="default"/>
          <w:lang w:val="cy-GB"/>
        </w:rPr>
        <w:t>MUST</w:t>
      </w:r>
      <w:r>
        <w:rPr>
          <w:rFonts w:hint="default"/>
          <w:lang w:val="cy-GB"/>
        </w:rPr>
        <w:t xml:space="preserve"> </w:t>
      </w:r>
      <w:r>
        <w:rPr>
          <w:rFonts w:hint="default"/>
          <w:lang w:val="cy-GB"/>
        </w:rPr>
        <w:t>BE</w:t>
      </w:r>
      <w:r>
        <w:rPr>
          <w:rFonts w:hint="default"/>
          <w:lang w:val="cy-GB"/>
        </w:rPr>
        <w:t xml:space="preserve"> </w:t>
      </w:r>
      <w:r>
        <w:rPr>
          <w:rFonts w:hint="default"/>
          <w:lang w:val="cy-GB"/>
        </w:rPr>
        <w:t>THE</w:t>
      </w:r>
      <w:r>
        <w:rPr>
          <w:rFonts w:hint="default"/>
          <w:lang w:val="cy-GB"/>
        </w:rPr>
        <w:t xml:space="preserve"> </w:t>
      </w:r>
      <w:r>
        <w:rPr>
          <w:rFonts w:hint="default"/>
          <w:lang w:val="cy-GB"/>
        </w:rPr>
        <w:t>FIRST</w:t>
      </w:r>
      <w:r>
        <w:rPr>
          <w:rFonts w:hint="default"/>
          <w:lang w:val="cy-GB"/>
        </w:rPr>
        <w:t xml:space="preserve"> </w:t>
      </w:r>
      <w:r>
        <w:rPr>
          <w:rFonts w:hint="default"/>
          <w:lang w:val="cy-GB"/>
        </w:rPr>
        <w:t>PAGE</w:t>
      </w:r>
      <w:r>
        <w:rPr>
          <w:rFonts w:hint="default"/>
          <w:lang w:val="cy-GB"/>
        </w:rPr>
        <w:t xml:space="preserve"> </w:t>
      </w:r>
      <w:r>
        <w:rPr>
          <w:rFonts w:hint="default"/>
          <w:lang w:val="cy-GB"/>
        </w:rPr>
        <w:t>OF</w:t>
      </w:r>
      <w:r>
        <w:rPr>
          <w:rFonts w:hint="default"/>
          <w:lang w:val="cy-GB"/>
        </w:rPr>
        <w:t xml:space="preserve"> </w:t>
      </w:r>
      <w:r>
        <w:rPr>
          <w:rFonts w:hint="default"/>
          <w:lang w:val="cy-GB"/>
        </w:rPr>
        <w:t>THE</w:t>
      </w:r>
      <w:r>
        <w:rPr>
          <w:rFonts w:hint="default"/>
          <w:lang w:val="cy-GB"/>
        </w:rPr>
        <w:t xml:space="preserve"> </w:t>
      </w:r>
      <w:r>
        <w:rPr>
          <w:rFonts w:hint="default"/>
          <w:lang w:val="cy-GB"/>
        </w:rPr>
        <w:t>ASSIGNMENT</w:t>
      </w:r>
      <w:r>
        <w:rPr>
          <w:rFonts w:hint="default"/>
          <w:lang w:val="cy-GB"/>
        </w:rPr>
        <w:t xml:space="preserve"> </w:t>
      </w:r>
      <w:r>
        <w:rPr>
          <w:rFonts w:hint="default"/>
          <w:lang w:val="cy-GB"/>
        </w:rPr>
        <w:t>YOU</w:t>
      </w:r>
      <w:r>
        <w:rPr>
          <w:rFonts w:hint="default"/>
          <w:lang w:val="cy-GB"/>
        </w:rPr>
        <w:t xml:space="preserve"> </w:t>
      </w:r>
      <w:r>
        <w:rPr>
          <w:rFonts w:hint="default"/>
          <w:lang w:val="cy-GB"/>
        </w:rPr>
        <w:t>ARE</w:t>
      </w:r>
      <w:r>
        <w:rPr>
          <w:rFonts w:hint="default"/>
          <w:lang w:val="cy-GB"/>
        </w:rPr>
        <w:t xml:space="preserve"> </w:t>
      </w:r>
      <w:r>
        <w:rPr>
          <w:rFonts w:hint="default"/>
          <w:lang w:val="cy-GB"/>
        </w:rPr>
        <w:t>SUBMITTING</w:t>
      </w:r>
      <w:r>
        <w:rPr>
          <w:rFonts w:hint="default"/>
          <w:lang w:val="cy-GB"/>
        </w:rPr>
        <w:t xml:space="preserve">  </w:t>
      </w:r>
      <w:r>
        <w:rPr>
          <w:rFonts w:hint="default"/>
          <w:lang w:val="cy-GB"/>
        </w:rPr>
        <w:t>(DO</w:t>
      </w:r>
      <w:r>
        <w:rPr>
          <w:rFonts w:hint="default"/>
          <w:lang w:val="cy-GB"/>
        </w:rPr>
        <w:t xml:space="preserve"> </w:t>
      </w:r>
      <w:r>
        <w:rPr>
          <w:rFonts w:hint="default"/>
          <w:lang w:val="cy-GB"/>
        </w:rPr>
        <w:t>NOT</w:t>
      </w:r>
      <w:r>
        <w:rPr>
          <w:rFonts w:hint="default"/>
          <w:lang w:val="cy-GB"/>
        </w:rPr>
        <w:t xml:space="preserve"> </w:t>
      </w:r>
      <w:r>
        <w:rPr>
          <w:rFonts w:hint="default"/>
          <w:lang w:val="cy-GB"/>
        </w:rPr>
        <w:t>SEND</w:t>
      </w:r>
      <w:r>
        <w:rPr>
          <w:rFonts w:hint="default"/>
          <w:lang w:val="cy-GB"/>
        </w:rPr>
        <w:t xml:space="preserve"> </w:t>
      </w:r>
      <w:r>
        <w:rPr>
          <w:rFonts w:hint="default"/>
          <w:lang w:val="cy-GB"/>
        </w:rPr>
        <w:t>AS</w:t>
      </w:r>
      <w:r>
        <w:rPr>
          <w:rFonts w:hint="default"/>
          <w:lang w:val="cy-GB"/>
        </w:rPr>
        <w:t xml:space="preserve"> </w:t>
      </w:r>
      <w:r>
        <w:rPr>
          <w:rFonts w:hint="default"/>
          <w:lang w:val="cy-GB"/>
        </w:rPr>
        <w:t>A</w:t>
      </w:r>
      <w:r>
        <w:rPr>
          <w:rFonts w:hint="default"/>
          <w:lang w:val="cy-GB"/>
        </w:rPr>
        <w:t xml:space="preserve"> </w:t>
      </w:r>
      <w:r>
        <w:rPr>
          <w:rFonts w:hint="default"/>
          <w:lang w:val="cy-GB"/>
        </w:rPr>
        <w:t>SEPARATE</w:t>
      </w:r>
      <w:r>
        <w:rPr>
          <w:rFonts w:hint="default"/>
          <w:lang w:val="cy-GB"/>
        </w:rPr>
        <w:t xml:space="preserve"> </w:t>
      </w:r>
      <w:r>
        <w:rPr>
          <w:rFonts w:hint="default"/>
          <w:lang w:val="cy-GB"/>
        </w:rPr>
        <w:t>FILE)</w:t>
      </w:r>
    </w:p>
    <w:p>
      <w:pPr>
        <w:jc w:val="center"/>
        <w:rPr/>
      </w:pPr>
    </w:p>
    <w:tbl>
      <w:tblPr>
        <w:jc w:val="left"/>
        <w:tblInd w:w="0" w:type="dxa"/>
        <w:tblCellMar>
          <w:top w:w="0" w:type="dxa"/>
          <w:left w:w="108" w:type="dxa"/>
          <w:bottom w:w="0" w:type="dxa"/>
          <w:right w:w="108" w:type="dxa"/>
        </w:tblCellMar>
      </w:tblPr>
      <w:tblGrid>
        <w:gridCol w:w="4788"/>
        <w:gridCol w:w="423"/>
        <w:gridCol w:w="1557"/>
        <w:gridCol w:w="285"/>
        <w:gridCol w:w="1802"/>
        <w:gridCol w:w="1"/>
      </w:tblGrid>
      <w:tr>
        <w:trPr>
          <w:wBefore w:w="0" w:type="dxa"/>
          <w:wAfter w:w="0" w:type="dxa"/>
          <w:cantSplit w:val="false"/>
          <w:trHeight w:val="614"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spacing w:before="0" w:after="0"/>
              <w:ind w:right="34"/>
              <w:rPr/>
            </w:pPr>
            <w:r>
              <w:rPr>
                <w:rFonts w:ascii="Arial" w:cs="Arial" w:hAnsi="Arial" w:hint="default"/>
                <w:b/>
                <w:bCs/>
                <w:sz w:val="22"/>
                <w:szCs w:val="22"/>
              </w:rPr>
              <w:t>For</w:t>
            </w:r>
            <w:r>
              <w:rPr>
                <w:rFonts w:ascii="Arial" w:cs="Arial" w:hAnsi="Arial" w:hint="default"/>
                <w:b/>
                <w:bCs/>
                <w:sz w:val="22"/>
                <w:szCs w:val="22"/>
              </w:rPr>
              <w:t xml:space="preserve"> </w:t>
            </w:r>
            <w:r>
              <w:rPr>
                <w:rFonts w:ascii="Arial" w:cs="Arial" w:hAnsi="Arial" w:hint="default"/>
                <w:b/>
                <w:bCs/>
                <w:sz w:val="22"/>
                <w:szCs w:val="22"/>
              </w:rPr>
              <w:t>completion</w:t>
            </w:r>
            <w:r>
              <w:rPr>
                <w:rFonts w:ascii="Arial" w:cs="Arial" w:hAnsi="Arial" w:hint="default"/>
                <w:b/>
                <w:bCs/>
                <w:sz w:val="22"/>
                <w:szCs w:val="22"/>
              </w:rPr>
              <w:t xml:space="preserve"> </w:t>
            </w:r>
            <w:r>
              <w:rPr>
                <w:rFonts w:ascii="Arial" w:cs="Arial" w:hAnsi="Arial" w:hint="default"/>
                <w:b/>
                <w:bCs/>
                <w:sz w:val="22"/>
                <w:szCs w:val="22"/>
              </w:rPr>
              <w:t>by</w:t>
            </w:r>
            <w:r>
              <w:rPr>
                <w:rFonts w:ascii="Arial" w:cs="Arial" w:hAnsi="Arial" w:hint="default"/>
                <w:b/>
                <w:bCs/>
                <w:sz w:val="22"/>
                <w:szCs w:val="22"/>
              </w:rPr>
              <w:t xml:space="preserve"> </w:t>
            </w:r>
            <w:r>
              <w:rPr>
                <w:rFonts w:ascii="Arial" w:cs="Arial" w:hAnsi="Arial" w:hint="default"/>
                <w:b/>
                <w:bCs/>
                <w:sz w:val="22"/>
                <w:szCs w:val="22"/>
              </w:rPr>
              <w:t>the</w:t>
            </w:r>
            <w:r>
              <w:rPr>
                <w:rFonts w:ascii="Arial" w:cs="Arial" w:hAnsi="Arial" w:hint="default"/>
                <w:b/>
                <w:bCs/>
                <w:sz w:val="22"/>
                <w:szCs w:val="22"/>
              </w:rPr>
              <w:t xml:space="preserve"> </w:t>
            </w:r>
            <w:r>
              <w:rPr>
                <w:rFonts w:ascii="Arial" w:cs="Arial" w:hAnsi="Arial" w:hint="default"/>
                <w:b/>
                <w:bCs/>
                <w:sz w:val="22"/>
                <w:szCs w:val="22"/>
              </w:rPr>
              <w:t>student</w:t>
            </w:r>
            <w:r>
              <w:rPr>
                <w:rFonts w:ascii="Arial" w:cs="Arial" w:hAnsi="Arial" w:hint="default"/>
                <w:sz w:val="22"/>
                <w:szCs w:val="22"/>
              </w:rPr>
              <w:t>:</w:t>
            </w:r>
          </w:p>
          <w:p>
            <w:pPr>
              <w:spacing w:before="0" w:after="0"/>
              <w:ind w:right="34"/>
              <w:rPr/>
            </w:pPr>
          </w:p>
        </w:tc>
      </w:tr>
      <w:tr>
        <w:tblPrEx/>
        <w:trPr>
          <w:wBefore w:w="0" w:type="dxa"/>
          <w:wAfter w:w="0" w:type="dxa"/>
          <w:cantSplit w:val="false"/>
          <w:trHeight w:val="718"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spacing w:before="0" w:after="0"/>
              <w:ind w:right="34"/>
              <w:rPr/>
            </w:pPr>
            <w:r>
              <w:rPr>
                <w:rFonts w:ascii="Arial" w:cs="Arial" w:hAnsi="Arial" w:hint="default"/>
                <w:sz w:val="22"/>
                <w:szCs w:val="22"/>
              </w:rPr>
              <w:t>Student</w:t>
            </w:r>
            <w:r>
              <w:rPr>
                <w:rFonts w:ascii="Arial" w:cs="Arial" w:hAnsi="Arial" w:hint="default"/>
                <w:sz w:val="22"/>
                <w:szCs w:val="22"/>
              </w:rPr>
              <w:t xml:space="preserve"> </w:t>
            </w:r>
            <w:r>
              <w:rPr>
                <w:rFonts w:ascii="Arial" w:cs="Arial" w:hAnsi="Arial" w:hint="default"/>
                <w:sz w:val="22"/>
                <w:szCs w:val="22"/>
              </w:rPr>
              <w:t>Na</w:t>
            </w:r>
            <w:r>
              <w:rPr>
                <w:rFonts w:ascii="Arial" w:cs="Arial" w:hAnsi="Arial" w:hint="default"/>
                <w:sz w:val="22"/>
                <w:szCs w:val="22"/>
              </w:rPr>
              <w:t>me:</w:t>
            </w:r>
          </w:p>
          <w:p>
            <w:pPr>
              <w:spacing w:before="0" w:after="0"/>
              <w:ind w:right="34"/>
              <w:rPr/>
            </w:pPr>
            <w:r>
              <w:rPr>
                <w:rFonts w:ascii="Arial" w:cs="Arial" w:hAnsi="Arial" w:hint="default"/>
                <w:sz w:val="22"/>
                <w:szCs w:val="22"/>
                <w:lang w:val="en-GB"/>
              </w:rPr>
              <w:t>Catherine</w:t>
            </w:r>
            <w:r>
              <w:rPr>
                <w:rFonts w:ascii="Arial" w:cs="Arial" w:hAnsi="Arial" w:hint="default"/>
                <w:sz w:val="22"/>
                <w:szCs w:val="22"/>
                <w:lang w:val="en-GB"/>
              </w:rPr>
              <w:t xml:space="preserve"> </w:t>
            </w:r>
            <w:r>
              <w:rPr>
                <w:rFonts w:ascii="Arial" w:cs="Arial" w:hAnsi="Arial" w:hint="default"/>
                <w:sz w:val="22"/>
                <w:szCs w:val="22"/>
                <w:lang w:val="en-GB"/>
              </w:rPr>
              <w:t>Hornby</w:t>
            </w:r>
          </w:p>
        </w:tc>
      </w:tr>
      <w:tr>
        <w:tblPrEx/>
        <w:trPr>
          <w:gridAfter w:val="1"/>
          <w:wBefore w:w="0" w:type="dxa"/>
          <w:wAfter w:w="0" w:type="dxa"/>
          <w:cantSplit w:val="false"/>
          <w:trHeight w:val="849" w:hRule="atLeast"/>
          <w:tblHeader w:val="false"/>
          <w:jc w:val="left"/>
        </w:trPr>
        <w:tc>
          <w:tcPr>
            <w:tcW w:w="4788" w:type="dxa"/>
            <w:tcBorders>
              <w:top w:val="single" w:sz="4" w:space="0" w:color="auto"/>
              <w:left w:val="single" w:sz="4" w:space="0" w:color="auto"/>
              <w:bottom w:val="single" w:sz="4" w:space="0" w:color="auto"/>
              <w:right w:val="single" w:sz="4" w:space="0" w:color="auto"/>
            </w:tcBorders>
          </w:tcPr>
          <w:p>
            <w:pPr>
              <w:spacing w:before="0" w:after="0"/>
              <w:ind w:right="34"/>
              <w:rPr/>
            </w:pPr>
            <w:r>
              <w:rPr>
                <w:rFonts w:ascii="Arial" w:cs="Arial" w:hAnsi="Arial" w:hint="default"/>
                <w:sz w:val="22"/>
                <w:szCs w:val="22"/>
              </w:rPr>
              <w:t>Module</w:t>
            </w:r>
            <w:r>
              <w:rPr>
                <w:rFonts w:ascii="Arial" w:cs="Arial" w:hAnsi="Arial" w:hint="default"/>
                <w:sz w:val="22"/>
                <w:szCs w:val="22"/>
              </w:rPr>
              <w:t xml:space="preserve"> </w:t>
            </w:r>
            <w:r>
              <w:rPr>
                <w:rFonts w:ascii="Arial" w:cs="Arial" w:hAnsi="Arial" w:hint="default"/>
                <w:sz w:val="22"/>
                <w:szCs w:val="22"/>
              </w:rPr>
              <w:t>code:</w:t>
            </w:r>
            <w:r>
              <w:rPr>
                <w:rFonts w:ascii="Arial" w:cs="Arial" w:hAnsi="Arial" w:hint="default"/>
                <w:sz w:val="22"/>
                <w:szCs w:val="22"/>
                <w:lang w:val="en-GB"/>
              </w:rPr>
              <w:t xml:space="preserve"> </w:t>
            </w:r>
            <w:r>
              <w:rPr>
                <w:rFonts w:ascii="Arial" w:cs="Arial" w:hAnsi="Arial" w:hint="default"/>
                <w:sz w:val="22"/>
                <w:szCs w:val="22"/>
                <w:lang w:val="en-GB"/>
              </w:rPr>
              <w:t>CSEN7022</w:t>
            </w:r>
          </w:p>
          <w:p>
            <w:pPr>
              <w:spacing w:before="0" w:after="0"/>
              <w:ind w:right="34"/>
              <w:rPr/>
            </w:pPr>
          </w:p>
          <w:p>
            <w:pPr>
              <w:spacing w:before="0" w:after="0"/>
              <w:ind w:right="34"/>
              <w:rPr/>
            </w:pPr>
            <w:r>
              <w:rPr>
                <w:rFonts w:ascii="Arial" w:cs="Arial" w:hAnsi="Arial" w:hint="default"/>
                <w:sz w:val="22"/>
                <w:szCs w:val="22"/>
              </w:rPr>
              <w:t>Module</w:t>
            </w:r>
            <w:r>
              <w:rPr>
                <w:rFonts w:ascii="Arial" w:cs="Arial" w:hAnsi="Arial" w:hint="default"/>
                <w:sz w:val="22"/>
                <w:szCs w:val="22"/>
              </w:rPr>
              <w:t xml:space="preserve"> </w:t>
            </w:r>
            <w:r>
              <w:rPr>
                <w:rFonts w:ascii="Arial" w:cs="Arial" w:hAnsi="Arial" w:hint="default"/>
                <w:sz w:val="22"/>
                <w:szCs w:val="22"/>
              </w:rPr>
              <w:t>title:</w:t>
            </w:r>
          </w:p>
          <w:p>
            <w:pPr>
              <w:spacing w:before="0" w:after="0"/>
              <w:ind w:right="34"/>
              <w:rPr/>
            </w:pPr>
            <w:r>
              <w:rPr>
                <w:rFonts w:ascii="Arial" w:cs="Arial" w:hAnsi="Arial" w:hint="default"/>
                <w:sz w:val="22"/>
                <w:szCs w:val="22"/>
                <w:lang w:val="en-GB"/>
              </w:rPr>
              <w:t>Visions</w:t>
            </w:r>
            <w:r>
              <w:rPr>
                <w:rFonts w:ascii="Arial" w:cs="Arial" w:hAnsi="Arial" w:hint="default"/>
                <w:sz w:val="22"/>
                <w:szCs w:val="22"/>
                <w:lang w:val="en-GB"/>
              </w:rPr>
              <w:t xml:space="preserve"> </w:t>
            </w:r>
            <w:r>
              <w:rPr>
                <w:rFonts w:ascii="Arial" w:cs="Arial" w:hAnsi="Arial" w:hint="default"/>
                <w:sz w:val="22"/>
                <w:szCs w:val="22"/>
                <w:lang w:val="en-GB"/>
              </w:rPr>
              <w:t>of</w:t>
            </w:r>
            <w:r>
              <w:rPr>
                <w:rFonts w:ascii="Arial" w:cs="Arial" w:hAnsi="Arial" w:hint="default"/>
                <w:sz w:val="22"/>
                <w:szCs w:val="22"/>
                <w:lang w:val="en-GB"/>
              </w:rPr>
              <w:t xml:space="preserve"> </w:t>
            </w:r>
            <w:r>
              <w:rPr>
                <w:rFonts w:ascii="Arial" w:cs="Arial" w:hAnsi="Arial" w:hint="default"/>
                <w:sz w:val="22"/>
                <w:szCs w:val="22"/>
                <w:lang w:val="en-GB"/>
              </w:rPr>
              <w:t>Society:</w:t>
            </w:r>
            <w:r>
              <w:rPr>
                <w:rFonts w:ascii="Arial" w:cs="Arial" w:hAnsi="Arial" w:hint="default"/>
                <w:sz w:val="22"/>
                <w:szCs w:val="22"/>
                <w:lang w:val="en-GB"/>
              </w:rPr>
              <w:t xml:space="preserve"> </w:t>
            </w:r>
            <w:r>
              <w:rPr>
                <w:rFonts w:ascii="Arial" w:cs="Arial" w:hAnsi="Arial" w:hint="default"/>
                <w:sz w:val="22"/>
                <w:szCs w:val="22"/>
                <w:lang w:val="en-GB"/>
              </w:rPr>
              <w:t>Spectre</w:t>
            </w:r>
            <w:r>
              <w:rPr>
                <w:rFonts w:ascii="Arial" w:cs="Arial" w:hAnsi="Arial" w:hint="default"/>
                <w:sz w:val="22"/>
                <w:szCs w:val="22"/>
                <w:lang w:val="en-GB"/>
              </w:rPr>
              <w:t>s</w:t>
            </w:r>
            <w:r>
              <w:rPr>
                <w:rFonts w:ascii="Arial" w:cs="Arial" w:hAnsi="Arial" w:hint="default"/>
                <w:sz w:val="22"/>
                <w:szCs w:val="22"/>
                <w:lang w:val="en-GB"/>
              </w:rPr>
              <w:t xml:space="preserve"> </w:t>
            </w:r>
            <w:r>
              <w:rPr>
                <w:rFonts w:ascii="Arial" w:cs="Arial" w:hAnsi="Arial" w:hint="default"/>
                <w:sz w:val="22"/>
                <w:szCs w:val="22"/>
                <w:lang w:val="en-GB"/>
              </w:rPr>
              <w:t>of</w:t>
            </w:r>
            <w:r>
              <w:rPr>
                <w:rFonts w:ascii="Arial" w:cs="Arial" w:hAnsi="Arial" w:hint="default"/>
                <w:sz w:val="22"/>
                <w:szCs w:val="22"/>
                <w:lang w:val="en-GB"/>
              </w:rPr>
              <w:t xml:space="preserve"> </w:t>
            </w:r>
            <w:r>
              <w:rPr>
                <w:rFonts w:ascii="Arial" w:cs="Arial" w:hAnsi="Arial" w:hint="default"/>
                <w:sz w:val="22"/>
                <w:szCs w:val="22"/>
                <w:lang w:val="en-GB"/>
              </w:rPr>
              <w:t>Modernity</w:t>
            </w:r>
            <w:r>
              <w:rPr>
                <w:rFonts w:ascii="Arial" w:cs="Arial" w:hAnsi="Arial" w:hint="default"/>
                <w:sz w:val="22"/>
                <w:szCs w:val="22"/>
                <w:lang w:val="en-GB"/>
              </w:rPr>
              <w:t xml:space="preserve"> </w:t>
            </w:r>
            <w:r>
              <w:rPr>
                <w:rFonts w:ascii="Arial" w:cs="Arial" w:hAnsi="Arial" w:hint="default"/>
                <w:sz w:val="22"/>
                <w:szCs w:val="22"/>
                <w:lang w:val="en-GB"/>
              </w:rPr>
              <w:t>in</w:t>
            </w:r>
            <w:r>
              <w:rPr>
                <w:rFonts w:ascii="Arial" w:cs="Arial" w:hAnsi="Arial" w:hint="default"/>
                <w:sz w:val="22"/>
                <w:szCs w:val="22"/>
                <w:lang w:val="en-GB"/>
              </w:rPr>
              <w:t xml:space="preserve"> </w:t>
            </w:r>
            <w:r>
              <w:rPr>
                <w:rFonts w:ascii="Arial" w:cs="Arial" w:hAnsi="Arial" w:hint="default"/>
                <w:sz w:val="22"/>
                <w:szCs w:val="22"/>
                <w:lang w:val="en-GB"/>
              </w:rPr>
              <w:t>Romantic</w:t>
            </w:r>
            <w:r>
              <w:rPr>
                <w:rFonts w:ascii="Arial" w:cs="Arial" w:hAnsi="Arial" w:hint="default"/>
                <w:sz w:val="22"/>
                <w:szCs w:val="22"/>
                <w:lang w:val="en-GB"/>
              </w:rPr>
              <w:t xml:space="preserve"> </w:t>
            </w:r>
            <w:r>
              <w:rPr>
                <w:rFonts w:ascii="Arial" w:cs="Arial" w:hAnsi="Arial" w:hint="default"/>
                <w:sz w:val="22"/>
                <w:szCs w:val="22"/>
                <w:lang w:val="en-GB"/>
              </w:rPr>
              <w:t>and</w:t>
            </w:r>
            <w:r>
              <w:rPr>
                <w:rFonts w:ascii="Arial" w:cs="Arial" w:hAnsi="Arial" w:hint="default"/>
                <w:sz w:val="22"/>
                <w:szCs w:val="22"/>
                <w:lang w:val="en-GB"/>
              </w:rPr>
              <w:t xml:space="preserve"> </w:t>
            </w:r>
            <w:r>
              <w:rPr>
                <w:rFonts w:ascii="Arial" w:cs="Arial" w:hAnsi="Arial" w:hint="default"/>
                <w:sz w:val="22"/>
                <w:szCs w:val="22"/>
                <w:lang w:val="en-GB"/>
              </w:rPr>
              <w:t>Victorian</w:t>
            </w:r>
            <w:r>
              <w:rPr>
                <w:rFonts w:ascii="Arial" w:cs="Arial" w:hAnsi="Arial" w:hint="default"/>
                <w:sz w:val="22"/>
                <w:szCs w:val="22"/>
                <w:lang w:val="en-GB"/>
              </w:rPr>
              <w:t xml:space="preserve"> </w:t>
            </w:r>
            <w:r>
              <w:rPr>
                <w:rFonts w:ascii="Arial" w:cs="Arial" w:hAnsi="Arial" w:hint="default"/>
                <w:sz w:val="22"/>
                <w:szCs w:val="22"/>
                <w:lang w:val="en-GB"/>
              </w:rPr>
              <w:t>Literature</w:t>
            </w:r>
          </w:p>
          <w:p>
            <w:pPr>
              <w:spacing w:before="0" w:after="0"/>
              <w:ind w:right="34"/>
              <w:rPr/>
            </w:pPr>
          </w:p>
        </w:tc>
        <w:tc>
          <w:tcPr>
            <w:tcW w:w="2265" w:type="dxa"/>
            <w:gridSpan w:val="3"/>
            <w:tcBorders>
              <w:top w:val="single" w:sz="4" w:space="0" w:color="auto"/>
              <w:left w:val="single" w:sz="4" w:space="0" w:color="auto"/>
              <w:bottom w:val="single" w:sz="4" w:space="0" w:color="auto"/>
              <w:right w:val="single" w:sz="4" w:space="0" w:color="auto"/>
            </w:tcBorders>
          </w:tcPr>
          <w:p>
            <w:pPr>
              <w:spacing w:before="0" w:after="0"/>
              <w:ind w:right="34"/>
              <w:rPr/>
            </w:pPr>
            <w:r>
              <w:rPr>
                <w:rFonts w:ascii="Arial" w:cs="Arial" w:hAnsi="Arial" w:hint="default"/>
                <w:sz w:val="22"/>
                <w:szCs w:val="22"/>
              </w:rPr>
              <w:t>Student</w:t>
            </w:r>
            <w:r>
              <w:rPr>
                <w:rFonts w:ascii="Arial" w:cs="Arial" w:hAnsi="Arial" w:hint="default"/>
                <w:sz w:val="22"/>
                <w:szCs w:val="22"/>
              </w:rPr>
              <w:t xml:space="preserve"> </w:t>
            </w:r>
            <w:r>
              <w:rPr>
                <w:rFonts w:ascii="Arial" w:cs="Arial" w:hAnsi="Arial" w:hint="default"/>
                <w:sz w:val="22"/>
                <w:szCs w:val="22"/>
              </w:rPr>
              <w:t>ID</w:t>
            </w:r>
            <w:r>
              <w:rPr>
                <w:rFonts w:ascii="Arial" w:cs="Arial" w:hAnsi="Arial" w:hint="default"/>
                <w:sz w:val="22"/>
                <w:szCs w:val="22"/>
              </w:rPr>
              <w:t xml:space="preserve"> </w:t>
            </w:r>
            <w:r>
              <w:rPr>
                <w:rFonts w:ascii="Arial" w:cs="Arial" w:hAnsi="Arial" w:hint="default"/>
                <w:sz w:val="22"/>
                <w:szCs w:val="22"/>
              </w:rPr>
              <w:t>number:</w:t>
            </w:r>
          </w:p>
          <w:p>
            <w:pPr>
              <w:spacing w:before="0" w:after="0"/>
              <w:ind w:right="34"/>
              <w:rPr/>
            </w:pPr>
            <w:r>
              <w:rPr>
                <w:rFonts w:ascii="Arial" w:cs="Arial" w:hAnsi="Arial" w:hint="default"/>
                <w:sz w:val="22"/>
                <w:szCs w:val="22"/>
                <w:lang w:val="en-GB"/>
              </w:rPr>
              <w:t>27001103</w:t>
            </w:r>
          </w:p>
        </w:tc>
        <w:tc>
          <w:tcPr>
            <w:tcW w:w="1802" w:type="dxa"/>
            <w:tcBorders>
              <w:top w:val="single" w:sz="4" w:space="0" w:color="auto"/>
              <w:left w:val="single" w:sz="4" w:space="0" w:color="auto"/>
              <w:bottom w:val="single" w:sz="4" w:space="0" w:color="auto"/>
              <w:right w:val="single" w:sz="4" w:space="0" w:color="auto"/>
            </w:tcBorders>
          </w:tcPr>
          <w:p>
            <w:pPr>
              <w:spacing w:before="0" w:after="0"/>
              <w:ind w:right="34"/>
              <w:rPr/>
            </w:pPr>
            <w:r>
              <w:rPr>
                <w:rFonts w:ascii="Arial" w:cs="Arial" w:hAnsi="Arial" w:hint="default"/>
                <w:sz w:val="22"/>
                <w:szCs w:val="22"/>
              </w:rPr>
              <w:t>Educational</w:t>
            </w:r>
            <w:r>
              <w:rPr>
                <w:rFonts w:ascii="Arial" w:cs="Arial" w:hAnsi="Arial" w:hint="default"/>
                <w:sz w:val="22"/>
                <w:szCs w:val="22"/>
              </w:rPr>
              <w:t xml:space="preserve"> </w:t>
            </w:r>
            <w:r>
              <w:rPr>
                <w:rFonts w:ascii="Arial" w:cs="Arial" w:hAnsi="Arial" w:hint="default"/>
                <w:sz w:val="22"/>
                <w:szCs w:val="22"/>
              </w:rPr>
              <w:t>support</w:t>
            </w:r>
            <w:r>
              <w:rPr>
                <w:rFonts w:ascii="Arial" w:cs="Arial" w:hAnsi="Arial" w:hint="default"/>
                <w:sz w:val="22"/>
                <w:szCs w:val="22"/>
              </w:rPr>
              <w:t xml:space="preserve"> </w:t>
            </w:r>
            <w:r>
              <w:rPr>
                <w:rFonts w:ascii="Arial" w:cs="Arial" w:hAnsi="Arial" w:hint="default"/>
                <w:sz w:val="22"/>
                <w:szCs w:val="22"/>
              </w:rPr>
              <w:t>needs:</w:t>
            </w:r>
          </w:p>
          <w:p>
            <w:pPr>
              <w:spacing w:before="0" w:after="0"/>
              <w:ind w:right="34"/>
              <w:rPr/>
            </w:pPr>
            <w:r>
              <w:rPr>
                <w:rFonts w:ascii="Arial" w:cs="Arial" w:hAnsi="Arial" w:hint="default"/>
                <w:sz w:val="22"/>
                <w:szCs w:val="22"/>
              </w:rPr>
              <w:t>Yes/</w:t>
            </w:r>
          </w:p>
        </w:tc>
      </w:tr>
      <w:tr>
        <w:tblPrEx/>
        <w:trPr>
          <w:wBefore w:w="0" w:type="dxa"/>
          <w:wAfter w:w="0" w:type="dxa"/>
          <w:cantSplit w:val="false"/>
          <w:trHeight w:val="1139"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spacing w:before="0" w:after="0"/>
              <w:ind w:right="34"/>
              <w:rPr/>
            </w:pPr>
            <w:r>
              <w:rPr>
                <w:rFonts w:ascii="Arial" w:cs="Arial" w:hAnsi="Arial" w:hint="default"/>
                <w:sz w:val="22"/>
                <w:szCs w:val="22"/>
              </w:rPr>
              <w:t>Module</w:t>
            </w:r>
            <w:r>
              <w:rPr>
                <w:rFonts w:ascii="Arial" w:cs="Arial" w:hAnsi="Arial" w:hint="default"/>
                <w:sz w:val="22"/>
                <w:szCs w:val="22"/>
              </w:rPr>
              <w:t xml:space="preserve"> </w:t>
            </w:r>
            <w:r>
              <w:rPr>
                <w:rFonts w:ascii="Arial" w:cs="Arial" w:hAnsi="Arial" w:hint="default"/>
                <w:sz w:val="22"/>
                <w:szCs w:val="22"/>
              </w:rPr>
              <w:t>tutor:</w:t>
            </w:r>
            <w:r>
              <w:rPr>
                <w:rFonts w:ascii="Arial" w:cs="Arial" w:hAnsi="Arial" w:hint="default"/>
                <w:sz w:val="22"/>
                <w:szCs w:val="22"/>
                <w:lang w:val="en-GB"/>
              </w:rPr>
              <w:t xml:space="preserve"> </w:t>
            </w:r>
            <w:r>
              <w:rPr>
                <w:rFonts w:ascii="Arial" w:cs="Arial" w:hAnsi="Arial" w:hint="default"/>
                <w:sz w:val="22"/>
                <w:szCs w:val="22"/>
                <w:lang w:val="en-GB"/>
              </w:rPr>
              <w:t>Jeni</w:t>
            </w:r>
            <w:r>
              <w:rPr>
                <w:rFonts w:ascii="Arial" w:cs="Arial" w:hAnsi="Arial" w:hint="default"/>
                <w:sz w:val="22"/>
                <w:szCs w:val="22"/>
                <w:lang w:val="en-GB"/>
              </w:rPr>
              <w:t xml:space="preserve"> </w:t>
            </w:r>
            <w:r>
              <w:rPr>
                <w:rFonts w:ascii="Arial" w:cs="Arial" w:hAnsi="Arial" w:hint="default"/>
                <w:sz w:val="22"/>
                <w:szCs w:val="22"/>
                <w:lang w:val="en-GB"/>
              </w:rPr>
              <w:t>Williams</w:t>
            </w:r>
          </w:p>
          <w:p>
            <w:pPr>
              <w:spacing w:before="0" w:after="0"/>
              <w:ind w:right="34"/>
              <w:rPr/>
            </w:pPr>
          </w:p>
          <w:p>
            <w:pPr>
              <w:spacing w:before="0" w:after="0"/>
              <w:ind w:right="34"/>
              <w:rPr/>
            </w:pPr>
          </w:p>
          <w:p>
            <w:pPr>
              <w:spacing w:before="0" w:after="0"/>
              <w:ind w:right="34"/>
              <w:rPr/>
            </w:pPr>
            <w:r>
              <w:rPr>
                <w:rFonts w:ascii="Arial" w:cs="Arial" w:hAnsi="Arial" w:hint="default"/>
                <w:sz w:val="22"/>
                <w:szCs w:val="22"/>
              </w:rPr>
              <w:t>Assignment</w:t>
            </w:r>
            <w:r>
              <w:rPr>
                <w:rFonts w:ascii="Arial" w:cs="Arial" w:hAnsi="Arial" w:hint="default"/>
                <w:sz w:val="22"/>
                <w:szCs w:val="22"/>
              </w:rPr>
              <w:t xml:space="preserve"> </w:t>
            </w:r>
            <w:r>
              <w:rPr>
                <w:rFonts w:ascii="Arial" w:cs="Arial" w:hAnsi="Arial" w:hint="default"/>
                <w:sz w:val="22"/>
                <w:szCs w:val="22"/>
              </w:rPr>
              <w:t>due</w:t>
            </w:r>
            <w:r>
              <w:rPr>
                <w:rFonts w:ascii="Arial" w:cs="Arial" w:hAnsi="Arial" w:hint="default"/>
                <w:sz w:val="22"/>
                <w:szCs w:val="22"/>
              </w:rPr>
              <w:t xml:space="preserve"> </w:t>
            </w:r>
            <w:r>
              <w:rPr>
                <w:rFonts w:ascii="Arial" w:cs="Arial" w:hAnsi="Arial" w:hint="default"/>
                <w:sz w:val="22"/>
                <w:szCs w:val="22"/>
              </w:rPr>
              <w:t>date:</w:t>
            </w:r>
            <w:r>
              <w:rPr>
                <w:rFonts w:ascii="Arial" w:cs="Arial" w:hAnsi="Arial" w:hint="default"/>
                <w:sz w:val="22"/>
                <w:szCs w:val="22"/>
                <w:lang w:val="en-GB"/>
              </w:rPr>
              <w:t xml:space="preserve"> </w:t>
            </w:r>
            <w:r>
              <w:rPr>
                <w:rFonts w:ascii="Arial" w:cs="Arial" w:hAnsi="Arial" w:hint="default"/>
                <w:sz w:val="22"/>
                <w:szCs w:val="22"/>
                <w:lang w:val="en-GB"/>
              </w:rPr>
              <w:t>06/12/2019</w:t>
            </w:r>
          </w:p>
        </w:tc>
      </w:tr>
      <w:tr>
        <w:tblPrEx/>
        <w:trPr>
          <w:wBefore w:w="0" w:type="dxa"/>
          <w:wAfter w:w="0" w:type="dxa"/>
          <w:cantSplit w:val="false"/>
          <w:trHeight w:val="978"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rPr/>
            </w:pPr>
            <w:r>
              <w:rPr>
                <w:rFonts w:ascii="Arial" w:cs="Arial" w:hAnsi="Arial" w:hint="default"/>
                <w:sz w:val="22"/>
                <w:szCs w:val="22"/>
              </w:rPr>
              <w:t>If</w:t>
            </w:r>
            <w:r>
              <w:rPr>
                <w:rFonts w:ascii="Arial" w:cs="Arial" w:hAnsi="Arial" w:hint="default"/>
                <w:sz w:val="22"/>
                <w:szCs w:val="22"/>
              </w:rPr>
              <w:t xml:space="preserve"> </w:t>
            </w:r>
            <w:r>
              <w:rPr>
                <w:rFonts w:ascii="Arial" w:cs="Arial" w:hAnsi="Arial" w:hint="default"/>
                <w:sz w:val="22"/>
                <w:szCs w:val="22"/>
              </w:rPr>
              <w:t>your</w:t>
            </w:r>
            <w:r>
              <w:rPr>
                <w:rFonts w:ascii="Arial" w:cs="Arial" w:hAnsi="Arial" w:hint="default"/>
                <w:sz w:val="22"/>
                <w:szCs w:val="22"/>
              </w:rPr>
              <w:t xml:space="preserve"> </w:t>
            </w:r>
            <w:r>
              <w:rPr>
                <w:rFonts w:ascii="Arial" w:cs="Arial" w:hAnsi="Arial" w:hint="default"/>
                <w:sz w:val="22"/>
                <w:szCs w:val="22"/>
              </w:rPr>
              <w:t>module</w:t>
            </w:r>
            <w:r>
              <w:rPr>
                <w:rFonts w:ascii="Arial" w:cs="Arial" w:hAnsi="Arial" w:hint="default"/>
                <w:sz w:val="22"/>
                <w:szCs w:val="22"/>
              </w:rPr>
              <w:t xml:space="preserve"> </w:t>
            </w:r>
            <w:r>
              <w:rPr>
                <w:rFonts w:ascii="Arial" w:cs="Arial" w:hAnsi="Arial" w:hint="default"/>
                <w:sz w:val="22"/>
                <w:szCs w:val="22"/>
              </w:rPr>
              <w:t>has</w:t>
            </w:r>
            <w:r>
              <w:rPr>
                <w:rFonts w:ascii="Arial" w:cs="Arial" w:hAnsi="Arial" w:hint="default"/>
                <w:sz w:val="22"/>
                <w:szCs w:val="22"/>
              </w:rPr>
              <w:t xml:space="preserve"> </w:t>
            </w:r>
            <w:r>
              <w:rPr>
                <w:rFonts w:ascii="Arial" w:cs="Arial" w:hAnsi="Arial" w:hint="default"/>
                <w:sz w:val="22"/>
                <w:szCs w:val="22"/>
              </w:rPr>
              <w:t>multiple</w:t>
            </w:r>
            <w:r>
              <w:rPr>
                <w:rFonts w:ascii="Arial" w:cs="Arial" w:hAnsi="Arial" w:hint="default"/>
                <w:sz w:val="22"/>
                <w:szCs w:val="22"/>
              </w:rPr>
              <w:t xml:space="preserve"> </w:t>
            </w:r>
            <w:r>
              <w:rPr>
                <w:rFonts w:ascii="Arial" w:cs="Arial" w:hAnsi="Arial" w:hint="default"/>
                <w:sz w:val="22"/>
                <w:szCs w:val="22"/>
              </w:rPr>
              <w:t>submissions</w:t>
            </w:r>
            <w:r>
              <w:rPr>
                <w:rFonts w:ascii="Arial" w:cs="Arial" w:hAnsi="Arial" w:hint="default"/>
                <w:sz w:val="22"/>
                <w:szCs w:val="22"/>
              </w:rPr>
              <w:t xml:space="preserve"> </w:t>
            </w:r>
            <w:r>
              <w:rPr>
                <w:rFonts w:ascii="Arial" w:cs="Arial" w:hAnsi="Arial" w:hint="default"/>
                <w:sz w:val="22"/>
                <w:szCs w:val="22"/>
              </w:rPr>
              <w:t>please</w:t>
            </w:r>
            <w:r>
              <w:rPr>
                <w:rFonts w:ascii="Arial" w:cs="Arial" w:hAnsi="Arial" w:hint="default"/>
                <w:sz w:val="22"/>
                <w:szCs w:val="22"/>
              </w:rPr>
              <w:t xml:space="preserve"> </w:t>
            </w:r>
            <w:r>
              <w:rPr>
                <w:rFonts w:ascii="Arial" w:cs="Arial" w:hAnsi="Arial" w:hint="default"/>
                <w:sz w:val="22"/>
                <w:szCs w:val="22"/>
              </w:rPr>
              <w:t>indicate</w:t>
            </w:r>
            <w:r>
              <w:rPr>
                <w:rFonts w:ascii="Arial" w:cs="Arial" w:hAnsi="Arial" w:hint="default"/>
                <w:sz w:val="22"/>
                <w:szCs w:val="22"/>
              </w:rPr>
              <w:t xml:space="preserve"> </w:t>
            </w:r>
            <w:r>
              <w:rPr>
                <w:rFonts w:ascii="Arial" w:cs="Arial" w:hAnsi="Arial" w:hint="default"/>
                <w:sz w:val="22"/>
                <w:szCs w:val="22"/>
              </w:rPr>
              <w:t>which</w:t>
            </w:r>
            <w:r>
              <w:rPr>
                <w:rFonts w:ascii="Arial" w:cs="Arial" w:hAnsi="Arial" w:hint="default"/>
                <w:sz w:val="22"/>
                <w:szCs w:val="22"/>
              </w:rPr>
              <w:t xml:space="preserve"> </w:t>
            </w:r>
            <w:r>
              <w:rPr>
                <w:rFonts w:ascii="Arial" w:cs="Arial" w:hAnsi="Arial" w:hint="default"/>
                <w:sz w:val="22"/>
                <w:szCs w:val="22"/>
              </w:rPr>
              <w:t>piece</w:t>
            </w:r>
            <w:r>
              <w:rPr>
                <w:rFonts w:ascii="Arial" w:cs="Arial" w:hAnsi="Arial" w:hint="default"/>
                <w:sz w:val="22"/>
                <w:szCs w:val="22"/>
              </w:rPr>
              <w:t xml:space="preserve"> </w:t>
            </w:r>
            <w:r>
              <w:rPr>
                <w:rFonts w:ascii="Arial" w:cs="Arial" w:hAnsi="Arial" w:hint="default"/>
                <w:sz w:val="22"/>
                <w:szCs w:val="22"/>
              </w:rPr>
              <w:t>of</w:t>
            </w:r>
            <w:r>
              <w:rPr>
                <w:rFonts w:ascii="Arial" w:cs="Arial" w:hAnsi="Arial" w:hint="default"/>
                <w:sz w:val="22"/>
                <w:szCs w:val="22"/>
              </w:rPr>
              <w:t xml:space="preserve"> </w:t>
            </w:r>
            <w:r>
              <w:rPr>
                <w:rFonts w:ascii="Arial" w:cs="Arial" w:hAnsi="Arial" w:hint="default"/>
                <w:sz w:val="22"/>
                <w:szCs w:val="22"/>
              </w:rPr>
              <w:t>work</w:t>
            </w:r>
            <w:r>
              <w:rPr>
                <w:rFonts w:ascii="Arial" w:cs="Arial" w:hAnsi="Arial" w:hint="default"/>
                <w:sz w:val="22"/>
                <w:szCs w:val="22"/>
              </w:rPr>
              <w:t xml:space="preserve"> </w:t>
            </w:r>
            <w:r>
              <w:rPr>
                <w:rFonts w:ascii="Arial" w:cs="Arial" w:hAnsi="Arial" w:hint="default"/>
                <w:sz w:val="22"/>
                <w:szCs w:val="22"/>
              </w:rPr>
              <w:t>this</w:t>
            </w:r>
            <w:r>
              <w:rPr>
                <w:rFonts w:ascii="Arial" w:cs="Arial" w:hAnsi="Arial" w:hint="default"/>
                <w:sz w:val="22"/>
                <w:szCs w:val="22"/>
              </w:rPr>
              <w:t xml:space="preserve"> </w:t>
            </w:r>
            <w:r>
              <w:rPr>
                <w:rFonts w:ascii="Arial" w:cs="Arial" w:hAnsi="Arial" w:hint="default"/>
                <w:sz w:val="22"/>
                <w:szCs w:val="22"/>
              </w:rPr>
              <w:t>is.</w:t>
            </w:r>
          </w:p>
          <w:p>
            <w:pPr>
              <w:rPr/>
            </w:pPr>
          </w:p>
          <w:p>
            <w:pPr>
              <w:rPr/>
            </w:pPr>
            <w:r>
              <w:rPr>
                <w:rFonts w:ascii="Arial" w:cs="Arial" w:hAnsi="Arial" w:hint="default"/>
                <w:sz w:val="22"/>
                <w:szCs w:val="22"/>
              </w:rPr>
              <w:t>1</w:t>
            </w:r>
            <w:r>
              <w:rPr>
                <w:rFonts w:ascii="Arial" w:cs="Arial" w:hAnsi="Arial" w:hint="default"/>
                <w:sz w:val="22"/>
                <w:szCs w:val="22"/>
                <w:vertAlign w:val="superscript"/>
              </w:rPr>
              <w:t>st</w:t>
            </w:r>
            <w:r>
              <w:rPr>
                <w:rFonts w:ascii="Arial" w:cs="Arial" w:hAnsi="Arial" w:hint="default"/>
                <w:sz w:val="22"/>
                <w:szCs w:val="22"/>
                <w:vertAlign w:val="superscript"/>
              </w:rPr>
              <w:t xml:space="preserve"> </w:t>
            </w:r>
            <w:bookmarkStart w:id="0" w:name="Check13"/>
            <w:r>
              <w:rPr>
                <w:rFonts w:ascii="Arial" w:cs="Arial" w:hAnsi="Arial" w:hint="default"/>
                <w:sz w:val="22"/>
                <w:szCs w:val="22"/>
                <w:lang w:val="en-GB"/>
              </w:rPr>
              <w:t>X</w:t>
            </w:r>
            <w:bookmarkEnd w:id="0"/>
            <w:r>
              <w:rPr>
                <w:rFonts w:ascii="Arial" w:cs="Arial" w:hAnsi="Arial" w:hint="default"/>
                <w:sz w:val="22"/>
                <w:szCs w:val="22"/>
              </w:rPr>
              <w:t xml:space="preserve">    </w:t>
            </w:r>
            <w:r>
              <w:rPr>
                <w:rFonts w:ascii="Arial" w:cs="Arial" w:hAnsi="Arial" w:hint="default"/>
                <w:sz w:val="22"/>
                <w:szCs w:val="22"/>
              </w:rPr>
              <w:t>2</w:t>
            </w:r>
            <w:r>
              <w:rPr>
                <w:rFonts w:ascii="Arial" w:cs="Arial" w:hAnsi="Arial" w:hint="default"/>
                <w:sz w:val="22"/>
                <w:szCs w:val="22"/>
                <w:vertAlign w:val="superscript"/>
              </w:rPr>
              <w:t>nd</w:t>
            </w:r>
            <w:r>
              <w:rPr>
                <w:rFonts w:ascii="Arial" w:cs="Arial" w:hAnsi="Arial" w:hint="default"/>
                <w:sz w:val="22"/>
                <w:szCs w:val="22"/>
              </w:rPr>
              <w:t xml:space="preserve">  </w:t>
            </w:r>
            <w:bookmarkStart w:id="1" w:name="Check14"/>
            <w:r>
              <w:rPr>
                <w:rFonts w:ascii="Arial" w:cs="Arial" w:hAnsi="Arial" w:hint="default"/>
                <w:sz w:val="22"/>
                <w:szCs w:val="22"/>
              </w:rPr>
              <w:t xml:space="preserve">     </w:t>
            </w:r>
            <w:bookmarkEnd w:id="1"/>
            <w:r>
              <w:rPr>
                <w:rFonts w:ascii="Arial" w:cs="Arial" w:hAnsi="Arial" w:hint="default"/>
                <w:sz w:val="22"/>
                <w:szCs w:val="22"/>
              </w:rPr>
              <w:t>3</w:t>
            </w:r>
            <w:r>
              <w:rPr>
                <w:rFonts w:ascii="Arial" w:cs="Arial" w:hAnsi="Arial" w:hint="default"/>
                <w:sz w:val="22"/>
                <w:szCs w:val="22"/>
                <w:vertAlign w:val="superscript"/>
              </w:rPr>
              <w:t>rd</w:t>
            </w:r>
            <w:r>
              <w:rPr>
                <w:rFonts w:ascii="Arial" w:cs="Arial" w:hAnsi="Arial" w:hint="default"/>
                <w:sz w:val="22"/>
                <w:szCs w:val="22"/>
              </w:rPr>
              <w:t xml:space="preserve">  </w:t>
            </w:r>
            <w:bookmarkStart w:id="2" w:name="Check15"/>
            <w:r>
              <w:rPr>
                <w:rFonts w:ascii="Arial" w:cs="Arial" w:hAnsi="Arial" w:hint="default"/>
                <w:sz w:val="22"/>
                <w:szCs w:val="22"/>
              </w:rPr>
              <w:t xml:space="preserve">      </w:t>
            </w:r>
            <w:bookmarkEnd w:id="2"/>
            <w:r>
              <w:rPr>
                <w:rFonts w:ascii="Arial" w:cs="Arial" w:hAnsi="Arial" w:hint="default"/>
                <w:sz w:val="22"/>
                <w:szCs w:val="22"/>
              </w:rPr>
              <w:t>4</w:t>
            </w:r>
            <w:r>
              <w:rPr>
                <w:rFonts w:ascii="Arial" w:cs="Arial" w:hAnsi="Arial" w:hint="default"/>
                <w:sz w:val="22"/>
                <w:szCs w:val="22"/>
                <w:vertAlign w:val="superscript"/>
              </w:rPr>
              <w:t>th</w:t>
            </w:r>
            <w:r>
              <w:rPr>
                <w:rFonts w:ascii="Arial" w:cs="Arial" w:hAnsi="Arial" w:hint="default"/>
                <w:sz w:val="22"/>
                <w:szCs w:val="22"/>
              </w:rPr>
              <w:t xml:space="preserve"> </w:t>
            </w:r>
            <w:bookmarkStart w:id="3" w:name="Check16"/>
            <w:r>
              <w:rPr>
                <w:rFonts w:ascii="Arial" w:cs="Arial" w:hAnsi="Arial" w:hint="default"/>
                <w:sz w:val="22"/>
                <w:szCs w:val="22"/>
              </w:rPr>
              <w:t xml:space="preserve">      </w:t>
            </w:r>
            <w:bookmarkEnd w:id="3"/>
            <w:r>
              <w:rPr>
                <w:rFonts w:ascii="Arial" w:cs="Arial" w:hAnsi="Arial" w:hint="default"/>
                <w:sz w:val="22"/>
                <w:szCs w:val="22"/>
              </w:rPr>
              <w:t>5</w:t>
            </w:r>
            <w:r>
              <w:rPr>
                <w:rFonts w:ascii="Arial" w:cs="Arial" w:hAnsi="Arial" w:hint="default"/>
                <w:sz w:val="22"/>
                <w:szCs w:val="22"/>
                <w:vertAlign w:val="superscript"/>
              </w:rPr>
              <w:t>th</w:t>
            </w:r>
            <w:r>
              <w:rPr>
                <w:rFonts w:ascii="Arial" w:cs="Arial" w:hAnsi="Arial" w:hint="default"/>
                <w:sz w:val="22"/>
                <w:szCs w:val="22"/>
              </w:rPr>
              <w:t xml:space="preserve"> </w:t>
            </w:r>
            <w:bookmarkStart w:id="4" w:name="Check17"/>
            <w:r>
              <w:rPr>
                <w:rFonts w:ascii="Arial" w:cs="Arial" w:hAnsi="Arial" w:hint="default"/>
                <w:sz w:val="22"/>
                <w:szCs w:val="22"/>
              </w:rPr>
              <w:t xml:space="preserve">      </w:t>
            </w:r>
            <w:bookmarkEnd w:id="4"/>
            <w:r>
              <w:rPr>
                <w:rFonts w:ascii="Arial" w:cs="Arial" w:hAnsi="Arial" w:hint="default"/>
                <w:sz w:val="22"/>
                <w:szCs w:val="22"/>
              </w:rPr>
              <w:t>6</w:t>
            </w:r>
            <w:r>
              <w:rPr>
                <w:rFonts w:ascii="Arial" w:cs="Arial" w:hAnsi="Arial" w:hint="default"/>
                <w:sz w:val="22"/>
                <w:szCs w:val="22"/>
                <w:vertAlign w:val="superscript"/>
              </w:rPr>
              <w:t>th</w:t>
            </w:r>
            <w:r>
              <w:rPr>
                <w:rFonts w:ascii="Arial" w:cs="Arial" w:hAnsi="Arial" w:hint="default"/>
                <w:sz w:val="22"/>
                <w:szCs w:val="22"/>
              </w:rPr>
              <w:t xml:space="preserve"> </w:t>
            </w:r>
            <w:bookmarkStart w:id="5" w:name="Check18"/>
            <w:bookmarkEnd w:id="5"/>
          </w:p>
        </w:tc>
      </w:tr>
      <w:tr>
        <w:tblPrEx/>
        <w:trPr>
          <w:wBefore w:w="0" w:type="dxa"/>
          <w:wAfter w:w="0" w:type="dxa"/>
          <w:cantSplit w:val="false"/>
          <w:trHeight w:val="978"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shd w:val="clear" w:color="ffffff" w:fill="d9d9d9"/>
          </w:tcPr>
          <w:p>
            <w:pPr>
              <w:spacing w:before="0" w:after="0"/>
              <w:ind w:right="34"/>
              <w:rPr/>
            </w:pPr>
            <w:r>
              <w:rPr>
                <w:rFonts w:ascii="Arial" w:cs="Arial" w:hAnsi="Arial" w:hint="default"/>
                <w:sz w:val="22"/>
                <w:szCs w:val="22"/>
              </w:rPr>
              <w:t>I</w:t>
            </w:r>
            <w:r>
              <w:rPr>
                <w:rFonts w:ascii="Arial" w:cs="Arial" w:hAnsi="Arial" w:hint="default"/>
                <w:sz w:val="22"/>
                <w:szCs w:val="22"/>
              </w:rPr>
              <w:t xml:space="preserve"> </w:t>
            </w:r>
            <w:r>
              <w:rPr>
                <w:rFonts w:ascii="Arial" w:cs="Arial" w:hAnsi="Arial" w:hint="default"/>
                <w:sz w:val="22"/>
                <w:szCs w:val="22"/>
              </w:rPr>
              <w:t>confirm</w:t>
            </w:r>
            <w:r>
              <w:rPr>
                <w:rFonts w:ascii="Arial" w:cs="Arial" w:hAnsi="Arial" w:hint="default"/>
                <w:sz w:val="22"/>
                <w:szCs w:val="22"/>
              </w:rPr>
              <w:t xml:space="preserve"> </w:t>
            </w:r>
            <w:r>
              <w:rPr>
                <w:rFonts w:ascii="Arial" w:cs="Arial" w:hAnsi="Arial" w:hint="default"/>
                <w:sz w:val="22"/>
                <w:szCs w:val="22"/>
              </w:rPr>
              <w:t>that</w:t>
            </w:r>
            <w:r>
              <w:rPr>
                <w:rFonts w:ascii="Arial" w:cs="Arial" w:hAnsi="Arial" w:hint="default"/>
                <w:sz w:val="22"/>
                <w:szCs w:val="22"/>
              </w:rPr>
              <w:t xml:space="preserve"> </w:t>
            </w:r>
            <w:r>
              <w:rPr>
                <w:rFonts w:ascii="Arial" w:cs="Arial" w:hAnsi="Arial" w:hint="default"/>
                <w:sz w:val="22"/>
                <w:szCs w:val="22"/>
              </w:rPr>
              <w:t>this</w:t>
            </w:r>
            <w:r>
              <w:rPr>
                <w:rFonts w:ascii="Arial" w:cs="Arial" w:hAnsi="Arial" w:hint="default"/>
                <w:sz w:val="22"/>
                <w:szCs w:val="22"/>
              </w:rPr>
              <w:t xml:space="preserve"> </w:t>
            </w:r>
            <w:r>
              <w:rPr>
                <w:rFonts w:ascii="Arial" w:cs="Arial" w:hAnsi="Arial" w:hint="default"/>
                <w:sz w:val="22"/>
                <w:szCs w:val="22"/>
              </w:rPr>
              <w:t>is</w:t>
            </w:r>
            <w:r>
              <w:rPr>
                <w:rFonts w:ascii="Arial" w:cs="Arial" w:hAnsi="Arial" w:hint="default"/>
                <w:sz w:val="22"/>
                <w:szCs w:val="22"/>
              </w:rPr>
              <w:t xml:space="preserve"> </w:t>
            </w:r>
            <w:r>
              <w:rPr>
                <w:rFonts w:ascii="Arial" w:cs="Arial" w:hAnsi="Arial" w:hint="default"/>
                <w:sz w:val="22"/>
                <w:szCs w:val="22"/>
              </w:rPr>
              <w:t>my</w:t>
            </w:r>
            <w:r>
              <w:rPr>
                <w:rFonts w:ascii="Arial" w:cs="Arial" w:hAnsi="Arial" w:hint="default"/>
                <w:sz w:val="22"/>
                <w:szCs w:val="22"/>
              </w:rPr>
              <w:t xml:space="preserve"> </w:t>
            </w:r>
            <w:r>
              <w:rPr>
                <w:rFonts w:ascii="Arial" w:cs="Arial" w:hAnsi="Arial" w:hint="default"/>
                <w:sz w:val="22"/>
                <w:szCs w:val="22"/>
              </w:rPr>
              <w:t>original</w:t>
            </w:r>
            <w:r>
              <w:rPr>
                <w:rFonts w:ascii="Arial" w:cs="Arial" w:hAnsi="Arial" w:hint="default"/>
                <w:sz w:val="22"/>
                <w:szCs w:val="22"/>
              </w:rPr>
              <w:t xml:space="preserve"> </w:t>
            </w:r>
            <w:r>
              <w:rPr>
                <w:rFonts w:ascii="Arial" w:cs="Arial" w:hAnsi="Arial" w:hint="default"/>
                <w:sz w:val="22"/>
                <w:szCs w:val="22"/>
              </w:rPr>
              <w:t>work</w:t>
            </w:r>
            <w:r>
              <w:rPr>
                <w:rFonts w:ascii="Arial" w:cs="Arial" w:hAnsi="Arial" w:hint="default"/>
                <w:sz w:val="22"/>
                <w:szCs w:val="22"/>
              </w:rPr>
              <w:t xml:space="preserve"> </w:t>
            </w:r>
            <w:r>
              <w:rPr>
                <w:rFonts w:ascii="Arial" w:cs="Arial" w:hAnsi="Arial" w:hint="default"/>
                <w:sz w:val="22"/>
                <w:szCs w:val="22"/>
              </w:rPr>
              <w:t>and</w:t>
            </w:r>
            <w:r>
              <w:rPr>
                <w:rFonts w:ascii="Arial" w:cs="Arial" w:hAnsi="Arial" w:hint="default"/>
                <w:sz w:val="22"/>
                <w:szCs w:val="22"/>
              </w:rPr>
              <w:t xml:space="preserve"> </w:t>
            </w:r>
            <w:r>
              <w:rPr>
                <w:rFonts w:ascii="Arial" w:cs="Arial" w:hAnsi="Arial" w:hint="default"/>
                <w:sz w:val="22"/>
                <w:szCs w:val="22"/>
              </w:rPr>
              <w:t>that</w:t>
            </w:r>
            <w:r>
              <w:rPr>
                <w:rFonts w:ascii="Arial" w:cs="Arial" w:hAnsi="Arial" w:hint="default"/>
                <w:sz w:val="22"/>
                <w:szCs w:val="22"/>
              </w:rPr>
              <w:t xml:space="preserve"> </w:t>
            </w:r>
            <w:r>
              <w:rPr>
                <w:rFonts w:ascii="Arial" w:cs="Arial" w:hAnsi="Arial" w:hint="default"/>
                <w:sz w:val="22"/>
                <w:szCs w:val="22"/>
              </w:rPr>
              <w:t>I</w:t>
            </w:r>
            <w:r>
              <w:rPr>
                <w:rFonts w:ascii="Arial" w:cs="Arial" w:hAnsi="Arial" w:hint="default"/>
                <w:sz w:val="22"/>
                <w:szCs w:val="22"/>
              </w:rPr>
              <w:t xml:space="preserve"> </w:t>
            </w:r>
            <w:r>
              <w:rPr>
                <w:rFonts w:ascii="Arial" w:cs="Arial" w:hAnsi="Arial" w:hint="default"/>
                <w:sz w:val="22"/>
                <w:szCs w:val="22"/>
              </w:rPr>
              <w:t>have</w:t>
            </w:r>
            <w:r>
              <w:rPr>
                <w:rFonts w:ascii="Arial" w:cs="Arial" w:hAnsi="Arial" w:hint="default"/>
                <w:sz w:val="22"/>
                <w:szCs w:val="22"/>
              </w:rPr>
              <w:t xml:space="preserve"> </w:t>
            </w:r>
            <w:r>
              <w:rPr>
                <w:rFonts w:ascii="Arial" w:cs="Arial" w:hAnsi="Arial" w:hint="default"/>
                <w:sz w:val="22"/>
                <w:szCs w:val="22"/>
              </w:rPr>
              <w:t>adhered</w:t>
            </w:r>
            <w:r>
              <w:rPr>
                <w:rFonts w:ascii="Arial" w:cs="Arial" w:hAnsi="Arial" w:hint="default"/>
                <w:sz w:val="22"/>
                <w:szCs w:val="22"/>
              </w:rPr>
              <w:t xml:space="preserve"> </w:t>
            </w:r>
            <w:r>
              <w:rPr>
                <w:rFonts w:ascii="Arial" w:cs="Arial" w:hAnsi="Arial" w:hint="default"/>
                <w:sz w:val="22"/>
                <w:szCs w:val="22"/>
              </w:rPr>
              <w:t>to</w:t>
            </w:r>
            <w:r>
              <w:rPr>
                <w:rFonts w:ascii="Arial" w:cs="Arial" w:hAnsi="Arial" w:hint="default"/>
                <w:sz w:val="22"/>
                <w:szCs w:val="22"/>
              </w:rPr>
              <w:t xml:space="preserve"> </w:t>
            </w:r>
            <w:r>
              <w:rPr>
                <w:rFonts w:ascii="Arial" w:cs="Arial" w:hAnsi="Arial" w:hint="default"/>
                <w:sz w:val="22"/>
                <w:szCs w:val="22"/>
              </w:rPr>
              <w:t>the</w:t>
            </w:r>
            <w:r>
              <w:rPr>
                <w:rFonts w:ascii="Arial" w:cs="Arial" w:hAnsi="Arial" w:hint="default"/>
                <w:sz w:val="22"/>
                <w:szCs w:val="22"/>
              </w:rPr>
              <w:t xml:space="preserve"> </w:t>
            </w:r>
            <w:r>
              <w:rPr>
                <w:rFonts w:ascii="Arial" w:cs="Arial" w:hAnsi="Arial" w:hint="default"/>
                <w:sz w:val="22"/>
                <w:szCs w:val="22"/>
              </w:rPr>
              <w:t>University</w:t>
            </w:r>
            <w:r>
              <w:rPr>
                <w:rFonts w:ascii="Arial" w:cs="Arial" w:hAnsi="Arial" w:hint="default"/>
                <w:sz w:val="22"/>
                <w:szCs w:val="22"/>
              </w:rPr>
              <w:t xml:space="preserve"> </w:t>
            </w:r>
            <w:r>
              <w:rPr>
                <w:rFonts w:ascii="Arial" w:cs="Arial" w:hAnsi="Arial" w:hint="default"/>
                <w:sz w:val="22"/>
                <w:szCs w:val="22"/>
              </w:rPr>
              <w:t>policy</w:t>
            </w:r>
            <w:r>
              <w:rPr>
                <w:rFonts w:ascii="Arial" w:cs="Arial" w:hAnsi="Arial" w:hint="default"/>
                <w:sz w:val="22"/>
                <w:szCs w:val="22"/>
              </w:rPr>
              <w:t xml:space="preserve"> </w:t>
            </w:r>
            <w:r>
              <w:rPr>
                <w:rFonts w:ascii="Arial" w:cs="Arial" w:hAnsi="Arial" w:hint="default"/>
                <w:sz w:val="22"/>
                <w:szCs w:val="22"/>
              </w:rPr>
              <w:t>on</w:t>
            </w:r>
            <w:r>
              <w:rPr>
                <w:rFonts w:ascii="Arial" w:cs="Arial" w:hAnsi="Arial" w:hint="default"/>
                <w:sz w:val="22"/>
                <w:szCs w:val="22"/>
              </w:rPr>
              <w:t xml:space="preserve"> </w:t>
            </w:r>
            <w:r>
              <w:rPr>
                <w:rFonts w:ascii="Arial" w:cs="Arial" w:hAnsi="Arial" w:hint="default"/>
                <w:sz w:val="22"/>
                <w:szCs w:val="22"/>
              </w:rPr>
              <w:t>plagiarism.</w:t>
            </w:r>
          </w:p>
          <w:p>
            <w:pPr>
              <w:spacing w:before="0" w:after="0"/>
              <w:ind w:right="34"/>
              <w:rPr/>
            </w:pPr>
            <w:r>
              <w:rPr>
                <w:rFonts w:ascii="Arial" w:cs="Arial" w:hAnsi="Arial" w:hint="default"/>
                <w:sz w:val="22"/>
                <w:szCs w:val="22"/>
              </w:rPr>
              <w:t>Signed</w:t>
            </w:r>
            <w:r>
              <w:rPr>
                <w:rFonts w:ascii="Arial" w:cs="Arial" w:hAnsi="Arial" w:hint="default"/>
                <w:sz w:val="22"/>
                <w:szCs w:val="22"/>
              </w:rPr>
              <w:t xml:space="preserve"> </w:t>
            </w:r>
            <w:r>
              <w:rPr>
                <w:rFonts w:ascii="Arial" w:cs="Arial" w:hAnsi="Arial" w:hint="default"/>
                <w:sz w:val="22"/>
                <w:szCs w:val="22"/>
              </w:rPr>
              <w:t></w:t>
            </w:r>
            <w:r>
              <w:rPr>
                <w:rFonts w:ascii="Arial" w:cs="Arial" w:hAnsi="Arial" w:hint="default"/>
                <w:sz w:val="22"/>
                <w:szCs w:val="22"/>
                <w:lang w:val="en-GB"/>
              </w:rPr>
              <w:t>Catherine</w:t>
            </w:r>
            <w:r>
              <w:rPr>
                <w:rFonts w:ascii="Arial" w:cs="Arial" w:hAnsi="Arial" w:hint="default"/>
                <w:sz w:val="22"/>
                <w:szCs w:val="22"/>
                <w:lang w:val="en-GB"/>
              </w:rPr>
              <w:t xml:space="preserve"> </w:t>
            </w:r>
            <w:r>
              <w:rPr>
                <w:rFonts w:ascii="Arial" w:cs="Arial" w:hAnsi="Arial" w:hint="default"/>
                <w:sz w:val="22"/>
                <w:szCs w:val="22"/>
                <w:lang w:val="en-GB"/>
              </w:rPr>
              <w:t>Hornby</w:t>
            </w:r>
            <w:r>
              <w:rPr>
                <w:rFonts w:ascii="Arial" w:cs="Arial" w:hAnsi="Arial" w:hint="default"/>
                <w:sz w:val="22"/>
                <w:szCs w:val="22"/>
              </w:rPr>
              <w:t></w:t>
            </w:r>
            <w:r>
              <w:rPr>
                <w:rFonts w:ascii="Arial" w:cs="Arial" w:hAnsi="Arial" w:hint="default"/>
                <w:sz w:val="22"/>
                <w:szCs w:val="22"/>
              </w:rPr>
              <w:t></w:t>
            </w:r>
          </w:p>
          <w:p>
            <w:pPr>
              <w:spacing w:before="0" w:after="0"/>
              <w:ind w:right="34"/>
              <w:rPr/>
            </w:pPr>
            <w:r>
              <w:rPr>
                <w:rFonts w:ascii="Calibri" w:cs="Tahoma" w:hAnsi="Calibri" w:hint="default"/>
                <w:b/>
                <w:bCs/>
                <w:sz w:val="24"/>
                <w:szCs w:val="24"/>
              </w:rPr>
              <w:t>Email</w:t>
            </w:r>
            <w:r>
              <w:rPr>
                <w:rFonts w:ascii="Calibri" w:cs="Tahoma" w:hAnsi="Calibri" w:hint="default"/>
                <w:b/>
                <w:bCs/>
                <w:sz w:val="24"/>
                <w:szCs w:val="24"/>
              </w:rPr>
              <w:t xml:space="preserve"> </w:t>
            </w:r>
            <w:r>
              <w:rPr>
                <w:rFonts w:ascii="Calibri" w:cs="Tahoma" w:hAnsi="Calibri" w:hint="default"/>
                <w:b/>
                <w:bCs/>
                <w:sz w:val="24"/>
                <w:szCs w:val="24"/>
              </w:rPr>
              <w:t>submission:</w:t>
            </w:r>
            <w:r>
              <w:rPr>
                <w:rFonts w:ascii="Calibri" w:cs="Tahoma" w:hAnsi="Calibri" w:hint="default"/>
                <w:b/>
                <w:bCs/>
                <w:sz w:val="24"/>
                <w:szCs w:val="24"/>
              </w:rPr>
              <w:t xml:space="preserve"> </w:t>
            </w:r>
            <w:r>
              <w:rPr>
                <w:rFonts w:ascii="Calibri" w:cs="Tahoma" w:hAnsi="Calibri" w:hint="default"/>
                <w:b/>
                <w:bCs/>
                <w:sz w:val="24"/>
                <w:szCs w:val="24"/>
              </w:rPr>
              <w:t>if</w:t>
            </w:r>
            <w:r>
              <w:rPr>
                <w:rFonts w:ascii="Calibri" w:cs="Tahoma" w:hAnsi="Calibri" w:hint="default"/>
                <w:b/>
                <w:bCs/>
                <w:sz w:val="24"/>
                <w:szCs w:val="24"/>
              </w:rPr>
              <w:t xml:space="preserve"> </w:t>
            </w:r>
            <w:r>
              <w:rPr>
                <w:rFonts w:ascii="Calibri" w:cs="Tahoma" w:hAnsi="Calibri" w:hint="default"/>
                <w:b/>
                <w:bCs/>
                <w:sz w:val="24"/>
                <w:szCs w:val="24"/>
              </w:rPr>
              <w:t>you</w:t>
            </w:r>
            <w:r>
              <w:rPr>
                <w:rFonts w:ascii="Calibri" w:cs="Tahoma" w:hAnsi="Calibri" w:hint="default"/>
                <w:b/>
                <w:bCs/>
                <w:sz w:val="24"/>
                <w:szCs w:val="24"/>
              </w:rPr>
              <w:t xml:space="preserve"> </w:t>
            </w:r>
            <w:r>
              <w:rPr>
                <w:rFonts w:ascii="Calibri" w:cs="Tahoma" w:hAnsi="Calibri" w:hint="default"/>
                <w:b/>
                <w:bCs/>
                <w:sz w:val="24"/>
                <w:szCs w:val="24"/>
              </w:rPr>
              <w:t>are</w:t>
            </w:r>
            <w:r>
              <w:rPr>
                <w:rFonts w:ascii="Calibri" w:cs="Tahoma" w:hAnsi="Calibri" w:hint="default"/>
                <w:b/>
                <w:bCs/>
                <w:sz w:val="24"/>
                <w:szCs w:val="24"/>
              </w:rPr>
              <w:t xml:space="preserve"> </w:t>
            </w:r>
            <w:r>
              <w:rPr>
                <w:rFonts w:ascii="Calibri" w:cs="Tahoma" w:hAnsi="Calibri" w:hint="default"/>
                <w:b/>
                <w:bCs/>
                <w:sz w:val="24"/>
                <w:szCs w:val="24"/>
              </w:rPr>
              <w:t>submitting</w:t>
            </w:r>
            <w:r>
              <w:rPr>
                <w:rFonts w:ascii="Calibri" w:cs="Tahoma" w:hAnsi="Calibri" w:hint="default"/>
                <w:b/>
                <w:bCs/>
                <w:sz w:val="24"/>
                <w:szCs w:val="24"/>
              </w:rPr>
              <w:t xml:space="preserve"> </w:t>
            </w:r>
            <w:r>
              <w:rPr>
                <w:rFonts w:ascii="Calibri" w:cs="Tahoma" w:hAnsi="Calibri" w:hint="default"/>
                <w:b/>
                <w:bCs/>
                <w:sz w:val="24"/>
                <w:szCs w:val="24"/>
              </w:rPr>
              <w:t>this</w:t>
            </w:r>
            <w:r>
              <w:rPr>
                <w:rFonts w:ascii="Calibri" w:cs="Tahoma" w:hAnsi="Calibri" w:hint="default"/>
                <w:b/>
                <w:bCs/>
                <w:sz w:val="24"/>
                <w:szCs w:val="24"/>
              </w:rPr>
              <w:t xml:space="preserve"> </w:t>
            </w:r>
            <w:r>
              <w:rPr>
                <w:rFonts w:ascii="Calibri" w:cs="Tahoma" w:hAnsi="Calibri" w:hint="default"/>
                <w:b/>
                <w:bCs/>
                <w:sz w:val="24"/>
                <w:szCs w:val="24"/>
              </w:rPr>
              <w:t>form</w:t>
            </w:r>
            <w:r>
              <w:rPr>
                <w:rFonts w:ascii="Calibri" w:cs="Tahoma" w:hAnsi="Calibri" w:hint="default"/>
                <w:b/>
                <w:bCs/>
                <w:sz w:val="24"/>
                <w:szCs w:val="24"/>
              </w:rPr>
              <w:t xml:space="preserve"> </w:t>
            </w:r>
            <w:r>
              <w:rPr>
                <w:rFonts w:ascii="Calibri" w:cs="Tahoma" w:hAnsi="Calibri" w:hint="default"/>
                <w:b/>
                <w:bCs/>
                <w:sz w:val="24"/>
                <w:szCs w:val="24"/>
              </w:rPr>
              <w:t>via</w:t>
            </w:r>
            <w:r>
              <w:rPr>
                <w:rFonts w:ascii="Calibri" w:cs="Tahoma" w:hAnsi="Calibri" w:hint="default"/>
                <w:b/>
                <w:bCs/>
                <w:sz w:val="24"/>
                <w:szCs w:val="24"/>
              </w:rPr>
              <w:t xml:space="preserve"> </w:t>
            </w:r>
            <w:r>
              <w:rPr>
                <w:rFonts w:ascii="Calibri" w:cs="Tahoma" w:hAnsi="Calibri" w:hint="default"/>
                <w:b/>
                <w:bCs/>
                <w:sz w:val="24"/>
                <w:szCs w:val="24"/>
              </w:rPr>
              <w:t>email,</w:t>
            </w:r>
            <w:r>
              <w:rPr>
                <w:rFonts w:ascii="Calibri" w:cs="Tahoma" w:hAnsi="Calibri" w:hint="default"/>
                <w:b/>
                <w:bCs/>
                <w:sz w:val="24"/>
                <w:szCs w:val="24"/>
              </w:rPr>
              <w:t xml:space="preserve"> </w:t>
            </w:r>
            <w:r>
              <w:rPr>
                <w:rFonts w:ascii="Calibri" w:cs="Tahoma" w:hAnsi="Calibri" w:hint="default"/>
                <w:b/>
                <w:bCs/>
                <w:sz w:val="24"/>
                <w:szCs w:val="24"/>
              </w:rPr>
              <w:t>please</w:t>
            </w:r>
            <w:r>
              <w:rPr>
                <w:rFonts w:ascii="Calibri" w:cs="Tahoma" w:hAnsi="Calibri" w:hint="default"/>
                <w:b/>
                <w:bCs/>
                <w:sz w:val="24"/>
                <w:szCs w:val="24"/>
              </w:rPr>
              <w:t xml:space="preserve"> </w:t>
            </w:r>
            <w:r>
              <w:rPr>
                <w:rFonts w:ascii="Calibri" w:cs="Tahoma" w:hAnsi="Calibri" w:hint="default"/>
                <w:b/>
                <w:bCs/>
                <w:sz w:val="24"/>
                <w:szCs w:val="24"/>
              </w:rPr>
              <w:t>tick</w:t>
            </w:r>
            <w:r>
              <w:rPr>
                <w:rFonts w:ascii="Calibri" w:cs="Tahoma" w:hAnsi="Calibri" w:hint="default"/>
                <w:b/>
                <w:bCs/>
                <w:sz w:val="24"/>
                <w:szCs w:val="24"/>
              </w:rPr>
              <w:t xml:space="preserve"> </w:t>
            </w:r>
            <w:r>
              <w:rPr>
                <w:rFonts w:ascii="Calibri" w:cs="Tahoma" w:hAnsi="Calibri" w:hint="default"/>
                <w:b/>
                <w:bCs/>
                <w:sz w:val="24"/>
                <w:szCs w:val="24"/>
              </w:rPr>
              <w:t>this</w:t>
            </w:r>
            <w:r>
              <w:rPr>
                <w:rFonts w:ascii="Calibri" w:cs="Tahoma" w:hAnsi="Calibri" w:hint="default"/>
                <w:b/>
                <w:bCs/>
                <w:sz w:val="24"/>
                <w:szCs w:val="24"/>
              </w:rPr>
              <w:t xml:space="preserve"> </w:t>
            </w:r>
            <w:r>
              <w:rPr>
                <w:rFonts w:ascii="Calibri" w:cs="Tahoma" w:hAnsi="Calibri" w:hint="default"/>
                <w:b/>
                <w:bCs/>
                <w:sz w:val="24"/>
                <w:szCs w:val="24"/>
              </w:rPr>
              <w:t>box</w:t>
            </w:r>
            <w:r>
              <w:rPr>
                <w:rFonts w:ascii="Calibri" w:cs="Tahoma" w:hAnsi="Calibri" w:hint="default"/>
                <w:b/>
                <w:bCs/>
                <w:sz w:val="24"/>
                <w:szCs w:val="24"/>
              </w:rPr>
              <w:t xml:space="preserve"> </w:t>
            </w:r>
            <w:r>
              <w:rPr>
                <w:rFonts w:ascii="Calibri" w:cs="Calibri" w:hAnsi="Calibri" w:hint="default"/>
                <w:b/>
                <w:bCs/>
                <w:sz w:val="44"/>
                <w:szCs w:val="44"/>
              </w:rPr>
              <w:t>□</w:t>
            </w:r>
            <w:r>
              <w:rPr>
                <w:rFonts w:ascii="Calibri" w:cs="Calibri" w:hAnsi="Calibri" w:hint="default"/>
                <w:b/>
                <w:bCs/>
                <w:sz w:val="44"/>
                <w:szCs w:val="44"/>
                <w:lang w:val="en-GB"/>
              </w:rPr>
              <w:t>X</w:t>
            </w:r>
          </w:p>
          <w:p>
            <w:pPr>
              <w:spacing w:before="0" w:after="0"/>
              <w:ind w:right="34"/>
              <w:rPr/>
            </w:pPr>
            <w:r>
              <w:rPr>
                <w:rFonts w:ascii="Calibri" w:cs="Tahoma" w:hAnsi="Calibri" w:hint="default"/>
                <w:b/>
                <w:bCs/>
                <w:sz w:val="24"/>
                <w:szCs w:val="24"/>
              </w:rPr>
              <w:t>(as</w:t>
            </w:r>
            <w:r>
              <w:rPr>
                <w:rFonts w:ascii="Calibri" w:cs="Tahoma" w:hAnsi="Calibri" w:hint="default"/>
                <w:b/>
                <w:bCs/>
                <w:sz w:val="24"/>
                <w:szCs w:val="24"/>
              </w:rPr>
              <w:t xml:space="preserve"> </w:t>
            </w:r>
            <w:r>
              <w:rPr>
                <w:rFonts w:ascii="Calibri" w:cs="Tahoma" w:hAnsi="Calibri" w:hint="default"/>
                <w:b/>
                <w:bCs/>
                <w:sz w:val="24"/>
                <w:szCs w:val="24"/>
              </w:rPr>
              <w:t>a</w:t>
            </w:r>
            <w:r>
              <w:rPr>
                <w:rFonts w:ascii="Calibri" w:cs="Tahoma" w:hAnsi="Calibri" w:hint="default"/>
                <w:b/>
                <w:bCs/>
                <w:sz w:val="24"/>
                <w:szCs w:val="24"/>
              </w:rPr>
              <w:t xml:space="preserve"> </w:t>
            </w:r>
            <w:r>
              <w:rPr>
                <w:rFonts w:ascii="Calibri" w:cs="Tahoma" w:hAnsi="Calibri" w:hint="default"/>
                <w:b/>
                <w:bCs/>
                <w:sz w:val="24"/>
                <w:szCs w:val="24"/>
              </w:rPr>
              <w:t>substitute</w:t>
            </w:r>
            <w:r>
              <w:rPr>
                <w:rFonts w:ascii="Calibri" w:cs="Tahoma" w:hAnsi="Calibri" w:hint="default"/>
                <w:b/>
                <w:bCs/>
                <w:sz w:val="24"/>
                <w:szCs w:val="24"/>
              </w:rPr>
              <w:t xml:space="preserve"> </w:t>
            </w:r>
            <w:r>
              <w:rPr>
                <w:rFonts w:ascii="Calibri" w:cs="Tahoma" w:hAnsi="Calibri" w:hint="default"/>
                <w:b/>
                <w:bCs/>
                <w:sz w:val="24"/>
                <w:szCs w:val="24"/>
              </w:rPr>
              <w:t>for</w:t>
            </w:r>
            <w:r>
              <w:rPr>
                <w:rFonts w:ascii="Calibri" w:cs="Tahoma" w:hAnsi="Calibri" w:hint="default"/>
                <w:b/>
                <w:bCs/>
                <w:sz w:val="24"/>
                <w:szCs w:val="24"/>
              </w:rPr>
              <w:t xml:space="preserve"> </w:t>
            </w:r>
            <w:r>
              <w:rPr>
                <w:rFonts w:ascii="Calibri" w:cs="Tahoma" w:hAnsi="Calibri" w:hint="default"/>
                <w:b/>
                <w:bCs/>
                <w:sz w:val="24"/>
                <w:szCs w:val="24"/>
              </w:rPr>
              <w:t>your</w:t>
            </w:r>
            <w:r>
              <w:rPr>
                <w:rFonts w:ascii="Calibri" w:cs="Tahoma" w:hAnsi="Calibri" w:hint="default"/>
                <w:b/>
                <w:bCs/>
                <w:sz w:val="24"/>
                <w:szCs w:val="24"/>
              </w:rPr>
              <w:t xml:space="preserve"> </w:t>
            </w:r>
            <w:r>
              <w:rPr>
                <w:rFonts w:ascii="Calibri" w:cs="Tahoma" w:hAnsi="Calibri" w:hint="default"/>
                <w:b/>
                <w:bCs/>
                <w:sz w:val="24"/>
                <w:szCs w:val="24"/>
              </w:rPr>
              <w:t>signature)</w:t>
            </w:r>
            <w:r>
              <w:rPr>
                <w:rFonts w:ascii="Calibri" w:cs="Tahoma" w:hAnsi="Calibri" w:hint="default"/>
                <w:b/>
                <w:bCs/>
                <w:sz w:val="24"/>
                <w:szCs w:val="24"/>
              </w:rPr>
              <w:t xml:space="preserve"> </w:t>
            </w:r>
            <w:r>
              <w:rPr>
                <w:rFonts w:ascii="Calibri" w:cs="Tahoma" w:hAnsi="Calibri" w:hint="default"/>
                <w:b/>
                <w:bCs/>
                <w:sz w:val="24"/>
                <w:szCs w:val="24"/>
              </w:rPr>
              <w:t>to</w:t>
            </w:r>
            <w:r>
              <w:rPr>
                <w:rFonts w:ascii="Calibri" w:cs="Tahoma" w:hAnsi="Calibri" w:hint="default"/>
                <w:b/>
                <w:bCs/>
                <w:sz w:val="24"/>
                <w:szCs w:val="24"/>
              </w:rPr>
              <w:t xml:space="preserve"> </w:t>
            </w:r>
            <w:r>
              <w:rPr>
                <w:rFonts w:ascii="Calibri" w:cs="Tahoma" w:hAnsi="Calibri" w:hint="default"/>
                <w:b/>
                <w:bCs/>
                <w:sz w:val="24"/>
                <w:szCs w:val="24"/>
              </w:rPr>
              <w:t>confirm</w:t>
            </w:r>
            <w:r>
              <w:rPr>
                <w:rFonts w:ascii="Calibri" w:cs="Tahoma" w:hAnsi="Calibri" w:hint="default"/>
                <w:b/>
                <w:bCs/>
                <w:sz w:val="24"/>
                <w:szCs w:val="24"/>
              </w:rPr>
              <w:t xml:space="preserve"> </w:t>
            </w:r>
            <w:r>
              <w:rPr>
                <w:rFonts w:ascii="Calibri" w:cs="Tahoma" w:hAnsi="Calibri" w:hint="default"/>
                <w:b/>
                <w:bCs/>
                <w:sz w:val="24"/>
                <w:szCs w:val="24"/>
              </w:rPr>
              <w:t>that</w:t>
            </w:r>
            <w:r>
              <w:rPr>
                <w:rFonts w:ascii="Calibri" w:cs="Tahoma" w:hAnsi="Calibri" w:hint="default"/>
                <w:b/>
                <w:bCs/>
                <w:sz w:val="24"/>
                <w:szCs w:val="24"/>
              </w:rPr>
              <w:t xml:space="preserve"> </w:t>
            </w:r>
            <w:r>
              <w:rPr>
                <w:rFonts w:ascii="Calibri" w:cs="Tahoma" w:hAnsi="Calibri" w:hint="default"/>
                <w:b/>
                <w:bCs/>
                <w:sz w:val="24"/>
                <w:szCs w:val="24"/>
              </w:rPr>
              <w:t>you</w:t>
            </w:r>
            <w:r>
              <w:rPr>
                <w:rFonts w:ascii="Calibri" w:cs="Tahoma" w:hAnsi="Calibri" w:hint="default"/>
                <w:b/>
                <w:bCs/>
                <w:sz w:val="24"/>
                <w:szCs w:val="24"/>
              </w:rPr>
              <w:t xml:space="preserve"> </w:t>
            </w:r>
            <w:r>
              <w:rPr>
                <w:rFonts w:ascii="Calibri" w:cs="Tahoma" w:hAnsi="Calibri" w:hint="default"/>
                <w:b/>
                <w:bCs/>
                <w:sz w:val="24"/>
                <w:szCs w:val="24"/>
              </w:rPr>
              <w:t>agree</w:t>
            </w:r>
            <w:r>
              <w:rPr>
                <w:rFonts w:ascii="Calibri" w:cs="Tahoma" w:hAnsi="Calibri" w:hint="default"/>
                <w:b/>
                <w:bCs/>
                <w:sz w:val="24"/>
                <w:szCs w:val="24"/>
              </w:rPr>
              <w:t xml:space="preserve"> </w:t>
            </w:r>
            <w:r>
              <w:rPr>
                <w:rFonts w:ascii="Calibri" w:cs="Tahoma" w:hAnsi="Calibri" w:hint="default"/>
                <w:b/>
                <w:bCs/>
                <w:sz w:val="24"/>
                <w:szCs w:val="24"/>
              </w:rPr>
              <w:t>to</w:t>
            </w:r>
            <w:r>
              <w:rPr>
                <w:rFonts w:ascii="Calibri" w:cs="Tahoma" w:hAnsi="Calibri" w:hint="default"/>
                <w:b/>
                <w:bCs/>
                <w:sz w:val="24"/>
                <w:szCs w:val="24"/>
              </w:rPr>
              <w:t xml:space="preserve"> </w:t>
            </w:r>
            <w:r>
              <w:rPr>
                <w:rFonts w:ascii="Calibri" w:cs="Tahoma" w:hAnsi="Calibri" w:hint="default"/>
                <w:b/>
                <w:bCs/>
                <w:sz w:val="24"/>
                <w:szCs w:val="24"/>
              </w:rPr>
              <w:t>the</w:t>
            </w:r>
            <w:r>
              <w:rPr>
                <w:rFonts w:ascii="Calibri" w:cs="Tahoma" w:hAnsi="Calibri" w:hint="default"/>
                <w:b/>
                <w:bCs/>
                <w:sz w:val="24"/>
                <w:szCs w:val="24"/>
              </w:rPr>
              <w:t xml:space="preserve"> </w:t>
            </w:r>
            <w:r>
              <w:rPr>
                <w:rFonts w:ascii="Calibri" w:cs="Tahoma" w:hAnsi="Calibri" w:hint="default"/>
                <w:b/>
                <w:bCs/>
                <w:sz w:val="24"/>
                <w:szCs w:val="24"/>
              </w:rPr>
              <w:t>above</w:t>
            </w:r>
            <w:r>
              <w:rPr>
                <w:rFonts w:ascii="Calibri" w:cs="Tahoma" w:hAnsi="Calibri" w:hint="default"/>
                <w:b/>
                <w:bCs/>
                <w:sz w:val="24"/>
                <w:szCs w:val="24"/>
              </w:rPr>
              <w:t xml:space="preserve"> </w:t>
            </w:r>
            <w:r>
              <w:rPr>
                <w:rFonts w:ascii="Calibri" w:cs="Tahoma" w:hAnsi="Calibri" w:hint="default"/>
                <w:b/>
                <w:bCs/>
                <w:sz w:val="24"/>
                <w:szCs w:val="24"/>
              </w:rPr>
              <w:t>declaration.</w:t>
            </w:r>
          </w:p>
        </w:tc>
      </w:tr>
      <w:tr>
        <w:tblPrEx/>
        <w:trPr>
          <w:wBefore w:w="0" w:type="dxa"/>
          <w:wAfter w:w="0" w:type="dxa"/>
          <w:cantSplit w:val="false"/>
          <w:trHeight w:val="3972"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rPr/>
            </w:pPr>
          </w:p>
          <w:p>
            <w:pPr>
              <w:rPr/>
            </w:pPr>
            <w:r>
              <w:rPr>
                <w:rFonts w:ascii="Arial" w:hAnsi="Arial" w:hint="default"/>
                <w:b/>
              </w:rPr>
              <w:t>Assignment</w:t>
            </w:r>
            <w:r>
              <w:rPr>
                <w:rFonts w:ascii="Arial" w:hAnsi="Arial" w:hint="default"/>
                <w:b/>
              </w:rPr>
              <w:t xml:space="preserve"> </w:t>
            </w:r>
            <w:r>
              <w:rPr>
                <w:rFonts w:ascii="Arial" w:hAnsi="Arial" w:hint="default"/>
                <w:b/>
              </w:rPr>
              <w:t>Mark</w:t>
            </w:r>
          </w:p>
          <w:tbl>
            <w:tblPr>
              <w:jc w:val="left"/>
              <w:tblInd w:w="0" w:type="dxa"/>
              <w:tblCellMar>
                <w:top w:w="0" w:type="dxa"/>
                <w:left w:w="108" w:type="dxa"/>
                <w:bottom w:w="0" w:type="dxa"/>
                <w:right w:w="108" w:type="dxa"/>
              </w:tblCellMar>
            </w:tblPr>
            <w:tblGrid>
              <w:gridCol w:w="6970"/>
              <w:gridCol w:w="1660"/>
            </w:tblGrid>
            <w:tr>
              <w:trPr>
                <w:wBefore w:w="0" w:type="dxa"/>
                <w:wAfter w:w="0" w:type="dxa"/>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rPr/>
                  </w:pPr>
                </w:p>
                <w:p>
                  <w:pPr>
                    <w:rPr/>
                  </w:pPr>
                  <w:r>
                    <w:rPr>
                      <w:rFonts w:ascii="Arial" w:hAnsi="Arial" w:hint="default"/>
                      <w:sz w:val="20"/>
                      <w:szCs w:val="20"/>
                    </w:rPr>
                    <w:t>1</w:t>
                  </w:r>
                  <w:r>
                    <w:rPr>
                      <w:rFonts w:ascii="Arial" w:hAnsi="Arial" w:hint="default"/>
                      <w:sz w:val="20"/>
                      <w:szCs w:val="20"/>
                      <w:vertAlign w:val="superscript"/>
                    </w:rPr>
                    <w:t>st</w:t>
                  </w:r>
                  <w:r>
                    <w:rPr>
                      <w:rFonts w:ascii="Arial" w:hAnsi="Arial" w:hint="default"/>
                      <w:sz w:val="20"/>
                      <w:szCs w:val="20"/>
                    </w:rPr>
                    <w:t xml:space="preserve"> </w:t>
                  </w:r>
                  <w:r>
                    <w:rPr>
                      <w:rFonts w:ascii="Arial" w:hAnsi="Arial" w:hint="default"/>
                      <w:sz w:val="20"/>
                      <w:szCs w:val="20"/>
                    </w:rPr>
                    <w:t>Marker’s</w:t>
                  </w:r>
                  <w:r>
                    <w:rPr>
                      <w:rFonts w:ascii="Arial" w:hAnsi="Arial" w:hint="default"/>
                      <w:sz w:val="20"/>
                      <w:szCs w:val="20"/>
                    </w:rPr>
                    <w:t xml:space="preserve"> </w:t>
                  </w:r>
                  <w:r>
                    <w:rPr>
                      <w:rFonts w:ascii="Arial" w:hAnsi="Arial" w:hint="default"/>
                      <w:sz w:val="20"/>
                      <w:szCs w:val="20"/>
                    </w:rPr>
                    <w:t>Provisional</w:t>
                  </w:r>
                  <w:r>
                    <w:rPr>
                      <w:rFonts w:ascii="Arial" w:hAnsi="Arial" w:hint="default"/>
                      <w:sz w:val="20"/>
                      <w:szCs w:val="20"/>
                    </w:rPr>
                    <w:t xml:space="preserve"> </w:t>
                  </w:r>
                  <w:r>
                    <w:rPr>
                      <w:rFonts w:ascii="Arial" w:hAnsi="Arial" w:hint="default"/>
                      <w:sz w:val="20"/>
                      <w:szCs w:val="20"/>
                    </w:rPr>
                    <w:t>mark</w:t>
                  </w:r>
                </w:p>
              </w:tc>
              <w:tc>
                <w:tcPr>
                  <w:tcW w:w="1660" w:type="dxa"/>
                  <w:tcBorders>
                    <w:top w:val="single" w:sz="4" w:space="0" w:color="auto"/>
                    <w:left w:val="single" w:sz="4" w:space="0" w:color="auto"/>
                    <w:bottom w:val="single" w:sz="4" w:space="0" w:color="auto"/>
                    <w:right w:val="single" w:sz="4" w:space="0" w:color="auto"/>
                  </w:tcBorders>
                </w:tcPr>
                <w:p>
                  <w:pPr>
                    <w:rPr/>
                  </w:pPr>
                </w:p>
              </w:tc>
            </w:tr>
            <w:tr>
              <w:tblPrEx/>
              <w:trPr>
                <w:wBefore w:w="0" w:type="dxa"/>
                <w:wAfter w:w="0" w:type="dxa"/>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rPr/>
                  </w:pPr>
                </w:p>
                <w:p>
                  <w:pPr>
                    <w:rPr/>
                  </w:pPr>
                  <w:r>
                    <w:rPr>
                      <w:rFonts w:ascii="Arial" w:hAnsi="Arial" w:hint="default"/>
                      <w:sz w:val="20"/>
                      <w:szCs w:val="20"/>
                    </w:rPr>
                    <w:t>2</w:t>
                  </w:r>
                  <w:r>
                    <w:rPr>
                      <w:rFonts w:ascii="Arial" w:hAnsi="Arial" w:hint="default"/>
                      <w:sz w:val="20"/>
                      <w:szCs w:val="20"/>
                      <w:vertAlign w:val="superscript"/>
                    </w:rPr>
                    <w:t>nd</w:t>
                  </w:r>
                  <w:r>
                    <w:rPr>
                      <w:rFonts w:ascii="Arial" w:hAnsi="Arial" w:hint="default"/>
                      <w:sz w:val="20"/>
                      <w:szCs w:val="20"/>
                    </w:rPr>
                    <w:t xml:space="preserve"> </w:t>
                  </w:r>
                  <w:r>
                    <w:rPr>
                      <w:rFonts w:ascii="Arial" w:hAnsi="Arial" w:hint="default"/>
                      <w:sz w:val="20"/>
                      <w:szCs w:val="20"/>
                    </w:rPr>
                    <w:t>Marker</w:t>
                  </w:r>
                  <w:r>
                    <w:rPr>
                      <w:rFonts w:ascii="Arial" w:hAnsi="Arial" w:hint="default"/>
                      <w:sz w:val="20"/>
                      <w:szCs w:val="20"/>
                    </w:rPr>
                    <w:t>’s/Moderator’s</w:t>
                  </w:r>
                  <w:r>
                    <w:rPr>
                      <w:rFonts w:ascii="Arial" w:hAnsi="Arial" w:hint="default"/>
                      <w:sz w:val="20"/>
                      <w:szCs w:val="20"/>
                    </w:rPr>
                    <w:t xml:space="preserve"> </w:t>
                  </w:r>
                  <w:r>
                    <w:rPr>
                      <w:rFonts w:ascii="Arial" w:hAnsi="Arial" w:hint="default"/>
                      <w:sz w:val="20"/>
                      <w:szCs w:val="20"/>
                    </w:rPr>
                    <w:t>provisional</w:t>
                  </w:r>
                  <w:r>
                    <w:rPr>
                      <w:rFonts w:ascii="Arial" w:hAnsi="Arial" w:hint="default"/>
                      <w:sz w:val="20"/>
                      <w:szCs w:val="20"/>
                    </w:rPr>
                    <w:t xml:space="preserve"> </w:t>
                  </w:r>
                  <w:r>
                    <w:rPr>
                      <w:rFonts w:ascii="Arial" w:hAnsi="Arial" w:hint="default"/>
                      <w:sz w:val="20"/>
                      <w:szCs w:val="20"/>
                    </w:rPr>
                    <w:t>mark</w:t>
                  </w:r>
                </w:p>
              </w:tc>
              <w:tc>
                <w:tcPr>
                  <w:tcW w:w="1660" w:type="dxa"/>
                  <w:tcBorders>
                    <w:top w:val="single" w:sz="4" w:space="0" w:color="auto"/>
                    <w:left w:val="single" w:sz="4" w:space="0" w:color="auto"/>
                    <w:bottom w:val="single" w:sz="4" w:space="0" w:color="auto"/>
                    <w:right w:val="single" w:sz="4" w:space="0" w:color="auto"/>
                  </w:tcBorders>
                </w:tcPr>
                <w:p>
                  <w:pPr>
                    <w:rPr/>
                  </w:pPr>
                </w:p>
              </w:tc>
            </w:tr>
            <w:tr>
              <w:tblPrEx/>
              <w:trPr>
                <w:wBefore w:w="0" w:type="dxa"/>
                <w:wAfter w:w="0" w:type="dxa"/>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rPr/>
                  </w:pPr>
                  <w:r>
                    <w:rPr>
                      <w:rFonts w:ascii="Arial" w:hAnsi="Arial" w:hint="default"/>
                      <w:sz w:val="20"/>
                      <w:szCs w:val="20"/>
                    </w:rPr>
                    <w:t>Agreed</w:t>
                  </w:r>
                  <w:r>
                    <w:rPr>
                      <w:rFonts w:ascii="Arial" w:hAnsi="Arial" w:hint="default"/>
                      <w:sz w:val="20"/>
                      <w:szCs w:val="20"/>
                    </w:rPr>
                    <w:t xml:space="preserve"> </w:t>
                  </w:r>
                  <w:r>
                    <w:rPr>
                      <w:rFonts w:ascii="Arial" w:hAnsi="Arial" w:hint="default"/>
                      <w:sz w:val="20"/>
                      <w:szCs w:val="20"/>
                    </w:rPr>
                    <w:t>Internal</w:t>
                  </w:r>
                  <w:r>
                    <w:rPr>
                      <w:rFonts w:ascii="Arial" w:hAnsi="Arial" w:hint="default"/>
                      <w:sz w:val="20"/>
                      <w:szCs w:val="20"/>
                    </w:rPr>
                    <w:t xml:space="preserve"> </w:t>
                  </w:r>
                  <w:r>
                    <w:rPr>
                      <w:rFonts w:ascii="Arial" w:hAnsi="Arial" w:hint="default"/>
                      <w:sz w:val="20"/>
                      <w:szCs w:val="20"/>
                    </w:rPr>
                    <w:t>Mark:</w:t>
                  </w:r>
                  <w:r>
                    <w:rPr>
                      <w:rFonts w:ascii="Arial" w:hAnsi="Arial" w:hint="default"/>
                      <w:sz w:val="20"/>
                      <w:szCs w:val="20"/>
                    </w:rPr>
                    <w:t xml:space="preserve"> </w:t>
                  </w:r>
                </w:p>
                <w:p>
                  <w:pPr>
                    <w:rPr/>
                  </w:pPr>
                </w:p>
              </w:tc>
              <w:tc>
                <w:tcPr>
                  <w:tcW w:w="1660" w:type="dxa"/>
                  <w:tcBorders>
                    <w:top w:val="single" w:sz="4" w:space="0" w:color="auto"/>
                    <w:left w:val="single" w:sz="4" w:space="0" w:color="auto"/>
                    <w:bottom w:val="single" w:sz="4" w:space="0" w:color="auto"/>
                    <w:right w:val="single" w:sz="4" w:space="0" w:color="auto"/>
                  </w:tcBorders>
                </w:tcPr>
                <w:p>
                  <w:pPr>
                    <w:rPr/>
                  </w:pPr>
                </w:p>
              </w:tc>
            </w:tr>
            <w:tr>
              <w:tblPrEx/>
              <w:trPr>
                <w:wBefore w:w="0" w:type="dxa"/>
                <w:wAfter w:w="0" w:type="dxa"/>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rPr/>
                  </w:pPr>
                </w:p>
                <w:p>
                  <w:pPr>
                    <w:rPr/>
                  </w:pPr>
                  <w:r>
                    <w:rPr>
                      <w:rFonts w:ascii="Arial" w:hAnsi="Arial" w:hint="default"/>
                      <w:sz w:val="20"/>
                      <w:szCs w:val="20"/>
                    </w:rPr>
                    <w:t>External</w:t>
                  </w:r>
                  <w:r>
                    <w:rPr>
                      <w:rFonts w:ascii="Arial" w:hAnsi="Arial" w:hint="default"/>
                      <w:sz w:val="20"/>
                      <w:szCs w:val="20"/>
                    </w:rPr>
                    <w:t xml:space="preserve"> </w:t>
                  </w:r>
                  <w:r>
                    <w:rPr>
                      <w:rFonts w:ascii="Arial" w:hAnsi="Arial" w:hint="default"/>
                      <w:sz w:val="20"/>
                      <w:szCs w:val="20"/>
                    </w:rPr>
                    <w:t>Examiner’s</w:t>
                  </w:r>
                  <w:r>
                    <w:rPr>
                      <w:rFonts w:ascii="Arial" w:hAnsi="Arial" w:hint="default"/>
                      <w:sz w:val="20"/>
                      <w:szCs w:val="20"/>
                    </w:rPr>
                    <w:t xml:space="preserve"> </w:t>
                  </w:r>
                  <w:r>
                    <w:rPr>
                      <w:rFonts w:ascii="Arial" w:hAnsi="Arial" w:hint="default"/>
                      <w:sz w:val="20"/>
                      <w:szCs w:val="20"/>
                    </w:rPr>
                    <w:t>mark</w:t>
                  </w:r>
                  <w:r>
                    <w:rPr>
                      <w:rFonts w:ascii="Arial" w:hAnsi="Arial" w:hint="default"/>
                      <w:sz w:val="20"/>
                      <w:szCs w:val="20"/>
                    </w:rPr>
                    <w:t xml:space="preserve"> </w:t>
                  </w:r>
                  <w:r>
                    <w:rPr>
                      <w:rFonts w:ascii="Arial" w:hAnsi="Arial" w:hint="default"/>
                      <w:sz w:val="20"/>
                      <w:szCs w:val="20"/>
                    </w:rPr>
                    <w:t>(if</w:t>
                  </w:r>
                  <w:r>
                    <w:rPr>
                      <w:rFonts w:ascii="Arial" w:hAnsi="Arial" w:hint="default"/>
                      <w:sz w:val="20"/>
                      <w:szCs w:val="20"/>
                    </w:rPr>
                    <w:t xml:space="preserve"> </w:t>
                  </w:r>
                  <w:r>
                    <w:rPr>
                      <w:rFonts w:ascii="Arial" w:hAnsi="Arial" w:hint="default"/>
                      <w:sz w:val="20"/>
                      <w:szCs w:val="20"/>
                    </w:rPr>
                    <w:t>relevant)</w:t>
                  </w:r>
                </w:p>
              </w:tc>
              <w:tc>
                <w:tcPr>
                  <w:tcW w:w="1660" w:type="dxa"/>
                  <w:tcBorders>
                    <w:top w:val="single" w:sz="4" w:space="0" w:color="auto"/>
                    <w:left w:val="single" w:sz="4" w:space="0" w:color="auto"/>
                    <w:bottom w:val="single" w:sz="4" w:space="0" w:color="auto"/>
                    <w:right w:val="single" w:sz="4" w:space="0" w:color="auto"/>
                  </w:tcBorders>
                </w:tcPr>
                <w:p>
                  <w:pPr>
                    <w:rPr/>
                  </w:pPr>
                </w:p>
              </w:tc>
            </w:tr>
            <w:tr>
              <w:tblPrEx/>
              <w:trPr>
                <w:wBefore w:w="0" w:type="dxa"/>
                <w:wAfter w:w="0" w:type="dxa"/>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rPr/>
                  </w:pPr>
                </w:p>
                <w:p>
                  <w:pPr>
                    <w:rPr/>
                  </w:pPr>
                  <w:r>
                    <w:rPr>
                      <w:rFonts w:ascii="Arial" w:hAnsi="Arial" w:hint="default"/>
                      <w:b/>
                      <w:sz w:val="20"/>
                      <w:szCs w:val="20"/>
                    </w:rPr>
                    <w:t>Final</w:t>
                  </w:r>
                  <w:r>
                    <w:rPr>
                      <w:rFonts w:ascii="Arial" w:hAnsi="Arial" w:hint="default"/>
                      <w:b/>
                      <w:sz w:val="20"/>
                      <w:szCs w:val="20"/>
                    </w:rPr>
                    <w:t xml:space="preserve"> </w:t>
                  </w:r>
                  <w:r>
                    <w:rPr>
                      <w:rFonts w:ascii="Arial" w:hAnsi="Arial" w:hint="default"/>
                      <w:b/>
                      <w:sz w:val="20"/>
                      <w:szCs w:val="20"/>
                    </w:rPr>
                    <w:t>Mark</w:t>
                  </w:r>
                </w:p>
                <w:p>
                  <w:pPr>
                    <w:rPr/>
                  </w:pPr>
                </w:p>
              </w:tc>
              <w:tc>
                <w:tcPr>
                  <w:tcW w:w="1660" w:type="dxa"/>
                  <w:tcBorders>
                    <w:top w:val="single" w:sz="4" w:space="0" w:color="auto"/>
                    <w:left w:val="single" w:sz="4" w:space="0" w:color="auto"/>
                    <w:bottom w:val="single" w:sz="4" w:space="0" w:color="auto"/>
                    <w:right w:val="single" w:sz="4" w:space="0" w:color="auto"/>
                  </w:tcBorders>
                </w:tcPr>
                <w:p>
                  <w:pPr>
                    <w:rPr/>
                  </w:pPr>
                </w:p>
              </w:tc>
            </w:tr>
          </w:tbl>
          <w:p>
            <w:pPr>
              <w:spacing w:before="0" w:after="0"/>
              <w:ind w:left="142" w:right="34"/>
              <w:rPr/>
            </w:pPr>
          </w:p>
          <w:p>
            <w:pPr>
              <w:spacing w:before="0" w:after="0"/>
              <w:ind w:left="142" w:right="34"/>
              <w:rPr/>
            </w:pPr>
            <w:r>
              <w:rPr>
                <w:rFonts w:ascii="Arial" w:cs="Arial" w:hAnsi="Arial" w:hint="default"/>
                <w:b/>
                <w:bCs/>
                <w:sz w:val="22"/>
                <w:szCs w:val="22"/>
              </w:rPr>
              <w:t>NB.</w:t>
            </w:r>
            <w:r>
              <w:rPr>
                <w:rFonts w:ascii="Arial" w:cs="Arial" w:hAnsi="Arial" w:hint="default"/>
                <w:sz w:val="22"/>
                <w:szCs w:val="22"/>
              </w:rPr>
              <w:t xml:space="preserve">  </w:t>
            </w:r>
            <w:r>
              <w:rPr>
                <w:rFonts w:ascii="Arial" w:cs="Arial" w:hAnsi="Arial" w:hint="default"/>
                <w:sz w:val="22"/>
                <w:szCs w:val="22"/>
              </w:rPr>
              <w:t>All</w:t>
            </w:r>
            <w:r>
              <w:rPr>
                <w:rFonts w:ascii="Arial" w:cs="Arial" w:hAnsi="Arial" w:hint="default"/>
                <w:sz w:val="22"/>
                <w:szCs w:val="22"/>
              </w:rPr>
              <w:t xml:space="preserve"> </w:t>
            </w:r>
            <w:r>
              <w:rPr>
                <w:rFonts w:ascii="Arial" w:cs="Arial" w:hAnsi="Arial" w:hint="default"/>
                <w:sz w:val="22"/>
                <w:szCs w:val="22"/>
              </w:rPr>
              <w:t>marks</w:t>
            </w:r>
            <w:r>
              <w:rPr>
                <w:rFonts w:ascii="Arial" w:cs="Arial" w:hAnsi="Arial" w:hint="default"/>
                <w:sz w:val="22"/>
                <w:szCs w:val="22"/>
              </w:rPr>
              <w:t xml:space="preserve"> </w:t>
            </w:r>
            <w:r>
              <w:rPr>
                <w:rFonts w:ascii="Arial" w:cs="Arial" w:hAnsi="Arial" w:hint="default"/>
                <w:sz w:val="22"/>
                <w:szCs w:val="22"/>
              </w:rPr>
              <w:t>are</w:t>
            </w:r>
            <w:r>
              <w:rPr>
                <w:rFonts w:ascii="Arial" w:cs="Arial" w:hAnsi="Arial" w:hint="default"/>
                <w:sz w:val="22"/>
                <w:szCs w:val="22"/>
              </w:rPr>
              <w:t xml:space="preserve"> </w:t>
            </w:r>
            <w:r>
              <w:rPr>
                <w:rFonts w:ascii="Arial" w:cs="Arial" w:hAnsi="Arial" w:hint="default"/>
                <w:sz w:val="22"/>
                <w:szCs w:val="22"/>
              </w:rPr>
              <w:t>provisional</w:t>
            </w:r>
            <w:r>
              <w:rPr>
                <w:rFonts w:ascii="Arial" w:cs="Arial" w:hAnsi="Arial" w:hint="default"/>
                <w:sz w:val="22"/>
                <w:szCs w:val="22"/>
              </w:rPr>
              <w:t xml:space="preserve"> </w:t>
            </w:r>
            <w:r>
              <w:rPr>
                <w:rFonts w:ascii="Arial" w:cs="Arial" w:hAnsi="Arial" w:hint="default"/>
                <w:sz w:val="22"/>
                <w:szCs w:val="22"/>
              </w:rPr>
              <w:t>until</w:t>
            </w:r>
            <w:r>
              <w:rPr>
                <w:rFonts w:ascii="Arial" w:cs="Arial" w:hAnsi="Arial" w:hint="default"/>
                <w:sz w:val="22"/>
                <w:szCs w:val="22"/>
              </w:rPr>
              <w:t xml:space="preserve"> </w:t>
            </w:r>
            <w:r>
              <w:rPr>
                <w:rFonts w:ascii="Arial" w:cs="Arial" w:hAnsi="Arial" w:hint="default"/>
                <w:sz w:val="22"/>
                <w:szCs w:val="22"/>
              </w:rPr>
              <w:t>confirmed</w:t>
            </w:r>
            <w:r>
              <w:rPr>
                <w:rFonts w:ascii="Arial" w:cs="Arial" w:hAnsi="Arial" w:hint="default"/>
                <w:sz w:val="22"/>
                <w:szCs w:val="22"/>
              </w:rPr>
              <w:t xml:space="preserve"> </w:t>
            </w:r>
            <w:r>
              <w:rPr>
                <w:rFonts w:ascii="Arial" w:cs="Arial" w:hAnsi="Arial" w:hint="default"/>
                <w:sz w:val="22"/>
                <w:szCs w:val="22"/>
              </w:rPr>
              <w:t>by</w:t>
            </w:r>
            <w:r>
              <w:rPr>
                <w:rFonts w:ascii="Arial" w:cs="Arial" w:hAnsi="Arial" w:hint="default"/>
                <w:sz w:val="22"/>
                <w:szCs w:val="22"/>
              </w:rPr>
              <w:t xml:space="preserve"> </w:t>
            </w:r>
            <w:r>
              <w:rPr>
                <w:rFonts w:ascii="Arial" w:cs="Arial" w:hAnsi="Arial" w:hint="default"/>
                <w:sz w:val="22"/>
                <w:szCs w:val="22"/>
              </w:rPr>
              <w:t>the</w:t>
            </w:r>
            <w:r>
              <w:rPr>
                <w:rFonts w:ascii="Arial" w:cs="Arial" w:hAnsi="Arial" w:hint="default"/>
                <w:sz w:val="22"/>
                <w:szCs w:val="22"/>
              </w:rPr>
              <w:t xml:space="preserve"> </w:t>
            </w:r>
            <w:r>
              <w:rPr>
                <w:rFonts w:ascii="Arial" w:cs="Arial" w:hAnsi="Arial" w:hint="default"/>
                <w:sz w:val="22"/>
                <w:szCs w:val="22"/>
              </w:rPr>
              <w:t>F</w:t>
            </w:r>
            <w:r>
              <w:rPr>
                <w:rFonts w:ascii="Arial" w:cs="Arial" w:hAnsi="Arial" w:hint="default"/>
                <w:sz w:val="22"/>
                <w:szCs w:val="22"/>
              </w:rPr>
              <w:t>inal</w:t>
            </w:r>
            <w:r>
              <w:rPr>
                <w:rFonts w:ascii="Arial" w:cs="Arial" w:hAnsi="Arial" w:hint="default"/>
                <w:sz w:val="22"/>
                <w:szCs w:val="22"/>
              </w:rPr>
              <w:t xml:space="preserve"> </w:t>
            </w:r>
            <w:r>
              <w:rPr>
                <w:rFonts w:ascii="Arial" w:cs="Arial" w:hAnsi="Arial" w:hint="default"/>
                <w:sz w:val="22"/>
                <w:szCs w:val="22"/>
              </w:rPr>
              <w:t>E</w:t>
            </w:r>
            <w:r>
              <w:rPr>
                <w:rFonts w:ascii="Arial" w:cs="Arial" w:hAnsi="Arial" w:hint="default"/>
                <w:sz w:val="22"/>
                <w:szCs w:val="22"/>
              </w:rPr>
              <w:t>xamination</w:t>
            </w:r>
            <w:r>
              <w:rPr>
                <w:rFonts w:ascii="Arial" w:cs="Arial" w:hAnsi="Arial" w:hint="default"/>
                <w:sz w:val="22"/>
                <w:szCs w:val="22"/>
              </w:rPr>
              <w:t xml:space="preserve"> </w:t>
            </w:r>
            <w:r>
              <w:rPr>
                <w:rFonts w:ascii="Arial" w:cs="Arial" w:hAnsi="Arial" w:hint="default"/>
                <w:sz w:val="22"/>
                <w:szCs w:val="22"/>
              </w:rPr>
              <w:t>Board.</w:t>
            </w:r>
          </w:p>
          <w:p>
            <w:pPr>
              <w:spacing w:before="0" w:after="0"/>
              <w:rPr/>
            </w:pPr>
          </w:p>
          <w:p>
            <w:pPr>
              <w:spacing w:before="0" w:after="0"/>
              <w:rPr/>
            </w:pPr>
          </w:p>
          <w:p>
            <w:pPr>
              <w:spacing w:before="0" w:after="0"/>
              <w:rPr/>
            </w:pPr>
          </w:p>
          <w:p>
            <w:pPr>
              <w:spacing w:before="0" w:after="0"/>
              <w:rPr/>
            </w:pPr>
          </w:p>
          <w:p>
            <w:pPr>
              <w:spacing w:before="0" w:after="0"/>
              <w:rPr/>
            </w:pPr>
            <w:r>
              <w:rPr>
                <w:rFonts w:ascii="Arial" w:cs="Arial" w:hAnsi="Arial" w:hint="default"/>
                <w:b/>
                <w:bCs/>
                <w:sz w:val="22"/>
                <w:szCs w:val="22"/>
              </w:rPr>
              <w:t>For</w:t>
            </w:r>
            <w:r>
              <w:rPr>
                <w:rFonts w:ascii="Arial" w:cs="Arial" w:hAnsi="Arial" w:hint="default"/>
                <w:b/>
                <w:bCs/>
                <w:sz w:val="22"/>
                <w:szCs w:val="22"/>
              </w:rPr>
              <w:t xml:space="preserve"> </w:t>
            </w:r>
            <w:r>
              <w:rPr>
                <w:rFonts w:ascii="Arial" w:cs="Arial" w:hAnsi="Arial" w:hint="default"/>
                <w:b/>
                <w:bCs/>
                <w:sz w:val="22"/>
                <w:szCs w:val="22"/>
              </w:rPr>
              <w:t>completion</w:t>
            </w:r>
            <w:r>
              <w:rPr>
                <w:rFonts w:ascii="Arial" w:cs="Arial" w:hAnsi="Arial" w:hint="default"/>
                <w:b/>
                <w:bCs/>
                <w:sz w:val="22"/>
                <w:szCs w:val="22"/>
              </w:rPr>
              <w:t xml:space="preserve"> </w:t>
            </w:r>
            <w:r>
              <w:rPr>
                <w:rFonts w:ascii="Arial" w:cs="Arial" w:hAnsi="Arial" w:hint="default"/>
                <w:b/>
                <w:bCs/>
                <w:sz w:val="22"/>
                <w:szCs w:val="22"/>
              </w:rPr>
              <w:t>by</w:t>
            </w:r>
            <w:r>
              <w:rPr>
                <w:rFonts w:ascii="Arial" w:cs="Arial" w:hAnsi="Arial" w:hint="default"/>
                <w:b/>
                <w:bCs/>
                <w:sz w:val="22"/>
                <w:szCs w:val="22"/>
              </w:rPr>
              <w:t xml:space="preserve"> </w:t>
            </w:r>
            <w:r>
              <w:rPr>
                <w:rFonts w:ascii="Arial" w:cs="Arial" w:hAnsi="Arial" w:hint="default"/>
                <w:b/>
                <w:bCs/>
                <w:sz w:val="22"/>
                <w:szCs w:val="22"/>
              </w:rPr>
              <w:t>M</w:t>
            </w:r>
            <w:r>
              <w:rPr>
                <w:rFonts w:ascii="Arial" w:cs="Arial" w:hAnsi="Arial" w:hint="default"/>
                <w:b/>
                <w:bCs/>
                <w:sz w:val="22"/>
                <w:szCs w:val="22"/>
              </w:rPr>
              <w:t>arker</w:t>
            </w:r>
            <w:r>
              <w:rPr>
                <w:rFonts w:ascii="Arial" w:cs="Arial" w:hAnsi="Arial" w:hint="default"/>
                <w:b/>
                <w:bCs/>
                <w:sz w:val="22"/>
                <w:szCs w:val="22"/>
              </w:rPr>
              <w:t xml:space="preserve"> </w:t>
            </w:r>
            <w:r>
              <w:rPr>
                <w:rFonts w:ascii="Arial" w:cs="Arial" w:hAnsi="Arial" w:hint="default"/>
                <w:b/>
                <w:bCs/>
                <w:sz w:val="22"/>
                <w:szCs w:val="22"/>
              </w:rPr>
              <w:t>1</w:t>
            </w:r>
            <w:r>
              <w:rPr>
                <w:rFonts w:ascii="Arial" w:cs="Arial" w:hAnsi="Arial" w:hint="default"/>
                <w:b/>
                <w:bCs/>
                <w:sz w:val="22"/>
                <w:szCs w:val="22"/>
              </w:rPr>
              <w:t xml:space="preserve"> </w:t>
            </w:r>
            <w:r>
              <w:rPr>
                <w:rFonts w:ascii="Arial" w:cs="Arial" w:hAnsi="Arial" w:hint="default"/>
                <w:b/>
                <w:bCs/>
                <w:sz w:val="22"/>
                <w:szCs w:val="22"/>
              </w:rPr>
              <w:t>:</w:t>
            </w:r>
          </w:p>
          <w:p>
            <w:pPr>
              <w:rPr/>
            </w:pPr>
            <w:r>
              <w:rPr>
                <w:rFonts w:ascii="Arial" w:cs="Arial" w:hAnsi="Arial" w:hint="default"/>
                <w:sz w:val="22"/>
                <w:szCs w:val="22"/>
              </w:rPr>
              <w:t>Comments</w:t>
            </w:r>
            <w:r>
              <w:rPr>
                <w:rFonts w:ascii="Arial" w:cs="Arial" w:hAnsi="Arial" w:hint="default"/>
                <w:sz w:val="22"/>
                <w:szCs w:val="22"/>
              </w:rPr>
              <w:t>:</w:t>
            </w:r>
          </w:p>
          <w:p>
            <w:pPr>
              <w:rPr/>
            </w:pPr>
          </w:p>
        </w:tc>
      </w:tr>
      <w:tr>
        <w:tblPrEx/>
        <w:trPr>
          <w:wBefore w:w="0" w:type="dxa"/>
          <w:wAfter w:w="0" w:type="dxa"/>
          <w:cantSplit w:val="false"/>
          <w:trHeight w:val="492" w:hRule="atLeast"/>
          <w:tblHeader w:val="false"/>
          <w:jc w:val="left"/>
        </w:trPr>
        <w:tc>
          <w:tcPr>
            <w:tcW w:w="6768" w:type="dxa"/>
            <w:gridSpan w:val="3"/>
            <w:tcBorders>
              <w:top w:val="single" w:sz="4" w:space="0" w:color="auto"/>
              <w:left w:val="single" w:sz="4" w:space="0" w:color="auto"/>
              <w:bottom w:val="single" w:sz="4" w:space="0" w:color="auto"/>
              <w:right w:val="single" w:sz="4" w:space="0" w:color="auto"/>
            </w:tcBorders>
          </w:tcPr>
          <w:p>
            <w:pPr>
              <w:ind w:left="142" w:right="34"/>
              <w:rPr/>
            </w:pPr>
            <w:r>
              <w:rPr>
                <w:rFonts w:ascii="Arial" w:cs="Arial" w:hAnsi="Arial" w:hint="default"/>
                <w:sz w:val="22"/>
                <w:szCs w:val="22"/>
              </w:rPr>
              <w:t>M</w:t>
            </w:r>
            <w:r>
              <w:rPr>
                <w:rFonts w:ascii="Arial" w:cs="Arial" w:hAnsi="Arial" w:hint="default"/>
                <w:sz w:val="22"/>
                <w:szCs w:val="22"/>
              </w:rPr>
              <w:t>arker</w:t>
            </w:r>
            <w:r>
              <w:rPr>
                <w:rFonts w:ascii="Arial" w:cs="Arial" w:hAnsi="Arial" w:hint="default"/>
                <w:sz w:val="22"/>
                <w:szCs w:val="22"/>
              </w:rPr>
              <w:t>s</w:t>
            </w:r>
            <w:r>
              <w:rPr>
                <w:rFonts w:ascii="Arial" w:cs="Arial" w:hAnsi="Arial" w:hint="default"/>
                <w:sz w:val="22"/>
                <w:szCs w:val="22"/>
              </w:rPr>
              <w:t xml:space="preserve"> </w:t>
            </w:r>
            <w:r>
              <w:rPr>
                <w:rFonts w:ascii="Arial" w:cs="Arial" w:hAnsi="Arial" w:hint="default"/>
                <w:sz w:val="22"/>
                <w:szCs w:val="22"/>
              </w:rPr>
              <w:t>signatur</w:t>
            </w:r>
            <w:r>
              <w:rPr>
                <w:rFonts w:ascii="Arial" w:cs="Arial" w:hAnsi="Arial" w:hint="default"/>
                <w:sz w:val="22"/>
                <w:szCs w:val="22"/>
              </w:rPr>
              <w:t>e:</w:t>
            </w:r>
          </w:p>
        </w:tc>
        <w:tc>
          <w:tcPr>
            <w:tcW w:w="2088" w:type="dxa"/>
            <w:gridSpan w:val="3"/>
            <w:tcBorders>
              <w:top w:val="single" w:sz="4" w:space="0" w:color="auto"/>
              <w:left w:val="single" w:sz="4" w:space="0" w:color="auto"/>
              <w:bottom w:val="single" w:sz="4" w:space="0" w:color="auto"/>
              <w:right w:val="single" w:sz="4" w:space="0" w:color="auto"/>
            </w:tcBorders>
          </w:tcPr>
          <w:p>
            <w:pPr>
              <w:spacing w:after="0"/>
              <w:ind w:left="142" w:right="34"/>
              <w:rPr/>
            </w:pPr>
            <w:r>
              <w:rPr>
                <w:rFonts w:ascii="Arial" w:cs="Arial" w:hAnsi="Arial" w:hint="default"/>
                <w:sz w:val="22"/>
                <w:szCs w:val="22"/>
              </w:rPr>
              <w:t>D</w:t>
            </w:r>
            <w:r>
              <w:rPr>
                <w:rFonts w:ascii="Arial" w:cs="Arial" w:hAnsi="Arial" w:hint="default"/>
                <w:sz w:val="22"/>
                <w:szCs w:val="22"/>
              </w:rPr>
              <w:t>ate</w:t>
            </w:r>
            <w:r>
              <w:rPr>
                <w:rFonts w:ascii="Arial" w:cs="Arial" w:hAnsi="Arial" w:hint="default"/>
                <w:sz w:val="22"/>
                <w:szCs w:val="22"/>
              </w:rPr>
              <w:t>:</w:t>
            </w:r>
          </w:p>
        </w:tc>
      </w:tr>
      <w:tr>
        <w:tblPrEx/>
        <w:trPr>
          <w:wBefore w:w="0" w:type="dxa"/>
          <w:wAfter w:w="0" w:type="dxa"/>
          <w:cantSplit w:val="false"/>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spacing w:before="0" w:after="0"/>
              <w:ind w:right="-334"/>
              <w:rPr/>
            </w:pPr>
          </w:p>
          <w:p>
            <w:pPr>
              <w:spacing w:before="0" w:after="0"/>
              <w:ind w:right="-334"/>
              <w:rPr/>
            </w:pPr>
            <w:r>
              <w:rPr>
                <w:rFonts w:ascii="Arial" w:cs="Arial" w:hAnsi="Arial" w:hint="default"/>
                <w:b/>
                <w:bCs/>
                <w:sz w:val="22"/>
                <w:szCs w:val="22"/>
              </w:rPr>
              <w:t>For</w:t>
            </w:r>
            <w:r>
              <w:rPr>
                <w:rFonts w:ascii="Arial" w:cs="Arial" w:hAnsi="Arial" w:hint="default"/>
                <w:b/>
                <w:bCs/>
                <w:sz w:val="22"/>
                <w:szCs w:val="22"/>
              </w:rPr>
              <w:t xml:space="preserve"> </w:t>
            </w:r>
            <w:r>
              <w:rPr>
                <w:rFonts w:ascii="Arial" w:cs="Arial" w:hAnsi="Arial" w:hint="default"/>
                <w:b/>
                <w:bCs/>
                <w:sz w:val="22"/>
                <w:szCs w:val="22"/>
              </w:rPr>
              <w:t>completion</w:t>
            </w:r>
            <w:r>
              <w:rPr>
                <w:rFonts w:ascii="Arial" w:cs="Arial" w:hAnsi="Arial" w:hint="default"/>
                <w:b/>
                <w:bCs/>
                <w:sz w:val="22"/>
                <w:szCs w:val="22"/>
              </w:rPr>
              <w:t xml:space="preserve"> </w:t>
            </w:r>
            <w:r>
              <w:rPr>
                <w:rFonts w:ascii="Arial" w:cs="Arial" w:hAnsi="Arial" w:hint="default"/>
                <w:b/>
                <w:bCs/>
                <w:sz w:val="22"/>
                <w:szCs w:val="22"/>
              </w:rPr>
              <w:t>by</w:t>
            </w:r>
            <w:r>
              <w:rPr>
                <w:rFonts w:ascii="Arial" w:cs="Arial" w:hAnsi="Arial" w:hint="default"/>
                <w:b/>
                <w:bCs/>
                <w:sz w:val="22"/>
                <w:szCs w:val="22"/>
              </w:rPr>
              <w:t xml:space="preserve"> </w:t>
            </w:r>
            <w:r>
              <w:rPr>
                <w:rFonts w:ascii="Arial" w:cs="Arial" w:hAnsi="Arial" w:hint="default"/>
                <w:b/>
                <w:bCs/>
                <w:sz w:val="22"/>
                <w:szCs w:val="22"/>
              </w:rPr>
              <w:t>M</w:t>
            </w:r>
            <w:r>
              <w:rPr>
                <w:rFonts w:ascii="Arial" w:cs="Arial" w:hAnsi="Arial" w:hint="default"/>
                <w:b/>
                <w:bCs/>
                <w:sz w:val="22"/>
                <w:szCs w:val="22"/>
              </w:rPr>
              <w:t>arker</w:t>
            </w:r>
            <w:r>
              <w:rPr>
                <w:rFonts w:ascii="Arial" w:cs="Arial" w:hAnsi="Arial" w:hint="default"/>
                <w:b/>
                <w:bCs/>
                <w:sz w:val="22"/>
                <w:szCs w:val="22"/>
              </w:rPr>
              <w:t xml:space="preserve"> </w:t>
            </w:r>
            <w:r>
              <w:rPr>
                <w:rFonts w:ascii="Arial" w:cs="Arial" w:hAnsi="Arial" w:hint="default"/>
                <w:b/>
                <w:bCs/>
                <w:sz w:val="22"/>
                <w:szCs w:val="22"/>
              </w:rPr>
              <w:t>2</w:t>
            </w:r>
            <w:r>
              <w:rPr>
                <w:rFonts w:ascii="Arial" w:cs="Arial" w:hAnsi="Arial" w:hint="default"/>
                <w:b/>
                <w:bCs/>
                <w:sz w:val="22"/>
                <w:szCs w:val="22"/>
              </w:rPr>
              <w:t>/M</w:t>
            </w:r>
            <w:r>
              <w:rPr>
                <w:rFonts w:ascii="Arial" w:cs="Arial" w:hAnsi="Arial" w:hint="default"/>
                <w:b/>
                <w:bCs/>
                <w:sz w:val="22"/>
                <w:szCs w:val="22"/>
              </w:rPr>
              <w:t>oderator</w:t>
            </w:r>
            <w:r>
              <w:rPr>
                <w:rFonts w:ascii="Arial" w:cs="Arial" w:hAnsi="Arial" w:hint="default"/>
                <w:b/>
                <w:bCs/>
                <w:sz w:val="22"/>
                <w:szCs w:val="22"/>
              </w:rPr>
              <w:t>:</w:t>
            </w:r>
          </w:p>
          <w:p>
            <w:pPr>
              <w:spacing w:before="0" w:after="0"/>
              <w:ind w:right="-334"/>
              <w:rPr/>
            </w:pPr>
          </w:p>
          <w:p>
            <w:pPr>
              <w:spacing w:before="0" w:after="0"/>
              <w:ind w:right="-334"/>
              <w:rPr/>
            </w:pPr>
            <w:r>
              <w:rPr>
                <w:rFonts w:ascii="Arial" w:cs="Arial" w:hAnsi="Arial" w:hint="default"/>
                <w:sz w:val="22"/>
                <w:szCs w:val="22"/>
              </w:rPr>
              <w:t>Comments:</w:t>
            </w:r>
          </w:p>
          <w:p>
            <w:pPr>
              <w:spacing w:before="0" w:after="0"/>
              <w:ind w:right="-334"/>
              <w:rPr/>
            </w:pPr>
          </w:p>
          <w:p>
            <w:pPr>
              <w:spacing w:before="0" w:after="0"/>
              <w:ind w:right="-334"/>
              <w:rPr/>
            </w:pPr>
          </w:p>
          <w:p>
            <w:pPr>
              <w:spacing w:before="0" w:after="0"/>
              <w:ind w:right="-334"/>
              <w:rPr/>
            </w:pPr>
          </w:p>
        </w:tc>
      </w:tr>
      <w:tr>
        <w:tblPrEx/>
        <w:trPr>
          <w:wBefore w:w="0" w:type="dxa"/>
          <w:wAfter w:w="0" w:type="dxa"/>
          <w:cantSplit w:val="false"/>
          <w:trHeight w:val="720" w:hRule="atLeast"/>
          <w:tblHeader w:val="false"/>
          <w:jc w:val="left"/>
        </w:trPr>
        <w:tc>
          <w:tcPr>
            <w:tcW w:w="5211" w:type="dxa"/>
            <w:gridSpan w:val="2"/>
            <w:tcBorders>
              <w:top w:val="single" w:sz="4" w:space="0" w:color="auto"/>
              <w:left w:val="single" w:sz="4" w:space="0" w:color="auto"/>
              <w:bottom w:val="single" w:sz="4" w:space="0" w:color="auto"/>
              <w:right w:val="single" w:sz="4" w:space="0" w:color="auto"/>
            </w:tcBorders>
          </w:tcPr>
          <w:p>
            <w:pPr>
              <w:spacing w:before="0" w:after="0"/>
              <w:ind w:right="-334"/>
              <w:rPr/>
            </w:pPr>
            <w:r>
              <w:rPr>
                <w:rFonts w:ascii="Arial" w:cs="Arial" w:hAnsi="Arial" w:hint="default"/>
                <w:sz w:val="22"/>
                <w:szCs w:val="22"/>
              </w:rPr>
              <w:t>Markers</w:t>
            </w:r>
            <w:r>
              <w:rPr>
                <w:rFonts w:ascii="Arial" w:cs="Arial" w:hAnsi="Arial" w:hint="default"/>
                <w:sz w:val="22"/>
                <w:szCs w:val="22"/>
              </w:rPr>
              <w:t xml:space="preserve"> </w:t>
            </w:r>
            <w:r>
              <w:rPr>
                <w:rFonts w:ascii="Arial" w:cs="Arial" w:hAnsi="Arial" w:hint="default"/>
                <w:sz w:val="22"/>
                <w:szCs w:val="22"/>
              </w:rPr>
              <w:t>Signature</w:t>
            </w:r>
            <w:r>
              <w:rPr>
                <w:rFonts w:ascii="Arial" w:cs="Arial" w:hAnsi="Arial" w:hint="default"/>
                <w:sz w:val="22"/>
                <w:szCs w:val="22"/>
              </w:rPr>
              <w:t>:</w:t>
            </w:r>
          </w:p>
        </w:tc>
        <w:tc>
          <w:tcPr>
            <w:tcW w:w="3645" w:type="dxa"/>
            <w:gridSpan w:val="4"/>
            <w:tcBorders>
              <w:top w:val="single" w:sz="4" w:space="0" w:color="auto"/>
              <w:left w:val="single" w:sz="4" w:space="0" w:color="auto"/>
              <w:bottom w:val="single" w:sz="4" w:space="0" w:color="auto"/>
              <w:right w:val="single" w:sz="4" w:space="0" w:color="auto"/>
            </w:tcBorders>
          </w:tcPr>
          <w:p>
            <w:pPr>
              <w:spacing w:before="0" w:after="0"/>
              <w:ind w:right="-334"/>
              <w:rPr/>
            </w:pPr>
            <w:r>
              <w:rPr>
                <w:rFonts w:ascii="Arial" w:cs="Arial" w:hAnsi="Arial" w:hint="default"/>
                <w:sz w:val="22"/>
                <w:szCs w:val="22"/>
              </w:rPr>
              <w:t>Date:</w:t>
            </w:r>
          </w:p>
        </w:tc>
      </w:tr>
      <w:tr>
        <w:tblPrEx/>
        <w:trPr>
          <w:wBefore w:w="0" w:type="dxa"/>
          <w:wAfter w:w="0" w:type="dxa"/>
          <w:cantSplit w:val="false"/>
          <w:trHeight w:val="720"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rPr/>
            </w:pPr>
            <w:r>
              <w:rPr>
                <w:rFonts w:ascii="Arial" w:cs="Arial" w:hAnsi="Arial" w:hint="default"/>
                <w:b/>
                <w:bCs/>
                <w:sz w:val="22"/>
                <w:szCs w:val="22"/>
              </w:rPr>
              <w:t>AGREED</w:t>
            </w:r>
            <w:r>
              <w:rPr>
                <w:rFonts w:ascii="Arial" w:cs="Arial" w:hAnsi="Arial" w:hint="default"/>
                <w:b/>
                <w:bCs/>
                <w:sz w:val="22"/>
                <w:szCs w:val="22"/>
              </w:rPr>
              <w:t xml:space="preserve"> </w:t>
            </w:r>
            <w:r>
              <w:rPr>
                <w:rFonts w:ascii="Arial" w:cs="Arial" w:hAnsi="Arial" w:hint="default"/>
                <w:b/>
                <w:bCs/>
                <w:sz w:val="22"/>
                <w:szCs w:val="22"/>
              </w:rPr>
              <w:t>INTERNAL</w:t>
            </w:r>
            <w:r>
              <w:rPr>
                <w:rFonts w:ascii="Arial" w:cs="Arial" w:hAnsi="Arial" w:hint="default"/>
                <w:b/>
                <w:bCs/>
                <w:sz w:val="22"/>
                <w:szCs w:val="22"/>
              </w:rPr>
              <w:t xml:space="preserve"> </w:t>
            </w:r>
            <w:r>
              <w:rPr>
                <w:rFonts w:ascii="Arial" w:cs="Arial" w:hAnsi="Arial" w:hint="default"/>
                <w:b/>
                <w:bCs/>
                <w:sz w:val="22"/>
                <w:szCs w:val="22"/>
              </w:rPr>
              <w:t>MARK</w:t>
            </w:r>
            <w:r>
              <w:rPr>
                <w:rFonts w:ascii="Arial" w:cs="Arial" w:hAnsi="Arial" w:hint="default"/>
                <w:b/>
                <w:bCs/>
                <w:sz w:val="22"/>
                <w:szCs w:val="22"/>
              </w:rPr>
              <w:t xml:space="preserve"> </w:t>
            </w:r>
            <w:r>
              <w:rPr>
                <w:rFonts w:ascii="Arial" w:cs="Arial" w:hAnsi="Arial" w:hint="default"/>
                <w:b/>
                <w:bCs/>
                <w:sz w:val="22"/>
                <w:szCs w:val="22"/>
              </w:rPr>
              <w:t>(where</w:t>
            </w:r>
            <w:r>
              <w:rPr>
                <w:rFonts w:ascii="Arial" w:cs="Arial" w:hAnsi="Arial" w:hint="default"/>
                <w:b/>
                <w:bCs/>
                <w:sz w:val="22"/>
                <w:szCs w:val="22"/>
              </w:rPr>
              <w:t xml:space="preserve"> </w:t>
            </w:r>
            <w:r>
              <w:rPr>
                <w:rFonts w:ascii="Arial" w:cs="Arial" w:hAnsi="Arial" w:hint="default"/>
                <w:b/>
                <w:bCs/>
                <w:sz w:val="22"/>
                <w:szCs w:val="22"/>
              </w:rPr>
              <w:t>necessary):</w:t>
            </w:r>
          </w:p>
          <w:p>
            <w:pPr>
              <w:rPr/>
            </w:pPr>
          </w:p>
          <w:p>
            <w:pPr>
              <w:rPr/>
            </w:pPr>
            <w:r>
              <w:rPr>
                <w:rFonts w:ascii="Arial" w:cs="Arial" w:hAnsi="Arial" w:hint="default"/>
                <w:b/>
                <w:bCs/>
                <w:sz w:val="22"/>
                <w:szCs w:val="22"/>
              </w:rPr>
              <w:t>Comment</w:t>
            </w:r>
            <w:r>
              <w:rPr>
                <w:rFonts w:ascii="Arial" w:cs="Arial" w:hAnsi="Arial" w:hint="default"/>
                <w:b/>
                <w:bCs/>
                <w:sz w:val="22"/>
                <w:szCs w:val="22"/>
              </w:rPr>
              <w:t xml:space="preserve"> </w:t>
            </w:r>
            <w:r>
              <w:rPr>
                <w:rFonts w:ascii="Arial" w:cs="Arial" w:hAnsi="Arial" w:hint="default"/>
                <w:b/>
                <w:bCs/>
                <w:sz w:val="22"/>
                <w:szCs w:val="22"/>
              </w:rPr>
              <w:t>on</w:t>
            </w:r>
            <w:r>
              <w:rPr>
                <w:rFonts w:ascii="Arial" w:cs="Arial" w:hAnsi="Arial" w:hint="default"/>
                <w:b/>
                <w:bCs/>
                <w:sz w:val="22"/>
                <w:szCs w:val="22"/>
              </w:rPr>
              <w:t xml:space="preserve"> </w:t>
            </w:r>
            <w:r>
              <w:rPr>
                <w:rFonts w:ascii="Arial" w:cs="Arial" w:hAnsi="Arial" w:hint="default"/>
                <w:b/>
                <w:bCs/>
                <w:sz w:val="22"/>
                <w:szCs w:val="22"/>
              </w:rPr>
              <w:t>process</w:t>
            </w:r>
            <w:r>
              <w:rPr>
                <w:rFonts w:ascii="Arial" w:cs="Arial" w:hAnsi="Arial" w:hint="default"/>
                <w:b/>
                <w:bCs/>
                <w:sz w:val="22"/>
                <w:szCs w:val="22"/>
              </w:rPr>
              <w:t xml:space="preserve"> </w:t>
            </w:r>
            <w:r>
              <w:rPr>
                <w:rFonts w:ascii="Arial" w:cs="Arial" w:hAnsi="Arial" w:hint="default"/>
                <w:b/>
                <w:bCs/>
                <w:sz w:val="22"/>
                <w:szCs w:val="22"/>
              </w:rPr>
              <w:t>on</w:t>
            </w:r>
            <w:r>
              <w:rPr>
                <w:rFonts w:ascii="Arial" w:cs="Arial" w:hAnsi="Arial" w:hint="default"/>
                <w:b/>
                <w:bCs/>
                <w:sz w:val="22"/>
                <w:szCs w:val="22"/>
              </w:rPr>
              <w:t xml:space="preserve"> </w:t>
            </w:r>
            <w:r>
              <w:rPr>
                <w:rFonts w:ascii="Arial" w:cs="Arial" w:hAnsi="Arial" w:hint="default"/>
                <w:b/>
                <w:bCs/>
                <w:sz w:val="22"/>
                <w:szCs w:val="22"/>
              </w:rPr>
              <w:t>arriving</w:t>
            </w:r>
            <w:r>
              <w:rPr>
                <w:rFonts w:ascii="Arial" w:cs="Arial" w:hAnsi="Arial" w:hint="default"/>
                <w:b/>
                <w:bCs/>
                <w:sz w:val="22"/>
                <w:szCs w:val="22"/>
              </w:rPr>
              <w:t xml:space="preserve"> </w:t>
            </w:r>
            <w:r>
              <w:rPr>
                <w:rFonts w:ascii="Arial" w:cs="Arial" w:hAnsi="Arial" w:hint="default"/>
                <w:b/>
                <w:bCs/>
                <w:sz w:val="22"/>
                <w:szCs w:val="22"/>
              </w:rPr>
              <w:t>at</w:t>
            </w:r>
            <w:r>
              <w:rPr>
                <w:rFonts w:ascii="Arial" w:cs="Arial" w:hAnsi="Arial" w:hint="default"/>
                <w:b/>
                <w:bCs/>
                <w:sz w:val="22"/>
                <w:szCs w:val="22"/>
              </w:rPr>
              <w:t xml:space="preserve"> </w:t>
            </w:r>
            <w:r>
              <w:rPr>
                <w:rFonts w:ascii="Arial" w:cs="Arial" w:hAnsi="Arial" w:hint="default"/>
                <w:b/>
                <w:bCs/>
                <w:sz w:val="22"/>
                <w:szCs w:val="22"/>
              </w:rPr>
              <w:t>agreed</w:t>
            </w:r>
            <w:r>
              <w:rPr>
                <w:rFonts w:ascii="Arial" w:cs="Arial" w:hAnsi="Arial" w:hint="default"/>
                <w:b/>
                <w:bCs/>
                <w:sz w:val="22"/>
                <w:szCs w:val="22"/>
              </w:rPr>
              <w:t xml:space="preserve"> </w:t>
            </w:r>
            <w:r>
              <w:rPr>
                <w:rFonts w:ascii="Arial" w:cs="Arial" w:hAnsi="Arial" w:hint="default"/>
                <w:b/>
                <w:bCs/>
                <w:sz w:val="22"/>
                <w:szCs w:val="22"/>
              </w:rPr>
              <w:t>mark:</w:t>
            </w:r>
          </w:p>
          <w:p>
            <w:pPr>
              <w:rPr/>
            </w:pPr>
          </w:p>
          <w:p>
            <w:pPr>
              <w:rPr/>
            </w:pPr>
          </w:p>
        </w:tc>
      </w:tr>
      <w:tr>
        <w:tblPrEx/>
        <w:trPr>
          <w:wBefore w:w="0" w:type="dxa"/>
          <w:wAfter w:w="0" w:type="dxa"/>
          <w:cantSplit w:val="false"/>
          <w:trHeight w:val="720"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rPr/>
            </w:pPr>
            <w:r>
              <w:rPr>
                <w:rFonts w:ascii="Arial" w:cs="Arial" w:hAnsi="Arial" w:hint="default"/>
                <w:b/>
                <w:bCs/>
                <w:sz w:val="22"/>
                <w:szCs w:val="22"/>
              </w:rPr>
              <w:t>External</w:t>
            </w:r>
            <w:r>
              <w:rPr>
                <w:rFonts w:ascii="Arial" w:cs="Arial" w:hAnsi="Arial" w:hint="default"/>
                <w:b/>
                <w:bCs/>
                <w:sz w:val="22"/>
                <w:szCs w:val="22"/>
              </w:rPr>
              <w:t xml:space="preserve"> </w:t>
            </w:r>
            <w:r>
              <w:rPr>
                <w:rFonts w:ascii="Arial" w:cs="Arial" w:hAnsi="Arial" w:hint="default"/>
                <w:b/>
                <w:bCs/>
                <w:sz w:val="22"/>
                <w:szCs w:val="22"/>
              </w:rPr>
              <w:t>Examiners</w:t>
            </w:r>
            <w:r>
              <w:rPr>
                <w:rFonts w:ascii="Arial" w:cs="Arial" w:hAnsi="Arial" w:hint="default"/>
                <w:b/>
                <w:bCs/>
                <w:sz w:val="22"/>
                <w:szCs w:val="22"/>
              </w:rPr>
              <w:t xml:space="preserve"> </w:t>
            </w:r>
            <w:r>
              <w:rPr>
                <w:rFonts w:ascii="Arial" w:cs="Arial" w:hAnsi="Arial" w:hint="default"/>
                <w:b/>
                <w:bCs/>
                <w:sz w:val="22"/>
                <w:szCs w:val="22"/>
              </w:rPr>
              <w:t>comments</w:t>
            </w:r>
            <w:r>
              <w:rPr>
                <w:rFonts w:ascii="Arial" w:cs="Arial" w:hAnsi="Arial" w:hint="default"/>
                <w:b/>
                <w:bCs/>
                <w:sz w:val="22"/>
                <w:szCs w:val="22"/>
              </w:rPr>
              <w:t xml:space="preserve"> </w:t>
            </w:r>
            <w:r>
              <w:rPr>
                <w:rFonts w:ascii="Arial" w:cs="Arial" w:hAnsi="Arial" w:hint="default"/>
                <w:b/>
                <w:bCs/>
                <w:sz w:val="22"/>
                <w:szCs w:val="22"/>
              </w:rPr>
              <w:t>(if</w:t>
            </w:r>
            <w:r>
              <w:rPr>
                <w:rFonts w:ascii="Arial" w:cs="Arial" w:hAnsi="Arial" w:hint="default"/>
                <w:b/>
                <w:bCs/>
                <w:sz w:val="22"/>
                <w:szCs w:val="22"/>
              </w:rPr>
              <w:t xml:space="preserve"> </w:t>
            </w:r>
            <w:r>
              <w:rPr>
                <w:rFonts w:ascii="Arial" w:cs="Arial" w:hAnsi="Arial" w:hint="default"/>
                <w:b/>
                <w:bCs/>
                <w:sz w:val="22"/>
                <w:szCs w:val="22"/>
              </w:rPr>
              <w:t>relevant)</w:t>
            </w:r>
          </w:p>
          <w:p>
            <w:pPr>
              <w:spacing w:before="0" w:after="0"/>
              <w:ind w:right="-334"/>
              <w:rPr/>
            </w:pPr>
          </w:p>
          <w:p>
            <w:pPr>
              <w:spacing w:before="0" w:after="0"/>
              <w:ind w:right="-334"/>
              <w:rPr/>
            </w:pPr>
          </w:p>
          <w:p>
            <w:pPr>
              <w:spacing w:before="0" w:after="0"/>
              <w:ind w:right="-334"/>
              <w:rPr/>
            </w:pPr>
          </w:p>
        </w:tc>
      </w:tr>
      <w:tr>
        <w:tblPrEx/>
        <w:trPr>
          <w:wBefore w:w="0" w:type="dxa"/>
          <w:wAfter w:w="0" w:type="dxa"/>
          <w:cantSplit w:val="false"/>
          <w:trHeight w:val="720" w:hRule="atLeast"/>
          <w:tblHeader w:val="false"/>
          <w:jc w:val="left"/>
        </w:trPr>
        <w:tc>
          <w:tcPr>
            <w:tcW w:w="5211" w:type="dxa"/>
            <w:gridSpan w:val="2"/>
            <w:tcBorders>
              <w:top w:val="single" w:sz="4" w:space="0" w:color="auto"/>
              <w:left w:val="single" w:sz="4" w:space="0" w:color="auto"/>
              <w:bottom w:val="single" w:sz="4" w:space="0" w:color="auto"/>
              <w:right w:val="single" w:sz="4" w:space="0" w:color="auto"/>
            </w:tcBorders>
          </w:tcPr>
          <w:p>
            <w:pPr>
              <w:rPr/>
            </w:pPr>
            <w:r>
              <w:rPr>
                <w:rFonts w:ascii="Arial" w:cs="Arial" w:hAnsi="Arial" w:hint="default"/>
                <w:sz w:val="22"/>
                <w:szCs w:val="22"/>
              </w:rPr>
              <w:t>External</w:t>
            </w:r>
            <w:r>
              <w:rPr>
                <w:rFonts w:ascii="Arial" w:cs="Arial" w:hAnsi="Arial" w:hint="default"/>
                <w:sz w:val="22"/>
                <w:szCs w:val="22"/>
              </w:rPr>
              <w:t xml:space="preserve"> </w:t>
            </w:r>
            <w:r>
              <w:rPr>
                <w:rFonts w:ascii="Arial" w:cs="Arial" w:hAnsi="Arial" w:hint="default"/>
                <w:sz w:val="22"/>
                <w:szCs w:val="22"/>
              </w:rPr>
              <w:t>Examiners</w:t>
            </w:r>
            <w:r>
              <w:rPr>
                <w:rFonts w:ascii="Arial" w:cs="Arial" w:hAnsi="Arial" w:hint="default"/>
                <w:sz w:val="22"/>
                <w:szCs w:val="22"/>
              </w:rPr>
              <w:t xml:space="preserve"> </w:t>
            </w:r>
            <w:r>
              <w:rPr>
                <w:rFonts w:ascii="Arial" w:cs="Arial" w:hAnsi="Arial" w:hint="default"/>
                <w:sz w:val="22"/>
                <w:szCs w:val="22"/>
              </w:rPr>
              <w:t>Signature:</w:t>
            </w:r>
          </w:p>
        </w:tc>
        <w:tc>
          <w:tcPr>
            <w:tcW w:w="3645" w:type="dxa"/>
            <w:gridSpan w:val="4"/>
            <w:tcBorders>
              <w:top w:val="single" w:sz="4" w:space="0" w:color="auto"/>
              <w:left w:val="single" w:sz="4" w:space="0" w:color="auto"/>
              <w:bottom w:val="single" w:sz="4" w:space="0" w:color="auto"/>
              <w:right w:val="single" w:sz="4" w:space="0" w:color="auto"/>
            </w:tcBorders>
          </w:tcPr>
          <w:p>
            <w:pPr>
              <w:rPr/>
            </w:pPr>
            <w:r>
              <w:rPr>
                <w:rFonts w:ascii="Arial" w:cs="Arial" w:hAnsi="Arial" w:hint="default"/>
                <w:sz w:val="22"/>
                <w:szCs w:val="22"/>
              </w:rPr>
              <w:t>Date:</w:t>
            </w:r>
          </w:p>
        </w:tc>
      </w:tr>
    </w:tbl>
    <w:p>
      <w:pPr>
        <w:spacing w:before="0" w:after="0"/>
        <w:ind w:right="-334"/>
        <w:rPr/>
      </w:pPr>
    </w:p>
    <w:p>
      <w:pPr>
        <w:pStyle w:val="style4099"/>
        <w:jc w:val="center"/>
        <w:rPr>
          <w:sz w:val="36"/>
          <w:szCs w:val="36"/>
          <w:lang w:val="en-US"/>
        </w:rPr>
      </w:pPr>
    </w:p>
    <w:p>
      <w:pPr>
        <w:pStyle w:val="style4099"/>
        <w:jc w:val="center"/>
        <w:rPr>
          <w:sz w:val="36"/>
          <w:szCs w:val="36"/>
          <w:lang w:val="en-US"/>
        </w:rPr>
      </w:pPr>
    </w:p>
    <w:p>
      <w:pPr>
        <w:pStyle w:val="style4099"/>
        <w:jc w:val="center"/>
        <w:rPr>
          <w:sz w:val="36"/>
          <w:szCs w:val="36"/>
          <w:lang w:val="en-US"/>
        </w:rPr>
      </w:pPr>
    </w:p>
    <w:p>
      <w:pPr>
        <w:pStyle w:val="style4099"/>
        <w:jc w:val="center"/>
        <w:rPr>
          <w:sz w:val="36"/>
          <w:szCs w:val="36"/>
          <w:lang w:val="en-US"/>
        </w:rPr>
      </w:pPr>
    </w:p>
    <w:p>
      <w:pPr>
        <w:pStyle w:val="style4099"/>
        <w:jc w:val="center"/>
        <w:rPr>
          <w:sz w:val="36"/>
          <w:szCs w:val="36"/>
        </w:rPr>
      </w:pPr>
      <w:r>
        <w:rPr>
          <w:sz w:val="36"/>
          <w:szCs w:val="36"/>
          <w:lang w:val="en-US"/>
        </w:rPr>
        <w:t>Exploring the connections between Wordsworth</w:t>
      </w:r>
      <w:r>
        <w:rPr>
          <w:sz w:val="36"/>
          <w:szCs w:val="36"/>
          <w:lang w:val="en-US"/>
        </w:rPr>
        <w:t>’</w:t>
      </w:r>
      <w:r>
        <w:rPr>
          <w:sz w:val="36"/>
          <w:szCs w:val="36"/>
          <w:lang w:val="en-US"/>
        </w:rPr>
        <w:t xml:space="preserve">s Lucy Poem Cycle and his </w:t>
      </w:r>
      <w:r>
        <w:rPr>
          <w:sz w:val="36"/>
          <w:szCs w:val="36"/>
          <w:lang w:val="en-US"/>
        </w:rPr>
        <w:t>‘</w:t>
      </w:r>
      <w:r>
        <w:rPr>
          <w:sz w:val="36"/>
          <w:szCs w:val="36"/>
          <w:lang w:val="en-US"/>
        </w:rPr>
        <w:t>Lucy Gray</w:t>
      </w:r>
      <w:r>
        <w:rPr>
          <w:sz w:val="36"/>
          <w:szCs w:val="36"/>
          <w:lang w:val="en-US"/>
        </w:rPr>
        <w:t xml:space="preserve">’ </w:t>
      </w:r>
      <w:r>
        <w:rPr>
          <w:sz w:val="36"/>
          <w:szCs w:val="36"/>
          <w:lang w:val="en-US"/>
        </w:rPr>
        <w:t>within the context of Early Romantic Ideology</w:t>
      </w:r>
    </w:p>
    <w:p>
      <w:pPr>
        <w:pStyle w:val="style4099"/>
        <w:jc w:val="center"/>
        <w:rPr>
          <w:sz w:val="36"/>
          <w:szCs w:val="36"/>
        </w:rPr>
      </w:pPr>
    </w:p>
    <w:p>
      <w:pPr>
        <w:pStyle w:val="style4099"/>
        <w:jc w:val="center"/>
        <w:rPr>
          <w:sz w:val="36"/>
          <w:szCs w:val="36"/>
        </w:rPr>
      </w:pPr>
    </w:p>
    <w:p>
      <w:pPr>
        <w:pStyle w:val="style4099"/>
        <w:rPr>
          <w:sz w:val="36"/>
          <w:szCs w:val="36"/>
        </w:rPr>
      </w:pPr>
      <w:r>
        <w:rPr>
          <w:sz w:val="36"/>
          <w:szCs w:val="36"/>
          <w:lang w:val="en-US"/>
        </w:rPr>
        <w:t>The majority of Wordsworth</w:t>
      </w:r>
      <w:r>
        <w:rPr>
          <w:sz w:val="36"/>
          <w:szCs w:val="36"/>
          <w:lang w:val="en-US"/>
        </w:rPr>
        <w:t>’</w:t>
      </w:r>
      <w:r>
        <w:rPr>
          <w:sz w:val="36"/>
          <w:szCs w:val="36"/>
          <w:lang w:val="en-US"/>
        </w:rPr>
        <w:t xml:space="preserve">s Lucy poems, which were later read as a cycle, were first published in 1800 in the second edition of </w:t>
      </w:r>
      <w:r>
        <w:rPr>
          <w:i/>
          <w:iCs/>
          <w:sz w:val="36"/>
          <w:szCs w:val="36"/>
          <w:lang w:val="en-US"/>
        </w:rPr>
        <w:t>Lyrical Ballads</w:t>
      </w:r>
      <w:r>
        <w:rPr>
          <w:sz w:val="36"/>
          <w:szCs w:val="36"/>
          <w:lang w:val="en-US"/>
        </w:rPr>
        <w:t>; a collected poetry book, authored by both William Wordsworth and Samuel Taylor Coleridge. The first edition was published in 1798 and by 1805 the book had reached its fourth edition. Thus it had been through a number of revisions early on in its publishing history. Although in its own time it received only modest acclaim, it has subsequently been recognised as potentially the most important single book of poetry ever published in Britain,</w:t>
      </w:r>
      <w:r>
        <w:rPr>
          <w:sz w:val="36"/>
          <w:szCs w:val="36"/>
          <w:lang w:val="en-US"/>
        </w:rPr>
        <w:t xml:space="preserve"> </w:t>
      </w:r>
      <w:r>
        <w:rPr>
          <w:sz w:val="36"/>
          <w:szCs w:val="36"/>
          <w:lang w:val="en-US"/>
        </w:rPr>
        <w:t>rivalled only by Shakespeare</w:t>
      </w:r>
      <w:r>
        <w:rPr>
          <w:sz w:val="36"/>
          <w:szCs w:val="36"/>
          <w:lang w:val="en-US"/>
        </w:rPr>
        <w:t>’</w:t>
      </w:r>
      <w:r>
        <w:rPr>
          <w:sz w:val="36"/>
          <w:szCs w:val="36"/>
          <w:lang w:val="en-US"/>
        </w:rPr>
        <w:t xml:space="preserve">s sonnets. Although the Romantic Movement had reached the continent prior to 1798 (in Germany especially), it had not yet taken much hold in Britain. It was </w:t>
      </w:r>
      <w:r>
        <w:rPr>
          <w:i/>
          <w:iCs/>
          <w:sz w:val="36"/>
          <w:szCs w:val="36"/>
          <w:lang w:val="en-US"/>
        </w:rPr>
        <w:t xml:space="preserve">Lyrical Ballads </w:t>
      </w:r>
      <w:r>
        <w:rPr>
          <w:sz w:val="36"/>
          <w:szCs w:val="36"/>
          <w:lang w:val="en-US"/>
        </w:rPr>
        <w:t xml:space="preserve">that established this hold, and can therefore be used to date the beginning of British Romanticism. The first edition was published anonymously. Wordsworth added his name to the second edition, as well as adding a preface. The preface was a tremendously important addition, as it functions as a manifesto of Early Romantic ideology. Being written by the poet himself only increased and emphasised its validity. It was here that Wordsworth wrote his famous definition of poetry as </w:t>
      </w:r>
      <w:r>
        <w:rPr>
          <w:sz w:val="36"/>
          <w:szCs w:val="36"/>
          <w:lang w:val="en-US"/>
        </w:rPr>
        <w:t>“</w:t>
      </w:r>
      <w:r>
        <w:rPr>
          <w:sz w:val="36"/>
          <w:szCs w:val="36"/>
          <w:lang w:val="en-US"/>
        </w:rPr>
        <w:t>the spontaneous overflow of powerful feelings ... from emotion recollected in tranquility</w:t>
      </w:r>
      <w:r>
        <w:rPr>
          <w:sz w:val="36"/>
          <w:szCs w:val="36"/>
          <w:lang w:val="en-US"/>
        </w:rPr>
        <w:t>”</w:t>
      </w:r>
      <w:r>
        <w:rPr>
          <w:sz w:val="36"/>
          <w:szCs w:val="36"/>
          <w:lang w:val="en-US"/>
        </w:rPr>
        <w:t>.</w:t>
      </w:r>
      <w:r>
        <w:rPr>
          <w:sz w:val="36"/>
          <w:szCs w:val="36"/>
          <w:lang w:val="en-US"/>
        </w:rPr>
        <w:t xml:space="preserve"> This has subsequently been much quoted and popularly used as the definition of poetry. Besides (re)defining poetry for a new Movement, Wordsworth also uses the preface to outline his aims and objectives for his and Coleridge</w:t>
      </w:r>
      <w:r>
        <w:rPr>
          <w:sz w:val="36"/>
          <w:szCs w:val="36"/>
          <w:lang w:val="en-US"/>
        </w:rPr>
        <w:t>’</w:t>
      </w:r>
      <w:r>
        <w:rPr>
          <w:sz w:val="36"/>
          <w:szCs w:val="36"/>
          <w:lang w:val="en-US"/>
        </w:rPr>
        <w:t>s poetry, and subsequently for Early British Romanticism as a whole. He states that the poems will focus on the ordinary people - that is to say those of a lower status then had previously tended to feature as the subject of poetry - complete with the real language of their speech to increase authenticity. Fitting with his definition, he stressed the importance of emotion in poetry. Also emphasised is the importance of nature, showing that Wordsworth (and therefore Early Romanticism) was on the agrarian side in the urban versus agrarian debate of the period. Certainly the Lucy poems (along with Lucy herself) are deeply entrenched in the wonders of nature, which is part of their appeal.</w:t>
      </w:r>
    </w:p>
    <w:p>
      <w:pPr>
        <w:pStyle w:val="style4099"/>
        <w:rPr>
          <w:sz w:val="36"/>
          <w:szCs w:val="36"/>
        </w:rPr>
      </w:pPr>
    </w:p>
    <w:p>
      <w:pPr>
        <w:pStyle w:val="style4099"/>
        <w:rPr>
          <w:sz w:val="36"/>
          <w:szCs w:val="36"/>
        </w:rPr>
      </w:pPr>
      <w:r>
        <w:rPr>
          <w:sz w:val="36"/>
          <w:szCs w:val="36"/>
          <w:lang w:val="en-US"/>
        </w:rPr>
        <w:t xml:space="preserve"> There are five Lucy poems that are generally accepted among the Lucy canon. Four of these mention Lucy by name. The one that does not: </w:t>
      </w:r>
      <w:r>
        <w:rPr>
          <w:sz w:val="36"/>
          <w:szCs w:val="36"/>
          <w:lang w:val="en-US"/>
        </w:rPr>
        <w:t>‘</w:t>
      </w:r>
      <w:r>
        <w:rPr>
          <w:sz w:val="36"/>
          <w:szCs w:val="36"/>
          <w:lang w:val="en-US"/>
        </w:rPr>
        <w:t>A Slumber did my spirit seal</w:t>
      </w:r>
      <w:r>
        <w:rPr>
          <w:sz w:val="36"/>
          <w:szCs w:val="36"/>
          <w:lang w:val="en-US"/>
        </w:rPr>
        <w:t xml:space="preserve">’ </w:t>
      </w:r>
      <w:r>
        <w:rPr>
          <w:sz w:val="36"/>
          <w:szCs w:val="36"/>
          <w:lang w:val="en-US"/>
        </w:rPr>
        <w:t xml:space="preserve">is included because like the others, it was written at Goslar during the 1798 to 1799 period and published in the second edition of </w:t>
      </w:r>
      <w:r>
        <w:rPr>
          <w:i/>
          <w:iCs/>
          <w:sz w:val="36"/>
          <w:szCs w:val="36"/>
          <w:lang w:val="en-US"/>
        </w:rPr>
        <w:t>Lyrical Ballads</w:t>
      </w:r>
      <w:r>
        <w:rPr>
          <w:sz w:val="36"/>
          <w:szCs w:val="36"/>
          <w:lang w:val="en-US"/>
        </w:rPr>
        <w:t xml:space="preserve">. Furthermore Wordsworth gave instructions for it to be placed in proximity to the Lucy poem </w:t>
      </w:r>
      <w:r>
        <w:rPr>
          <w:sz w:val="36"/>
          <w:szCs w:val="36"/>
          <w:lang w:val="en-US"/>
        </w:rPr>
        <w:t>‘</w:t>
      </w:r>
      <w:r>
        <w:rPr>
          <w:sz w:val="36"/>
          <w:szCs w:val="36"/>
          <w:lang w:val="en-US"/>
        </w:rPr>
        <w:t>She dwelt among th</w:t>
      </w:r>
      <w:r>
        <w:rPr>
          <w:sz w:val="36"/>
          <w:szCs w:val="36"/>
          <w:lang w:val="en-US"/>
        </w:rPr>
        <w:t xml:space="preserve">’ </w:t>
      </w:r>
      <w:r>
        <w:rPr>
          <w:sz w:val="36"/>
          <w:szCs w:val="36"/>
          <w:lang w:val="en-US"/>
        </w:rPr>
        <w:t>untrodden ways</w:t>
      </w:r>
      <w:r>
        <w:rPr>
          <w:sz w:val="36"/>
          <w:szCs w:val="36"/>
          <w:lang w:val="en-US"/>
        </w:rPr>
        <w:t xml:space="preserve">’ </w:t>
      </w:r>
      <w:r>
        <w:rPr>
          <w:sz w:val="36"/>
          <w:szCs w:val="36"/>
          <w:lang w:val="en-US"/>
        </w:rPr>
        <w:t xml:space="preserve">(also called </w:t>
      </w:r>
      <w:r>
        <w:rPr>
          <w:sz w:val="36"/>
          <w:szCs w:val="36"/>
          <w:lang w:val="en-US"/>
        </w:rPr>
        <w:t>‘</w:t>
      </w:r>
      <w:r>
        <w:rPr>
          <w:sz w:val="36"/>
          <w:szCs w:val="36"/>
          <w:lang w:val="en-US"/>
        </w:rPr>
        <w:t>Song</w:t>
      </w:r>
      <w:r>
        <w:rPr>
          <w:sz w:val="36"/>
          <w:szCs w:val="36"/>
          <w:lang w:val="en-US"/>
        </w:rPr>
        <w:t>’</w:t>
      </w:r>
      <w:r>
        <w:rPr>
          <w:sz w:val="36"/>
          <w:szCs w:val="36"/>
          <w:lang w:val="en-US"/>
        </w:rPr>
        <w:t xml:space="preserve">). This proximity links it to the others and allows it to contribute to an ongoing narrative beginning with </w:t>
      </w:r>
      <w:r>
        <w:rPr>
          <w:sz w:val="36"/>
          <w:szCs w:val="36"/>
          <w:lang w:val="en-US"/>
        </w:rPr>
        <w:t>‘</w:t>
      </w:r>
      <w:r>
        <w:rPr>
          <w:sz w:val="36"/>
          <w:szCs w:val="36"/>
          <w:lang w:val="en-US"/>
        </w:rPr>
        <w:t>Strange fits of passion I have known</w:t>
      </w:r>
      <w:r>
        <w:rPr>
          <w:sz w:val="36"/>
          <w:szCs w:val="36"/>
          <w:lang w:val="en-US"/>
        </w:rPr>
        <w:t xml:space="preserve">’ </w:t>
      </w:r>
      <w:r>
        <w:rPr>
          <w:sz w:val="36"/>
          <w:szCs w:val="36"/>
          <w:lang w:val="en-US"/>
        </w:rPr>
        <w:t xml:space="preserve">and ending with </w:t>
      </w:r>
      <w:r>
        <w:rPr>
          <w:sz w:val="36"/>
          <w:szCs w:val="36"/>
          <w:lang w:val="en-US"/>
        </w:rPr>
        <w:t>‘</w:t>
      </w:r>
      <w:r>
        <w:rPr>
          <w:sz w:val="36"/>
          <w:szCs w:val="36"/>
          <w:lang w:val="en-US"/>
        </w:rPr>
        <w:t>A Slumber did my spirit seal</w:t>
      </w:r>
      <w:r>
        <w:rPr>
          <w:sz w:val="36"/>
          <w:szCs w:val="36"/>
          <w:lang w:val="en-US"/>
        </w:rPr>
        <w:t>’</w:t>
      </w:r>
      <w:r>
        <w:rPr>
          <w:sz w:val="36"/>
          <w:szCs w:val="36"/>
          <w:lang w:val="en-US"/>
        </w:rPr>
        <w:t>. The broad strokes of this narrative are that the poet who refers to himself as a lover makes his way to Lucy</w:t>
      </w:r>
      <w:r>
        <w:rPr>
          <w:sz w:val="36"/>
          <w:szCs w:val="36"/>
          <w:lang w:val="en-US"/>
        </w:rPr>
        <w:t>’</w:t>
      </w:r>
      <w:r>
        <w:rPr>
          <w:sz w:val="36"/>
          <w:szCs w:val="36"/>
          <w:lang w:val="en-US"/>
        </w:rPr>
        <w:t xml:space="preserve">s cottage by night. En route he has a foreboding dread that she has died. Her death is confirmed in </w:t>
      </w:r>
      <w:r>
        <w:rPr>
          <w:sz w:val="36"/>
          <w:szCs w:val="36"/>
          <w:lang w:val="en-US"/>
        </w:rPr>
        <w:t>‘</w:t>
      </w:r>
      <w:r>
        <w:rPr>
          <w:sz w:val="36"/>
          <w:szCs w:val="36"/>
          <w:lang w:val="en-US"/>
        </w:rPr>
        <w:t>Song</w:t>
      </w:r>
      <w:r>
        <w:rPr>
          <w:sz w:val="36"/>
          <w:szCs w:val="36"/>
          <w:lang w:val="en-US"/>
        </w:rPr>
        <w:t>’</w:t>
      </w:r>
      <w:r>
        <w:rPr>
          <w:sz w:val="36"/>
          <w:szCs w:val="36"/>
          <w:lang w:val="en-US"/>
        </w:rPr>
        <w:t xml:space="preserve">, the next poem, which begins with past tense references to her and ends by invoking her grave. Lastly in </w:t>
      </w:r>
      <w:r>
        <w:rPr>
          <w:sz w:val="36"/>
          <w:szCs w:val="36"/>
          <w:lang w:val="en-US"/>
        </w:rPr>
        <w:t>‘</w:t>
      </w:r>
      <w:r>
        <w:rPr>
          <w:sz w:val="36"/>
          <w:szCs w:val="36"/>
          <w:lang w:val="en-US"/>
        </w:rPr>
        <w:t>Slumber</w:t>
      </w:r>
      <w:r>
        <w:rPr>
          <w:sz w:val="36"/>
          <w:szCs w:val="36"/>
          <w:lang w:val="en-US"/>
        </w:rPr>
        <w:t>’</w:t>
      </w:r>
      <w:r>
        <w:rPr>
          <w:sz w:val="36"/>
          <w:szCs w:val="36"/>
          <w:lang w:val="en-US"/>
        </w:rPr>
        <w:t>, the poet reflects on his own feelings, claiming that he had not feared Lucy</w:t>
      </w:r>
      <w:r>
        <w:rPr>
          <w:sz w:val="36"/>
          <w:szCs w:val="36"/>
          <w:lang w:val="en-US"/>
        </w:rPr>
        <w:t>’</w:t>
      </w:r>
      <w:r>
        <w:rPr>
          <w:sz w:val="36"/>
          <w:szCs w:val="36"/>
          <w:lang w:val="en-US"/>
        </w:rPr>
        <w:t xml:space="preserve">s death before it happened, as he had a sense of her as being immune to time and its effects. His spirit was therefore protected by a </w:t>
      </w:r>
      <w:r>
        <w:rPr>
          <w:sz w:val="36"/>
          <w:szCs w:val="36"/>
          <w:lang w:val="en-US"/>
        </w:rPr>
        <w:t>‘</w:t>
      </w:r>
      <w:r>
        <w:rPr>
          <w:sz w:val="36"/>
          <w:szCs w:val="36"/>
          <w:lang w:val="en-US"/>
        </w:rPr>
        <w:t>slumber</w:t>
      </w:r>
      <w:r>
        <w:rPr>
          <w:sz w:val="36"/>
          <w:szCs w:val="36"/>
          <w:lang w:val="en-US"/>
        </w:rPr>
        <w:t>’</w:t>
      </w:r>
      <w:r>
        <w:rPr>
          <w:sz w:val="36"/>
          <w:szCs w:val="36"/>
          <w:lang w:val="en-US"/>
        </w:rPr>
        <w:t>. This covers the first stanza. In the second and final one of this short poem, the poet makes reference to pantheism, which fits very well into Early Romantic Ideology. He relegates Lucy</w:t>
      </w:r>
      <w:r>
        <w:rPr>
          <w:sz w:val="36"/>
          <w:szCs w:val="36"/>
          <w:lang w:val="en-US"/>
        </w:rPr>
        <w:t>’</w:t>
      </w:r>
      <w:r>
        <w:rPr>
          <w:sz w:val="36"/>
          <w:szCs w:val="36"/>
          <w:lang w:val="en-US"/>
        </w:rPr>
        <w:t xml:space="preserve">s spirit to nature, finding solace in the idea of her </w:t>
      </w:r>
      <w:r>
        <w:rPr>
          <w:sz w:val="36"/>
          <w:szCs w:val="36"/>
          <w:lang w:val="en-US"/>
        </w:rPr>
        <w:t>“</w:t>
      </w:r>
      <w:r>
        <w:rPr>
          <w:sz w:val="36"/>
          <w:szCs w:val="36"/>
          <w:lang w:val="en-US"/>
        </w:rPr>
        <w:t>Roll</w:t>
      </w:r>
      <w:r>
        <w:rPr>
          <w:sz w:val="36"/>
          <w:szCs w:val="36"/>
          <w:lang w:val="en-US"/>
        </w:rPr>
        <w:t>’</w:t>
      </w:r>
      <w:r>
        <w:rPr>
          <w:sz w:val="36"/>
          <w:szCs w:val="36"/>
          <w:lang w:val="en-US"/>
        </w:rPr>
        <w:t>d round in earth</w:t>
      </w:r>
      <w:r>
        <w:rPr>
          <w:sz w:val="36"/>
          <w:szCs w:val="36"/>
          <w:lang w:val="en-US"/>
        </w:rPr>
        <w:t>’</w:t>
      </w:r>
      <w:r>
        <w:rPr>
          <w:sz w:val="36"/>
          <w:szCs w:val="36"/>
          <w:lang w:val="en-US"/>
        </w:rPr>
        <w:t>s diurnal course/ With rocks and stones and trees!</w:t>
      </w:r>
      <w:r>
        <w:rPr>
          <w:sz w:val="36"/>
          <w:szCs w:val="36"/>
          <w:lang w:val="en-US"/>
        </w:rPr>
        <w:t xml:space="preserve">” </w:t>
      </w:r>
      <w:r>
        <w:rPr>
          <w:sz w:val="36"/>
          <w:szCs w:val="36"/>
          <w:lang w:val="en-US"/>
        </w:rPr>
        <w:t xml:space="preserve">Thus a poem that began in quiet contemplation ends on a jaunty and almost triumphant note. Consigning the dead Lucy to nature is further fitting as her living self had also been enmeshed within it, according to the poetic comparisons used in </w:t>
      </w:r>
      <w:r>
        <w:rPr>
          <w:sz w:val="36"/>
          <w:szCs w:val="36"/>
          <w:lang w:val="en-US"/>
        </w:rPr>
        <w:t>‘</w:t>
      </w:r>
      <w:r>
        <w:rPr>
          <w:sz w:val="36"/>
          <w:szCs w:val="36"/>
          <w:lang w:val="en-US"/>
        </w:rPr>
        <w:t>Song</w:t>
      </w:r>
      <w:r>
        <w:rPr>
          <w:sz w:val="36"/>
          <w:szCs w:val="36"/>
          <w:lang w:val="en-US"/>
        </w:rPr>
        <w:t>’</w:t>
      </w:r>
      <w:r>
        <w:rPr>
          <w:sz w:val="36"/>
          <w:szCs w:val="36"/>
          <w:lang w:val="en-US"/>
        </w:rPr>
        <w:t>. In the second and middle stanza, Lucy is famously invoked as:</w:t>
      </w:r>
    </w:p>
    <w:p>
      <w:pPr>
        <w:pStyle w:val="style4099"/>
        <w:jc w:val="center"/>
        <w:rPr>
          <w:sz w:val="36"/>
          <w:szCs w:val="36"/>
        </w:rPr>
      </w:pPr>
      <w:r>
        <w:rPr>
          <w:sz w:val="36"/>
          <w:szCs w:val="36"/>
          <w:lang w:val="en-US"/>
        </w:rPr>
        <w:t>A Violet by a mossy stone</w:t>
      </w:r>
    </w:p>
    <w:p>
      <w:pPr>
        <w:pStyle w:val="style4099"/>
        <w:jc w:val="center"/>
        <w:rPr>
          <w:sz w:val="36"/>
          <w:szCs w:val="36"/>
        </w:rPr>
      </w:pPr>
      <w:r>
        <w:rPr>
          <w:sz w:val="36"/>
          <w:szCs w:val="36"/>
          <w:lang w:val="en-US"/>
        </w:rPr>
        <w:t>Half-hidden from the Eye!</w:t>
      </w:r>
    </w:p>
    <w:p>
      <w:pPr>
        <w:pStyle w:val="style4099"/>
        <w:numPr>
          <w:ilvl w:val="0"/>
          <w:numId w:val="2"/>
        </w:numPr>
        <w:bidi w:val="false"/>
        <w:ind w:right="0"/>
        <w:jc w:val="center"/>
        <w:rPr>
          <w:sz w:val="36"/>
          <w:szCs w:val="36"/>
          <w:lang w:val="en-US"/>
        </w:rPr>
      </w:pPr>
      <w:r>
        <w:rPr>
          <w:sz w:val="36"/>
          <w:szCs w:val="36"/>
          <w:lang w:val="en-US"/>
        </w:rPr>
        <w:t xml:space="preserve">Fair, as a star when only one </w:t>
      </w:r>
    </w:p>
    <w:p>
      <w:pPr>
        <w:pStyle w:val="style4099"/>
        <w:numPr>
          <w:ilvl w:val="0"/>
          <w:numId w:val="2"/>
        </w:numPr>
        <w:bidi w:val="false"/>
        <w:ind w:right="0"/>
        <w:jc w:val="center"/>
        <w:rPr>
          <w:sz w:val="36"/>
          <w:szCs w:val="36"/>
          <w:lang w:val="en-US"/>
        </w:rPr>
      </w:pPr>
      <w:r>
        <w:rPr>
          <w:sz w:val="36"/>
          <w:szCs w:val="36"/>
          <w:lang w:val="en-US"/>
        </w:rPr>
        <w:t>Is shining in the sky!</w:t>
      </w:r>
    </w:p>
    <w:p>
      <w:pPr>
        <w:pStyle w:val="style4099"/>
        <w:jc w:val="center"/>
        <w:rPr>
          <w:sz w:val="36"/>
          <w:szCs w:val="36"/>
        </w:rPr>
      </w:pPr>
    </w:p>
    <w:p>
      <w:pPr>
        <w:pStyle w:val="style4099"/>
        <w:rPr>
          <w:sz w:val="36"/>
          <w:szCs w:val="36"/>
        </w:rPr>
      </w:pPr>
      <w:r>
        <w:rPr>
          <w:sz w:val="36"/>
          <w:szCs w:val="36"/>
          <w:lang w:val="en-US"/>
        </w:rPr>
        <w:t>Between the poet</w:t>
      </w:r>
      <w:r>
        <w:rPr>
          <w:sz w:val="36"/>
          <w:szCs w:val="36"/>
          <w:lang w:val="en-US"/>
        </w:rPr>
        <w:t>’</w:t>
      </w:r>
      <w:r>
        <w:rPr>
          <w:sz w:val="36"/>
          <w:szCs w:val="36"/>
          <w:lang w:val="en-US"/>
        </w:rPr>
        <w:t xml:space="preserve">s characterisation of himself as lover, and such conventionally poetic descriptions of Lucy as </w:t>
      </w:r>
      <w:r>
        <w:rPr>
          <w:sz w:val="36"/>
          <w:szCs w:val="36"/>
          <w:lang w:val="en-US"/>
        </w:rPr>
        <w:t>“</w:t>
      </w:r>
      <w:r>
        <w:rPr>
          <w:sz w:val="36"/>
          <w:szCs w:val="36"/>
          <w:lang w:val="en-US"/>
        </w:rPr>
        <w:t>like a rose in June</w:t>
      </w:r>
      <w:r>
        <w:rPr>
          <w:sz w:val="36"/>
          <w:szCs w:val="36"/>
          <w:lang w:val="en-US"/>
        </w:rPr>
        <w:t xml:space="preserve">” </w:t>
      </w:r>
      <w:r>
        <w:rPr>
          <w:sz w:val="36"/>
          <w:szCs w:val="36"/>
          <w:lang w:val="en-US"/>
        </w:rPr>
        <w:t xml:space="preserve">it is a reasonable assumption that she is his mistress in either the romantic or poetical sense or both. It is therefore inferred that although young, she is of sufficient adult age to fulfil this role. Further supporting this is the fact of the cottage being referred to as hers and with the implication that she lives there alone. Like the last Lucy poem, </w:t>
      </w:r>
      <w:r>
        <w:rPr>
          <w:sz w:val="36"/>
          <w:szCs w:val="36"/>
          <w:lang w:val="en-US"/>
        </w:rPr>
        <w:t>‘</w:t>
      </w:r>
      <w:r>
        <w:rPr>
          <w:sz w:val="36"/>
          <w:szCs w:val="36"/>
          <w:lang w:val="en-US"/>
        </w:rPr>
        <w:t>I traveled among unknown men</w:t>
      </w:r>
      <w:r>
        <w:rPr>
          <w:sz w:val="36"/>
          <w:szCs w:val="36"/>
          <w:lang w:val="en-US"/>
        </w:rPr>
        <w:t>’</w:t>
      </w:r>
      <w:r>
        <w:rPr>
          <w:sz w:val="36"/>
          <w:szCs w:val="36"/>
          <w:lang w:val="en-US"/>
        </w:rPr>
        <w:t xml:space="preserve">, the first one, </w:t>
      </w:r>
      <w:r>
        <w:rPr>
          <w:sz w:val="36"/>
          <w:szCs w:val="36"/>
          <w:lang w:val="en-US"/>
        </w:rPr>
        <w:t>‘</w:t>
      </w:r>
      <w:r>
        <w:rPr>
          <w:sz w:val="36"/>
          <w:szCs w:val="36"/>
          <w:lang w:val="en-US"/>
        </w:rPr>
        <w:t>Strange fits</w:t>
      </w:r>
      <w:r>
        <w:rPr>
          <w:sz w:val="36"/>
          <w:szCs w:val="36"/>
          <w:lang w:val="en-US"/>
        </w:rPr>
        <w:t>’</w:t>
      </w:r>
      <w:r>
        <w:rPr>
          <w:sz w:val="36"/>
          <w:szCs w:val="36"/>
          <w:lang w:val="en-US"/>
        </w:rPr>
        <w:t>, which contains the most internal evidence for Lucy</w:t>
      </w:r>
      <w:r>
        <w:rPr>
          <w:sz w:val="36"/>
          <w:szCs w:val="36"/>
          <w:lang w:val="en-US"/>
        </w:rPr>
        <w:t>’</w:t>
      </w:r>
      <w:r>
        <w:rPr>
          <w:sz w:val="36"/>
          <w:szCs w:val="36"/>
          <w:lang w:val="en-US"/>
        </w:rPr>
        <w:t>s adult age, is fairly long by the cycle</w:t>
      </w:r>
      <w:r>
        <w:rPr>
          <w:sz w:val="36"/>
          <w:szCs w:val="36"/>
          <w:lang w:val="en-US"/>
        </w:rPr>
        <w:t>’</w:t>
      </w:r>
      <w:r>
        <w:rPr>
          <w:sz w:val="36"/>
          <w:szCs w:val="36"/>
          <w:lang w:val="en-US"/>
        </w:rPr>
        <w:t xml:space="preserve">s standards; consisting of seven four line stanzas. </w:t>
      </w:r>
      <w:r>
        <w:rPr>
          <w:sz w:val="36"/>
          <w:szCs w:val="36"/>
          <w:lang w:val="en-US"/>
        </w:rPr>
        <w:t>‘</w:t>
      </w:r>
      <w:r>
        <w:rPr>
          <w:sz w:val="36"/>
          <w:szCs w:val="36"/>
          <w:lang w:val="en-US"/>
        </w:rPr>
        <w:t>I traveled among unknown men</w:t>
      </w:r>
      <w:r>
        <w:rPr>
          <w:sz w:val="36"/>
          <w:szCs w:val="36"/>
          <w:lang w:val="en-US"/>
        </w:rPr>
        <w:t xml:space="preserve">’ </w:t>
      </w:r>
      <w:r>
        <w:rPr>
          <w:sz w:val="36"/>
          <w:szCs w:val="36"/>
          <w:lang w:val="en-US"/>
        </w:rPr>
        <w:t xml:space="preserve">was published in 1807 in a collection entitled </w:t>
      </w:r>
      <w:r>
        <w:rPr>
          <w:i/>
          <w:iCs/>
          <w:sz w:val="36"/>
          <w:szCs w:val="36"/>
          <w:lang w:val="en-US"/>
        </w:rPr>
        <w:t>Poems in Two Volumes</w:t>
      </w:r>
      <w:r>
        <w:rPr>
          <w:sz w:val="36"/>
          <w:szCs w:val="36"/>
          <w:lang w:val="en-US"/>
        </w:rPr>
        <w:t xml:space="preserve">. </w:t>
      </w:r>
      <w:r>
        <w:rPr>
          <w:sz w:val="36"/>
          <w:szCs w:val="36"/>
          <w:lang w:val="en-US"/>
        </w:rPr>
        <w:t>It</w:t>
      </w:r>
      <w:r>
        <w:rPr>
          <w:sz w:val="36"/>
          <w:szCs w:val="36"/>
          <w:lang w:val="en-US"/>
        </w:rPr>
        <w:t xml:space="preserve"> referred to the poet</w:t>
      </w:r>
      <w:r>
        <w:rPr>
          <w:sz w:val="36"/>
          <w:szCs w:val="36"/>
          <w:lang w:val="en-US"/>
        </w:rPr>
        <w:t>’</w:t>
      </w:r>
      <w:r>
        <w:rPr>
          <w:sz w:val="36"/>
          <w:szCs w:val="36"/>
          <w:lang w:val="en-US"/>
        </w:rPr>
        <w:t>s travels abroad in Germany and his longing for his homeland in England, made all the more desirable by its association with Lucy. This fittingly closes the Lucy cycle.</w:t>
      </w:r>
    </w:p>
    <w:p>
      <w:pPr>
        <w:pStyle w:val="style4099"/>
        <w:rPr>
          <w:sz w:val="36"/>
          <w:szCs w:val="36"/>
        </w:rPr>
      </w:pPr>
    </w:p>
    <w:p>
      <w:pPr>
        <w:pStyle w:val="style4099"/>
        <w:rPr>
          <w:sz w:val="36"/>
          <w:szCs w:val="36"/>
        </w:rPr>
      </w:pPr>
      <w:r>
        <w:rPr>
          <w:sz w:val="36"/>
          <w:szCs w:val="36"/>
          <w:lang w:val="en-US"/>
        </w:rPr>
        <w:t>The Lucy poems and the Matthew poems, which have much in common, are the two major poem cycles of Wordsworth</w:t>
      </w:r>
      <w:r>
        <w:rPr>
          <w:sz w:val="36"/>
          <w:szCs w:val="36"/>
          <w:lang w:val="en-US"/>
        </w:rPr>
        <w:t>’</w:t>
      </w:r>
      <w:r>
        <w:rPr>
          <w:sz w:val="36"/>
          <w:szCs w:val="36"/>
          <w:lang w:val="en-US"/>
        </w:rPr>
        <w:t xml:space="preserve">s career. They are from his early poetic work, which is considered to have been his heyday. Indeed they were written at about the same time, in 1798 and 1799, and were both later additions to the </w:t>
      </w:r>
      <w:r>
        <w:rPr>
          <w:i/>
          <w:iCs/>
          <w:sz w:val="36"/>
          <w:szCs w:val="36"/>
          <w:lang w:val="en-US"/>
        </w:rPr>
        <w:t>Lyrical Ballads</w:t>
      </w:r>
      <w:r>
        <w:rPr>
          <w:sz w:val="36"/>
          <w:szCs w:val="36"/>
          <w:lang w:val="en-US"/>
        </w:rPr>
        <w:t xml:space="preserve">. They both have a pastoral setting, emphasise the importance of nature and feature death as a major theme. Indeed the two cycles are so strongly connected that Alan Grob recommends compiling them both </w:t>
      </w:r>
      <w:r>
        <w:rPr>
          <w:sz w:val="36"/>
          <w:szCs w:val="36"/>
          <w:lang w:val="en-US"/>
        </w:rPr>
        <w:t>“</w:t>
      </w:r>
      <w:r>
        <w:rPr>
          <w:sz w:val="36"/>
          <w:szCs w:val="36"/>
          <w:lang w:val="en-US"/>
        </w:rPr>
        <w:t>under a single heading as the Goslar lyrics of 1799</w:t>
      </w:r>
      <w:r>
        <w:rPr>
          <w:sz w:val="36"/>
          <w:szCs w:val="36"/>
          <w:lang w:val="en-US"/>
        </w:rPr>
        <w:t>”</w:t>
      </w:r>
      <w:r>
        <w:rPr>
          <w:sz w:val="36"/>
          <w:szCs w:val="36"/>
          <w:lang w:val="en-US"/>
        </w:rPr>
        <w:t>.</w:t>
      </w:r>
      <w:r>
        <w:rPr>
          <w:rFonts w:ascii="Helvetica Neue" w:cs="Helvetica Neue" w:eastAsia="Helvetica Neue" w:hAnsi="Helvetica Neue"/>
          <w:b w:val="false"/>
          <w:bCs w:val="false"/>
          <w:i w:val="false"/>
          <w:iCs w:val="false"/>
          <w:sz w:val="36"/>
          <w:szCs w:val="36"/>
          <w:vertAlign w:val="superscript"/>
        </w:rPr>
        <w:footnoteReference w:id="1"/>
      </w:r>
      <w:r>
        <w:rPr>
          <w:sz w:val="36"/>
          <w:szCs w:val="36"/>
          <w:lang w:val="en-US"/>
        </w:rPr>
        <w:t xml:space="preserve"> ‘</w:t>
      </w:r>
      <w:r>
        <w:rPr>
          <w:sz w:val="36"/>
          <w:szCs w:val="36"/>
          <w:lang w:val="en-US"/>
        </w:rPr>
        <w:t>Goslar</w:t>
      </w:r>
      <w:r>
        <w:rPr>
          <w:sz w:val="36"/>
          <w:szCs w:val="36"/>
          <w:lang w:val="en-US"/>
        </w:rPr>
        <w:t xml:space="preserve">’ </w:t>
      </w:r>
      <w:r>
        <w:rPr>
          <w:sz w:val="36"/>
          <w:szCs w:val="36"/>
          <w:lang w:val="en-US"/>
        </w:rPr>
        <w:t xml:space="preserve">is a reference to the region of Germany where Wordsworth was dwelling at the time, with his sister Dorothy, but without Coleridge, who had moved to another region of that country. It was this separation, due to financial considerations, that might account for the mood and content of the two poem cycles, as Wordsworth had fallen into </w:t>
      </w:r>
      <w:r>
        <w:rPr>
          <w:outline w:val="false"/>
          <w:color w:val="000000"/>
          <w:sz w:val="36"/>
          <w:szCs w:val="36"/>
          <w:u w:color="000000"/>
          <w:lang w:val="en-US"/>
        </w:rPr>
        <w:t xml:space="preserve">a melancholy </w:t>
      </w:r>
      <w:r>
        <w:rPr>
          <w:sz w:val="36"/>
          <w:szCs w:val="36"/>
          <w:lang w:val="en-US"/>
        </w:rPr>
        <w:t>because of it. Unlike some of the later Romantics, Wordsworth did not have the same emphasis on being alone; between Coleridge, Dorothy, Annette Vallon, the French woman who bore his illegitimate daughter Caroline, and his wife Mary Hutchinson, who bore his five legitimate children, he had company for much of his life.</w:t>
      </w:r>
    </w:p>
    <w:p>
      <w:pPr>
        <w:pStyle w:val="style4099"/>
        <w:rPr>
          <w:sz w:val="36"/>
          <w:szCs w:val="36"/>
        </w:rPr>
      </w:pPr>
    </w:p>
    <w:p>
      <w:pPr>
        <w:pStyle w:val="style4099"/>
        <w:rPr>
          <w:sz w:val="36"/>
          <w:szCs w:val="36"/>
        </w:rPr>
      </w:pPr>
      <w:r>
        <w:rPr>
          <w:sz w:val="36"/>
          <w:szCs w:val="36"/>
          <w:lang w:val="en-US"/>
        </w:rPr>
        <w:t xml:space="preserve">A number of additional Wordsworth poems have over time variously been considered by critics to warrant a place within the Lucy poem cycle. The one with the best claim I would argue is </w:t>
      </w:r>
      <w:r>
        <w:rPr>
          <w:sz w:val="36"/>
          <w:szCs w:val="36"/>
          <w:lang w:val="en-US"/>
        </w:rPr>
        <w:t>‘</w:t>
      </w:r>
      <w:r>
        <w:rPr>
          <w:sz w:val="36"/>
          <w:szCs w:val="36"/>
          <w:lang w:val="en-US"/>
        </w:rPr>
        <w:t>Lucy Gray</w:t>
      </w:r>
      <w:r>
        <w:rPr>
          <w:sz w:val="36"/>
          <w:szCs w:val="36"/>
          <w:lang w:val="en-US"/>
        </w:rPr>
        <w:t>’</w:t>
      </w:r>
      <w:r>
        <w:rPr>
          <w:sz w:val="36"/>
          <w:szCs w:val="36"/>
          <w:lang w:val="en-US"/>
        </w:rPr>
        <w:t xml:space="preserve">. Like both the Lucy and Matthew poem cycles, </w:t>
      </w:r>
      <w:r>
        <w:rPr>
          <w:sz w:val="36"/>
          <w:szCs w:val="36"/>
          <w:lang w:val="en-US"/>
        </w:rPr>
        <w:t>‘</w:t>
      </w:r>
      <w:r>
        <w:rPr>
          <w:sz w:val="36"/>
          <w:szCs w:val="36"/>
          <w:lang w:val="en-US"/>
        </w:rPr>
        <w:t>Lucy Gray</w:t>
      </w:r>
      <w:r>
        <w:rPr>
          <w:sz w:val="36"/>
          <w:szCs w:val="36"/>
          <w:lang w:val="en-US"/>
        </w:rPr>
        <w:t xml:space="preserve">’ </w:t>
      </w:r>
      <w:r>
        <w:rPr>
          <w:sz w:val="36"/>
          <w:szCs w:val="36"/>
          <w:lang w:val="en-US"/>
        </w:rPr>
        <w:t xml:space="preserve">was written at Goslar during the 1798 to 1799 period and was first published in the 1800 second edition of </w:t>
      </w:r>
      <w:r>
        <w:rPr>
          <w:i/>
          <w:iCs/>
          <w:sz w:val="36"/>
          <w:szCs w:val="36"/>
          <w:lang w:val="en-US"/>
        </w:rPr>
        <w:t>Lyrical Ballads</w:t>
      </w:r>
      <w:r>
        <w:rPr>
          <w:sz w:val="36"/>
          <w:szCs w:val="36"/>
          <w:lang w:val="en-US"/>
        </w:rPr>
        <w:t xml:space="preserve">. There are also a number of thematic connections. As Bennett Weaver notes, the Goslar lyrics repeatedly harp on death: </w:t>
      </w:r>
      <w:r>
        <w:rPr>
          <w:sz w:val="36"/>
          <w:szCs w:val="36"/>
          <w:lang w:val="en-US"/>
        </w:rPr>
        <w:t>“</w:t>
      </w:r>
      <w:r>
        <w:rPr>
          <w:sz w:val="36"/>
          <w:szCs w:val="36"/>
          <w:lang w:val="en-US"/>
        </w:rPr>
        <w:t>...death for the children of the village school, for Matthew</w:t>
      </w:r>
      <w:r>
        <w:rPr>
          <w:sz w:val="36"/>
          <w:szCs w:val="36"/>
          <w:lang w:val="en-US"/>
        </w:rPr>
        <w:t>’</w:t>
      </w:r>
      <w:r>
        <w:rPr>
          <w:sz w:val="36"/>
          <w:szCs w:val="36"/>
          <w:lang w:val="en-US"/>
        </w:rPr>
        <w:t>s daughter and for Lucy Gray.</w:t>
      </w:r>
      <w:r>
        <w:rPr>
          <w:sz w:val="36"/>
          <w:szCs w:val="36"/>
          <w:lang w:val="en-US"/>
        </w:rPr>
        <w:t>”</w:t>
      </w:r>
      <w:r>
        <w:rPr>
          <w:rFonts w:ascii="Helvetica Neue" w:cs="Helvetica Neue" w:eastAsia="Helvetica Neue" w:hAnsi="Helvetica Neue"/>
          <w:b w:val="false"/>
          <w:bCs w:val="false"/>
          <w:i w:val="false"/>
          <w:iCs w:val="false"/>
          <w:sz w:val="36"/>
          <w:szCs w:val="36"/>
          <w:vertAlign w:val="superscript"/>
        </w:rPr>
        <w:footnoteReference w:id="2"/>
      </w:r>
      <w:r>
        <w:rPr>
          <w:sz w:val="36"/>
          <w:szCs w:val="36"/>
          <w:lang w:val="en-US"/>
        </w:rPr>
        <w:t xml:space="preserve"> A poem about a character named Lucy in which this character is central and crucially dies will certainly seem familiar to readers of the Lucy poem cycle and would seem to warrant inclusion. There are however some important differences including length, narration and detail. Only the unusually long Lucy cycle poems are close in length to </w:t>
      </w:r>
      <w:r>
        <w:rPr>
          <w:sz w:val="36"/>
          <w:szCs w:val="36"/>
          <w:lang w:val="en-US"/>
        </w:rPr>
        <w:t>‘</w:t>
      </w:r>
      <w:r>
        <w:rPr>
          <w:sz w:val="36"/>
          <w:szCs w:val="36"/>
          <w:lang w:val="en-US"/>
        </w:rPr>
        <w:t>Lucy Gray</w:t>
      </w:r>
      <w:r>
        <w:rPr>
          <w:sz w:val="36"/>
          <w:szCs w:val="36"/>
          <w:lang w:val="en-US"/>
        </w:rPr>
        <w:t>’</w:t>
      </w:r>
      <w:r>
        <w:rPr>
          <w:sz w:val="36"/>
          <w:szCs w:val="36"/>
          <w:lang w:val="en-US"/>
        </w:rPr>
        <w:t xml:space="preserve">. As to narration, as previously considered, to ascertain a sense of narrative from the Lucy cycle, it is necessary to read the poems in sequence. </w:t>
      </w:r>
      <w:r>
        <w:rPr>
          <w:sz w:val="36"/>
          <w:szCs w:val="36"/>
          <w:lang w:val="en-US"/>
        </w:rPr>
        <w:t>‘</w:t>
      </w:r>
      <w:r>
        <w:rPr>
          <w:sz w:val="36"/>
          <w:szCs w:val="36"/>
          <w:lang w:val="en-US"/>
        </w:rPr>
        <w:t>Lucy Gray</w:t>
      </w:r>
      <w:r>
        <w:rPr>
          <w:sz w:val="36"/>
          <w:szCs w:val="36"/>
          <w:lang w:val="en-US"/>
        </w:rPr>
        <w:t xml:space="preserve">’ </w:t>
      </w:r>
      <w:r>
        <w:rPr>
          <w:sz w:val="36"/>
          <w:szCs w:val="36"/>
          <w:lang w:val="en-US"/>
        </w:rPr>
        <w:t>contrariwise, has a much more sustained and self-contained narrative. Arguably it has more narrative to itself than the cycle has across it. There is also much more information supplied about Lucy Gray</w:t>
      </w:r>
      <w:r>
        <w:rPr>
          <w:sz w:val="36"/>
          <w:szCs w:val="36"/>
          <w:lang w:val="en-US"/>
        </w:rPr>
        <w:t>.</w:t>
      </w:r>
      <w:r>
        <w:rPr>
          <w:sz w:val="36"/>
          <w:szCs w:val="36"/>
          <w:lang w:val="en-US"/>
        </w:rPr>
        <w:t xml:space="preserve"> The mere fact of her being given a surname portends from the very title that she will be a more grounded and described character than the ever mysterious Lucy cycle Lucy. Wordsworth is unusually reticent on the subject of her, both within and outside of the poem cycle. It is difficult to establish her living situation, her relationship to the poet and even her age. Lucy Gray by contrast has a full name, a family and is explicitly described as a child. If she seems more grounded in reality than the other Lucy, it is because she was; Wordsworth having been inspired by the true tale of a real child that he heard from his sister. His additional inspiration was the surrounding snow at the time of composition. Wordsworth made an essential distinction between the story he had heard and his poetic version: in reality the child</w:t>
      </w:r>
      <w:r>
        <w:rPr>
          <w:sz w:val="36"/>
          <w:szCs w:val="36"/>
          <w:lang w:val="en-US"/>
        </w:rPr>
        <w:t>’</w:t>
      </w:r>
      <w:r>
        <w:rPr>
          <w:sz w:val="36"/>
          <w:szCs w:val="36"/>
          <w:lang w:val="en-US"/>
        </w:rPr>
        <w:t>s body was found in the canal, which brought closure and solved the mystery of her fate. Wordsworth</w:t>
      </w:r>
      <w:r>
        <w:rPr>
          <w:sz w:val="36"/>
          <w:szCs w:val="36"/>
          <w:lang w:val="en-US"/>
        </w:rPr>
        <w:t>’</w:t>
      </w:r>
      <w:r>
        <w:rPr>
          <w:sz w:val="36"/>
          <w:szCs w:val="36"/>
          <w:lang w:val="en-US"/>
        </w:rPr>
        <w:t>s Lucy Gray though, is missing presumed dead at the end of the poem. This allowed him to end his ballad with the traditional open ending of this form of verse. Lucy</w:t>
      </w:r>
      <w:r>
        <w:rPr>
          <w:sz w:val="36"/>
          <w:szCs w:val="36"/>
          <w:lang w:val="en-US"/>
        </w:rPr>
        <w:t>’</w:t>
      </w:r>
      <w:r>
        <w:rPr>
          <w:sz w:val="36"/>
          <w:szCs w:val="36"/>
          <w:lang w:val="en-US"/>
        </w:rPr>
        <w:t xml:space="preserve">s parents track her footprints to the middle of a bridge where they abruptly end. This is strongly suggestive of her having fallen from it and died, and yet she is not found. Thus Wordsworth is able to end the poem with a discussion of alleged Lucy sightings in the following years, in which she tends to appear </w:t>
      </w:r>
      <w:r>
        <w:rPr>
          <w:sz w:val="36"/>
          <w:szCs w:val="36"/>
          <w:lang w:val="en-US"/>
        </w:rPr>
        <w:t>“</w:t>
      </w:r>
      <w:r>
        <w:rPr>
          <w:sz w:val="36"/>
          <w:szCs w:val="36"/>
          <w:lang w:val="en-US"/>
        </w:rPr>
        <w:t>at break of day</w:t>
      </w:r>
      <w:r>
        <w:rPr>
          <w:sz w:val="36"/>
          <w:szCs w:val="36"/>
          <w:lang w:val="en-US"/>
        </w:rPr>
        <w:t>”</w:t>
      </w:r>
      <w:r>
        <w:rPr>
          <w:sz w:val="36"/>
          <w:szCs w:val="36"/>
          <w:lang w:val="en-US"/>
        </w:rPr>
        <w:t xml:space="preserve">. Such sightings could be of a ghost or yet of </w:t>
      </w:r>
      <w:r>
        <w:rPr>
          <w:sz w:val="36"/>
          <w:szCs w:val="36"/>
          <w:lang w:val="en-US"/>
        </w:rPr>
        <w:t>“</w:t>
      </w:r>
      <w:r>
        <w:rPr>
          <w:sz w:val="36"/>
          <w:szCs w:val="36"/>
          <w:lang w:val="en-US"/>
        </w:rPr>
        <w:t>a living Child</w:t>
      </w:r>
      <w:r>
        <w:rPr>
          <w:sz w:val="36"/>
          <w:szCs w:val="36"/>
          <w:lang w:val="en-US"/>
        </w:rPr>
        <w:t>”</w:t>
      </w:r>
      <w:r>
        <w:rPr>
          <w:sz w:val="36"/>
          <w:szCs w:val="36"/>
          <w:lang w:val="en-US"/>
        </w:rPr>
        <w:t>.  Like the other Lucy, she has disappeared into nature and become a part of it. In both cases, this would seem to indicate death, but also makes the girl akin to a nature spirit, like the nymphs of classical mythology, who presided over various aspects of nature in life and whose ultimate fate was often to turn into them. There are numerous examples of such nymphs in Ovid</w:t>
      </w:r>
      <w:r>
        <w:rPr>
          <w:sz w:val="36"/>
          <w:szCs w:val="36"/>
          <w:lang w:val="en-US"/>
        </w:rPr>
        <w:t>’</w:t>
      </w:r>
      <w:r>
        <w:rPr>
          <w:sz w:val="36"/>
          <w:szCs w:val="36"/>
          <w:lang w:val="en-US"/>
        </w:rPr>
        <w:t xml:space="preserve">s </w:t>
      </w:r>
      <w:r>
        <w:rPr>
          <w:i/>
          <w:iCs/>
          <w:sz w:val="36"/>
          <w:szCs w:val="36"/>
          <w:lang w:val="en-US"/>
        </w:rPr>
        <w:t>Metamorphoses</w:t>
      </w:r>
      <w:r>
        <w:rPr>
          <w:sz w:val="36"/>
          <w:szCs w:val="36"/>
          <w:lang w:val="en-US"/>
        </w:rPr>
        <w:t xml:space="preserve">. </w:t>
      </w:r>
    </w:p>
    <w:p>
      <w:pPr>
        <w:pStyle w:val="style4099"/>
        <w:rPr>
          <w:sz w:val="36"/>
          <w:szCs w:val="36"/>
        </w:rPr>
      </w:pPr>
    </w:p>
    <w:p>
      <w:pPr>
        <w:pStyle w:val="style4099"/>
        <w:rPr>
          <w:sz w:val="36"/>
          <w:szCs w:val="36"/>
        </w:rPr>
      </w:pPr>
      <w:r>
        <w:rPr>
          <w:sz w:val="36"/>
          <w:szCs w:val="36"/>
          <w:lang w:val="en-US"/>
        </w:rPr>
        <w:t xml:space="preserve">Thus the two Lucys have the same name and the same ultimate fate of death and disappearing into nature to become a part of it. It is no wonder that they are conflated. Besides the poems and subjects having much in common, it seems wrong to state that </w:t>
      </w:r>
      <w:r>
        <w:rPr>
          <w:sz w:val="36"/>
          <w:szCs w:val="36"/>
          <w:lang w:val="en-US"/>
        </w:rPr>
        <w:t>‘</w:t>
      </w:r>
      <w:r>
        <w:rPr>
          <w:sz w:val="36"/>
          <w:szCs w:val="36"/>
          <w:lang w:val="en-US"/>
        </w:rPr>
        <w:t>Lucy Gray</w:t>
      </w:r>
      <w:r>
        <w:rPr>
          <w:sz w:val="36"/>
          <w:szCs w:val="36"/>
          <w:lang w:val="en-US"/>
        </w:rPr>
        <w:t xml:space="preserve">’ </w:t>
      </w:r>
      <w:r>
        <w:rPr>
          <w:sz w:val="36"/>
          <w:szCs w:val="36"/>
          <w:lang w:val="en-US"/>
        </w:rPr>
        <w:t>is not a Lucy poem, even if that is the academic consensus. The main disparity between the characters is their age, as there is some internal evidence that Lucy cycle Lucy is an adult and Lucy Gray is definitely a child in both life and death. However the first one can also be viewed as a child, due to such evidence as some of the Lucy poems being very short and having a nursery rhyme effect to them. There is also the sweet simplicity of the way she is described and invoked. Biographical criticism can also be used to support this reading, as three of Wordsworth</w:t>
      </w:r>
      <w:r>
        <w:rPr>
          <w:sz w:val="36"/>
          <w:szCs w:val="36"/>
          <w:lang w:val="en-US"/>
        </w:rPr>
        <w:t>’</w:t>
      </w:r>
      <w:r>
        <w:rPr>
          <w:sz w:val="36"/>
          <w:szCs w:val="36"/>
          <w:lang w:val="en-US"/>
        </w:rPr>
        <w:t xml:space="preserve">s children died young, and the cycle is sometimes read as his response to that, indicating </w:t>
      </w:r>
      <w:r>
        <w:rPr>
          <w:sz w:val="36"/>
          <w:szCs w:val="36"/>
          <w:lang w:val="en-US"/>
        </w:rPr>
        <w:t>“</w:t>
      </w:r>
      <w:r>
        <w:rPr>
          <w:sz w:val="36"/>
          <w:szCs w:val="36"/>
          <w:lang w:val="en-US"/>
        </w:rPr>
        <w:t>powerful feelings</w:t>
      </w:r>
      <w:r>
        <w:rPr>
          <w:sz w:val="36"/>
          <w:szCs w:val="36"/>
          <w:lang w:val="en-US"/>
        </w:rPr>
        <w:t xml:space="preserve">” </w:t>
      </w:r>
      <w:r>
        <w:rPr>
          <w:sz w:val="36"/>
          <w:szCs w:val="36"/>
          <w:lang w:val="en-US"/>
        </w:rPr>
        <w:t>indeed in his own words. But the main reason for Wordsworth</w:t>
      </w:r>
      <w:r>
        <w:rPr>
          <w:sz w:val="36"/>
          <w:szCs w:val="36"/>
          <w:lang w:val="en-US"/>
        </w:rPr>
        <w:t>’</w:t>
      </w:r>
      <w:r>
        <w:rPr>
          <w:sz w:val="36"/>
          <w:szCs w:val="36"/>
          <w:lang w:val="en-US"/>
        </w:rPr>
        <w:t xml:space="preserve">s cycle Lucy to be viewed as a child is her association with </w:t>
      </w:r>
      <w:r>
        <w:rPr>
          <w:sz w:val="36"/>
          <w:szCs w:val="36"/>
          <w:lang w:val="en-US"/>
        </w:rPr>
        <w:t>‘</w:t>
      </w:r>
      <w:r>
        <w:rPr>
          <w:sz w:val="36"/>
          <w:szCs w:val="36"/>
          <w:lang w:val="en-US"/>
        </w:rPr>
        <w:t>Lucy Gray</w:t>
      </w:r>
      <w:r>
        <w:rPr>
          <w:sz w:val="36"/>
          <w:szCs w:val="36"/>
          <w:lang w:val="en-US"/>
        </w:rPr>
        <w:t>’</w:t>
      </w:r>
      <w:r>
        <w:rPr>
          <w:sz w:val="36"/>
          <w:szCs w:val="36"/>
          <w:lang w:val="en-US"/>
        </w:rPr>
        <w:t xml:space="preserve">. The two characters are so closely connected as to be conflated. Whether </w:t>
      </w:r>
      <w:r>
        <w:rPr>
          <w:sz w:val="36"/>
          <w:szCs w:val="36"/>
          <w:lang w:val="en-US"/>
        </w:rPr>
        <w:t>‘</w:t>
      </w:r>
      <w:r>
        <w:rPr>
          <w:sz w:val="36"/>
          <w:szCs w:val="36"/>
          <w:lang w:val="en-US"/>
        </w:rPr>
        <w:t>Lucy Gray</w:t>
      </w:r>
      <w:r>
        <w:rPr>
          <w:sz w:val="36"/>
          <w:szCs w:val="36"/>
          <w:lang w:val="en-US"/>
        </w:rPr>
        <w:t xml:space="preserve">’ </w:t>
      </w:r>
      <w:r>
        <w:rPr>
          <w:sz w:val="36"/>
          <w:szCs w:val="36"/>
          <w:lang w:val="en-US"/>
        </w:rPr>
        <w:t xml:space="preserve">was consciously included as part of the cycle or not, the poem is located in the same book, which therefore affects how all of the poems are perceived. </w:t>
      </w:r>
      <w:r>
        <w:rPr>
          <w:sz w:val="36"/>
          <w:szCs w:val="36"/>
          <w:lang w:val="en-US"/>
        </w:rPr>
        <w:t>‘</w:t>
      </w:r>
      <w:r>
        <w:rPr>
          <w:sz w:val="36"/>
          <w:szCs w:val="36"/>
          <w:lang w:val="en-US"/>
        </w:rPr>
        <w:t>Lucy Gray</w:t>
      </w:r>
      <w:r>
        <w:rPr>
          <w:sz w:val="36"/>
          <w:szCs w:val="36"/>
          <w:lang w:val="en-US"/>
        </w:rPr>
        <w:t xml:space="preserve">’ </w:t>
      </w:r>
      <w:r>
        <w:rPr>
          <w:sz w:val="36"/>
          <w:szCs w:val="36"/>
          <w:lang w:val="en-US"/>
        </w:rPr>
        <w:t>is entitled to be called a Lucy poem as it is virtually indistinguishable from the cycle and affects how it is understood, even against the cycle</w:t>
      </w:r>
      <w:r>
        <w:rPr>
          <w:sz w:val="36"/>
          <w:szCs w:val="36"/>
          <w:lang w:val="en-US"/>
        </w:rPr>
        <w:t>’</w:t>
      </w:r>
      <w:r>
        <w:rPr>
          <w:sz w:val="36"/>
          <w:szCs w:val="36"/>
          <w:lang w:val="en-US"/>
        </w:rPr>
        <w:t>s own internal evidence of Lucy</w:t>
      </w:r>
      <w:r>
        <w:rPr>
          <w:sz w:val="36"/>
          <w:szCs w:val="36"/>
          <w:lang w:val="en-US"/>
        </w:rPr>
        <w:t>’</w:t>
      </w:r>
      <w:r>
        <w:rPr>
          <w:sz w:val="36"/>
          <w:szCs w:val="36"/>
          <w:lang w:val="en-US"/>
        </w:rPr>
        <w:t xml:space="preserve">s age. </w:t>
      </w: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jc w:val="left"/>
        <w:rPr>
          <w:sz w:val="36"/>
          <w:szCs w:val="36"/>
          <w:lang w:val="en-US"/>
        </w:rPr>
      </w:pPr>
    </w:p>
    <w:p>
      <w:pPr>
        <w:pStyle w:val="style4099"/>
        <w:jc w:val="left"/>
        <w:rPr>
          <w:sz w:val="36"/>
          <w:szCs w:val="36"/>
          <w:lang w:val="en-US"/>
        </w:rPr>
      </w:pPr>
    </w:p>
    <w:p>
      <w:pPr>
        <w:pStyle w:val="style4099"/>
        <w:jc w:val="center"/>
        <w:rPr>
          <w:sz w:val="36"/>
          <w:szCs w:val="36"/>
        </w:rPr>
      </w:pPr>
      <w:r>
        <w:rPr>
          <w:sz w:val="36"/>
          <w:szCs w:val="36"/>
          <w:lang w:val="en-US"/>
        </w:rPr>
        <w:t xml:space="preserve">Bibliography </w:t>
      </w:r>
    </w:p>
    <w:p>
      <w:pPr>
        <w:pStyle w:val="style4099"/>
        <w:jc w:val="center"/>
        <w:rPr>
          <w:sz w:val="36"/>
          <w:szCs w:val="36"/>
        </w:rPr>
      </w:pPr>
    </w:p>
    <w:p>
      <w:pPr>
        <w:pStyle w:val="style4099"/>
        <w:rPr>
          <w:sz w:val="36"/>
          <w:szCs w:val="36"/>
        </w:rPr>
      </w:pPr>
      <w:r>
        <w:rPr>
          <w:sz w:val="36"/>
          <w:szCs w:val="36"/>
          <w:lang w:val="en-US"/>
        </w:rPr>
        <w:t xml:space="preserve">Babenroth, A. C., </w:t>
      </w:r>
      <w:r>
        <w:rPr>
          <w:i/>
          <w:iCs/>
          <w:sz w:val="36"/>
          <w:szCs w:val="36"/>
          <w:lang w:val="en-US"/>
        </w:rPr>
        <w:t>English Childhood: Wordsworth</w:t>
      </w:r>
      <w:r>
        <w:rPr>
          <w:i/>
          <w:iCs/>
          <w:sz w:val="36"/>
          <w:szCs w:val="36"/>
          <w:lang w:val="en-US"/>
        </w:rPr>
        <w:t>’</w:t>
      </w:r>
      <w:r>
        <w:rPr>
          <w:i/>
          <w:iCs/>
          <w:sz w:val="36"/>
          <w:szCs w:val="36"/>
          <w:lang w:val="en-US"/>
        </w:rPr>
        <w:t xml:space="preserve">s Treatment of  Childhood in the Light of English Poetry </w:t>
      </w:r>
      <w:r>
        <w:rPr>
          <w:sz w:val="36"/>
          <w:szCs w:val="36"/>
          <w:lang w:val="en-US"/>
        </w:rPr>
        <w:t>(New York: Columbia University Press, 1922)</w:t>
      </w:r>
    </w:p>
    <w:p>
      <w:pPr>
        <w:pStyle w:val="style4099"/>
        <w:rPr>
          <w:sz w:val="36"/>
          <w:szCs w:val="36"/>
        </w:rPr>
      </w:pPr>
    </w:p>
    <w:p>
      <w:pPr>
        <w:pStyle w:val="style4099"/>
        <w:rPr>
          <w:sz w:val="36"/>
          <w:szCs w:val="36"/>
        </w:rPr>
      </w:pPr>
      <w:r>
        <w:rPr>
          <w:sz w:val="36"/>
          <w:szCs w:val="36"/>
          <w:lang w:val="en-US"/>
        </w:rPr>
        <w:t xml:space="preserve">Bate, J., </w:t>
      </w:r>
      <w:r>
        <w:rPr>
          <w:i/>
          <w:iCs/>
          <w:sz w:val="36"/>
          <w:szCs w:val="36"/>
          <w:lang w:val="en-US"/>
        </w:rPr>
        <w:t xml:space="preserve">Romantic Ecology: Wordsworth and the Environmental Tradition </w:t>
      </w:r>
      <w:r>
        <w:rPr>
          <w:sz w:val="36"/>
          <w:szCs w:val="36"/>
          <w:lang w:val="en-US"/>
        </w:rPr>
        <w:t>(London: Routledge, 1991)</w:t>
      </w:r>
    </w:p>
    <w:p>
      <w:pPr>
        <w:pStyle w:val="style4099"/>
        <w:rPr>
          <w:sz w:val="36"/>
          <w:szCs w:val="36"/>
        </w:rPr>
      </w:pPr>
    </w:p>
    <w:p>
      <w:pPr>
        <w:pStyle w:val="style4099"/>
        <w:rPr>
          <w:sz w:val="36"/>
          <w:szCs w:val="36"/>
        </w:rPr>
      </w:pPr>
      <w:r>
        <w:rPr>
          <w:sz w:val="36"/>
          <w:szCs w:val="36"/>
          <w:lang w:val="en-US"/>
        </w:rPr>
        <w:t xml:space="preserve">Beer, J., </w:t>
      </w:r>
      <w:r>
        <w:rPr>
          <w:i/>
          <w:iCs/>
          <w:sz w:val="36"/>
          <w:szCs w:val="36"/>
          <w:lang w:val="en-US"/>
        </w:rPr>
        <w:t xml:space="preserve">Wordsworth and the Human Heart </w:t>
      </w:r>
      <w:r>
        <w:rPr>
          <w:sz w:val="36"/>
          <w:szCs w:val="36"/>
          <w:lang w:val="en-US"/>
        </w:rPr>
        <w:t>(London: Macmillan Press Ltd., 1978)</w:t>
      </w:r>
    </w:p>
    <w:p>
      <w:pPr>
        <w:pStyle w:val="style4099"/>
        <w:rPr>
          <w:sz w:val="36"/>
          <w:szCs w:val="36"/>
        </w:rPr>
      </w:pPr>
    </w:p>
    <w:p>
      <w:pPr>
        <w:pStyle w:val="style4099"/>
        <w:rPr>
          <w:sz w:val="36"/>
          <w:szCs w:val="36"/>
        </w:rPr>
      </w:pPr>
      <w:r>
        <w:rPr>
          <w:sz w:val="36"/>
          <w:szCs w:val="36"/>
          <w:lang w:val="en-US"/>
        </w:rPr>
        <w:t xml:space="preserve">Chandler, J. and N. M. McLane eds. </w:t>
      </w:r>
      <w:r>
        <w:rPr>
          <w:i/>
          <w:iCs/>
          <w:sz w:val="36"/>
          <w:szCs w:val="36"/>
          <w:lang w:val="en-US"/>
        </w:rPr>
        <w:t xml:space="preserve">The Cambridge Companion to British Romantic Poetry </w:t>
      </w:r>
      <w:r>
        <w:rPr>
          <w:sz w:val="36"/>
          <w:szCs w:val="36"/>
          <w:lang w:val="en-US"/>
        </w:rPr>
        <w:t>(Cambridge: Cambridge University Press, Kindle Edition, 2008)</w:t>
      </w:r>
    </w:p>
    <w:p>
      <w:pPr>
        <w:pStyle w:val="style4099"/>
        <w:rPr>
          <w:sz w:val="36"/>
          <w:szCs w:val="36"/>
        </w:rPr>
      </w:pPr>
    </w:p>
    <w:p>
      <w:pPr>
        <w:pStyle w:val="style4099"/>
        <w:rPr>
          <w:sz w:val="36"/>
          <w:szCs w:val="36"/>
        </w:rPr>
      </w:pPr>
      <w:r>
        <w:rPr>
          <w:sz w:val="36"/>
          <w:szCs w:val="36"/>
          <w:lang w:val="en-US"/>
        </w:rPr>
        <w:t xml:space="preserve">Day, A., </w:t>
      </w:r>
      <w:r>
        <w:rPr>
          <w:i/>
          <w:iCs/>
          <w:sz w:val="36"/>
          <w:szCs w:val="36"/>
          <w:lang w:val="en-US"/>
        </w:rPr>
        <w:t xml:space="preserve">Romanticism </w:t>
      </w:r>
      <w:r>
        <w:rPr>
          <w:sz w:val="36"/>
          <w:szCs w:val="36"/>
          <w:lang w:val="en-US"/>
        </w:rPr>
        <w:t>Second Edition (Abingdon: Routledge, Kindle Edition, 2012)</w:t>
      </w:r>
    </w:p>
    <w:p>
      <w:pPr>
        <w:pStyle w:val="style4099"/>
        <w:rPr>
          <w:sz w:val="36"/>
          <w:szCs w:val="36"/>
        </w:rPr>
      </w:pPr>
    </w:p>
    <w:p>
      <w:pPr>
        <w:pStyle w:val="style4099"/>
        <w:rPr>
          <w:sz w:val="36"/>
          <w:szCs w:val="36"/>
        </w:rPr>
      </w:pPr>
      <w:r>
        <w:rPr>
          <w:sz w:val="36"/>
          <w:szCs w:val="36"/>
          <w:lang w:val="en-US"/>
        </w:rPr>
        <w:t xml:space="preserve">Durrant, G., </w:t>
      </w:r>
      <w:r>
        <w:rPr>
          <w:i/>
          <w:iCs/>
          <w:sz w:val="36"/>
          <w:szCs w:val="36"/>
          <w:lang w:val="en-US"/>
        </w:rPr>
        <w:t>Wordsworth and the Great System: A Study of Wordsworth</w:t>
      </w:r>
      <w:r>
        <w:rPr>
          <w:i/>
          <w:iCs/>
          <w:sz w:val="36"/>
          <w:szCs w:val="36"/>
          <w:lang w:val="en-US"/>
        </w:rPr>
        <w:t>’</w:t>
      </w:r>
      <w:r>
        <w:rPr>
          <w:i/>
          <w:iCs/>
          <w:sz w:val="36"/>
          <w:szCs w:val="36"/>
          <w:lang w:val="en-US"/>
        </w:rPr>
        <w:t xml:space="preserve">s Poetic Universe </w:t>
      </w:r>
      <w:r>
        <w:rPr>
          <w:sz w:val="36"/>
          <w:szCs w:val="36"/>
          <w:lang w:val="en-US"/>
        </w:rPr>
        <w:t>(Cambridge: Cambridge University Press, 1970)</w:t>
      </w:r>
    </w:p>
    <w:p>
      <w:pPr>
        <w:pStyle w:val="style4099"/>
        <w:rPr>
          <w:sz w:val="36"/>
          <w:szCs w:val="36"/>
        </w:rPr>
      </w:pPr>
    </w:p>
    <w:p>
      <w:pPr>
        <w:pStyle w:val="style4099"/>
        <w:rPr>
          <w:sz w:val="36"/>
          <w:szCs w:val="36"/>
        </w:rPr>
      </w:pPr>
      <w:r>
        <w:rPr>
          <w:sz w:val="36"/>
          <w:szCs w:val="36"/>
          <w:lang w:val="en-US"/>
        </w:rPr>
        <w:t xml:space="preserve">Elwin , M., </w:t>
      </w:r>
      <w:r>
        <w:rPr>
          <w:i/>
          <w:iCs/>
          <w:sz w:val="36"/>
          <w:szCs w:val="36"/>
          <w:lang w:val="en-US"/>
        </w:rPr>
        <w:t xml:space="preserve">The First Romantics </w:t>
      </w:r>
      <w:r>
        <w:rPr>
          <w:sz w:val="36"/>
          <w:szCs w:val="36"/>
          <w:lang w:val="en-US"/>
        </w:rPr>
        <w:t>(New York: Russell &amp; Russell, 1947)</w:t>
      </w:r>
    </w:p>
    <w:p>
      <w:pPr>
        <w:pStyle w:val="style4099"/>
        <w:rPr>
          <w:sz w:val="36"/>
          <w:szCs w:val="36"/>
        </w:rPr>
      </w:pPr>
    </w:p>
    <w:p>
      <w:pPr>
        <w:pStyle w:val="style4099"/>
        <w:rPr>
          <w:sz w:val="36"/>
          <w:szCs w:val="36"/>
        </w:rPr>
      </w:pPr>
      <w:r>
        <w:rPr>
          <w:sz w:val="36"/>
          <w:szCs w:val="36"/>
          <w:lang w:val="en-US"/>
        </w:rPr>
        <w:t xml:space="preserve">Gill, S. ed., </w:t>
      </w:r>
      <w:r>
        <w:rPr>
          <w:i/>
          <w:iCs/>
          <w:sz w:val="36"/>
          <w:szCs w:val="36"/>
          <w:lang w:val="en-US"/>
        </w:rPr>
        <w:t xml:space="preserve">The Cambridge Companion to Wordsworth </w:t>
      </w:r>
      <w:r>
        <w:rPr>
          <w:sz w:val="36"/>
          <w:szCs w:val="36"/>
          <w:lang w:val="en-US"/>
        </w:rPr>
        <w:t>(Cambridge: Cambridge University Press, Kindle Edition, 2003)</w:t>
      </w:r>
    </w:p>
    <w:p>
      <w:pPr>
        <w:pStyle w:val="style4099"/>
        <w:rPr>
          <w:sz w:val="36"/>
          <w:szCs w:val="36"/>
        </w:rPr>
      </w:pPr>
    </w:p>
    <w:p>
      <w:pPr>
        <w:pStyle w:val="style4099"/>
        <w:rPr>
          <w:sz w:val="36"/>
          <w:szCs w:val="36"/>
        </w:rPr>
      </w:pPr>
      <w:r>
        <w:rPr>
          <w:sz w:val="36"/>
          <w:szCs w:val="36"/>
          <w:lang w:val="en-US"/>
        </w:rPr>
        <w:t xml:space="preserve">Gravel, G., </w:t>
      </w:r>
      <w:r>
        <w:rPr>
          <w:i/>
          <w:iCs/>
          <w:sz w:val="36"/>
          <w:szCs w:val="36"/>
          <w:lang w:val="en-US"/>
        </w:rPr>
        <w:t>Wordsworth</w:t>
      </w:r>
      <w:r>
        <w:rPr>
          <w:i/>
          <w:iCs/>
          <w:sz w:val="36"/>
          <w:szCs w:val="36"/>
          <w:lang w:val="en-US"/>
        </w:rPr>
        <w:t>’</w:t>
      </w:r>
      <w:r>
        <w:rPr>
          <w:i/>
          <w:iCs/>
          <w:sz w:val="36"/>
          <w:szCs w:val="36"/>
          <w:lang w:val="en-US"/>
        </w:rPr>
        <w:t xml:space="preserve">s Bardic Vocation, 1787-1842 </w:t>
      </w:r>
      <w:r>
        <w:rPr>
          <w:sz w:val="36"/>
          <w:szCs w:val="36"/>
          <w:lang w:val="en-US"/>
        </w:rPr>
        <w:t>(HEB: Humanities-EBooks, 2003, rev. 2015)</w:t>
      </w:r>
    </w:p>
    <w:p>
      <w:pPr>
        <w:pStyle w:val="style4099"/>
        <w:rPr>
          <w:sz w:val="36"/>
          <w:szCs w:val="36"/>
        </w:rPr>
      </w:pPr>
    </w:p>
    <w:p>
      <w:pPr>
        <w:pStyle w:val="style4099"/>
        <w:rPr>
          <w:sz w:val="36"/>
          <w:szCs w:val="36"/>
        </w:rPr>
      </w:pPr>
      <w:r>
        <w:rPr>
          <w:sz w:val="36"/>
          <w:szCs w:val="36"/>
          <w:lang w:val="en-US"/>
        </w:rPr>
        <w:t xml:space="preserve">Grob, A., </w:t>
      </w:r>
      <w:r>
        <w:rPr>
          <w:i/>
          <w:iCs/>
          <w:sz w:val="36"/>
          <w:szCs w:val="36"/>
          <w:lang w:val="en-US"/>
        </w:rPr>
        <w:t>The Philosophic Mind: A Study of Wordsworth</w:t>
      </w:r>
      <w:r>
        <w:rPr>
          <w:i/>
          <w:iCs/>
          <w:sz w:val="36"/>
          <w:szCs w:val="36"/>
          <w:lang w:val="en-US"/>
        </w:rPr>
        <w:t>’</w:t>
      </w:r>
      <w:r>
        <w:rPr>
          <w:i/>
          <w:iCs/>
          <w:sz w:val="36"/>
          <w:szCs w:val="36"/>
          <w:lang w:val="en-US"/>
        </w:rPr>
        <w:t xml:space="preserve">s Poetry and Thought 1797-1805 </w:t>
      </w:r>
      <w:r>
        <w:rPr>
          <w:sz w:val="36"/>
          <w:szCs w:val="36"/>
          <w:lang w:val="en-US"/>
        </w:rPr>
        <w:t>(Columbus: Ohio State University, 1973)</w:t>
      </w:r>
    </w:p>
    <w:p>
      <w:pPr>
        <w:pStyle w:val="style4099"/>
        <w:rPr>
          <w:sz w:val="36"/>
          <w:szCs w:val="36"/>
        </w:rPr>
      </w:pPr>
    </w:p>
    <w:p>
      <w:pPr>
        <w:pStyle w:val="style4099"/>
        <w:rPr>
          <w:sz w:val="36"/>
          <w:szCs w:val="36"/>
        </w:rPr>
      </w:pPr>
      <w:r>
        <w:rPr>
          <w:sz w:val="36"/>
          <w:szCs w:val="36"/>
          <w:lang w:val="en-US"/>
        </w:rPr>
        <w:t xml:space="preserve">Hardie, P., ed., </w:t>
      </w:r>
      <w:r>
        <w:rPr>
          <w:i/>
          <w:iCs/>
          <w:sz w:val="36"/>
          <w:szCs w:val="36"/>
          <w:lang w:val="en-US"/>
        </w:rPr>
        <w:t xml:space="preserve">The Cambridge Companion to Ovid </w:t>
      </w:r>
      <w:r>
        <w:rPr>
          <w:sz w:val="36"/>
          <w:szCs w:val="36"/>
          <w:lang w:val="en-US"/>
        </w:rPr>
        <w:t>(Cambridge: Cambridge University Press, Kindle Edition, 2002)</w:t>
      </w:r>
    </w:p>
    <w:p>
      <w:pPr>
        <w:pStyle w:val="style4099"/>
        <w:rPr>
          <w:sz w:val="36"/>
          <w:szCs w:val="36"/>
        </w:rPr>
      </w:pPr>
    </w:p>
    <w:p>
      <w:pPr>
        <w:pStyle w:val="style4099"/>
        <w:rPr>
          <w:sz w:val="36"/>
          <w:szCs w:val="36"/>
        </w:rPr>
      </w:pPr>
      <w:r>
        <w:rPr>
          <w:sz w:val="36"/>
          <w:szCs w:val="36"/>
          <w:lang w:val="en-US"/>
        </w:rPr>
        <w:t>Hurley, M. D. and M. O</w:t>
      </w:r>
      <w:r>
        <w:rPr>
          <w:sz w:val="36"/>
          <w:szCs w:val="36"/>
          <w:lang w:val="en-US"/>
        </w:rPr>
        <w:t>’</w:t>
      </w:r>
      <w:r>
        <w:rPr>
          <w:sz w:val="36"/>
          <w:szCs w:val="36"/>
          <w:lang w:val="en-US"/>
        </w:rPr>
        <w:t xml:space="preserve">Neill, </w:t>
      </w:r>
      <w:r>
        <w:rPr>
          <w:i/>
          <w:iCs/>
          <w:sz w:val="36"/>
          <w:szCs w:val="36"/>
          <w:lang w:val="en-US"/>
        </w:rPr>
        <w:t xml:space="preserve">The Cambridge Introduction to Poetic Form </w:t>
      </w:r>
      <w:r>
        <w:rPr>
          <w:sz w:val="36"/>
          <w:szCs w:val="36"/>
          <w:lang w:val="en-US"/>
        </w:rPr>
        <w:t>(Cambridge: Cambridge University Press, Kindle Edition, 2012)</w:t>
      </w:r>
    </w:p>
    <w:p>
      <w:pPr>
        <w:pStyle w:val="style4099"/>
        <w:rPr>
          <w:sz w:val="36"/>
          <w:szCs w:val="36"/>
        </w:rPr>
      </w:pPr>
    </w:p>
    <w:p>
      <w:pPr>
        <w:pStyle w:val="style4099"/>
        <w:rPr>
          <w:sz w:val="36"/>
          <w:szCs w:val="36"/>
        </w:rPr>
      </w:pPr>
      <w:r>
        <w:rPr>
          <w:sz w:val="36"/>
          <w:szCs w:val="36"/>
          <w:lang w:val="en-US"/>
        </w:rPr>
        <w:t xml:space="preserve">Johnston, K. R., </w:t>
      </w:r>
      <w:r>
        <w:rPr>
          <w:i/>
          <w:iCs/>
          <w:sz w:val="36"/>
          <w:szCs w:val="36"/>
          <w:lang w:val="en-US"/>
        </w:rPr>
        <w:t xml:space="preserve">The Hidden Wordsworth </w:t>
      </w:r>
      <w:r>
        <w:rPr>
          <w:sz w:val="36"/>
          <w:szCs w:val="36"/>
          <w:lang w:val="en-US"/>
        </w:rPr>
        <w:t>(London: Pimlico, 2000)</w:t>
      </w:r>
    </w:p>
    <w:p>
      <w:pPr>
        <w:pStyle w:val="style4099"/>
        <w:rPr>
          <w:sz w:val="36"/>
          <w:szCs w:val="36"/>
        </w:rPr>
      </w:pPr>
    </w:p>
    <w:p>
      <w:pPr>
        <w:pStyle w:val="style4099"/>
        <w:rPr>
          <w:sz w:val="36"/>
          <w:szCs w:val="36"/>
        </w:rPr>
      </w:pPr>
      <w:r>
        <w:rPr>
          <w:sz w:val="36"/>
          <w:szCs w:val="36"/>
          <w:lang w:val="en-US"/>
        </w:rPr>
        <w:t xml:space="preserve">Johnston, K. R. and G. W. Ruoff eds., </w:t>
      </w:r>
      <w:r>
        <w:rPr>
          <w:i/>
          <w:iCs/>
          <w:sz w:val="36"/>
          <w:szCs w:val="36"/>
          <w:lang w:val="en-US"/>
        </w:rPr>
        <w:t xml:space="preserve">The Age of William Wordsworth: Critical Essays on the Romantic Tradition </w:t>
      </w:r>
      <w:r>
        <w:rPr>
          <w:sz w:val="36"/>
          <w:szCs w:val="36"/>
          <w:lang w:val="en-US"/>
        </w:rPr>
        <w:t>(Rutgers University Press, 1987)</w:t>
      </w:r>
    </w:p>
    <w:p>
      <w:pPr>
        <w:pStyle w:val="style4099"/>
        <w:rPr>
          <w:sz w:val="36"/>
          <w:szCs w:val="36"/>
        </w:rPr>
      </w:pPr>
    </w:p>
    <w:p>
      <w:pPr>
        <w:pStyle w:val="style4099"/>
        <w:rPr>
          <w:sz w:val="36"/>
          <w:szCs w:val="36"/>
        </w:rPr>
      </w:pPr>
      <w:r>
        <w:rPr>
          <w:sz w:val="36"/>
          <w:szCs w:val="36"/>
          <w:lang w:val="en-US"/>
        </w:rPr>
        <w:t xml:space="preserve">Larson, J., </w:t>
      </w:r>
      <w:r>
        <w:rPr>
          <w:i/>
          <w:iCs/>
          <w:sz w:val="36"/>
          <w:szCs w:val="36"/>
          <w:lang w:val="en-US"/>
        </w:rPr>
        <w:t xml:space="preserve">Greek Nymphs: Myth, Cult, Lore. </w:t>
      </w:r>
      <w:r>
        <w:rPr>
          <w:sz w:val="36"/>
          <w:szCs w:val="36"/>
          <w:lang w:val="en-US"/>
        </w:rPr>
        <w:t>(Oxford: Oxford University Press, Kindle Edition,2001)</w:t>
      </w:r>
    </w:p>
    <w:p>
      <w:pPr>
        <w:pStyle w:val="style4099"/>
        <w:rPr>
          <w:sz w:val="36"/>
          <w:szCs w:val="36"/>
        </w:rPr>
      </w:pPr>
    </w:p>
    <w:p>
      <w:pPr>
        <w:pStyle w:val="style4099"/>
        <w:rPr>
          <w:sz w:val="36"/>
          <w:szCs w:val="36"/>
        </w:rPr>
      </w:pPr>
      <w:r>
        <w:rPr>
          <w:sz w:val="36"/>
          <w:szCs w:val="36"/>
          <w:lang w:val="en-US"/>
        </w:rPr>
        <w:t xml:space="preserve">Mason, E., </w:t>
      </w:r>
      <w:r>
        <w:rPr>
          <w:i/>
          <w:iCs/>
          <w:sz w:val="36"/>
          <w:szCs w:val="36"/>
          <w:lang w:val="en-US"/>
        </w:rPr>
        <w:t xml:space="preserve">The Cambridge Introduction to William Wordsworth </w:t>
      </w:r>
      <w:r>
        <w:rPr>
          <w:sz w:val="36"/>
          <w:szCs w:val="36"/>
          <w:lang w:val="en-US"/>
        </w:rPr>
        <w:t>(Cambridge: Cambridge University Press, Kindle Edition, 2010)</w:t>
      </w:r>
    </w:p>
    <w:p>
      <w:pPr>
        <w:pStyle w:val="style4099"/>
        <w:rPr>
          <w:sz w:val="36"/>
          <w:szCs w:val="36"/>
        </w:rPr>
      </w:pPr>
    </w:p>
    <w:p>
      <w:pPr>
        <w:pStyle w:val="style4099"/>
        <w:rPr>
          <w:sz w:val="36"/>
          <w:szCs w:val="36"/>
        </w:rPr>
      </w:pPr>
      <w:r>
        <w:rPr>
          <w:sz w:val="36"/>
          <w:szCs w:val="36"/>
          <w:lang w:val="en-US"/>
        </w:rPr>
        <w:t xml:space="preserve">Newlyn, L., </w:t>
      </w:r>
      <w:r>
        <w:rPr>
          <w:i/>
          <w:iCs/>
          <w:sz w:val="36"/>
          <w:szCs w:val="36"/>
          <w:lang w:val="en-US"/>
        </w:rPr>
        <w:t xml:space="preserve">William &amp; Dorothy Wordsworth: All in Each Other </w:t>
      </w:r>
      <w:r>
        <w:rPr>
          <w:sz w:val="36"/>
          <w:szCs w:val="36"/>
          <w:lang w:val="en-US"/>
        </w:rPr>
        <w:t>(Oxford: Oxford University Press, Kindle Edition, 2013)</w:t>
      </w:r>
    </w:p>
    <w:p>
      <w:pPr>
        <w:pStyle w:val="style4099"/>
        <w:rPr>
          <w:sz w:val="36"/>
          <w:szCs w:val="36"/>
        </w:rPr>
      </w:pPr>
    </w:p>
    <w:p>
      <w:pPr>
        <w:pStyle w:val="style4099"/>
        <w:rPr>
          <w:sz w:val="36"/>
          <w:szCs w:val="36"/>
        </w:rPr>
      </w:pPr>
      <w:r>
        <w:rPr>
          <w:sz w:val="36"/>
          <w:szCs w:val="36"/>
          <w:lang w:val="en-US"/>
        </w:rPr>
        <w:t xml:space="preserve">Reiman, D. H. ed., </w:t>
      </w:r>
      <w:r>
        <w:rPr>
          <w:i/>
          <w:iCs/>
          <w:sz w:val="36"/>
          <w:szCs w:val="36"/>
          <w:lang w:val="en-US"/>
        </w:rPr>
        <w:t xml:space="preserve">The Romantics Reviewed: Contemporary Reviews of British Romantic Writers. Part A -The Lake Poets </w:t>
      </w:r>
      <w:r>
        <w:rPr>
          <w:sz w:val="36"/>
          <w:szCs w:val="36"/>
          <w:lang w:val="en-US"/>
        </w:rPr>
        <w:t>(Garland Publishing Inc., 1972)</w:t>
      </w:r>
    </w:p>
    <w:p>
      <w:pPr>
        <w:pStyle w:val="style4099"/>
        <w:rPr>
          <w:sz w:val="36"/>
          <w:szCs w:val="36"/>
        </w:rPr>
      </w:pPr>
    </w:p>
    <w:p>
      <w:pPr>
        <w:pStyle w:val="style4099"/>
        <w:rPr>
          <w:sz w:val="36"/>
          <w:szCs w:val="36"/>
        </w:rPr>
      </w:pPr>
    </w:p>
    <w:p>
      <w:pPr>
        <w:pStyle w:val="style4099"/>
        <w:rPr>
          <w:sz w:val="36"/>
          <w:szCs w:val="36"/>
        </w:rPr>
      </w:pPr>
      <w:r>
        <w:rPr>
          <w:sz w:val="36"/>
          <w:szCs w:val="36"/>
          <w:lang w:val="en-US"/>
        </w:rPr>
        <w:t xml:space="preserve">Turner, J., </w:t>
      </w:r>
      <w:r>
        <w:rPr>
          <w:i/>
          <w:iCs/>
          <w:sz w:val="36"/>
          <w:szCs w:val="36"/>
          <w:lang w:val="en-US"/>
        </w:rPr>
        <w:t>Wordsworth: Play and Politics. A Study of Wordsworth</w:t>
      </w:r>
      <w:r>
        <w:rPr>
          <w:i/>
          <w:iCs/>
          <w:sz w:val="36"/>
          <w:szCs w:val="36"/>
          <w:lang w:val="en-US"/>
        </w:rPr>
        <w:t>’</w:t>
      </w:r>
      <w:r>
        <w:rPr>
          <w:i/>
          <w:iCs/>
          <w:sz w:val="36"/>
          <w:szCs w:val="36"/>
          <w:lang w:val="en-US"/>
        </w:rPr>
        <w:t xml:space="preserve">s Poetry, 1787-1800 </w:t>
      </w:r>
      <w:r>
        <w:rPr>
          <w:sz w:val="36"/>
          <w:szCs w:val="36"/>
          <w:lang w:val="en-US"/>
        </w:rPr>
        <w:t>(New York: St. Martin</w:t>
      </w:r>
      <w:r>
        <w:rPr>
          <w:sz w:val="36"/>
          <w:szCs w:val="36"/>
          <w:lang w:val="en-US"/>
        </w:rPr>
        <w:t>’</w:t>
      </w:r>
      <w:r>
        <w:rPr>
          <w:sz w:val="36"/>
          <w:szCs w:val="36"/>
          <w:lang w:val="en-US"/>
        </w:rPr>
        <w:t>s Press, 1986)</w:t>
      </w:r>
    </w:p>
    <w:p>
      <w:pPr>
        <w:pStyle w:val="style4099"/>
        <w:rPr>
          <w:sz w:val="36"/>
          <w:szCs w:val="36"/>
        </w:rPr>
      </w:pPr>
    </w:p>
    <w:p>
      <w:pPr>
        <w:pStyle w:val="style4099"/>
        <w:rPr>
          <w:sz w:val="36"/>
          <w:szCs w:val="36"/>
        </w:rPr>
      </w:pPr>
      <w:r>
        <w:rPr>
          <w:sz w:val="36"/>
          <w:szCs w:val="36"/>
          <w:lang w:val="en-US"/>
        </w:rPr>
        <w:t xml:space="preserve">Weaver, B., </w:t>
      </w:r>
      <w:r>
        <w:rPr>
          <w:sz w:val="36"/>
          <w:szCs w:val="36"/>
          <w:lang w:val="en-US"/>
        </w:rPr>
        <w:t>“</w:t>
      </w:r>
      <w:r>
        <w:rPr>
          <w:sz w:val="36"/>
          <w:szCs w:val="36"/>
          <w:lang w:val="en-US"/>
        </w:rPr>
        <w:t>Wordsworth: Poet of the Unconquerable Mind</w:t>
      </w:r>
      <w:r>
        <w:rPr>
          <w:sz w:val="36"/>
          <w:szCs w:val="36"/>
          <w:lang w:val="en-US"/>
        </w:rPr>
        <w:t xml:space="preserve">” </w:t>
      </w:r>
      <w:r>
        <w:rPr>
          <w:i/>
          <w:iCs/>
          <w:sz w:val="36"/>
          <w:szCs w:val="36"/>
          <w:lang w:val="en-US"/>
        </w:rPr>
        <w:t>PMLA</w:t>
      </w:r>
      <w:r>
        <w:rPr>
          <w:sz w:val="36"/>
          <w:szCs w:val="36"/>
          <w:lang w:val="en-US"/>
        </w:rPr>
        <w:t>, Vol. 75, No. 3 (June 1960)</w:t>
      </w:r>
    </w:p>
    <w:p>
      <w:pPr>
        <w:pStyle w:val="style4099"/>
        <w:rPr>
          <w:sz w:val="36"/>
          <w:szCs w:val="36"/>
        </w:rPr>
      </w:pPr>
    </w:p>
    <w:p>
      <w:pPr>
        <w:pStyle w:val="style4099"/>
        <w:rPr>
          <w:sz w:val="36"/>
          <w:szCs w:val="36"/>
        </w:rPr>
      </w:pPr>
      <w:r>
        <w:rPr>
          <w:sz w:val="36"/>
          <w:szCs w:val="36"/>
          <w:lang w:val="en-US"/>
        </w:rPr>
        <w:t xml:space="preserve">Wordsworth, J., M. C. Jaye and R. Woof, </w:t>
      </w:r>
      <w:r>
        <w:rPr>
          <w:i/>
          <w:iCs/>
          <w:sz w:val="36"/>
          <w:szCs w:val="36"/>
          <w:lang w:val="en-US"/>
        </w:rPr>
        <w:t xml:space="preserve">William Wordsworth and the Age of English Romanticism </w:t>
      </w:r>
      <w:r>
        <w:rPr>
          <w:sz w:val="36"/>
          <w:szCs w:val="36"/>
          <w:lang w:val="en-US"/>
        </w:rPr>
        <w:t>(Rutgers University Press, 1987)</w:t>
      </w: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sz w:val="36"/>
          <w:szCs w:val="36"/>
        </w:rPr>
      </w:pPr>
    </w:p>
    <w:p>
      <w:pPr>
        <w:pStyle w:val="style4099"/>
        <w:rPr/>
      </w:pPr>
    </w:p>
    <w:sectPr>
      <w:headerReference w:type="default" r:id="rId3"/>
      <w:footerReference w:type="default" r:id="rId4"/>
      <w:pgSz w:w="11900" w:h="16840" w:orient="portrait"/>
      <w:pgMar w:top="1134" w:right="1134" w:bottom="1134" w:left="567" w:header="709" w:footer="850" w:gutter="0"/>
      <w:bidi w:val="fals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1"/>
    <w:family w:val="swiss"/>
    <w:pitch w:val="default"/>
    <w:sig w:usb0="00007A87" w:usb1="80000000" w:usb2="00000008" w:usb3="00000000" w:csb0="400001FF" w:csb1="FFFF0000"/>
  </w:font>
  <w:font w:name="Trebuchet MS">
    <w:altName w:val="Times New Roman"/>
    <w:panose1 w:val="02020603050005020304"/>
    <w:charset w:val="00"/>
    <w:family w:val="roman"/>
    <w:pitch w:val="variable"/>
    <w:sig w:usb0="20007A87" w:usb1="80000000" w:usb2="00000008" w:usb3="00000000" w:csb0="000001FF" w:csb1="00000000"/>
  </w:font>
  <w:font w:name="Calibri">
    <w:altName w:val="Calibri"/>
    <w:panose1 w:val="020f0502020004030204"/>
    <w:charset w:val="7a"/>
    <w:family w:val="swiss"/>
    <w:pitch w:val="default"/>
    <w:sig w:usb0="E10002FF" w:usb1="4000ACFF" w:usb2="00000009" w:usb3="00000000" w:csb0="2000019F" w:csb1="00000000"/>
  </w:font>
  <w:font w:name="Tahoma">
    <w:altName w:val="Times New Roman"/>
    <w:panose1 w:val="02020603050005020304"/>
    <w:charset w:val="00"/>
    <w:family w:val="roman"/>
    <w:pitch w:val="variable"/>
    <w:sig w:usb0="20007A87" w:usb1="80000000" w:usb2="00000008"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8"/>
      <w:rPr/>
    </w:pPr>
    <w:r>
      <w:rPr>
        <w:lang w:val="en-US"/>
      </w:rPr>
      <w:t xml:space="preserve">                                                                      </w:t>
    </w:r>
    <w:r>
      <w:rPr/>
      <w:fldChar w:fldCharType="begin"/>
    </w:r>
    <w:r>
      <w:instrText xml:space="preserve"> PAGE </w:instrText>
    </w:r>
    <w:r>
      <w:rPr/>
      <w:fldChar w:fldCharType="separate"/>
    </w:r>
    <w:r>
      <w:rPr/>
      <w:fldChar w:fldCharType="end"/>
    </w:r>
  </w:p>
</w:ftr>
</file>

<file path=word/footnotes.xml><?xml version="1.0" encoding="utf-8"?>
<w:footnotes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footnote w:id="1">
    <w:p>
      <w:pPr>
        <w:pStyle w:val="style4101"/>
        <w:rPr/>
      </w:pPr>
      <w:r>
        <w:rPr>
          <w:sz w:val="36"/>
          <w:szCs w:val="36"/>
          <w:vertAlign w:val="superscript"/>
        </w:rPr>
        <w:footnoteRef/>
      </w:r>
      <w:r>
        <w:rPr>
          <w:rFonts w:cs="Arial Unicode MS" w:eastAsia="Arial Unicode MS"/>
          <w:lang w:val="en-US"/>
        </w:rPr>
        <w:t xml:space="preserve"> Grob, A. </w:t>
      </w:r>
      <w:r>
        <w:rPr>
          <w:rFonts w:cs="Arial Unicode MS" w:eastAsia="Arial Unicode MS"/>
          <w:i/>
          <w:iCs/>
          <w:lang w:val="en-US"/>
        </w:rPr>
        <w:t>The Philosophic Mind: A Study of Wordsworth</w:t>
      </w:r>
      <w:r>
        <w:rPr>
          <w:rFonts w:cs="Arial Unicode MS" w:eastAsia="Arial Unicode MS" w:hint="default"/>
          <w:i/>
          <w:iCs/>
          <w:lang w:val="en-US"/>
        </w:rPr>
        <w:t>’</w:t>
      </w:r>
      <w:r>
        <w:rPr>
          <w:rFonts w:cs="Arial Unicode MS" w:eastAsia="Arial Unicode MS"/>
          <w:i/>
          <w:iCs/>
          <w:lang w:val="en-US"/>
        </w:rPr>
        <w:t xml:space="preserve">s Poetry and Thought 1797-1805 </w:t>
      </w:r>
      <w:r>
        <w:rPr>
          <w:rFonts w:cs="Arial Unicode MS" w:eastAsia="Arial Unicode MS"/>
          <w:lang w:val="en-US"/>
        </w:rPr>
        <w:t xml:space="preserve"> Columbus: Ohio State University, 1973 </w:t>
      </w:r>
    </w:p>
  </w:footnote>
  <w:footnote w:id="2">
    <w:p>
      <w:pPr>
        <w:pStyle w:val="style4101"/>
        <w:rPr/>
      </w:pPr>
      <w:r>
        <w:rPr>
          <w:sz w:val="36"/>
          <w:szCs w:val="36"/>
          <w:vertAlign w:val="superscript"/>
        </w:rPr>
        <w:footnoteRef/>
      </w:r>
      <w:r>
        <w:rPr>
          <w:rFonts w:cs="Arial Unicode MS" w:eastAsia="Arial Unicode MS"/>
          <w:lang w:val="en-US"/>
        </w:rPr>
        <w:t xml:space="preserve"> Weaver, Bennett. </w:t>
      </w:r>
      <w:r>
        <w:rPr>
          <w:rFonts w:cs="Arial Unicode MS" w:eastAsia="Arial Unicode MS" w:hint="default"/>
          <w:lang w:val="en-US"/>
        </w:rPr>
        <w:t>“</w:t>
      </w:r>
      <w:r>
        <w:rPr>
          <w:rFonts w:cs="Arial Unicode MS" w:eastAsia="Arial Unicode MS"/>
          <w:lang w:val="en-US"/>
        </w:rPr>
        <w:t>Wordsworth: Poet of the Unconquerable Mind</w:t>
      </w:r>
      <w:r>
        <w:rPr>
          <w:rFonts w:cs="Arial Unicode MS" w:eastAsia="Arial Unicode MS" w:hint="default"/>
          <w:lang w:val="en-US"/>
        </w:rPr>
        <w:t xml:space="preserve">” </w:t>
      </w:r>
      <w:r>
        <w:rPr>
          <w:rFonts w:cs="Arial Unicode MS" w:eastAsia="Arial Unicode MS"/>
          <w:lang w:val="en-US"/>
        </w:rPr>
        <w:t>PMLA, Vol. 75, No. 3 (June 1960)</w:t>
      </w:r>
    </w:p>
  </w:footnote>
</w:footnote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8"/>
      <w:rPr/>
    </w:pPr>
    <w:r>
      <w:rPr>
        <w:lang w:val="en-US"/>
      </w:rPr>
      <w:t xml:space="preserve">                                                           Catherine Hornby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FFFFFFFF"/>
    <w:styleLink w:val="style4100"/>
    <w:lvl w:ilvl="0">
      <w:start w:val="1"/>
      <w:numFmt w:val="bullet"/>
      <w:lvlText w:val="-"/>
      <w:lvlJc w:val="left"/>
      <w:pPr>
        <w:ind w:left="720" w:hanging="72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1">
      <w:start w:val="1"/>
      <w:numFmt w:val="bullet"/>
      <w:lvlText w:val="-"/>
      <w:lvlJc w:val="left"/>
      <w:pPr>
        <w:ind w:left="840" w:hanging="84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2">
      <w:start w:val="1"/>
      <w:numFmt w:val="bullet"/>
      <w:lvlText w:val="-"/>
      <w:lvlJc w:val="left"/>
      <w:pPr>
        <w:ind w:left="1374" w:hanging="24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3">
      <w:start w:val="1"/>
      <w:numFmt w:val="bullet"/>
      <w:lvlText w:val="-"/>
      <w:lvlJc w:val="left"/>
      <w:pPr>
        <w:ind w:left="1974" w:hanging="36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4">
      <w:start w:val="1"/>
      <w:numFmt w:val="bullet"/>
      <w:lvlText w:val="-"/>
      <w:lvlJc w:val="left"/>
      <w:pPr>
        <w:ind w:left="2574" w:hanging="48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5">
      <w:start w:val="1"/>
      <w:numFmt w:val="bullet"/>
      <w:lvlText w:val="-"/>
      <w:lvlJc w:val="left"/>
      <w:pPr>
        <w:ind w:left="3174" w:hanging="60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6">
      <w:start w:val="1"/>
      <w:numFmt w:val="bullet"/>
      <w:lvlText w:val="-"/>
      <w:lvlJc w:val="left"/>
      <w:pPr>
        <w:ind w:left="3774" w:hanging="72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7">
      <w:start w:val="1"/>
      <w:numFmt w:val="bullet"/>
      <w:lvlText w:val="-"/>
      <w:lvlJc w:val="left"/>
      <w:pPr>
        <w:ind w:left="4374" w:hanging="84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lvl w:ilvl="8">
      <w:start w:val="1"/>
      <w:numFmt w:val="bullet"/>
      <w:lvlText w:val="-"/>
      <w:lvlJc w:val="left"/>
      <w:pPr>
        <w:ind w:left="4974" w:hanging="240"/>
      </w:pPr>
      <w:rPr>
        <w:rFonts w:ascii="Helvetica Neue" w:cs="Helvetica Neue" w:eastAsia="Helvetica Neue" w:hAnsi="Helvetica Neue"/>
        <w:b w:val="false"/>
        <w:bCs w:val="false"/>
        <w:i w:val="false"/>
        <w:iCs w:val="false"/>
        <w:caps w:val="false"/>
        <w:smallCaps w:val="false"/>
        <w:outline w:val="false"/>
        <w:emboss w:val="false"/>
        <w:imprint w:val="false"/>
        <w:spacing w:val="0"/>
        <w:w w:val="100"/>
        <w:kern w:val="0"/>
        <w:position w:val="0"/>
        <w:highlight w:val="none"/>
        <w:vertAlign w:val="baseline"/>
      </w:rPr>
    </w:lvl>
  </w:abstractNum>
  <w:abstractNum w:abstractNumId="1">
    <w:nsid w:val="00000001"/>
    <w:multiLevelType w:val="hybridMultilevel"/>
    <w:tmpl w:val="FFFFFFFF"/>
    <w:numStyleLink w:val="style4100"/>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view w:val="print"/>
  <w:displayBackgroundShap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markup="t" w:comments="t" w:insDel="t" w:formatting="f"/>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Arial Unicode MS" w:hAnsi="Times New Roman"/>
        <w:b w:val="false"/>
        <w:bCs w:val="false"/>
        <w:i w:val="false"/>
        <w:iCs w:val="false"/>
        <w:caps w:val="false"/>
        <w:smallCaps w:val="false"/>
        <w:outline w:val="false"/>
        <w:emboss w:val="false"/>
        <w:imprint w:val="false"/>
        <w:vanish w:val="false"/>
        <w:color w:val="auto"/>
        <w:spacing w:val="0"/>
        <w:w w:val="100"/>
        <w:kern w:val="0"/>
        <w:position w:val="0"/>
        <w:sz w:val="20"/>
        <w:szCs w:val="20"/>
        <w:u w:val="none" w:color="auto"/>
        <w:bdr w:val="nil"/>
        <w:vertAlign w:val="baseline"/>
      </w:rPr>
    </w:rPrDefault>
    <w:pPrDefault>
      <w:pPr>
        <w:keepNext w:val="false"/>
        <w:keepLines w:val="false"/>
        <w:pageBreakBefore w:val="false"/>
        <w:framePr w:h="0" w:hRule="exact" w:w="0" w:hSpace="0" w:vSpace="0" w:vAnchor="margin" w:xAlign="left" w:yAlign="inline" w:anchorLock="false"/>
        <w:widowControl/>
        <w:numPr>
          <w:ilvl w:val="0"/>
          <w:numId w:val="0"/>
        </w:numPr>
        <w:suppressLineNumbers w:val="false"/>
        <w:pBdr>
          <w:left w:val="nil"/>
          <w:right w:val="nil"/>
          <w:top w:val="nil"/>
          <w:bottom w:val="nil"/>
          <w:bar w:val="nil"/>
          <w:between w:val="nil"/>
        </w:pBdr>
        <w:shd w:val="clear" w:color="auto" w:fill="auto"/>
        <w:suppressAutoHyphens w:val="false"/>
        <w:spacing w:before="0" w:beforeAutospacing="false" w:after="0" w:afterAutospacing="false" w:lineRule="auto" w:line="240"/>
        <w:ind w:left="0" w:right="0" w:firstLine="0"/>
        <w:jc w:val="left"/>
        <w:outlineLvl w:val="9"/>
      </w:pPr>
    </w:pPrDefault>
  </w:docDefaults>
  <w:style w:type="paragraph" w:default="1" w:styleId="style0">
    <w:name w:val="Normal"/>
    <w:next w:val="style0"/>
    <w:pPr/>
    <w:rPr>
      <w:sz w:val="24"/>
      <w:szCs w:val="24"/>
      <w:lang w:val="en-US" w:bidi="ar-SA" w:eastAsia="en-US"/>
    </w:rPr>
  </w:style>
  <w:style w:type="character" w:default="1" w:styleId="style65">
    <w:name w:val="Default Paragraph Font"/>
    <w:next w:val="style65"/>
  </w:style>
  <w:style w:type="character" w:styleId="style85">
    <w:name w:val="Hyperlink"/>
    <w:next w:val="style85"/>
    <w:rPr>
      <w:u w:val="single"/>
    </w:rPr>
  </w:style>
  <w:style w:type="table" w:customStyle="1" w:styleId="style4097">
    <w:name w:val="Table Normal"/>
    <w:next w:val="style4097"/>
    <w:pPr/>
    <w:rPr/>
    <w:tblPr>
      <w:tblInd w:w="0" w:type="dxa"/>
    </w:tblPr>
    <w:tblStylePr w:type="firstRow">
      <w:pPr/>
      <w:tcPr>
        <w:tcBorders/>
      </w:tcPr>
    </w:tblStylePr>
    <w:tblStylePr w:type="lastRow">
      <w:pPr/>
      <w:tcPr>
        <w:tcBorders/>
      </w:tcPr>
    </w:tblStylePr>
    <w:tblStylePr w:type="band1Horz">
      <w:pPr/>
      <w:tcPr>
        <w:tcBorders/>
      </w:tcPr>
    </w:tblStylePr>
    <w:tblStylePr w:type="band2Horz">
      <w:pPr/>
      <w:tcPr>
        <w:tcBorders/>
      </w:tcPr>
    </w:tblStylePr>
    <w:tblStylePr w:type="firstCol">
      <w:pPr/>
      <w:tcPr>
        <w:tcBorders/>
      </w:tcPr>
    </w:tblStylePr>
    <w:tblStylePr w:type="lastCol">
      <w:pPr/>
      <w:tcPr>
        <w:tcBorders/>
      </w:tcPr>
    </w:tblStylePr>
    <w:tblStylePr w:type="band1Vert">
      <w:pPr/>
      <w:tcPr>
        <w:tcBorders/>
      </w:tcPr>
    </w:tblStylePr>
    <w:tblStylePr w:type="band2Vert">
      <w:pPr/>
      <w:tcPr>
        <w:tcBorders/>
      </w:tcPr>
    </w:tblStylePr>
    <w:tblStylePr w:type="neCell">
      <w:pPr/>
      <w:tcPr>
        <w:tcBorders/>
      </w:tcPr>
    </w:tblStylePr>
    <w:tblStylePr w:type="nwCell">
      <w:pPr/>
      <w:tcPr>
        <w:tcBorders/>
      </w:tcPr>
    </w:tblStylePr>
    <w:tblStylePr w:type="seCell">
      <w:pPr/>
      <w:tcPr>
        <w:tcBorders/>
      </w:tcPr>
    </w:tblStylePr>
    <w:tblStylePr w:type="swCell">
      <w:pPr/>
      <w:tcPr>
        <w:tcBorders/>
      </w:tcPr>
    </w:tblStylePr>
    <w:tcPr>
      <w:tcBorders/>
    </w:tcPr>
  </w:style>
  <w:style w:type="numbering" w:default="1" w:styleId="style107">
    <w:name w:val="No List"/>
    <w:next w:val="style107"/>
    <w:pPr/>
  </w:style>
  <w:style w:type="paragraph" w:customStyle="1" w:styleId="style4098">
    <w:name w:val="Header &amp; Footer A"/>
    <w:next w:val="style4098"/>
    <w:pPr>
      <w:keepNext w:val="false"/>
      <w:keepLines w:val="false"/>
      <w:pageBreakBefore w:val="false"/>
      <w:widowControl/>
      <w:shd w:val="clear" w:color="auto" w:fill="auto"/>
      <w:tabs>
        <w:tab w:val="right" w:leader="none" w:pos="9020"/>
      </w:tabs>
      <w:suppressAutoHyphens w:val="false"/>
      <w:bidi w:val="false"/>
      <w:spacing w:before="0" w:after="0" w:lineRule="auto" w:line="240"/>
      <w:ind w:left="0" w:right="0" w:firstLine="0"/>
      <w:jc w:val="left"/>
      <w:outlineLvl w:val="9"/>
    </w:pPr>
    <w:rPr>
      <w:rFonts w:ascii="Helvetica Neue" w:cs="Arial Unicode MS" w:eastAsia="Arial Unicode MS" w:hAnsi="Helvetica Neue"/>
      <w:b w:val="false"/>
      <w:bCs w:val="false"/>
      <w:i w:val="false"/>
      <w:iCs w:val="false"/>
      <w:caps w:val="false"/>
      <w:smallCaps w:val="false"/>
      <w:outline w:val="false"/>
      <w:color w:val="000000"/>
      <w:spacing w:val="0"/>
      <w:kern w:val="0"/>
      <w:position w:val="0"/>
      <w:sz w:val="24"/>
      <w:szCs w:val="24"/>
      <w:u w:val="none" w:color="000000"/>
      <w:vertAlign w:val="baseline"/>
      <w:lang w:val="en-US"/>
      <w14:textOutline>
        <w14:noFill/>
      </w14:textOutline>
    </w:rPr>
  </w:style>
  <w:style w:type="paragraph" w:customStyle="1" w:styleId="style4099">
    <w:name w:val="Body A"/>
    <w:next w:val="style4099"/>
    <w:pPr>
      <w:keepNext w:val="false"/>
      <w:keepLines w:val="false"/>
      <w:pageBreakBefore w:val="false"/>
      <w:widowControl/>
      <w:shd w:val="clear" w:color="auto" w:fill="auto"/>
      <w:suppressAutoHyphens w:val="false"/>
      <w:bidi w:val="false"/>
      <w:spacing w:before="0" w:after="0" w:lineRule="auto" w:line="240"/>
      <w:ind w:left="0" w:right="0" w:firstLine="0"/>
      <w:jc w:val="left"/>
      <w:outlineLvl w:val="9"/>
    </w:pPr>
    <w:rPr>
      <w:rFonts w:ascii="Helvetica Neue" w:cs="Arial Unicode MS" w:eastAsia="Arial Unicode MS" w:hAnsi="Helvetica Neue"/>
      <w:b w:val="false"/>
      <w:bCs w:val="false"/>
      <w:i w:val="false"/>
      <w:iCs w:val="false"/>
      <w:caps w:val="false"/>
      <w:smallCaps w:val="false"/>
      <w:outline w:val="false"/>
      <w:color w:val="000000"/>
      <w:spacing w:val="0"/>
      <w:kern w:val="0"/>
      <w:position w:val="0"/>
      <w:sz w:val="22"/>
      <w:szCs w:val="22"/>
      <w:u w:val="none" w:color="000000"/>
      <w:vertAlign w:val="baseline"/>
      <w:lang w:val="en-US"/>
      <w14:textOutline>
        <w14:noFill/>
      </w14:textOutline>
    </w:rPr>
  </w:style>
  <w:style w:type="numbering" w:customStyle="1" w:styleId="style4100">
    <w:name w:val="Bullets"/>
    <w:next w:val="style4100"/>
    <w:pPr>
      <w:numPr>
        <w:ilvl w:val="0"/>
        <w:numId w:val="1"/>
      </w:numPr>
    </w:pPr>
  </w:style>
  <w:style w:type="paragraph" w:customStyle="1" w:styleId="style4101">
    <w:name w:val="Footnote"/>
    <w:next w:val="style4101"/>
    <w:pPr>
      <w:keepNext w:val="false"/>
      <w:keepLines w:val="false"/>
      <w:pageBreakBefore w:val="false"/>
      <w:widowControl/>
      <w:shd w:val="clear" w:color="auto" w:fill="auto"/>
      <w:suppressAutoHyphens w:val="false"/>
      <w:bidi w:val="false"/>
      <w:spacing w:before="0" w:after="0" w:lineRule="auto" w:line="240"/>
      <w:ind w:left="0" w:right="0" w:firstLine="0"/>
      <w:jc w:val="left"/>
      <w:outlineLvl w:val="9"/>
    </w:pPr>
    <w:rPr>
      <w:rFonts w:ascii="Helvetica Neue" w:cs="Helvetica Neue" w:eastAsia="Helvetica Neue" w:hAnsi="Helvetica Neue"/>
      <w:b w:val="false"/>
      <w:bCs w:val="false"/>
      <w:i w:val="false"/>
      <w:iCs w:val="false"/>
      <w:caps w:val="false"/>
      <w:smallCaps w:val="false"/>
      <w:outline w:val="false"/>
      <w:color w:val="000000"/>
      <w:spacing w:val="0"/>
      <w:kern w:val="0"/>
      <w:position w:val="0"/>
      <w:sz w:val="22"/>
      <w:szCs w:val="22"/>
      <w:u w:val="none" w:color="000000"/>
      <w:vertAlign w:val="baseline"/>
      <w:lang w:val="en-US"/>
      <w14:textOutline>
        <w14:noFill/>
      </w14:textOutline>
    </w:rPr>
  </w:style>
</w:styles>
</file>

<file path=word/_rels/document.xml.rels><?xml version="1.0" encoding="UTF-8"?>
<Relationships xmlns="http://schemas.openxmlformats.org/package/2006/relationships"><Relationship Id="rId2" Type="http://schemas.openxmlformats.org/officeDocument/2006/relationships/image" Target="media/image1.jpeg"/><Relationship Id="rId5" Type="http://schemas.openxmlformats.org/officeDocument/2006/relationships/footnotes" Target="footnotes.xml"/><Relationship Id="rId8" Type="http://schemas.openxmlformats.org/officeDocument/2006/relationships/settings" Target="settings.xml"/><Relationship Id="rId4" Type="http://schemas.openxmlformats.org/officeDocument/2006/relationships/footer" Target="footer2.xml"/><Relationship Id="rId9" Type="http://schemas.openxmlformats.org/officeDocument/2006/relationships/theme" Target="theme/theme1.xml"/><Relationship Id="rId3" Type="http://schemas.openxmlformats.org/officeDocument/2006/relationships/header" Target="header1.xml"/><Relationship Id="rId6" Type="http://schemas.openxmlformats.org/officeDocument/2006/relationships/styles" Target="styles.xml"/><Relationship Id="rId1" Type="http://schemas.openxmlformats.org/officeDocument/2006/relationships/numbering" Target="numbering.xml"/><Relationship Id="rId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2535</Words>
  <Characters>12817</Characters>
  <Application>WPS Office</Application>
  <Paragraphs>203</Paragraphs>
  <CharactersWithSpaces>15449</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2019-12-04T15:03:22Z</dcterms:created>
  <dc:creator>WPS Office</dc:creator>
  <lastModifiedBy>KFMUWI</lastModifiedBy>
  <dcterms:modified xsi:type="dcterms:W3CDTF">2019-12-04T15:03:22Z</dcterms:modified>
</coreProperties>
</file>

<file path=docProps/custom.xml><?xml version="1.0" encoding="utf-8"?>
<Properties xmlns="http://schemas.openxmlformats.org/officeDocument/2006/custom-properties" xmlns:vt="http://schemas.openxmlformats.org/officeDocument/2006/docPropsVTypes"/>
</file>