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14:textFill>
            <w14:solidFill>
              <w14:schemeClr w14:val="accent1"/>
            </w14:solidFill>
          </w14:textFill>
        </w:rPr>
        <w:alias w:val="Title"/>
        <w:id w:val="1735040861"/>
        <w:placeholder>
          <w:docPart w:val="{f218981b-cdbe-4124-9bf8-83c9c9a2a606}"/>
        </w:placeholder>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5B9BD5" w:themeColor="accent1"/>
          <w:sz w:val="80"/>
          <w:szCs w:val="80"/>
          <w14:textFill>
            <w14:solidFill>
              <w14:schemeClr w14:val="accent1"/>
            </w14:solidFill>
          </w14:textFill>
        </w:rPr>
      </w:sdtEndPr>
      <w:sdtContent>
        <w:p>
          <w:pPr>
            <w:pStyle w:val="10"/>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14:textFill>
                <w14:solidFill>
                  <w14:schemeClr w14:val="accent1"/>
                </w14:solidFill>
              </w14:textFill>
            </w:rPr>
          </w:pPr>
          <w:r>
            <w:rPr>
              <w:rFonts w:hint="eastAsia" w:asciiTheme="majorHAnsi" w:hAnsiTheme="majorHAnsi" w:eastAsiaTheme="majorEastAsia" w:cstheme="majorBidi"/>
              <w:caps/>
              <w:color w:val="5B9BD5" w:themeColor="accent1"/>
              <w:sz w:val="72"/>
              <w:szCs w:val="72"/>
              <w:lang w:eastAsia="zh-CN"/>
              <w14:textFill>
                <w14:solidFill>
                  <w14:schemeClr w14:val="accent1"/>
                </w14:solidFill>
              </w14:textFill>
            </w:rPr>
            <w:t>Portal Fabrication Plc  and Troy Brands</w:t>
          </w:r>
          <w:bookmarkStart w:id="13" w:name="_GoBack"/>
          <w:bookmarkEnd w:id="13"/>
        </w:p>
      </w:sdtContent>
    </w:sdt>
    <w:sdt>
      <w:sdtPr>
        <w:rPr>
          <w:color w:val="5B9BD5" w:themeColor="accent1"/>
          <w:sz w:val="28"/>
          <w:szCs w:val="28"/>
          <w14:textFill>
            <w14:solidFill>
              <w14:schemeClr w14:val="accent1"/>
            </w14:solidFill>
          </w14:textFill>
        </w:rPr>
        <w:alias w:val="Subtitle"/>
        <w:id w:val="328029620"/>
        <w:showingPlcHdr/>
        <w:dataBinding w:prefixMappings="xmlns:ns0='http://purl.org/dc/elements/1.1/' xmlns:ns1='http://schemas.openxmlformats.org/package/2006/metadata/core-properties' " w:xpath="/ns1:coreProperties[1]/ns0:subject[1]" w:storeItemID="{6C3C8BC8-F283-45AE-878A-BAB7291924A1}"/>
        <w:text/>
      </w:sdtPr>
      <w:sdtEndPr>
        <w:rPr>
          <w:color w:val="5B9BD5" w:themeColor="accent1"/>
          <w:sz w:val="28"/>
          <w:szCs w:val="28"/>
          <w14:textFill>
            <w14:solidFill>
              <w14:schemeClr w14:val="accent1"/>
            </w14:solidFill>
          </w14:textFill>
        </w:rPr>
      </w:sdtEndPr>
      <w:sdtContent>
        <w:p>
          <w:pPr>
            <w:pStyle w:val="10"/>
            <w:jc w:val="center"/>
            <w:rPr>
              <w:color w:val="5B9BD5" w:themeColor="accent1"/>
              <w:sz w:val="28"/>
              <w:szCs w:val="28"/>
              <w14:textFill>
                <w14:solidFill>
                  <w14:schemeClr w14:val="accent1"/>
                </w14:solidFill>
              </w14:textFill>
            </w:rPr>
          </w:pPr>
          <w:r>
            <w:rPr>
              <w:color w:val="5B9BD5" w:themeColor="accent1"/>
              <w:sz w:val="28"/>
              <w:szCs w:val="28"/>
              <w14:textFill>
                <w14:solidFill>
                  <w14:schemeClr w14:val="accent1"/>
                </w14:solidFill>
              </w14:textFill>
            </w:rPr>
            <w:t>[Document subtitle]</w:t>
          </w:r>
        </w:p>
      </w:sdtContent>
    </w:sdt>
    <w:p>
      <w:pPr>
        <w:jc w:val="center"/>
        <w:rPr>
          <w:color w:val="5B9BD5" w:themeColor="accent1"/>
          <w:lang w:val="en-GB" w:eastAsia="en-GB"/>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dataBinding w:prefixMappings="xmlns:ns0='http://schemas.microsoft.com/office/2006/coverPageProps' " w:xpath="/ns0:CoverPageProperties[1]/ns0:PublishDate[1]" w:storeItemID="{55AF091B-3C7A-41E3-B477-F2FDAA23CFDA}"/>
                              <w:date w:fullDate="2023-05-11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0"/>
                                  <w:spacing w:after="40"/>
                                  <w:jc w:val="center"/>
                                  <w:rPr>
                                    <w:caps/>
                                    <w:color w:val="5B9BD5" w:themeColor="accent1"/>
                                    <w:sz w:val="28"/>
                                    <w:szCs w:val="28"/>
                                    <w14:textFill>
                                      <w14:solidFill>
                                        <w14:schemeClr w14:val="accent1"/>
                                      </w14:solidFill>
                                    </w14:textFill>
                                  </w:rPr>
                                </w:pPr>
                                <w:r>
                                  <w:rPr>
                                    <w:rFonts w:asciiTheme="minorHAnsi" w:hAnsiTheme="minorHAnsi" w:eastAsiaTheme="minorEastAsia" w:cstheme="minorBidi"/>
                                    <w:caps/>
                                    <w:color w:val="5B9BD5" w:themeColor="accent1"/>
                                    <w:sz w:val="28"/>
                                    <w:szCs w:val="28"/>
                                    <w:lang w:val="en-US" w:eastAsia="en-US" w:bidi="ar-SA"/>
                                    <w14:textFill>
                                      <w14:solidFill>
                                        <w14:schemeClr w14:val="accent1"/>
                                      </w14:solidFill>
                                    </w14:textFill>
                                  </w:rPr>
                                  <w:t>May 11, 2023</w:t>
                                </w:r>
                              </w:p>
                            </w:sdtContent>
                          </w:sdt>
                          <w:p>
                            <w:pPr>
                              <w:pStyle w:val="10"/>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0"/>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90pt;margin-top:715.6pt;height:46.45pt;width:451.3pt;mso-position-horizontal-relative:page;mso-position-vertical-relative:page;z-index:251659264;v-text-anchor:bottom;mso-width-relative:margin;mso-height-relative:page;mso-width-percent:1000;" filled="f" stroked="f" coordsize="21600,21600" o:gfxdata="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JMIHEjWAAAABAEAAA8AAAAAAAAAAQAgAAAAIgAAAGRycy9kb3ducmV2LnhtbFBLAQIUABQA&#10;AAAIAIdO4kBmP0cWKwIAAGcEAAAOAAAAAAAAAAEAIAAAACUBAABkcnMvZTJvRG9jLnhtbFBLBQYA&#10;AAAABgAGAFkBAADCBQ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dataBinding w:prefixMappings="xmlns:ns0='http://schemas.microsoft.com/office/2006/coverPageProps' " w:xpath="/ns0:CoverPageProperties[1]/ns0:PublishDate[1]" w:storeItemID="{55AF091B-3C7A-41E3-B477-F2FDAA23CFDA}"/>
                        <w:date w:fullDate="2023-05-11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0"/>
                            <w:spacing w:after="40"/>
                            <w:jc w:val="center"/>
                            <w:rPr>
                              <w:caps/>
                              <w:color w:val="5B9BD5" w:themeColor="accent1"/>
                              <w:sz w:val="28"/>
                              <w:szCs w:val="28"/>
                              <w14:textFill>
                                <w14:solidFill>
                                  <w14:schemeClr w14:val="accent1"/>
                                </w14:solidFill>
                              </w14:textFill>
                            </w:rPr>
                          </w:pPr>
                          <w:r>
                            <w:rPr>
                              <w:rFonts w:asciiTheme="minorHAnsi" w:hAnsiTheme="minorHAnsi" w:eastAsiaTheme="minorEastAsia" w:cstheme="minorBidi"/>
                              <w:caps/>
                              <w:color w:val="5B9BD5" w:themeColor="accent1"/>
                              <w:sz w:val="28"/>
                              <w:szCs w:val="28"/>
                              <w:lang w:val="en-US" w:eastAsia="en-US" w:bidi="ar-SA"/>
                              <w14:textFill>
                                <w14:solidFill>
                                  <w14:schemeClr w14:val="accent1"/>
                                </w14:solidFill>
                              </w14:textFill>
                            </w:rPr>
                            <w:t>May 11, 2023</w:t>
                          </w:r>
                        </w:p>
                      </w:sdtContent>
                    </w:sdt>
                    <w:p>
                      <w:pPr>
                        <w:pStyle w:val="10"/>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0"/>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lang w:val="en-GB" w:eastAsia="en-GB"/>
          <w14:textFill>
            <w14:solidFill>
              <w14:schemeClr w14:val="accent1"/>
            </w14:solidFill>
          </w14:textFill>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jc w:val="center"/>
        <w:rPr>
          <w:color w:val="5B9BD5" w:themeColor="accent1"/>
          <w:lang w:val="en-GB" w:eastAsia="en-GB"/>
          <w14:textFill>
            <w14:solidFill>
              <w14:schemeClr w14:val="accent1"/>
            </w14:solidFill>
          </w14:textFill>
        </w:rPr>
      </w:pPr>
    </w:p>
    <w:p>
      <w:pPr>
        <w:jc w:val="center"/>
        <w:rPr>
          <w:color w:val="5B9BD5" w:themeColor="accent1"/>
          <w:lang w:val="en-GB" w:eastAsia="en-GB"/>
          <w14:textFill>
            <w14:solidFill>
              <w14:schemeClr w14:val="accent1"/>
            </w14:solidFill>
          </w14:textFill>
        </w:rPr>
      </w:pPr>
    </w:p>
    <w:p>
      <w:pPr>
        <w:jc w:val="center"/>
        <w:rPr>
          <w:color w:val="5B9BD5" w:themeColor="accent1"/>
          <w:lang w:val="en-GB" w:eastAsia="en-GB"/>
          <w14:textFill>
            <w14:solidFill>
              <w14:schemeClr w14:val="accent1"/>
            </w14:solidFill>
          </w14:textFill>
        </w:rPr>
      </w:pPr>
    </w:p>
    <w:p>
      <w:pPr>
        <w:jc w:val="center"/>
        <w:rPr>
          <w:color w:val="5B9BD5" w:themeColor="accent1"/>
          <w:lang w:val="en-GB" w:eastAsia="en-GB"/>
          <w14:textFill>
            <w14:solidFill>
              <w14:schemeClr w14:val="accent1"/>
            </w14:solidFill>
          </w14:textFill>
        </w:rPr>
      </w:pPr>
    </w:p>
    <w:p>
      <w:pPr>
        <w:jc w:val="center"/>
        <w:rPr>
          <w:color w:val="5B9BD5" w:themeColor="accent1"/>
          <w:lang w:val="en-GB" w:eastAsia="en-GB"/>
          <w14:textFill>
            <w14:solidFill>
              <w14:schemeClr w14:val="accent1"/>
            </w14:solidFill>
          </w14:textFill>
        </w:rPr>
      </w:pPr>
    </w:p>
    <w:p>
      <w:pPr>
        <w:jc w:val="center"/>
        <w:rPr>
          <w:rFonts w:hint="default" w:ascii="Times New Roman" w:hAnsi="Times New Roman" w:cs="Times New Roman"/>
          <w:color w:val="5B9BD5" w:themeColor="accent1"/>
          <w:sz w:val="28"/>
          <w:szCs w:val="28"/>
          <w:lang w:val="en-GB" w:eastAsia="en-GB"/>
          <w14:textFill>
            <w14:solidFill>
              <w14:schemeClr w14:val="accent1"/>
            </w14:solidFill>
          </w14:textFill>
        </w:rPr>
      </w:pPr>
      <w:r>
        <w:rPr>
          <w:rFonts w:hint="default" w:ascii="Times New Roman" w:hAnsi="Times New Roman" w:cs="Times New Roman"/>
          <w:color w:val="5B9BD5" w:themeColor="accent1"/>
          <w:sz w:val="28"/>
          <w:szCs w:val="28"/>
          <w:lang w:val="en-GB" w:eastAsia="en-GB"/>
          <w14:textFill>
            <w14:solidFill>
              <w14:schemeClr w14:val="accent1"/>
            </w14:solidFill>
          </w14:textFill>
        </w:rPr>
        <w:t>MOUDLE NAME:Contemporary Issues in Performance Management  BMMB701</w:t>
      </w:r>
      <w:r>
        <w:rPr>
          <w:rFonts w:hint="default" w:ascii="Times New Roman" w:hAnsi="Times New Roman" w:cs="Times New Roman"/>
          <w:color w:val="5B9BD5" w:themeColor="accent1"/>
          <w:sz w:val="28"/>
          <w:szCs w:val="28"/>
          <w:lang w:val="en-US" w:eastAsia="zh-CN"/>
          <w14:textFill>
            <w14:solidFill>
              <w14:schemeClr w14:val="accent1"/>
            </w14:solidFill>
          </w14:textFill>
        </w:rPr>
        <w:t>7</w:t>
      </w:r>
    </w:p>
    <w:p>
      <w:pPr>
        <w:jc w:val="center"/>
        <w:rPr>
          <w:rFonts w:hint="default" w:ascii="Times New Roman" w:hAnsi="Times New Roman" w:cs="Times New Roman"/>
          <w:color w:val="5B9BD5" w:themeColor="accent1"/>
          <w:sz w:val="28"/>
          <w:szCs w:val="28"/>
          <w:lang w:val="en-GB" w:eastAsia="en-GB"/>
          <w14:textFill>
            <w14:solidFill>
              <w14:schemeClr w14:val="accent1"/>
            </w14:solidFill>
          </w14:textFill>
        </w:rPr>
      </w:pPr>
      <w:r>
        <w:rPr>
          <w:rFonts w:hint="default" w:ascii="Times New Roman" w:hAnsi="Times New Roman" w:cs="Times New Roman"/>
          <w:color w:val="5B9BD5" w:themeColor="accent1"/>
          <w:sz w:val="28"/>
          <w:szCs w:val="28"/>
          <w:lang w:val="en-GB" w:eastAsia="en-GB"/>
          <w14:textFill>
            <w14:solidFill>
              <w14:schemeClr w14:val="accent1"/>
            </w14:solidFill>
          </w14:textFill>
        </w:rPr>
        <w:t>NAME:Jiaxian Huang</w:t>
      </w:r>
    </w:p>
    <w:p>
      <w:pPr>
        <w:jc w:val="center"/>
        <w:rPr>
          <w:rFonts w:hint="default" w:ascii="Times New Roman" w:hAnsi="Times New Roman" w:cs="Times New Roman"/>
          <w:b/>
          <w:bCs/>
          <w:sz w:val="28"/>
          <w:szCs w:val="28"/>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color w:val="5B9BD5" w:themeColor="accent1"/>
          <w:sz w:val="28"/>
          <w:szCs w:val="28"/>
          <w:lang w:val="en-GB" w:eastAsia="en-GB"/>
          <w14:textFill>
            <w14:solidFill>
              <w14:schemeClr w14:val="accent1"/>
            </w14:solidFill>
          </w14:textFill>
        </w:rPr>
        <w:t>STUDENT NUMBER:2206335</w:t>
      </w:r>
    </w:p>
    <w:p>
      <w:pPr>
        <w:jc w:val="center"/>
        <w:rPr>
          <w:rFonts w:hint="eastAsia"/>
          <w:b/>
          <w:bCs/>
          <w:sz w:val="28"/>
          <w:szCs w:val="28"/>
        </w:rPr>
      </w:pPr>
      <w:r>
        <w:rPr>
          <w:rFonts w:hint="eastAsia"/>
          <w:b/>
          <w:bCs/>
          <w:sz w:val="28"/>
          <w:szCs w:val="28"/>
        </w:rPr>
        <w:t>Executive Summary</w:t>
      </w:r>
    </w:p>
    <w:p>
      <w:pPr>
        <w:rPr>
          <w:rFonts w:hint="eastAsia"/>
        </w:rPr>
      </w:pPr>
      <w:r>
        <w:rPr>
          <w:rFonts w:hint="eastAsia"/>
        </w:rPr>
        <w:t>The purpose of this report is to explore the importance of performance management for business success through case studies of two companies, and to provide practical suggestions and measures to optimize performance management. Performance management is the process of measuring and optimizing performance, while also stimulating individual potential and promoting organizational development. Performance management is of great significance and crucial for enterprises to achieve strategic goals. It can be seen as a process in which managers and employees jointly participate in management to achieve organizational goals. Performance management not only focuses on financial indicators, but also includes other non-financial factors such as customer satisfaction, employee satisfaction, and process efficiency, which play a crucial role in the success and competitive advantage of enterprises.</w:t>
      </w:r>
    </w:p>
    <w:p>
      <w:pPr>
        <w:rPr>
          <w:rFonts w:hint="eastAsia"/>
        </w:rPr>
      </w:pPr>
    </w:p>
    <w:p>
      <w:pPr>
        <w:rPr>
          <w:rFonts w:hint="eastAsia"/>
        </w:rPr>
      </w:pPr>
      <w:r>
        <w:rPr>
          <w:rFonts w:hint="eastAsia"/>
        </w:rPr>
        <w:t>This report explores the business status and performance management issues of the two companies. For Portal Fabric PLC, this report analyzes indicators such as ROI, RI, and EVA for the M/S department and service department, and proposes the view that more comprehensive factors need to be considered when evaluating department performance. In addition, this report discusses the principles and methods of transfer pricing, and suggests that Portal Company should fully consider the principles of consistent goals among departments, incentives, and participation in internal and external markets. Finally, this report explores the impact of introducing new information systems on performance management and identifies the challenges that Portal needs to overcome. For Troy Brands, this report analyzes the crisis faced by the company and performance analysis based on the Balanced Scorecard. The four dimensions of the balanced scorecard include finance, customers, internal processes, and learning and growth, which provide multi-dimensional evaluations of enterprise performance. This report emphasizes the importance of performance management for enterprise success, as well as how to improve enterprise performance and maintain competitive advantage through business process reengineering and optimizing management strategy systems.</w:t>
      </w:r>
    </w:p>
    <w:p>
      <w:pPr>
        <w:ind w:firstLine="480" w:firstLineChars="200"/>
        <w:rPr>
          <w:rFonts w:hint="eastAsia"/>
        </w:rPr>
      </w:pPr>
    </w:p>
    <w:p>
      <w:pPr>
        <w:ind w:firstLine="480" w:firstLineChars="200"/>
        <w:rPr>
          <w:rFonts w:hint="eastAsia"/>
        </w:rPr>
      </w:pPr>
    </w:p>
    <w:p>
      <w:pPr>
        <w:ind w:firstLine="480" w:firstLineChars="200"/>
        <w:rPr>
          <w:rFonts w:hint="eastAsia"/>
        </w:rPr>
      </w:pPr>
    </w:p>
    <w:p>
      <w:pPr>
        <w:ind w:firstLine="480" w:firstLineChars="200"/>
        <w:rPr>
          <w:rFonts w:hint="eastAsia"/>
        </w:rPr>
      </w:pPr>
    </w:p>
    <w:p>
      <w:pPr>
        <w:ind w:firstLine="480" w:firstLineChars="200"/>
        <w:rPr>
          <w:rFonts w:hint="eastAsia"/>
        </w:rPr>
      </w:pPr>
    </w:p>
    <w:p>
      <w:pPr>
        <w:ind w:firstLine="480" w:firstLineChars="200"/>
        <w:rPr>
          <w:rFonts w:hint="eastAsia"/>
        </w:rPr>
      </w:pPr>
    </w:p>
    <w:p>
      <w:pPr>
        <w:ind w:firstLine="480" w:firstLineChars="200"/>
        <w:rPr>
          <w:rFonts w:hint="eastAsia"/>
        </w:rPr>
      </w:pPr>
    </w:p>
    <w:p>
      <w:pPr>
        <w:ind w:firstLine="480" w:firstLineChars="200"/>
        <w:rPr>
          <w:rFonts w:hint="eastAsia"/>
        </w:rPr>
      </w:pPr>
    </w:p>
    <w:p>
      <w:pPr>
        <w:ind w:firstLine="480" w:firstLineChars="200"/>
        <w:rPr>
          <w:rFonts w:hint="eastAsia"/>
        </w:rPr>
      </w:pPr>
    </w:p>
    <w:p>
      <w:pPr>
        <w:ind w:firstLine="480" w:firstLineChars="200"/>
        <w:rPr>
          <w:rFonts w:hint="eastAsia"/>
        </w:rPr>
      </w:pPr>
    </w:p>
    <w:p>
      <w:pPr>
        <w:ind w:firstLine="480" w:firstLineChars="200"/>
        <w:rPr>
          <w:rFonts w:hint="eastAsia"/>
        </w:rPr>
      </w:pPr>
    </w:p>
    <w:p>
      <w:pPr>
        <w:ind w:firstLine="480" w:firstLineChars="200"/>
        <w:rPr>
          <w:rFonts w:hint="eastAsia"/>
        </w:rPr>
      </w:pPr>
    </w:p>
    <w:sdt>
      <w:sdtPr>
        <w:rPr>
          <w:rFonts w:ascii="宋体" w:hAnsi="宋体" w:eastAsia="宋体" w:cstheme="minorBidi"/>
          <w:kern w:val="2"/>
          <w:sz w:val="21"/>
          <w:szCs w:val="24"/>
          <w:lang w:val="en-US" w:eastAsia="zh-CN" w:bidi="ar-SA"/>
        </w:rPr>
        <w:id w:val="147466590"/>
        <w15:color w:val="DBDBDB"/>
        <w:docPartObj>
          <w:docPartGallery w:val="Table of Contents"/>
          <w:docPartUnique/>
        </w:docPartObj>
      </w:sdtPr>
      <w:sdtEndPr>
        <w:rPr>
          <w:rFonts w:hint="eastAsia" w:ascii="Times New Roman" w:hAnsi="Times New Roman" w:eastAsiaTheme="minorEastAsia" w:cstheme="minorBidi"/>
          <w:kern w:val="2"/>
          <w:sz w:val="24"/>
          <w:szCs w:val="24"/>
          <w:lang w:val="en-US" w:eastAsia="zh-CN" w:bidi="ar-SA"/>
        </w:rPr>
      </w:sdtEndPr>
      <w:sdtContent>
        <w:p>
          <w:pPr>
            <w:spacing w:before="0" w:beforeLines="0" w:after="0" w:afterLines="0" w:line="240" w:lineRule="auto"/>
            <w:ind w:left="0" w:leftChars="0" w:right="0" w:rightChars="0" w:firstLine="0" w:firstLineChars="0"/>
            <w:jc w:val="center"/>
          </w:pPr>
          <w:r>
            <w:rPr>
              <w:rFonts w:hint="default" w:ascii="Times New Roman" w:hAnsi="Times New Roman" w:eastAsia="宋体" w:cs="Times New Roman"/>
              <w:sz w:val="28"/>
              <w:szCs w:val="28"/>
            </w:rPr>
            <w:t>Table of Contents</w:t>
          </w:r>
        </w:p>
        <w:p>
          <w:pPr>
            <w:pStyle w:val="6"/>
            <w:tabs>
              <w:tab w:val="right" w:leader="dot" w:pos="8306"/>
            </w:tabs>
          </w:pPr>
          <w:r>
            <w:rPr>
              <w:rFonts w:hint="eastAsia"/>
            </w:rPr>
            <w:fldChar w:fldCharType="begin"/>
          </w:r>
          <w:r>
            <w:rPr>
              <w:rFonts w:hint="eastAsia"/>
            </w:rPr>
            <w:instrText xml:space="preserve">TOC \o "1-3" \h \u </w:instrText>
          </w:r>
          <w:r>
            <w:rPr>
              <w:rFonts w:hint="eastAsia"/>
            </w:rPr>
            <w:fldChar w:fldCharType="separate"/>
          </w:r>
          <w:r>
            <w:rPr>
              <w:rFonts w:hint="eastAsia"/>
            </w:rPr>
            <w:fldChar w:fldCharType="begin"/>
          </w:r>
          <w:r>
            <w:rPr>
              <w:rFonts w:hint="eastAsia"/>
            </w:rPr>
            <w:instrText xml:space="preserve"> HYPERLINK \l _Toc7719 </w:instrText>
          </w:r>
          <w:r>
            <w:rPr>
              <w:rFonts w:hint="eastAsia"/>
            </w:rPr>
            <w:fldChar w:fldCharType="separate"/>
          </w:r>
          <w:r>
            <w:rPr>
              <w:rFonts w:hint="eastAsia"/>
            </w:rPr>
            <w:t>Introduction</w:t>
          </w:r>
          <w:r>
            <w:tab/>
          </w:r>
          <w:r>
            <w:fldChar w:fldCharType="begin"/>
          </w:r>
          <w:r>
            <w:instrText xml:space="preserve"> PAGEREF _Toc7719 \h </w:instrText>
          </w:r>
          <w:r>
            <w:fldChar w:fldCharType="separate"/>
          </w:r>
          <w:r>
            <w:t>1</w:t>
          </w:r>
          <w:r>
            <w:fldChar w:fldCharType="end"/>
          </w:r>
          <w:r>
            <w:rPr>
              <w:rFonts w:hint="eastAsia"/>
            </w:rPr>
            <w:fldChar w:fldCharType="end"/>
          </w:r>
        </w:p>
        <w:p>
          <w:pPr>
            <w:pStyle w:val="6"/>
            <w:tabs>
              <w:tab w:val="right" w:leader="dot" w:pos="8306"/>
            </w:tabs>
          </w:pPr>
          <w:r>
            <w:rPr>
              <w:rFonts w:hint="eastAsia"/>
            </w:rPr>
            <w:fldChar w:fldCharType="begin"/>
          </w:r>
          <w:r>
            <w:rPr>
              <w:rFonts w:hint="eastAsia"/>
            </w:rPr>
            <w:instrText xml:space="preserve"> HYPERLINK \l _Toc17647 </w:instrText>
          </w:r>
          <w:r>
            <w:rPr>
              <w:rFonts w:hint="eastAsia"/>
            </w:rPr>
            <w:fldChar w:fldCharType="separate"/>
          </w:r>
          <w:r>
            <w:rPr>
              <w:rFonts w:hint="eastAsia"/>
            </w:rPr>
            <w:t>Main Findings</w:t>
          </w:r>
          <w:r>
            <w:tab/>
          </w:r>
          <w:r>
            <w:fldChar w:fldCharType="begin"/>
          </w:r>
          <w:r>
            <w:instrText xml:space="preserve"> PAGEREF _Toc17647 \h </w:instrText>
          </w:r>
          <w:r>
            <w:fldChar w:fldCharType="separate"/>
          </w:r>
          <w:r>
            <w:t>1</w:t>
          </w:r>
          <w:r>
            <w:fldChar w:fldCharType="end"/>
          </w:r>
          <w:r>
            <w:rPr>
              <w:rFonts w:hint="eastAsia"/>
            </w:rPr>
            <w:fldChar w:fldCharType="end"/>
          </w:r>
        </w:p>
        <w:p>
          <w:pPr>
            <w:pStyle w:val="6"/>
            <w:tabs>
              <w:tab w:val="right" w:leader="dot" w:pos="8306"/>
            </w:tabs>
          </w:pPr>
          <w:r>
            <w:rPr>
              <w:rFonts w:hint="eastAsia"/>
            </w:rPr>
            <w:fldChar w:fldCharType="begin"/>
          </w:r>
          <w:r>
            <w:rPr>
              <w:rFonts w:hint="eastAsia"/>
            </w:rPr>
            <w:instrText xml:space="preserve"> HYPERLINK \l _Toc31184 </w:instrText>
          </w:r>
          <w:r>
            <w:rPr>
              <w:rFonts w:hint="eastAsia"/>
            </w:rPr>
            <w:fldChar w:fldCharType="separate"/>
          </w:r>
          <w:r>
            <w:rPr>
              <w:rFonts w:hint="eastAsia"/>
            </w:rPr>
            <w:t>Task 1 – Portal Fabrication PLC</w:t>
          </w:r>
          <w:r>
            <w:tab/>
          </w:r>
          <w:r>
            <w:fldChar w:fldCharType="begin"/>
          </w:r>
          <w:r>
            <w:instrText xml:space="preserve"> PAGEREF _Toc31184 \h </w:instrText>
          </w:r>
          <w:r>
            <w:fldChar w:fldCharType="separate"/>
          </w:r>
          <w:r>
            <w:t>2</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_Toc10930 </w:instrText>
          </w:r>
          <w:r>
            <w:rPr>
              <w:rFonts w:hint="eastAsia"/>
            </w:rPr>
            <w:fldChar w:fldCharType="separate"/>
          </w:r>
          <w:r>
            <w:rPr>
              <w:rFonts w:hint="eastAsia"/>
              <w:lang w:val="en-US" w:eastAsia="zh-CN"/>
            </w:rPr>
            <w:t>(a) Department Performance Evaluation</w:t>
          </w:r>
          <w:r>
            <w:tab/>
          </w:r>
          <w:r>
            <w:fldChar w:fldCharType="begin"/>
          </w:r>
          <w:r>
            <w:instrText xml:space="preserve"> PAGEREF _Toc10930 \h </w:instrText>
          </w:r>
          <w:r>
            <w:fldChar w:fldCharType="separate"/>
          </w:r>
          <w:r>
            <w:t>2</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_Toc2030 </w:instrText>
          </w:r>
          <w:r>
            <w:rPr>
              <w:rFonts w:hint="eastAsia"/>
            </w:rPr>
            <w:fldChar w:fldCharType="separate"/>
          </w:r>
          <w:r>
            <w:rPr>
              <w:rFonts w:hint="eastAsia"/>
              <w:lang w:val="en-US" w:eastAsia="zh-CN"/>
            </w:rPr>
            <w:t>(b) Transfer Pricing System Standards and Evaluation</w:t>
          </w:r>
          <w:r>
            <w:tab/>
          </w:r>
          <w:r>
            <w:fldChar w:fldCharType="begin"/>
          </w:r>
          <w:r>
            <w:instrText xml:space="preserve"> PAGEREF _Toc2030 \h </w:instrText>
          </w:r>
          <w:r>
            <w:fldChar w:fldCharType="separate"/>
          </w:r>
          <w:r>
            <w:t>3</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_Toc17734 </w:instrText>
          </w:r>
          <w:r>
            <w:rPr>
              <w:rFonts w:hint="eastAsia"/>
            </w:rPr>
            <w:fldChar w:fldCharType="separate"/>
          </w:r>
          <w:r>
            <w:rPr>
              <w:rFonts w:hint="eastAsia"/>
              <w:lang w:val="en-US" w:eastAsia="zh-CN"/>
            </w:rPr>
            <w:t>(c) The Impact of New Information Systems on Performance Management</w:t>
          </w:r>
          <w:r>
            <w:tab/>
          </w:r>
          <w:r>
            <w:fldChar w:fldCharType="begin"/>
          </w:r>
          <w:r>
            <w:instrText xml:space="preserve"> PAGEREF _Toc17734 \h </w:instrText>
          </w:r>
          <w:r>
            <w:fldChar w:fldCharType="separate"/>
          </w:r>
          <w:r>
            <w:t>5</w:t>
          </w:r>
          <w:r>
            <w:fldChar w:fldCharType="end"/>
          </w:r>
          <w:r>
            <w:rPr>
              <w:rFonts w:hint="eastAsia"/>
            </w:rPr>
            <w:fldChar w:fldCharType="end"/>
          </w:r>
        </w:p>
        <w:p>
          <w:pPr>
            <w:pStyle w:val="6"/>
            <w:tabs>
              <w:tab w:val="right" w:leader="dot" w:pos="8306"/>
            </w:tabs>
          </w:pPr>
          <w:r>
            <w:rPr>
              <w:rFonts w:hint="eastAsia"/>
            </w:rPr>
            <w:fldChar w:fldCharType="begin"/>
          </w:r>
          <w:r>
            <w:rPr>
              <w:rFonts w:hint="eastAsia"/>
            </w:rPr>
            <w:instrText xml:space="preserve"> HYPERLINK \l _Toc24587 </w:instrText>
          </w:r>
          <w:r>
            <w:rPr>
              <w:rFonts w:hint="eastAsia"/>
            </w:rPr>
            <w:fldChar w:fldCharType="separate"/>
          </w:r>
          <w:r>
            <w:rPr>
              <w:rFonts w:hint="default"/>
              <w:lang w:val="en-US" w:eastAsia="zh-CN"/>
            </w:rPr>
            <w:t>Task 2 – Troy Brands</w:t>
          </w:r>
          <w:r>
            <w:tab/>
          </w:r>
          <w:r>
            <w:fldChar w:fldCharType="begin"/>
          </w:r>
          <w:r>
            <w:instrText xml:space="preserve"> PAGEREF _Toc24587 \h </w:instrText>
          </w:r>
          <w:r>
            <w:fldChar w:fldCharType="separate"/>
          </w:r>
          <w:r>
            <w:t>5</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_Toc24965 </w:instrText>
          </w:r>
          <w:r>
            <w:rPr>
              <w:rFonts w:hint="eastAsia"/>
            </w:rPr>
            <w:fldChar w:fldCharType="separate"/>
          </w:r>
          <w:r>
            <w:rPr>
              <w:rFonts w:hint="eastAsia"/>
              <w:lang w:val="en-US" w:eastAsia="zh-CN"/>
            </w:rPr>
            <w:t>(a) Crisis faced by Troyland brand and company</w:t>
          </w:r>
          <w:r>
            <w:tab/>
          </w:r>
          <w:r>
            <w:fldChar w:fldCharType="begin"/>
          </w:r>
          <w:r>
            <w:instrText xml:space="preserve"> PAGEREF _Toc24965 \h </w:instrText>
          </w:r>
          <w:r>
            <w:fldChar w:fldCharType="separate"/>
          </w:r>
          <w:r>
            <w:t>5</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_Toc18731 </w:instrText>
          </w:r>
          <w:r>
            <w:rPr>
              <w:rFonts w:hint="eastAsia"/>
            </w:rPr>
            <w:fldChar w:fldCharType="separate"/>
          </w:r>
          <w:r>
            <w:rPr>
              <w:rFonts w:hint="eastAsia"/>
              <w:lang w:val="en-US" w:eastAsia="zh-CN"/>
            </w:rPr>
            <w:t>(b) Performance Analysis of Troyland Company Based on Balanced Scorecard</w:t>
          </w:r>
          <w:r>
            <w:tab/>
          </w:r>
          <w:r>
            <w:fldChar w:fldCharType="begin"/>
          </w:r>
          <w:r>
            <w:instrText xml:space="preserve"> PAGEREF _Toc18731 \h </w:instrText>
          </w:r>
          <w:r>
            <w:fldChar w:fldCharType="separate"/>
          </w:r>
          <w:r>
            <w:t>6</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_Toc27055 </w:instrText>
          </w:r>
          <w:r>
            <w:rPr>
              <w:rFonts w:hint="eastAsia"/>
            </w:rPr>
            <w:fldChar w:fldCharType="separate"/>
          </w:r>
          <w:r>
            <w:rPr>
              <w:rFonts w:hint="eastAsia"/>
              <w:lang w:val="en-US" w:eastAsia="zh-CN"/>
            </w:rPr>
            <w:t>(c) The necessity of business process reengineering</w:t>
          </w:r>
          <w:r>
            <w:tab/>
          </w:r>
          <w:r>
            <w:fldChar w:fldCharType="begin"/>
          </w:r>
          <w:r>
            <w:instrText xml:space="preserve"> PAGEREF _Toc27055 \h </w:instrText>
          </w:r>
          <w:r>
            <w:fldChar w:fldCharType="separate"/>
          </w:r>
          <w:r>
            <w:t>10</w:t>
          </w:r>
          <w:r>
            <w:fldChar w:fldCharType="end"/>
          </w:r>
          <w:r>
            <w:rPr>
              <w:rFonts w:hint="eastAsia"/>
            </w:rPr>
            <w:fldChar w:fldCharType="end"/>
          </w:r>
        </w:p>
        <w:p>
          <w:pPr>
            <w:pStyle w:val="6"/>
            <w:tabs>
              <w:tab w:val="right" w:leader="dot" w:pos="8306"/>
            </w:tabs>
          </w:pPr>
          <w:r>
            <w:rPr>
              <w:rFonts w:hint="eastAsia"/>
            </w:rPr>
            <w:fldChar w:fldCharType="begin"/>
          </w:r>
          <w:r>
            <w:rPr>
              <w:rFonts w:hint="eastAsia"/>
            </w:rPr>
            <w:instrText xml:space="preserve"> HYPERLINK \l _Toc28335 </w:instrText>
          </w:r>
          <w:r>
            <w:rPr>
              <w:rFonts w:hint="eastAsia"/>
            </w:rPr>
            <w:fldChar w:fldCharType="separate"/>
          </w:r>
          <w:r>
            <w:rPr>
              <w:rFonts w:hint="eastAsia"/>
              <w:lang w:val="en-US" w:eastAsia="zh-CN"/>
            </w:rPr>
            <w:t>Conclusion</w:t>
          </w:r>
          <w:r>
            <w:tab/>
          </w:r>
          <w:r>
            <w:fldChar w:fldCharType="begin"/>
          </w:r>
          <w:r>
            <w:instrText xml:space="preserve"> PAGEREF _Toc28335 \h </w:instrText>
          </w:r>
          <w:r>
            <w:fldChar w:fldCharType="separate"/>
          </w:r>
          <w:r>
            <w:t>11</w:t>
          </w:r>
          <w:r>
            <w:fldChar w:fldCharType="end"/>
          </w:r>
          <w:r>
            <w:rPr>
              <w:rFonts w:hint="eastAsia"/>
            </w:rPr>
            <w:fldChar w:fldCharType="end"/>
          </w:r>
        </w:p>
        <w:p>
          <w:pPr>
            <w:pStyle w:val="6"/>
            <w:tabs>
              <w:tab w:val="right" w:leader="dot" w:pos="8306"/>
            </w:tabs>
          </w:pPr>
          <w:r>
            <w:rPr>
              <w:rFonts w:hint="eastAsia"/>
            </w:rPr>
            <w:fldChar w:fldCharType="begin"/>
          </w:r>
          <w:r>
            <w:rPr>
              <w:rFonts w:hint="eastAsia"/>
            </w:rPr>
            <w:instrText xml:space="preserve"> HYPERLINK \l _Toc9530 </w:instrText>
          </w:r>
          <w:r>
            <w:rPr>
              <w:rFonts w:hint="eastAsia"/>
            </w:rPr>
            <w:fldChar w:fldCharType="separate"/>
          </w:r>
          <w:r>
            <w:rPr>
              <w:rFonts w:hint="eastAsia"/>
              <w:lang w:val="en-US" w:eastAsia="zh-CN"/>
            </w:rPr>
            <w:t>Bibliography</w:t>
          </w:r>
          <w:r>
            <w:tab/>
          </w:r>
          <w:r>
            <w:fldChar w:fldCharType="begin"/>
          </w:r>
          <w:r>
            <w:instrText xml:space="preserve"> PAGEREF _Toc9530 \h </w:instrText>
          </w:r>
          <w:r>
            <w:fldChar w:fldCharType="separate"/>
          </w:r>
          <w:r>
            <w:t>13</w:t>
          </w:r>
          <w:r>
            <w:fldChar w:fldCharType="end"/>
          </w:r>
          <w:r>
            <w:rPr>
              <w:rFonts w:hint="eastAsia"/>
            </w:rPr>
            <w:fldChar w:fldCharType="end"/>
          </w:r>
        </w:p>
        <w:p>
          <w:pPr>
            <w:pStyle w:val="6"/>
            <w:tabs>
              <w:tab w:val="right" w:leader="dot" w:pos="8306"/>
            </w:tabs>
          </w:pPr>
          <w:r>
            <w:rPr>
              <w:rFonts w:hint="eastAsia"/>
            </w:rPr>
            <w:fldChar w:fldCharType="begin"/>
          </w:r>
          <w:r>
            <w:rPr>
              <w:rFonts w:hint="eastAsia"/>
            </w:rPr>
            <w:instrText xml:space="preserve"> HYPERLINK \l _Toc1386 </w:instrText>
          </w:r>
          <w:r>
            <w:rPr>
              <w:rFonts w:hint="eastAsia"/>
            </w:rPr>
            <w:fldChar w:fldCharType="separate"/>
          </w:r>
          <w:r>
            <w:rPr>
              <w:rFonts w:hint="default"/>
              <w:lang w:val="en-US" w:eastAsia="zh-CN"/>
            </w:rPr>
            <w:t>Appendix</w:t>
          </w:r>
          <w:r>
            <w:tab/>
          </w:r>
          <w:r>
            <w:fldChar w:fldCharType="begin"/>
          </w:r>
          <w:r>
            <w:instrText xml:space="preserve"> PAGEREF _Toc1386 \h </w:instrText>
          </w:r>
          <w:r>
            <w:fldChar w:fldCharType="separate"/>
          </w:r>
          <w:r>
            <w:t>16</w:t>
          </w:r>
          <w:r>
            <w:fldChar w:fldCharType="end"/>
          </w:r>
          <w:r>
            <w:rPr>
              <w:rFonts w:hint="eastAsia"/>
            </w:rPr>
            <w:fldChar w:fldCharType="end"/>
          </w:r>
        </w:p>
        <w:p>
          <w:pPr>
            <w:ind w:firstLine="480" w:firstLineChars="200"/>
            <w:rPr>
              <w:rFonts w:hint="eastAsia"/>
            </w:rPr>
            <w:sectPr>
              <w:pgSz w:w="11906" w:h="16838"/>
              <w:pgMar w:top="1440" w:right="1800" w:bottom="1440" w:left="1800" w:header="851" w:footer="992" w:gutter="0"/>
              <w:cols w:space="425" w:num="1"/>
              <w:docGrid w:type="lines" w:linePitch="312" w:charSpace="0"/>
            </w:sectPr>
          </w:pPr>
          <w:r>
            <w:rPr>
              <w:rFonts w:hint="eastAsia"/>
            </w:rPr>
            <w:fldChar w:fldCharType="end"/>
          </w:r>
        </w:p>
      </w:sdtContent>
    </w:sdt>
    <w:p>
      <w:pPr>
        <w:pStyle w:val="2"/>
        <w:bidi w:val="0"/>
        <w:rPr>
          <w:rFonts w:hint="eastAsia"/>
        </w:rPr>
      </w:pPr>
      <w:bookmarkStart w:id="0" w:name="_Toc7719"/>
      <w:r>
        <w:rPr>
          <w:rFonts w:hint="eastAsia"/>
        </w:rPr>
        <w:t>Introduction</w:t>
      </w:r>
      <w:bookmarkEnd w:id="0"/>
      <w:r>
        <w:rPr>
          <w:rFonts w:hint="eastAsia"/>
        </w:rPr>
        <w:t xml:space="preserve"> </w:t>
      </w:r>
    </w:p>
    <w:p>
      <w:pPr>
        <w:rPr>
          <w:rFonts w:hint="eastAsia"/>
        </w:rPr>
      </w:pPr>
      <w:r>
        <w:rPr>
          <w:rFonts w:hint="eastAsia"/>
        </w:rPr>
        <w:t>Performance management is a means of hierarchical supervision and evaluation of specific behaviors, including work goals, progress, and results. It can test the achievement of goals and is equipped with a series of reward and punishment methods to promote employees to achieve work goals (Wu Minghao, 2022). An effective performance management system can not only solve the problems that arise in enterprise operation, but also fully stimulate the potential of employees and enhance the core competitiveness of the enterprise (He Liqi, 2022). How to effectively evaluate the performance of enterprises, determine key performance indicators, and develop corresponding management measures is an important issue that every business operator must pay attention to. This report explores some key issues in enterprise performance management from two practical cases.</w:t>
      </w:r>
    </w:p>
    <w:p>
      <w:pPr>
        <w:rPr>
          <w:rFonts w:hint="eastAsia"/>
        </w:rPr>
      </w:pPr>
    </w:p>
    <w:p>
      <w:pPr>
        <w:rPr>
          <w:rFonts w:hint="eastAsia"/>
        </w:rPr>
      </w:pPr>
      <w:r>
        <w:rPr>
          <w:rFonts w:hint="eastAsia"/>
        </w:rPr>
        <w:t>Firstly, in the case of Portal Fabric PLC, the article analyzes the importance and methods of departmental performance evaluation, including indicators such as ROI, RI, and EVA. At the same time, it points out that these indicators cannot fully reflect enterprise performance, and enterprises should also consider more comprehensive factors when evaluating performance. Secondly, this report analyzes the crisis faced by Troyland and uses the framework of the Balanced Scorecard to measure the company's performance from four dimensions: finance, customers, internal processes, and learning and growth. Finally, the article points out the necessity of business process reengineering to promote enterprises to maintain competitive advantages in the market and achieve business development goals.</w:t>
      </w:r>
    </w:p>
    <w:p>
      <w:pPr>
        <w:rPr>
          <w:rFonts w:hint="eastAsia"/>
        </w:rPr>
      </w:pPr>
    </w:p>
    <w:p>
      <w:pPr>
        <w:rPr>
          <w:rFonts w:hint="eastAsia"/>
        </w:rPr>
      </w:pPr>
      <w:r>
        <w:rPr>
          <w:rFonts w:hint="eastAsia"/>
        </w:rPr>
        <w:t>The purpose of this report is to explore some key issues in enterprise performance management, and through practical case analysis, to help business operators better understand and apply performance management methods and tools. The article will provide some useful thinking and suggestions to help business operators better formulate and implement performance management measures, and improve the performance and competitiveness of enterprises.</w:t>
      </w:r>
    </w:p>
    <w:p>
      <w:pPr>
        <w:rPr>
          <w:rFonts w:hint="eastAsia"/>
        </w:rPr>
      </w:pPr>
    </w:p>
    <w:p>
      <w:pPr>
        <w:pStyle w:val="2"/>
        <w:bidi w:val="0"/>
        <w:rPr>
          <w:rFonts w:hint="eastAsia"/>
        </w:rPr>
      </w:pPr>
      <w:bookmarkStart w:id="1" w:name="_Toc17647"/>
      <w:r>
        <w:rPr>
          <w:rFonts w:hint="eastAsia"/>
        </w:rPr>
        <w:t>Main Findings</w:t>
      </w:r>
      <w:bookmarkEnd w:id="1"/>
    </w:p>
    <w:p>
      <w:pPr>
        <w:rPr>
          <w:rFonts w:hint="eastAsia"/>
        </w:rPr>
      </w:pPr>
      <w:r>
        <w:rPr>
          <w:rFonts w:hint="eastAsia"/>
        </w:rPr>
        <w:t>Performance is defined in management as the synthesis of performance and effectiveness, which refers to the combination of performance at multiple levels within an organization in the process of achieving overall goals. It refers to the expected goals of the organization (John Mendy, 2021). Performance management is the process of measuring and optimizing performance, while also stimulating individual potential and promoting organizational development. Performance management is of great significance and crucial for enterprises to achieve strategic goals (Viet and Kravets, 2022). It can be seen as a process in which managers and employees jointly participate in management to achieve organizational goals. Performance management is a periodic performance evaluation that analyzes and summarizes the management achievements of a group company during a specific period (Ren Meng, 2022). The main object of performance management is the organizational performance of the enterprise, which is a cyclical process that involves the joint participation of managers and employees in achieving organizational goals. This includes performance plan formulation, performance coaching and communication, performance evaluation, application of performance results, and improvement of performance goals. This needs to be reflected through continuous improvement of individual and organizational performance (Makamu and Mello, 2017).</w:t>
      </w:r>
    </w:p>
    <w:p>
      <w:pPr>
        <w:rPr>
          <w:rFonts w:hint="eastAsia"/>
        </w:rPr>
      </w:pPr>
    </w:p>
    <w:p>
      <w:pPr>
        <w:pStyle w:val="2"/>
        <w:bidi w:val="0"/>
        <w:rPr>
          <w:rFonts w:hint="eastAsia"/>
        </w:rPr>
      </w:pPr>
      <w:bookmarkStart w:id="2" w:name="_Toc31184"/>
      <w:r>
        <w:rPr>
          <w:rFonts w:hint="eastAsia"/>
        </w:rPr>
        <w:t>Task 1 – Portal Fabrication PLC</w:t>
      </w:r>
      <w:bookmarkEnd w:id="2"/>
    </w:p>
    <w:p>
      <w:pPr>
        <w:pStyle w:val="3"/>
        <w:numPr>
          <w:ilvl w:val="0"/>
          <w:numId w:val="1"/>
        </w:numPr>
        <w:bidi w:val="0"/>
        <w:rPr>
          <w:rFonts w:hint="eastAsia"/>
          <w:lang w:val="en-US" w:eastAsia="zh-CN"/>
        </w:rPr>
      </w:pPr>
      <w:bookmarkStart w:id="3" w:name="_Toc10930"/>
      <w:r>
        <w:rPr>
          <w:rFonts w:hint="eastAsia"/>
          <w:lang w:val="en-US" w:eastAsia="zh-CN"/>
        </w:rPr>
        <w:t>Department Performance Evaluation</w:t>
      </w:r>
      <w:bookmarkEnd w:id="3"/>
    </w:p>
    <w:p>
      <w:pPr>
        <w:numPr>
          <w:numId w:val="0"/>
        </w:numPr>
        <w:rPr>
          <w:rFonts w:hint="eastAsia"/>
          <w:lang w:val="en-US" w:eastAsia="zh-CN"/>
        </w:rPr>
      </w:pPr>
    </w:p>
    <w:p>
      <w:pPr>
        <w:bidi w:val="0"/>
        <w:rPr>
          <w:rFonts w:hint="eastAsia"/>
          <w:lang w:val="en-US" w:eastAsia="zh-CN"/>
        </w:rPr>
      </w:pPr>
      <w:r>
        <w:rPr>
          <w:rFonts w:hint="eastAsia"/>
          <w:lang w:val="en-US" w:eastAsia="zh-CN"/>
        </w:rPr>
        <w:t>ROI is the ratio of income to invested capital, reflecting the effectiveness of a company's investment. ROI, as an efficiency indicator, reflects the profitability of capital and eliminates incomparable factors such as differences in net income due to different investment amounts, which is beneficial for judging the operating performance of various enterprises (Liu Songbo and Wang Haibo, 2004). At the same time, ROI can serve as a basis for selecting investment opportunities, which is beneficial for managers to adjust capital flow and stock, and become a reference for resource allocation.</w:t>
      </w:r>
    </w:p>
    <w:p>
      <w:pPr>
        <w:bidi w:val="0"/>
        <w:rPr>
          <w:rFonts w:hint="eastAsia" w:cstheme="minorBidi"/>
          <w:kern w:val="2"/>
          <w:sz w:val="21"/>
          <w:szCs w:val="24"/>
          <w:lang w:val="en-US" w:eastAsia="zh-CN" w:bidi="ar-SA"/>
        </w:rPr>
      </w:pPr>
    </w:p>
    <w:p>
      <w:pPr>
        <w:bidi w:val="0"/>
        <w:rPr>
          <w:rFonts w:hint="eastAsia"/>
          <w:lang w:val="en-US" w:eastAsia="zh-CN"/>
        </w:rPr>
      </w:pPr>
      <w:r>
        <w:rPr>
          <w:rFonts w:hint="eastAsia"/>
          <w:lang w:val="en-US" w:eastAsia="zh-CN"/>
        </w:rPr>
        <w:t>The pre tax profit of the M/S department is £ m301 and Capital employed is £ m1294, so the ROI of the M/S department is 301/1294=23.26%. The pre tax profit of the service department is £ m5.0 and Capital employed is £ m38.0, so the ROI of the service department is 5/38=13.15%. The above calculation results indicate that the M/S department has created more profits for capital investment, therefore, under the same capital investment, the performance of the M/S department is better than that of the service department.</w:t>
      </w:r>
    </w:p>
    <w:p>
      <w:pPr>
        <w:bidi w:val="0"/>
        <w:rPr>
          <w:rFonts w:hint="eastAsia"/>
          <w:lang w:val="en-US" w:eastAsia="zh-CN"/>
        </w:rPr>
      </w:pPr>
    </w:p>
    <w:p>
      <w:pPr>
        <w:bidi w:val="0"/>
        <w:rPr>
          <w:rFonts w:hint="eastAsia"/>
          <w:lang w:val="en-US" w:eastAsia="zh-CN"/>
        </w:rPr>
      </w:pPr>
      <w:r>
        <w:rPr>
          <w:rFonts w:hint="eastAsia"/>
          <w:lang w:val="en-US" w:eastAsia="zh-CN"/>
        </w:rPr>
        <w:t>RI refers to the profit obtained from an enterprise's investment, minus the investment income calculated at the expected minimum rate of return. RI overcomes the problem of using ROI to pursue high returns and reduce investment, which leads to inconsistencies between the goals of individual investment centers and the overall goals of the enterprise, and guides operators to adopt decisions higher than the cost of capital. Different departments and industries have different risks and capital costs. RI allows enterprises to adjust their capital costs according to the degree of risk. Enterprises with higher risks have higher capital costs, and even if they achieve the same profits as other enterprises with lower risks, RI is relatively low.</w:t>
      </w:r>
    </w:p>
    <w:p>
      <w:pPr>
        <w:bidi w:val="0"/>
        <w:rPr>
          <w:rFonts w:hint="eastAsia"/>
          <w:lang w:val="en-US" w:eastAsia="zh-CN"/>
        </w:rPr>
      </w:pPr>
    </w:p>
    <w:p>
      <w:pPr>
        <w:bidi w:val="0"/>
        <w:rPr>
          <w:rFonts w:hint="eastAsia"/>
          <w:lang w:val="en-US" w:eastAsia="zh-CN"/>
        </w:rPr>
      </w:pPr>
      <w:r>
        <w:rPr>
          <w:rFonts w:hint="eastAsia"/>
          <w:lang w:val="en-US" w:eastAsia="zh-CN"/>
        </w:rPr>
        <w:t>The pre tax profit of the M/S department is £ m301, Capital employed is £ m1294, and the capital cost ratio is 9%, so the RI of the M/S department is 301- (1,294 x 9%)=£ m184.54. Similarly, the RI of the service department is 5- (38 x 9%)=£ m1.58.</w:t>
      </w:r>
    </w:p>
    <w:p>
      <w:pPr>
        <w:bidi w:val="0"/>
        <w:rPr>
          <w:rFonts w:hint="eastAsia"/>
          <w:lang w:val="en-US" w:eastAsia="zh-CN"/>
        </w:rPr>
      </w:pPr>
      <w:r>
        <w:rPr>
          <w:rFonts w:hint="eastAsia"/>
          <w:lang w:val="en-US" w:eastAsia="zh-CN"/>
        </w:rPr>
        <w:t>The above calculation results show that the RI of the M/S department is higher than that of the service department, indicating that after deducting the expected minimum return on investment, the M/S department has generated more profits.</w:t>
      </w:r>
    </w:p>
    <w:p>
      <w:pPr>
        <w:bidi w:val="0"/>
        <w:rPr>
          <w:rFonts w:hint="eastAsia"/>
          <w:lang w:val="en-US" w:eastAsia="zh-CN"/>
        </w:rPr>
      </w:pPr>
    </w:p>
    <w:p>
      <w:pPr>
        <w:bidi w:val="0"/>
        <w:rPr>
          <w:rFonts w:hint="eastAsia"/>
          <w:lang w:val="en-US" w:eastAsia="zh-CN"/>
        </w:rPr>
      </w:pPr>
      <w:r>
        <w:rPr>
          <w:rFonts w:hint="eastAsia"/>
          <w:lang w:val="en-US" w:eastAsia="zh-CN"/>
        </w:rPr>
        <w:t>EVA=NOPAT - (Notional cost of capital used * Capital employed), where NOPAT refers to the amount after deducting income tax from the company's operating profits. The biggest characteristic of EVA indicators is to redefine a company's profits from the perspective of shareholders, considering the cost of investing all capital in the company, and measuring the true profits created by the company.</w:t>
      </w:r>
    </w:p>
    <w:p>
      <w:pPr>
        <w:bidi w:val="0"/>
        <w:rPr>
          <w:rFonts w:hint="eastAsia"/>
          <w:lang w:val="en-US" w:eastAsia="zh-CN"/>
        </w:rPr>
      </w:pPr>
    </w:p>
    <w:p>
      <w:pPr>
        <w:bidi w:val="0"/>
        <w:rPr>
          <w:rFonts w:hint="eastAsia"/>
          <w:lang w:val="en-US" w:eastAsia="zh-CN"/>
        </w:rPr>
      </w:pPr>
      <w:r>
        <w:rPr>
          <w:rFonts w:hint="eastAsia"/>
          <w:lang w:val="en-US" w:eastAsia="zh-CN"/>
        </w:rPr>
        <w:t>NOPAT for M/S department=£ m301 Profit before tax * 70%=£ m210.7, NOPAT for service department=£ m5.0 Profit before tax * 70%=3.5. The Capital employee of the M/S department is £ m1294, the Capital employee of the M/S department is £ m38.0, and the Notional cost of capital used is 9%. Based on the above data, we can calculate the EVA of the M/S department as £ m210.7- (£ m1,294 * 9%)=£ m94.24. Similarly, the EVA of the service department is £ m3.5- (£ m38 * 9%)=£ m0.08. The EVA of the M/S department is higher than that of the service department, indicating that the M/S department creates higher value for shareholders.</w:t>
      </w:r>
    </w:p>
    <w:p>
      <w:pPr>
        <w:bidi w:val="0"/>
        <w:rPr>
          <w:rFonts w:hint="eastAsia"/>
          <w:lang w:val="en-US" w:eastAsia="zh-CN"/>
        </w:rPr>
      </w:pPr>
    </w:p>
    <w:p>
      <w:pPr>
        <w:bidi w:val="0"/>
        <w:rPr>
          <w:rFonts w:hint="eastAsia"/>
          <w:lang w:val="en-US" w:eastAsia="zh-CN"/>
        </w:rPr>
      </w:pPr>
      <w:r>
        <w:rPr>
          <w:rFonts w:hint="eastAsia"/>
          <w:lang w:val="en-US" w:eastAsia="zh-CN"/>
        </w:rPr>
        <w:t>In terms of the proposed measurement standards for departmental performance, all three provide different insights into the performance of the two departments. ROI reflects the efficiency of using invested capital, while RI and EVA focus on the value created after deducting the cost of investment capital. However, the proposed measures did not take into account other potentially important non-financial factors, such as customer satisfaction, market share, employee satisfaction and retention, and team spirit (Tang Chunyan, 2022). Therefore, when evaluating departmental performance, companies should also consider more comprehensive factors.</w:t>
      </w:r>
    </w:p>
    <w:p>
      <w:pPr>
        <w:bidi w:val="0"/>
        <w:rPr>
          <w:rFonts w:hint="eastAsia"/>
          <w:lang w:val="en-US" w:eastAsia="zh-CN"/>
        </w:rPr>
      </w:pPr>
    </w:p>
    <w:p>
      <w:pPr>
        <w:pStyle w:val="3"/>
        <w:numPr>
          <w:ilvl w:val="0"/>
          <w:numId w:val="1"/>
        </w:numPr>
        <w:bidi w:val="0"/>
        <w:ind w:left="0" w:leftChars="0" w:firstLine="0" w:firstLineChars="0"/>
        <w:rPr>
          <w:rFonts w:hint="eastAsia"/>
          <w:lang w:val="en-US" w:eastAsia="zh-CN"/>
        </w:rPr>
      </w:pPr>
      <w:bookmarkStart w:id="4" w:name="_Toc2030"/>
      <w:r>
        <w:rPr>
          <w:rFonts w:hint="eastAsia"/>
          <w:lang w:val="en-US" w:eastAsia="zh-CN"/>
        </w:rPr>
        <w:t>Transfer Pricing System Standards and Evaluation</w:t>
      </w:r>
      <w:bookmarkEnd w:id="4"/>
    </w:p>
    <w:p>
      <w:pPr>
        <w:bidi w:val="0"/>
        <w:rPr>
          <w:rFonts w:hint="eastAsia" w:cstheme="minorBidi"/>
          <w:kern w:val="2"/>
          <w:sz w:val="21"/>
          <w:szCs w:val="24"/>
          <w:lang w:val="en-US" w:eastAsia="zh-CN" w:bidi="ar-SA"/>
        </w:rPr>
      </w:pPr>
    </w:p>
    <w:p>
      <w:pPr>
        <w:bidi w:val="0"/>
        <w:rPr>
          <w:rFonts w:hint="eastAsia"/>
          <w:lang w:val="en-US" w:eastAsia="zh-CN"/>
        </w:rPr>
      </w:pPr>
      <w:r>
        <w:rPr>
          <w:rFonts w:hint="eastAsia"/>
          <w:lang w:val="en-US" w:eastAsia="zh-CN"/>
        </w:rPr>
        <w:t>Transfer pricing is the price set by various departments within a company for internal transactions of products or services (Ha Thanh LE, Nam Tien PHAN, 2022). It is generated to solve the problem of internal resource allocation and departmental performance evaluation within the enterprise, and is an important resource allocation and incentive mechanism within the enterprise. The formulation of transfer prices is also a decision-making behavior of companies based on a certain decision-making mechanism, taking into account their own environment and corporate development goals, to determine internal prices for purchasing and selling products and providing services between departments (Kato and Okoshi, 2022).</w:t>
      </w:r>
    </w:p>
    <w:p>
      <w:pPr>
        <w:bidi w:val="0"/>
        <w:rPr>
          <w:rFonts w:hint="eastAsia"/>
          <w:lang w:val="en-US" w:eastAsia="zh-CN"/>
        </w:rPr>
      </w:pPr>
    </w:p>
    <w:p>
      <w:pPr>
        <w:bidi w:val="0"/>
        <w:rPr>
          <w:rFonts w:hint="eastAsia"/>
          <w:lang w:val="en-US" w:eastAsia="zh-CN"/>
        </w:rPr>
      </w:pPr>
      <w:r>
        <w:rPr>
          <w:rFonts w:hint="eastAsia"/>
          <w:lang w:val="en-US" w:eastAsia="zh-CN"/>
        </w:rPr>
        <w:t>Portal should consider the following principles when designing transfer pricing. Firstly, the principle of consistent goals. Transfer pricing is a lever that regulates the economic interests of various departments within a company (Ni Jinping, 2019), which affects the decisions of each responsibility center in the production and operation process of the company (Jay, 2020). When designing transfer pricing, considering a consistent goal can enable each department to actively coordinate and choose their own inputs and outputs, so that the entire Portal company can obtain the maximum economic benefits or profits. Secondly, the principle of motivation. Incentive is a driving force for various departments. When designing transfer pricing, Portal Company should consider the incentive effect that exists for all departments, and the degree of incentive should be the same (Liang Bin, 2021). Otherwise, conflicts among various departments within Portal Company will increase, ultimately making it difficult to achieve consistent goals. Thirdly, the principle of participating in internal and external market cycles. Establishing an internal market while also involving various departments in the external market cycle can encourage each department to strengthen production, operation, and management, achieving the goal of maximizing economic benefits for the enterprise (Herenti and Marundha, 2019). Therefore, Portal Company needs to provide guarantees for various departments to participate in the internal and external market economic cycle when designing transfer pricing, creating conditions for enterprises to determine whether their products or services are for domestic or export based on transfer pricing.</w:t>
      </w:r>
    </w:p>
    <w:p>
      <w:pPr>
        <w:bidi w:val="0"/>
        <w:rPr>
          <w:rFonts w:hint="eastAsia"/>
          <w:lang w:val="en-US" w:eastAsia="zh-CN"/>
        </w:rPr>
      </w:pPr>
    </w:p>
    <w:p>
      <w:pPr>
        <w:bidi w:val="0"/>
        <w:rPr>
          <w:rFonts w:hint="eastAsia"/>
          <w:lang w:val="en-US" w:eastAsia="zh-CN"/>
        </w:rPr>
      </w:pPr>
      <w:r>
        <w:rPr>
          <w:rFonts w:hint="eastAsia"/>
          <w:lang w:val="en-US" w:eastAsia="zh-CN"/>
        </w:rPr>
        <w:t>The market price method is to implement the price as a method for enterprises to transfer the price when the market price can be obtained and the market price is relatively stable. The transfer price based on the market price is objective and does not favor the buyer and the seller. It can correctly evaluate the operating performance of each responsibility center and better play its initiative and enthusiasm. In this case, the maintenance service fee in the external market is £ 200. In the past three years, 8% of Portal's 550,000 sales volume needs warranty service, so the market price method is used to calculate the transfer price=0.08 * 550,000 * £ 200=£ 8,800,000.</w:t>
      </w:r>
    </w:p>
    <w:p>
      <w:pPr>
        <w:bidi w:val="0"/>
        <w:rPr>
          <w:rFonts w:hint="eastAsia"/>
          <w:lang w:val="en-US" w:eastAsia="zh-CN"/>
        </w:rPr>
      </w:pPr>
    </w:p>
    <w:p>
      <w:pPr>
        <w:bidi w:val="0"/>
        <w:rPr>
          <w:rFonts w:hint="eastAsia"/>
          <w:lang w:val="en-US" w:eastAsia="zh-CN"/>
        </w:rPr>
      </w:pPr>
      <w:r>
        <w:rPr>
          <w:rFonts w:hint="eastAsia"/>
          <w:lang w:val="en-US" w:eastAsia="zh-CN"/>
        </w:rPr>
        <w:t>The cost plus method is a method of setting transfer prices based on the relevant costs of a product. In this case, Labor cost: 4 hours * £ 18=£ 72, Variable over head: 4 hours * £ 12=£ 48, Fixed over head: 4 hours * £ 25=£ 100, Parts cost from M/S division: £ 85, Total cost per repair=£ 72+£ 48+£ 100+£ 85=£ 305, so the cost plus method is used to calculate the transfer price=0.08 * 550,000 * £ 305=£ 13,420,000.</w:t>
      </w:r>
    </w:p>
    <w:p>
      <w:pPr>
        <w:bidi w:val="0"/>
        <w:rPr>
          <w:rFonts w:hint="eastAsia"/>
          <w:lang w:val="en-US" w:eastAsia="zh-CN"/>
        </w:rPr>
      </w:pPr>
    </w:p>
    <w:p>
      <w:pPr>
        <w:bidi w:val="0"/>
        <w:rPr>
          <w:rFonts w:hint="eastAsia"/>
          <w:lang w:val="en-US" w:eastAsia="zh-CN"/>
        </w:rPr>
      </w:pPr>
      <w:r>
        <w:rPr>
          <w:rFonts w:hint="eastAsia"/>
          <w:lang w:val="en-US" w:eastAsia="zh-CN"/>
        </w:rPr>
        <w:t>The market price method is easy to implement and makes the transfer price consistent with the external market conditions. However, the market price method cannot reflect the company's internal cost structure and expected profits. The cost plus method considers the company's internal costs and expected profits, but cannot fully consider the external market. Through calculation, we find that the transfer price of the cost plus method is higher than the transfer price calculated by the market price method, and the market price method is also closer to the external market price, so the market price method may be more appropriate. Overall, Portal should fully consider the principles of consistency of departmental goals, incentives, and participation in internal and external markets when selecting transfer pricing methods.</w:t>
      </w:r>
    </w:p>
    <w:p>
      <w:pPr>
        <w:pStyle w:val="3"/>
        <w:numPr>
          <w:ilvl w:val="0"/>
          <w:numId w:val="1"/>
        </w:numPr>
        <w:bidi w:val="0"/>
        <w:ind w:left="0" w:leftChars="0" w:firstLine="0" w:firstLineChars="0"/>
        <w:rPr>
          <w:rFonts w:hint="eastAsia"/>
          <w:lang w:val="en-US" w:eastAsia="zh-CN"/>
        </w:rPr>
      </w:pPr>
      <w:r>
        <w:rPr>
          <w:rFonts w:hint="eastAsia"/>
          <w:lang w:val="en-US" w:eastAsia="zh-CN"/>
        </w:rPr>
        <w:t xml:space="preserve"> </w:t>
      </w:r>
      <w:bookmarkStart w:id="5" w:name="_Toc17734"/>
      <w:r>
        <w:rPr>
          <w:rFonts w:hint="eastAsia"/>
          <w:lang w:val="en-US" w:eastAsia="zh-CN"/>
        </w:rPr>
        <w:t>The Impact of New Information Systems on Performance Management</w:t>
      </w:r>
      <w:bookmarkEnd w:id="5"/>
    </w:p>
    <w:p>
      <w:pPr>
        <w:bidi w:val="0"/>
        <w:rPr>
          <w:rFonts w:hint="eastAsia" w:cstheme="minorBidi"/>
          <w:kern w:val="2"/>
          <w:sz w:val="21"/>
          <w:szCs w:val="24"/>
          <w:lang w:val="en-US" w:eastAsia="zh-CN" w:bidi="ar-SA"/>
        </w:rPr>
      </w:pPr>
    </w:p>
    <w:p>
      <w:pPr>
        <w:bidi w:val="0"/>
        <w:rPr>
          <w:rFonts w:hint="eastAsia"/>
          <w:lang w:val="en-US" w:eastAsia="zh-CN"/>
        </w:rPr>
      </w:pPr>
      <w:r>
        <w:rPr>
          <w:rFonts w:hint="eastAsia"/>
          <w:lang w:val="en-US" w:eastAsia="zh-CN"/>
        </w:rPr>
        <w:t>Portal Company has referenced a new information system based on a comprehensive single database that can be accessed across five company sites, which facilitates Portal Company's performance management. Firstly, referencing a new execution information system can improve the consistency and accuracy of all enterprise data. Portal Company reduces the hassle of collecting data from various sites by integrating the information system into an integrated database, while also ensuring the accuracy of the data, making Portal more effective in implementing performance management. Secondly, the new information system can achieve real-time data access, and the upgraded company network will allow for real-time input and updates to the database, enabling managers to make more effective and timely decisions based on the latest information. Thirdly, enhance collaboration among various departments of the enterprise. Through this information system, various departments of Portal Company can more easily share information on projects, thereby promoting collaboration among various departments and improving the efficiency of the entire enterprise. Fourthly, better evaluate the performance of each department. A centralized database will provide a comprehensive view of the performance of each department, making it easier to use various performance indicators to evaluate and compare the performance of each department.</w:t>
      </w:r>
    </w:p>
    <w:p>
      <w:pPr>
        <w:bidi w:val="0"/>
        <w:rPr>
          <w:rFonts w:hint="eastAsia"/>
          <w:lang w:val="en-US" w:eastAsia="zh-CN"/>
        </w:rPr>
      </w:pPr>
    </w:p>
    <w:p>
      <w:pPr>
        <w:bidi w:val="0"/>
        <w:rPr>
          <w:rFonts w:hint="eastAsia"/>
          <w:lang w:val="en-US" w:eastAsia="zh-CN"/>
        </w:rPr>
      </w:pPr>
      <w:r>
        <w:rPr>
          <w:rFonts w:hint="eastAsia"/>
          <w:lang w:val="en-US" w:eastAsia="zh-CN"/>
        </w:rPr>
        <w:t>Although incorporating new information systems is beneficial for performance management, it also presents some challenges for Portal Company. Firstly, citing new information systems requires high costs, and Portal needs to comprehensively consider the investment return of the project. Secondly, Portal employees may resist adopting the new information system because they are already accustomed to the existing information system. At the same time, after introducing the new information system, the Portal also needs to provide training to employees to ensure that they can use the system correctly. Thirdly, using a single database increases risks related to data security and privacy, and if any system failure occurs, it will affect the data of the entire enterprise.</w:t>
      </w:r>
    </w:p>
    <w:p>
      <w:pPr>
        <w:bidi w:val="0"/>
        <w:rPr>
          <w:rFonts w:hint="eastAsia"/>
          <w:lang w:val="en-US" w:eastAsia="zh-CN"/>
        </w:rPr>
      </w:pPr>
    </w:p>
    <w:p>
      <w:pPr>
        <w:bidi w:val="0"/>
        <w:rPr>
          <w:rFonts w:hint="eastAsia"/>
          <w:lang w:val="en-US" w:eastAsia="zh-CN"/>
        </w:rPr>
      </w:pPr>
      <w:r>
        <w:rPr>
          <w:rFonts w:hint="eastAsia"/>
          <w:lang w:val="en-US" w:eastAsia="zh-CN"/>
        </w:rPr>
        <w:t>Overall, the introduction of a new information system by Portal Company has certain benefits for performance management, but at the same time, Portal also needs to consider the challenges posed by this decision and make the right decision by weighing the pros and cons.</w:t>
      </w:r>
    </w:p>
    <w:p>
      <w:pPr>
        <w:bidi w:val="0"/>
        <w:rPr>
          <w:rFonts w:hint="default" w:cstheme="minorBidi"/>
          <w:kern w:val="2"/>
          <w:sz w:val="21"/>
          <w:szCs w:val="24"/>
          <w:lang w:val="en-US" w:eastAsia="zh-CN" w:bidi="ar-SA"/>
        </w:rPr>
      </w:pPr>
    </w:p>
    <w:p>
      <w:pPr>
        <w:pStyle w:val="2"/>
        <w:bidi w:val="0"/>
        <w:rPr>
          <w:rFonts w:hint="default"/>
          <w:lang w:val="en-US" w:eastAsia="zh-CN"/>
        </w:rPr>
      </w:pPr>
      <w:bookmarkStart w:id="6" w:name="_Toc24587"/>
      <w:r>
        <w:rPr>
          <w:rFonts w:hint="default"/>
          <w:lang w:val="en-US" w:eastAsia="zh-CN"/>
        </w:rPr>
        <w:t>Task 2 – Troy Brands</w:t>
      </w:r>
      <w:bookmarkEnd w:id="6"/>
    </w:p>
    <w:p>
      <w:pPr>
        <w:pStyle w:val="3"/>
        <w:numPr>
          <w:ilvl w:val="0"/>
          <w:numId w:val="2"/>
        </w:numPr>
        <w:bidi w:val="0"/>
        <w:rPr>
          <w:rFonts w:hint="eastAsia"/>
          <w:lang w:val="en-US" w:eastAsia="zh-CN"/>
        </w:rPr>
      </w:pPr>
      <w:bookmarkStart w:id="7" w:name="_Toc24965"/>
      <w:r>
        <w:rPr>
          <w:rFonts w:hint="eastAsia"/>
          <w:lang w:val="en-US" w:eastAsia="zh-CN"/>
        </w:rPr>
        <w:t>Crisis faced by Troyland brand and company</w:t>
      </w:r>
      <w:bookmarkEnd w:id="7"/>
    </w:p>
    <w:p>
      <w:pPr>
        <w:bidi w:val="0"/>
        <w:rPr>
          <w:rFonts w:hint="eastAsia"/>
          <w:lang w:val="en-US" w:eastAsia="zh-CN"/>
        </w:rPr>
      </w:pPr>
    </w:p>
    <w:p>
      <w:pPr>
        <w:bidi w:val="0"/>
        <w:rPr>
          <w:rFonts w:hint="eastAsia"/>
          <w:lang w:val="en-US" w:eastAsia="zh-CN"/>
        </w:rPr>
      </w:pPr>
      <w:r>
        <w:rPr>
          <w:rFonts w:hint="eastAsia"/>
          <w:lang w:val="en-US" w:eastAsia="zh-CN"/>
        </w:rPr>
        <w:t>Due to external and internal factors, Troyland is facing a series of crises. Firstly, the increase in raw material costs leads to a decrease in product gross profit. Due to the EU's ban on purchasing raw materials from the Central Asian Republic of Uzbekistan, Troyland had to change its raw material suppliers, thereby reducing the company's gross profit. Secondly, the operating revenue has decreased. According to the data from 2018 to 2021, the turnover of Troyland shows a downward trend, and the predicted sales in 2021 is even only £ 600000. This is because the number of orders of Troyland has dropped significantly due to the reduction of demand in the European market, the depreciation of the pound exchange rate and the impact of the COVID-19. Thirdly, the market share has decreased. According to the data in Appendix 2, Troyland's footwear sales share in the London market is 2.00%, but this indicator is predicted to be 0.25% in 2021. This indicates that Troyland's market share in the London market is decreasing, and if Troyland does not increase its product competitiveness in a timely manner, it will face a crisis of being eliminated from the market. Fourthly, the risk of cash flow increases. From the financial data of Troyland from 2018 to 2021, current assets and working capital are decreasing, and the predicted working capital in 2021 is only £ 45000, which indicates that the amount of cash and cash equivalents available to Troyland is not high, and it is facing the challenge of increasing cash flow risk. These challenges have led to the growth crisis faced by Troyland Footwear Co., Ltd. Troyland must adopt reasonable strategies to address these issues.</w:t>
      </w:r>
    </w:p>
    <w:p>
      <w:pPr>
        <w:bidi w:val="0"/>
        <w:rPr>
          <w:rFonts w:hint="eastAsia"/>
          <w:lang w:val="en-US" w:eastAsia="zh-CN"/>
        </w:rPr>
      </w:pPr>
    </w:p>
    <w:p>
      <w:pPr>
        <w:pStyle w:val="3"/>
        <w:numPr>
          <w:ilvl w:val="0"/>
          <w:numId w:val="2"/>
        </w:numPr>
        <w:bidi w:val="0"/>
        <w:ind w:left="0" w:leftChars="0" w:firstLine="0" w:firstLineChars="0"/>
        <w:rPr>
          <w:rFonts w:hint="eastAsia"/>
          <w:lang w:val="en-US" w:eastAsia="zh-CN"/>
        </w:rPr>
      </w:pPr>
      <w:bookmarkStart w:id="8" w:name="_Toc18731"/>
      <w:r>
        <w:rPr>
          <w:rFonts w:hint="eastAsia"/>
          <w:lang w:val="en-US" w:eastAsia="zh-CN"/>
        </w:rPr>
        <w:t>Performance Analysis of Troyland Company Based on Balanced Scorecard</w:t>
      </w:r>
      <w:bookmarkEnd w:id="8"/>
    </w:p>
    <w:p>
      <w:pPr>
        <w:bidi w:val="0"/>
        <w:rPr>
          <w:rFonts w:hint="eastAsia"/>
          <w:lang w:val="en-US" w:eastAsia="zh-CN"/>
        </w:rPr>
      </w:pPr>
    </w:p>
    <w:p>
      <w:pPr>
        <w:bidi w:val="0"/>
        <w:rPr>
          <w:rFonts w:hint="eastAsia"/>
          <w:lang w:val="en-US" w:eastAsia="zh-CN"/>
        </w:rPr>
      </w:pPr>
      <w:r>
        <w:rPr>
          <w:rFonts w:hint="eastAsia"/>
          <w:lang w:val="en-US" w:eastAsia="zh-CN"/>
        </w:rPr>
        <w:t>The Balanced Scorecard is a performance evaluation framework for enterprises (Fan Yanqin, 2021), which measures the performance of enterprises from four dimensions: finance, customers, internal processes, and learning and growth.</w:t>
      </w:r>
    </w:p>
    <w:p>
      <w:pPr>
        <w:bidi w:val="0"/>
        <w:rPr>
          <w:rFonts w:hint="eastAsia"/>
          <w:lang w:val="en-US" w:eastAsia="zh-CN"/>
        </w:rPr>
      </w:pPr>
    </w:p>
    <w:p>
      <w:pPr>
        <w:bidi w:val="0"/>
        <w:rPr>
          <w:rFonts w:hint="eastAsia"/>
          <w:b/>
          <w:bCs/>
          <w:lang w:val="en-US" w:eastAsia="zh-CN"/>
        </w:rPr>
      </w:pPr>
      <w:r>
        <w:rPr>
          <w:rFonts w:hint="eastAsia"/>
          <w:b/>
          <w:bCs/>
          <w:lang w:val="en-US" w:eastAsia="zh-CN"/>
        </w:rPr>
        <w:t>(1) Financial dimension</w:t>
      </w:r>
    </w:p>
    <w:p>
      <w:pPr>
        <w:bidi w:val="0"/>
        <w:rPr>
          <w:rFonts w:hint="eastAsia"/>
          <w:lang w:val="en-US" w:eastAsia="zh-CN"/>
        </w:rPr>
      </w:pPr>
    </w:p>
    <w:p>
      <w:pPr>
        <w:bidi w:val="0"/>
        <w:rPr>
          <w:rFonts w:hint="eastAsia"/>
          <w:lang w:val="en-US" w:eastAsia="zh-CN"/>
        </w:rPr>
      </w:pPr>
      <w:r>
        <w:rPr>
          <w:rFonts w:hint="eastAsia"/>
          <w:lang w:val="en-US" w:eastAsia="zh-CN"/>
        </w:rPr>
        <w:t>The financial dimension is the most important content in the balanced scorecard, which estimates the profit and development of a company by assessing specific financial data. It mainly describes the business performance of a company during a certain period of time in the past, and uses specific numbers to determine whether the company has achieved its strategic goals within that period (Duan Shedi, 2019). Although the lag of financial indicators may be questioned, they still have aspects that cannot be replaced by other dimensional indicators, and the other three dimensions revolve around financial dimensions. The ultimate business results of a company are reflected by the correct implementation and execution of its strategy, which is reflected by the evaluation indicators of the financial dimension. This report selects financial indicators such as net profit, return on assets, gross profit margin, net profit growth rate, operating revenue growth rate and asset liability ratio to evaluate the performance of Troyland from the financial dimension.</w:t>
      </w:r>
    </w:p>
    <w:p>
      <w:pPr>
        <w:bidi w:val="0"/>
        <w:rPr>
          <w:rFonts w:hint="eastAsia"/>
          <w:lang w:val="en-US" w:eastAsia="zh-CN"/>
        </w:rPr>
      </w:pPr>
    </w:p>
    <w:p>
      <w:pPr>
        <w:bidi w:val="0"/>
        <w:rPr>
          <w:rFonts w:hint="eastAsia"/>
          <w:lang w:val="en-US" w:eastAsia="zh-CN"/>
        </w:rPr>
      </w:pPr>
      <w:r>
        <w:rPr>
          <w:rFonts w:hint="eastAsia"/>
          <w:lang w:val="en-US" w:eastAsia="zh-CN"/>
        </w:rPr>
        <w:t>Net profit. The net profit of Troyland Company in 2018 is £ 243000, £ 301000 in 2019, £ 86000 in 2020, and £ 160000 in 2021. Troyland's net profit increased between 2018 and 2019, but rapidly declined and even suffered losses between 2019 and 2021, indicating that the company's operating conditions were poor and faced the problem of weakened profitability.</w:t>
      </w:r>
    </w:p>
    <w:p>
      <w:pPr>
        <w:bidi w:val="0"/>
        <w:rPr>
          <w:rFonts w:hint="eastAsia"/>
          <w:lang w:val="en-US" w:eastAsia="zh-CN"/>
        </w:rPr>
      </w:pPr>
    </w:p>
    <w:p>
      <w:pPr>
        <w:bidi w:val="0"/>
        <w:rPr>
          <w:rFonts w:hint="eastAsia"/>
          <w:lang w:val="en-US" w:eastAsia="zh-CN"/>
        </w:rPr>
      </w:pPr>
      <w:r>
        <w:rPr>
          <w:rFonts w:hint="eastAsia"/>
          <w:lang w:val="en-US" w:eastAsia="zh-CN"/>
        </w:rPr>
        <w:t>Net return on assets. ROE is one of the important indicators for measuring a company's profitability. It represents the relationship between corporate profits and shareholder equity. The higher the ROE, the more effective the company can utilize the capital invested by shareholders to achieve profitability. Troyland's ROE experienced fluctuations between 2018 and 2021. Specifically, ROE was 28.7% in 2018, slightly increasing to 30.9% in 2019, but significantly decreasing to 8.8% in 2020. In 2021, ROE is expected to significantly decrease to -19.4%. This indicates that Troyland's profitability and efficiency in utilizing shareholder equity have decreased, mainly due to the annual decline in net profit.</w:t>
      </w:r>
    </w:p>
    <w:p>
      <w:pPr>
        <w:bidi w:val="0"/>
        <w:rPr>
          <w:rFonts w:hint="eastAsia"/>
          <w:lang w:val="en-US" w:eastAsia="zh-CN"/>
        </w:rPr>
      </w:pPr>
    </w:p>
    <w:p>
      <w:pPr>
        <w:bidi w:val="0"/>
        <w:rPr>
          <w:rFonts w:hint="eastAsia"/>
          <w:lang w:val="en-US" w:eastAsia="zh-CN"/>
        </w:rPr>
      </w:pPr>
      <w:r>
        <w:rPr>
          <w:rFonts w:hint="eastAsia"/>
          <w:lang w:val="en-US" w:eastAsia="zh-CN"/>
        </w:rPr>
        <w:t>Gross profit margin. The gross profit margin reflects the company's profitability in producing and selling products, and the higher the gross profit margin, the higher the profit that the company can obtain when selling products. The gross profit margin of Troyland Company was 50.0% in 2018, 46.9% in 2019, 41.2% in 2020, and 53.3% in 2021. It can be seen that its gross profit margin fluctuates significantly, but it has increased in 2021, indicating that the company has certain advantages in cost control.</w:t>
      </w:r>
    </w:p>
    <w:p>
      <w:pPr>
        <w:bidi w:val="0"/>
        <w:rPr>
          <w:rFonts w:hint="eastAsia"/>
          <w:lang w:val="en-US" w:eastAsia="zh-CN"/>
        </w:rPr>
      </w:pPr>
    </w:p>
    <w:p>
      <w:pPr>
        <w:bidi w:val="0"/>
        <w:rPr>
          <w:rFonts w:hint="eastAsia"/>
          <w:lang w:val="en-US" w:eastAsia="zh-CN"/>
        </w:rPr>
      </w:pPr>
      <w:r>
        <w:rPr>
          <w:rFonts w:hint="eastAsia"/>
          <w:lang w:val="en-US" w:eastAsia="zh-CN"/>
        </w:rPr>
        <w:t>Net profit growth rate and operating revenue growth rate. The growth rate of net profit and the growth rate of operating revenue both represent the growth ability of a company, with the former representing the growth ability of the company's profitability and the latter representing the growth ability of the company's market share. The net profit growth rates of Troyland Company from 2019 to 2021 were 24.0%, -71.3%, and -286.0%, respectively, indicating that Troyland Company's profitability growth ability is becoming increasingly poor. Similarly, Troyland's revenue growth rate has also decreased year by year, reaching 25.0%, -16.9%, and -58.7%, respectively. The company's market share growth ability is poor, and the company is facing severe challenges in terms of growth ability.</w:t>
      </w:r>
    </w:p>
    <w:p>
      <w:pPr>
        <w:bidi w:val="0"/>
        <w:rPr>
          <w:rFonts w:hint="eastAsia"/>
          <w:lang w:val="en-US" w:eastAsia="zh-CN"/>
        </w:rPr>
      </w:pPr>
    </w:p>
    <w:p>
      <w:pPr>
        <w:bidi w:val="0"/>
        <w:rPr>
          <w:rFonts w:hint="eastAsia"/>
          <w:lang w:val="en-US" w:eastAsia="zh-CN"/>
        </w:rPr>
      </w:pPr>
      <w:r>
        <w:rPr>
          <w:rFonts w:hint="eastAsia"/>
          <w:lang w:val="en-US" w:eastAsia="zh-CN"/>
        </w:rPr>
        <w:t>Current ratio. The current ratio is one of the important indicators to measure a company's debt paying ability, reflecting the ability of the company's current assets to pay its current liabilities. The higher the current ratio, the better the ability of the enterprise to repay short-term debts, and the lower the financial risk of the enterprise. According to the calculation results, Troyland's current ratio was relatively stable and increasing year by year from 2018 to 2020, rising from 1.79 to 2.19. This indicates that the company has sufficient current assets to pay for its short-term debts during this period and has a high debt paying ability. However, in 2021, the current ratio of Troyland is predicted to be only 1.19, indicating a significant weakening of the company's debt paying ability and an increase in financial risk in the short term. Therefore, Troyland needs to closely monitor the fluctuations in its current ratio to ensure that it has sufficient current assets to cope with short-term debt, and also consider how to optimize the efficiency of fund utilization to improve the company's long-term performance.</w:t>
      </w:r>
    </w:p>
    <w:p>
      <w:pPr>
        <w:bidi w:val="0"/>
        <w:rPr>
          <w:rFonts w:hint="eastAsia"/>
          <w:lang w:val="en-US" w:eastAsia="zh-CN"/>
        </w:rPr>
      </w:pPr>
    </w:p>
    <w:p>
      <w:pPr>
        <w:numPr>
          <w:ilvl w:val="0"/>
          <w:numId w:val="0"/>
        </w:numPr>
        <w:bidi w:val="0"/>
        <w:rPr>
          <w:rFonts w:hint="eastAsia" w:cstheme="minorBidi"/>
          <w:b/>
          <w:bCs/>
          <w:kern w:val="2"/>
          <w:szCs w:val="24"/>
          <w:lang w:val="en-US" w:eastAsia="zh-CN" w:bidi="ar-SA"/>
        </w:rPr>
      </w:pPr>
      <w:r>
        <w:rPr>
          <w:rFonts w:hint="eastAsia" w:cstheme="minorBidi"/>
          <w:b/>
          <w:bCs/>
          <w:kern w:val="2"/>
          <w:szCs w:val="24"/>
          <w:lang w:val="en-US" w:eastAsia="zh-CN" w:bidi="ar-SA"/>
        </w:rPr>
        <w:t>(2) Customer dimension</w:t>
      </w:r>
    </w:p>
    <w:p>
      <w:pPr>
        <w:numPr>
          <w:ilvl w:val="0"/>
          <w:numId w:val="0"/>
        </w:numPr>
        <w:bidi w:val="0"/>
        <w:rPr>
          <w:rFonts w:hint="eastAsia" w:cstheme="minorBidi"/>
          <w:kern w:val="2"/>
          <w:szCs w:val="24"/>
          <w:lang w:val="en-US" w:eastAsia="zh-CN" w:bidi="ar-SA"/>
        </w:rPr>
      </w:pPr>
    </w:p>
    <w:p>
      <w:pPr>
        <w:numPr>
          <w:ilvl w:val="0"/>
          <w:numId w:val="0"/>
        </w:numPr>
        <w:bidi w:val="0"/>
        <w:rPr>
          <w:rFonts w:hint="eastAsia" w:cstheme="minorBidi"/>
          <w:kern w:val="2"/>
          <w:szCs w:val="24"/>
          <w:lang w:val="en-US" w:eastAsia="zh-CN" w:bidi="ar-SA"/>
        </w:rPr>
      </w:pPr>
      <w:r>
        <w:rPr>
          <w:rFonts w:hint="eastAsia" w:cstheme="minorBidi"/>
          <w:kern w:val="2"/>
          <w:szCs w:val="24"/>
          <w:lang w:val="en-US" w:eastAsia="zh-CN" w:bidi="ar-SA"/>
        </w:rPr>
        <w:t>Customers are a crucial resource for every enterprise and the fundamental driving force for its survival and development. The balanced scorecard requires companies to constantly monitor whether they meet the needs of customers during their operations (He Mengting, 2020). Customers' choice of products is based on performance, time, cost, quality, and service. Enterprises understand the ultimate needs of most customers in the market through the assessment of customer dimension indicators, and specify detailed strategic plans for target customers, which is conducive to promoting the development of reasonable market strategies, gradually improving customer loyalty and satisfaction, expanding market share, and achieving good financial results. This report selects three non-financial indicators: customer satisfaction, number of new customers, and the ratio of customer sales to website click through rate to evaluate Troyland's performance from the customer dimension.</w:t>
      </w:r>
    </w:p>
    <w:p>
      <w:pPr>
        <w:numPr>
          <w:ilvl w:val="0"/>
          <w:numId w:val="0"/>
        </w:numPr>
        <w:bidi w:val="0"/>
        <w:ind w:leftChars="0" w:firstLine="480" w:firstLineChars="200"/>
        <w:rPr>
          <w:rFonts w:hint="eastAsia" w:cstheme="minorBidi"/>
          <w:kern w:val="2"/>
          <w:szCs w:val="24"/>
          <w:lang w:val="en-US" w:eastAsia="zh-CN" w:bidi="ar-SA"/>
        </w:rPr>
      </w:pPr>
    </w:p>
    <w:p>
      <w:pPr>
        <w:numPr>
          <w:ilvl w:val="0"/>
          <w:numId w:val="0"/>
        </w:numPr>
        <w:bidi w:val="0"/>
        <w:rPr>
          <w:rFonts w:hint="eastAsia" w:cstheme="minorBidi"/>
          <w:kern w:val="2"/>
          <w:szCs w:val="24"/>
          <w:lang w:val="en-US" w:eastAsia="zh-CN" w:bidi="ar-SA"/>
        </w:rPr>
      </w:pPr>
      <w:r>
        <w:rPr>
          <w:rFonts w:hint="eastAsia" w:cstheme="minorBidi"/>
          <w:kern w:val="2"/>
          <w:szCs w:val="24"/>
          <w:lang w:val="en-US" w:eastAsia="zh-CN" w:bidi="ar-SA"/>
        </w:rPr>
        <w:t>Customer satisfaction. Customer satisfaction refers to the satisfaction and feelings of customers towards products, reflecting their loyalty. Enterprises can understand customers' needs and opinions on products through surveys of customer satisfaction, and make timely improvements and optimizations to enhance customer loyalty. According to data, Troyland's customer satisfaction has increased year by year from 69% in 2018 to 82% in 2020, indicating that the company has received increasing recognition and recognition from customers in providing high-quality products and services. At the same time, it also indicates that the company's investment in customer service has been rewarded.</w:t>
      </w:r>
    </w:p>
    <w:p>
      <w:pPr>
        <w:numPr>
          <w:ilvl w:val="0"/>
          <w:numId w:val="0"/>
        </w:numPr>
        <w:bidi w:val="0"/>
        <w:ind w:leftChars="0" w:firstLine="480" w:firstLineChars="200"/>
        <w:rPr>
          <w:rFonts w:hint="eastAsia" w:cstheme="minorBidi"/>
          <w:kern w:val="2"/>
          <w:szCs w:val="24"/>
          <w:lang w:val="en-US" w:eastAsia="zh-CN" w:bidi="ar-SA"/>
        </w:rPr>
      </w:pPr>
    </w:p>
    <w:p>
      <w:pPr>
        <w:numPr>
          <w:ilvl w:val="0"/>
          <w:numId w:val="0"/>
        </w:numPr>
        <w:bidi w:val="0"/>
        <w:rPr>
          <w:rFonts w:hint="eastAsia" w:cstheme="minorBidi"/>
          <w:kern w:val="2"/>
          <w:szCs w:val="24"/>
          <w:lang w:val="en-US" w:eastAsia="zh-CN" w:bidi="ar-SA"/>
        </w:rPr>
      </w:pPr>
      <w:r>
        <w:rPr>
          <w:rFonts w:hint="eastAsia" w:cstheme="minorBidi"/>
          <w:kern w:val="2"/>
          <w:szCs w:val="24"/>
          <w:lang w:val="en-US" w:eastAsia="zh-CN" w:bidi="ar-SA"/>
        </w:rPr>
        <w:t>Number of new customers. The number of new customers reflects the company's ability to expand the market and increase market share. By continuously expanding the market, improving product quality, and promoting widely, enterprises can attract more new customers and bring more sales opportunities to the enterprise. According to the data in Appendix 4, Troyland's number of new customers has increased year by year from 11 in 2018 to 18 in 2020, indicating that the company has achieved certain results in exploring the market and promoting products, and also indicating that the company has good market prospects in the future.</w:t>
      </w:r>
    </w:p>
    <w:p>
      <w:pPr>
        <w:numPr>
          <w:ilvl w:val="0"/>
          <w:numId w:val="0"/>
        </w:numPr>
        <w:bidi w:val="0"/>
        <w:ind w:leftChars="0" w:firstLine="480" w:firstLineChars="200"/>
        <w:rPr>
          <w:rFonts w:hint="eastAsia" w:cstheme="minorBidi"/>
          <w:kern w:val="2"/>
          <w:szCs w:val="24"/>
          <w:lang w:val="en-US" w:eastAsia="zh-CN" w:bidi="ar-SA"/>
        </w:rPr>
      </w:pPr>
    </w:p>
    <w:p>
      <w:pPr>
        <w:numPr>
          <w:ilvl w:val="0"/>
          <w:numId w:val="0"/>
        </w:numPr>
        <w:bidi w:val="0"/>
        <w:rPr>
          <w:rFonts w:hint="eastAsia" w:cstheme="minorBidi"/>
          <w:kern w:val="2"/>
          <w:szCs w:val="24"/>
          <w:lang w:val="en-US" w:eastAsia="zh-CN" w:bidi="ar-SA"/>
        </w:rPr>
      </w:pPr>
      <w:r>
        <w:rPr>
          <w:rFonts w:hint="eastAsia" w:cstheme="minorBidi"/>
          <w:kern w:val="2"/>
          <w:szCs w:val="24"/>
          <w:lang w:val="en-US" w:eastAsia="zh-CN" w:bidi="ar-SA"/>
        </w:rPr>
        <w:t>The ratio of customer sales to website click through rate. The ratio of customer sales to website click through rate is an important indicator that reflects the conversion rate of a company's website. The higher the indicator, the better the evaluation the company's products receive online. The ratio of Troyland's customer sales to website click through rate has increased year by year from 10% in 2018 to 18% in 2020, indicating that the company has performed well in online marketing, with more and more online customers recognizing Troyland's products.</w:t>
      </w:r>
    </w:p>
    <w:p>
      <w:pPr>
        <w:numPr>
          <w:ilvl w:val="0"/>
          <w:numId w:val="0"/>
        </w:numPr>
        <w:bidi w:val="0"/>
        <w:ind w:leftChars="0" w:firstLine="480" w:firstLineChars="200"/>
        <w:rPr>
          <w:rFonts w:hint="eastAsia" w:cstheme="minorBidi"/>
          <w:kern w:val="2"/>
          <w:szCs w:val="24"/>
          <w:lang w:val="en-US" w:eastAsia="zh-CN" w:bidi="ar-SA"/>
        </w:rPr>
      </w:pPr>
    </w:p>
    <w:p>
      <w:pPr>
        <w:numPr>
          <w:ilvl w:val="0"/>
          <w:numId w:val="3"/>
        </w:numPr>
        <w:bidi w:val="0"/>
        <w:rPr>
          <w:rFonts w:hint="eastAsia" w:cstheme="minorBidi"/>
          <w:b/>
          <w:bCs/>
          <w:kern w:val="2"/>
          <w:szCs w:val="24"/>
          <w:lang w:val="en-US" w:eastAsia="zh-CN" w:bidi="ar-SA"/>
        </w:rPr>
      </w:pPr>
      <w:r>
        <w:rPr>
          <w:rFonts w:hint="eastAsia" w:cstheme="minorBidi"/>
          <w:b/>
          <w:bCs/>
          <w:kern w:val="2"/>
          <w:szCs w:val="24"/>
          <w:lang w:val="en-US" w:eastAsia="zh-CN" w:bidi="ar-SA"/>
        </w:rPr>
        <w:t>Internal process dimensions</w:t>
      </w:r>
    </w:p>
    <w:p>
      <w:pPr>
        <w:numPr>
          <w:numId w:val="0"/>
        </w:numPr>
        <w:bidi w:val="0"/>
        <w:rPr>
          <w:rFonts w:hint="eastAsia" w:cstheme="minorBidi"/>
          <w:b/>
          <w:bCs/>
          <w:kern w:val="2"/>
          <w:szCs w:val="24"/>
          <w:lang w:val="en-US" w:eastAsia="zh-CN" w:bidi="ar-SA"/>
        </w:rPr>
      </w:pPr>
    </w:p>
    <w:p>
      <w:pPr>
        <w:numPr>
          <w:ilvl w:val="0"/>
          <w:numId w:val="0"/>
        </w:numPr>
        <w:bidi w:val="0"/>
        <w:rPr>
          <w:rFonts w:hint="eastAsia" w:cstheme="minorBidi"/>
          <w:kern w:val="2"/>
          <w:szCs w:val="24"/>
          <w:lang w:val="en-US" w:eastAsia="zh-CN" w:bidi="ar-SA"/>
        </w:rPr>
      </w:pPr>
      <w:r>
        <w:rPr>
          <w:rFonts w:hint="eastAsia" w:cstheme="minorBidi"/>
          <w:kern w:val="2"/>
          <w:szCs w:val="24"/>
          <w:lang w:val="en-US" w:eastAsia="zh-CN" w:bidi="ar-SA"/>
        </w:rPr>
        <w:t>The internal process dimension mainly addresses how to make the various business processes of the enterprise more standardized and smooth, in order to provide higher quality products and services. The internal process dimension includes both short-term improvement of existing business and long-term innovation of products and services (Yuan Baohe, 2018). This report evaluates Troyland's performance from the internal process dimension based on three non-financial indicators: error rate of completed work, average work completion time, and employee retention rate.</w:t>
      </w:r>
    </w:p>
    <w:p>
      <w:pPr>
        <w:numPr>
          <w:ilvl w:val="0"/>
          <w:numId w:val="0"/>
        </w:numPr>
        <w:bidi w:val="0"/>
        <w:ind w:leftChars="0" w:firstLine="480" w:firstLineChars="200"/>
        <w:rPr>
          <w:rFonts w:hint="eastAsia" w:cstheme="minorBidi"/>
          <w:kern w:val="2"/>
          <w:szCs w:val="24"/>
          <w:lang w:val="en-US" w:eastAsia="zh-CN" w:bidi="ar-SA"/>
        </w:rPr>
      </w:pPr>
    </w:p>
    <w:p>
      <w:pPr>
        <w:numPr>
          <w:ilvl w:val="0"/>
          <w:numId w:val="0"/>
        </w:numPr>
        <w:bidi w:val="0"/>
        <w:rPr>
          <w:rFonts w:hint="eastAsia" w:cstheme="minorBidi"/>
          <w:kern w:val="2"/>
          <w:szCs w:val="24"/>
          <w:lang w:val="en-US" w:eastAsia="zh-CN" w:bidi="ar-SA"/>
        </w:rPr>
      </w:pPr>
      <w:r>
        <w:rPr>
          <w:rFonts w:hint="eastAsia" w:cstheme="minorBidi"/>
          <w:kern w:val="2"/>
          <w:szCs w:val="24"/>
          <w:lang w:val="en-US" w:eastAsia="zh-CN" w:bidi="ar-SA"/>
        </w:rPr>
        <w:t>The error rate of completed work. The error rate of completed work is an important indicator to measure the product quality and production process management level of an enterprise. Troyland has reduced the error rate of completed work by training its employees and strengthening process management. In the past few years, this indicator has dropped from 17% to 6% year by year. The decline in the error rate of completed work shows that Troyland can produce higher quality products, and its production process management level has also been improved.</w:t>
      </w:r>
    </w:p>
    <w:p>
      <w:pPr>
        <w:numPr>
          <w:ilvl w:val="0"/>
          <w:numId w:val="0"/>
        </w:numPr>
        <w:bidi w:val="0"/>
        <w:ind w:leftChars="0" w:firstLine="480" w:firstLineChars="200"/>
        <w:rPr>
          <w:rFonts w:hint="eastAsia" w:cstheme="minorBidi"/>
          <w:kern w:val="2"/>
          <w:szCs w:val="24"/>
          <w:lang w:val="en-US" w:eastAsia="zh-CN" w:bidi="ar-SA"/>
        </w:rPr>
      </w:pPr>
    </w:p>
    <w:p>
      <w:pPr>
        <w:numPr>
          <w:ilvl w:val="0"/>
          <w:numId w:val="0"/>
        </w:numPr>
        <w:bidi w:val="0"/>
        <w:rPr>
          <w:rFonts w:hint="eastAsia" w:cstheme="minorBidi"/>
          <w:kern w:val="2"/>
          <w:szCs w:val="24"/>
          <w:lang w:val="en-US" w:eastAsia="zh-CN" w:bidi="ar-SA"/>
        </w:rPr>
      </w:pPr>
      <w:r>
        <w:rPr>
          <w:rFonts w:hint="eastAsia" w:cstheme="minorBidi"/>
          <w:kern w:val="2"/>
          <w:szCs w:val="24"/>
          <w:lang w:val="en-US" w:eastAsia="zh-CN" w:bidi="ar-SA"/>
        </w:rPr>
        <w:t>Average work completion time. The average work completion time is an important indicator that reflects the efficiency of internal processes in an enterprise. The shorter the average work completion time, the higher the efficiency of internal processes in the enterprise. According to data, Troyland's average work completion time from 2018 to 2020 was 15 days, 11 days, and 8 days, respectively, showing a significant downward trend. This change indicates that Troyland's internal process efficiency has significantly improved, and the delivery cycle of products has been shortened, which is beneficial for increasing customer satisfaction.</w:t>
      </w:r>
    </w:p>
    <w:p>
      <w:pPr>
        <w:numPr>
          <w:ilvl w:val="0"/>
          <w:numId w:val="0"/>
        </w:numPr>
        <w:bidi w:val="0"/>
        <w:ind w:leftChars="0" w:firstLine="480" w:firstLineChars="200"/>
        <w:rPr>
          <w:rFonts w:hint="eastAsia" w:cstheme="minorBidi"/>
          <w:kern w:val="2"/>
          <w:szCs w:val="24"/>
          <w:lang w:val="en-US" w:eastAsia="zh-CN" w:bidi="ar-SA"/>
        </w:rPr>
      </w:pPr>
    </w:p>
    <w:p>
      <w:pPr>
        <w:numPr>
          <w:ilvl w:val="0"/>
          <w:numId w:val="0"/>
        </w:numPr>
        <w:bidi w:val="0"/>
        <w:rPr>
          <w:rFonts w:hint="eastAsia" w:cstheme="minorBidi"/>
          <w:kern w:val="2"/>
          <w:szCs w:val="24"/>
          <w:lang w:val="en-US" w:eastAsia="zh-CN" w:bidi="ar-SA"/>
        </w:rPr>
      </w:pPr>
      <w:r>
        <w:rPr>
          <w:rFonts w:hint="eastAsia" w:cstheme="minorBidi"/>
          <w:kern w:val="2"/>
          <w:szCs w:val="24"/>
          <w:lang w:val="en-US" w:eastAsia="zh-CN" w:bidi="ar-SA"/>
        </w:rPr>
        <w:t>Employee retention rate. Employee retention rate is an important indicator for measuring the level of human resource management in enterprises. The employee retention rate of Troyland has increased year by year from 82% in 2018 to 89% in 2020, indicating that more and more employees are willing to stay at Troyland company, and the human resource management level of the company is gradually improving. This may be due to Troyland company increasing employee salaries and benefits and improving the working environment.</w:t>
      </w:r>
    </w:p>
    <w:p>
      <w:pPr>
        <w:numPr>
          <w:ilvl w:val="0"/>
          <w:numId w:val="0"/>
        </w:numPr>
        <w:bidi w:val="0"/>
        <w:ind w:leftChars="0" w:firstLine="480" w:firstLineChars="200"/>
        <w:rPr>
          <w:rFonts w:hint="eastAsia" w:cstheme="minorBidi"/>
          <w:kern w:val="2"/>
          <w:szCs w:val="24"/>
          <w:lang w:val="en-US" w:eastAsia="zh-CN" w:bidi="ar-SA"/>
        </w:rPr>
      </w:pPr>
    </w:p>
    <w:p>
      <w:pPr>
        <w:numPr>
          <w:ilvl w:val="0"/>
          <w:numId w:val="0"/>
        </w:numPr>
        <w:bidi w:val="0"/>
        <w:rPr>
          <w:rFonts w:hint="eastAsia" w:cstheme="minorBidi"/>
          <w:b/>
          <w:bCs/>
          <w:kern w:val="2"/>
          <w:szCs w:val="24"/>
          <w:lang w:val="en-US" w:eastAsia="zh-CN" w:bidi="ar-SA"/>
        </w:rPr>
      </w:pPr>
      <w:r>
        <w:rPr>
          <w:rFonts w:hint="eastAsia" w:cstheme="minorBidi"/>
          <w:b/>
          <w:bCs/>
          <w:kern w:val="2"/>
          <w:szCs w:val="24"/>
          <w:lang w:val="en-US" w:eastAsia="zh-CN" w:bidi="ar-SA"/>
        </w:rPr>
        <w:t>(4) Learning and Growth Dimensions</w:t>
      </w:r>
    </w:p>
    <w:p>
      <w:pPr>
        <w:numPr>
          <w:ilvl w:val="0"/>
          <w:numId w:val="0"/>
        </w:numPr>
        <w:bidi w:val="0"/>
        <w:ind w:leftChars="0" w:firstLine="480" w:firstLineChars="200"/>
        <w:rPr>
          <w:rFonts w:hint="eastAsia" w:cstheme="minorBidi"/>
          <w:kern w:val="2"/>
          <w:szCs w:val="24"/>
          <w:lang w:val="en-US" w:eastAsia="zh-CN" w:bidi="ar-SA"/>
        </w:rPr>
      </w:pPr>
    </w:p>
    <w:p>
      <w:pPr>
        <w:numPr>
          <w:ilvl w:val="0"/>
          <w:numId w:val="0"/>
        </w:numPr>
        <w:bidi w:val="0"/>
        <w:rPr>
          <w:rFonts w:hint="eastAsia" w:cstheme="minorBidi"/>
          <w:kern w:val="2"/>
          <w:szCs w:val="24"/>
          <w:lang w:val="en-US" w:eastAsia="zh-CN" w:bidi="ar-SA"/>
        </w:rPr>
      </w:pPr>
      <w:r>
        <w:rPr>
          <w:rFonts w:hint="eastAsia" w:cstheme="minorBidi"/>
          <w:kern w:val="2"/>
          <w:szCs w:val="24"/>
          <w:lang w:val="en-US" w:eastAsia="zh-CN" w:bidi="ar-SA"/>
        </w:rPr>
        <w:t>The dimension of learning and growth provides a fundamental framework for the construction of the other three dimensions, and is the driving force behind the achievement of strategic goals in these three dimensions. In the fiercely competitive market environment, all employees of a company must continuously learn new knowledge and improve their technology and product services in their daily operations and management (Lv Xiaoxiao, 2016). Only in this way can enterprises adapt to the changing needs of customers and the diverse changes in the market, thereby obtaining long-term development momentum. If a company reduces its investment in learning and growth, although its business income may increase in the short term, the resulting impact will bring immeasurable losses to the company. This report evaluates Troyland's performance from the learning and growth dimensions based on three non-financial indicators: the number of CPDs each employee participates in each year, the average completion time of work, and the error rate of completed work.</w:t>
      </w:r>
    </w:p>
    <w:p>
      <w:pPr>
        <w:numPr>
          <w:ilvl w:val="0"/>
          <w:numId w:val="0"/>
        </w:numPr>
        <w:bidi w:val="0"/>
        <w:ind w:leftChars="0" w:firstLine="480" w:firstLineChars="200"/>
        <w:rPr>
          <w:rFonts w:hint="eastAsia" w:cstheme="minorBidi"/>
          <w:kern w:val="2"/>
          <w:szCs w:val="24"/>
          <w:lang w:val="en-US" w:eastAsia="zh-CN" w:bidi="ar-SA"/>
        </w:rPr>
      </w:pPr>
    </w:p>
    <w:p>
      <w:pPr>
        <w:numPr>
          <w:ilvl w:val="0"/>
          <w:numId w:val="0"/>
        </w:numPr>
        <w:bidi w:val="0"/>
        <w:rPr>
          <w:rFonts w:hint="eastAsia" w:cstheme="minorBidi"/>
          <w:kern w:val="2"/>
          <w:szCs w:val="24"/>
          <w:lang w:val="en-US" w:eastAsia="zh-CN" w:bidi="ar-SA"/>
        </w:rPr>
      </w:pPr>
      <w:r>
        <w:rPr>
          <w:rFonts w:hint="eastAsia" w:cstheme="minorBidi"/>
          <w:kern w:val="2"/>
          <w:szCs w:val="24"/>
          <w:lang w:val="en-US" w:eastAsia="zh-CN" w:bidi="ar-SA"/>
        </w:rPr>
        <w:t>The number of CPDs per employee per year. From the indicator of the number of employees participating in CPD, the number of employees participating in CPD per year has increased from 5 in 2018 to 13 in 2020. The company is able to provide employees with a continuing professional development plan, prompting them to continuously improve their professional skills and business level, thereby better adapting to and responding to market changes and business development needs. This also helps to improve employee work and process efficiency, thereby improving the overall efficiency and productivity of the company.</w:t>
      </w:r>
    </w:p>
    <w:p>
      <w:pPr>
        <w:numPr>
          <w:ilvl w:val="0"/>
          <w:numId w:val="0"/>
        </w:numPr>
        <w:bidi w:val="0"/>
        <w:ind w:leftChars="0" w:firstLine="480" w:firstLineChars="200"/>
        <w:rPr>
          <w:rFonts w:hint="eastAsia" w:cstheme="minorBidi"/>
          <w:kern w:val="2"/>
          <w:szCs w:val="24"/>
          <w:lang w:val="en-US" w:eastAsia="zh-CN" w:bidi="ar-SA"/>
        </w:rPr>
      </w:pPr>
    </w:p>
    <w:p>
      <w:pPr>
        <w:numPr>
          <w:ilvl w:val="0"/>
          <w:numId w:val="0"/>
        </w:numPr>
        <w:bidi w:val="0"/>
        <w:rPr>
          <w:rFonts w:hint="eastAsia" w:cstheme="minorBidi"/>
          <w:kern w:val="2"/>
          <w:szCs w:val="24"/>
          <w:lang w:val="en-US" w:eastAsia="zh-CN" w:bidi="ar-SA"/>
        </w:rPr>
      </w:pPr>
      <w:r>
        <w:rPr>
          <w:rFonts w:hint="eastAsia" w:cstheme="minorBidi"/>
          <w:kern w:val="2"/>
          <w:szCs w:val="24"/>
          <w:lang w:val="en-US" w:eastAsia="zh-CN" w:bidi="ar-SA"/>
        </w:rPr>
        <w:t>Average work completion time and error rate of completed work. When it comes to learning and growth dimensions, average work completion time and error rate of completed work are very effective indicators as they can measure employees' progress in work efficiency and skills. According to the data in Appendix 4, we can see that both indicators have been decreasing year by year, indicating that Troyland's employees have improved their skill levels through learning and training, thereby reducing work error rates and completion times, and improving their work efficiency.</w:t>
      </w:r>
    </w:p>
    <w:p>
      <w:pPr>
        <w:numPr>
          <w:ilvl w:val="0"/>
          <w:numId w:val="0"/>
        </w:numPr>
        <w:bidi w:val="0"/>
        <w:rPr>
          <w:rFonts w:hint="default" w:cstheme="minorBidi"/>
          <w:kern w:val="2"/>
          <w:szCs w:val="24"/>
          <w:lang w:val="en-US" w:eastAsia="zh-CN" w:bidi="ar-SA"/>
        </w:rPr>
      </w:pPr>
    </w:p>
    <w:p>
      <w:pPr>
        <w:pStyle w:val="3"/>
        <w:bidi w:val="0"/>
        <w:rPr>
          <w:rFonts w:hint="eastAsia"/>
          <w:lang w:val="en-US" w:eastAsia="zh-CN"/>
        </w:rPr>
      </w:pPr>
      <w:bookmarkStart w:id="9" w:name="_Toc27055"/>
      <w:r>
        <w:rPr>
          <w:rFonts w:hint="eastAsia"/>
          <w:lang w:val="en-US" w:eastAsia="zh-CN"/>
        </w:rPr>
        <w:t>(c) The necessity of business process reengineering</w:t>
      </w:r>
      <w:bookmarkEnd w:id="9"/>
    </w:p>
    <w:p>
      <w:pPr>
        <w:bidi w:val="0"/>
        <w:ind w:firstLine="420" w:firstLineChars="200"/>
        <w:rPr>
          <w:rFonts w:hint="eastAsia" w:cstheme="minorBidi"/>
          <w:kern w:val="2"/>
          <w:sz w:val="21"/>
          <w:szCs w:val="24"/>
          <w:lang w:val="en-US" w:eastAsia="zh-CN" w:bidi="ar-SA"/>
        </w:rPr>
      </w:pPr>
    </w:p>
    <w:p>
      <w:pPr>
        <w:bidi w:val="0"/>
        <w:rPr>
          <w:rFonts w:hint="eastAsia"/>
          <w:lang w:val="en-US" w:eastAsia="zh-CN"/>
        </w:rPr>
      </w:pPr>
      <w:r>
        <w:rPr>
          <w:rFonts w:hint="eastAsia"/>
          <w:lang w:val="en-US" w:eastAsia="zh-CN"/>
        </w:rPr>
        <w:t>Business process reengineering (BPR) is a technological management revolution that has emerged with the advent of the information age. It involves fundamental sorting, analysis, and fundamental deduction, design, and reconstruction of enterprise processes to achieve breakthroughs in one or more dimensions such as human capital, operational processes, economic benefits, and cultural image. Business process reengineering is the systematic sorting, reconstruction, and optimization of the original traditional business processes of an enterprise, in order to form a new business process.</w:t>
      </w:r>
    </w:p>
    <w:p>
      <w:pPr>
        <w:bidi w:val="0"/>
        <w:rPr>
          <w:rFonts w:hint="eastAsia"/>
          <w:lang w:val="en-US" w:eastAsia="zh-CN"/>
        </w:rPr>
      </w:pPr>
    </w:p>
    <w:p>
      <w:pPr>
        <w:bidi w:val="0"/>
        <w:rPr>
          <w:rFonts w:hint="eastAsia"/>
          <w:lang w:val="en-US" w:eastAsia="zh-CN"/>
        </w:rPr>
      </w:pPr>
      <w:r>
        <w:rPr>
          <w:rFonts w:hint="eastAsia"/>
          <w:lang w:val="en-US" w:eastAsia="zh-CN"/>
        </w:rPr>
        <w:t>Due to the ban on purchasing raw materials from Uzbekistan and the impact of Brexit and the COVID-19, Troyland Shoes Co., Ltd. is facing the dilemma of declining gross profit margin and sales, and the operating efficiency of the company's existing business is gradually decreasing. At the same time, Troyland is considering to diversify its business and expand its retail business to wallet, perfume and cosmetics. This expansion will require restructuring of its existing business processes to adapt to the new product line and ensure optimal performance. In addition, since Troyland is faced with the choice of whether to purchase raw materials from Brazil, Vietnam and other countries at low prices with cash, the company needs to reassess its procurement strategy to reduce the delivery cycle and optimize the management of working capital.</w:t>
      </w:r>
    </w:p>
    <w:p>
      <w:pPr>
        <w:bidi w:val="0"/>
        <w:rPr>
          <w:rFonts w:hint="eastAsia"/>
          <w:lang w:val="en-US" w:eastAsia="zh-CN"/>
        </w:rPr>
      </w:pPr>
    </w:p>
    <w:p>
      <w:pPr>
        <w:bidi w:val="0"/>
        <w:rPr>
          <w:rFonts w:hint="eastAsia"/>
          <w:lang w:val="en-US" w:eastAsia="zh-CN"/>
        </w:rPr>
      </w:pPr>
      <w:r>
        <w:rPr>
          <w:rFonts w:hint="eastAsia"/>
          <w:lang w:val="en-US" w:eastAsia="zh-CN"/>
        </w:rPr>
        <w:t>Based on the above situation, Troyland Footwear needs to reengineer its business processes in order to better implement its expansion plan and maintain a competitive advantage in the market. Firstly, Troyland needs to redesign its pricing strategy. As a luxury brand, Troyland pursues the high-end market but has a small market share. If the current pricing strategy continues, it may be difficult to expand market share. Therefore, the company needs to redesign its pricing strategy to attract more customers and expand market share. Secondly, Troyland needs to re plan the management of working capital. The theory of strategic cost management advocates that when formulating business strategies, costs and benefits should be comprehensively considered (Yin Xiaoguo, 2018), and the operational efficiency of enterprises should be improved as much as possible under the premise of cost control. Troyland Company purchases raw materials from Japan, and although the prices of these raw materials are relatively high, the Japanese supplier provides a 30 day credit. However, purchasing raw materials from countries such as Brazil and Vietnam can reduce procurement costs. In this case, Troyland needs to weigh costs and benefits, re optimize its working capital management, reduce procurement costs and achieve higher operating efficiency while ensuring sufficient working capital. Thirdly, Troyland can also increase revenue by expanding its business scope. Troyland can consider entering the fields of handbags, fashion retail, wallets, perfume and cosmetics. However, the development of these businesses requires redesigning the company's business processes and conducting business process reengineering to adapt to new business models. Finally, the theory of management strategy systems emphasizes the need to establish an effective management strategy system when implementing business strategies (Chen Wenchao, 2021). This can help companies achieve their goals in different environments and adjust their strategies in a timely manner to respond to market changes. Therefore, Troyland needs to establish an effective management strategy system and continuously optimize and adjust strategies during the implementation of business process reengineering to ensure the competitive advantage of the enterprise.</w:t>
      </w:r>
    </w:p>
    <w:p>
      <w:pPr>
        <w:bidi w:val="0"/>
        <w:ind w:firstLine="420" w:firstLineChars="200"/>
        <w:rPr>
          <w:rFonts w:hint="eastAsia" w:cstheme="minorBidi"/>
          <w:kern w:val="2"/>
          <w:sz w:val="21"/>
          <w:szCs w:val="24"/>
          <w:lang w:val="en-US" w:eastAsia="zh-CN" w:bidi="ar-SA"/>
        </w:rPr>
      </w:pPr>
    </w:p>
    <w:p>
      <w:pPr>
        <w:pStyle w:val="2"/>
        <w:bidi w:val="0"/>
        <w:rPr>
          <w:rFonts w:hint="eastAsia"/>
          <w:lang w:val="en-US" w:eastAsia="zh-CN"/>
        </w:rPr>
      </w:pPr>
      <w:bookmarkStart w:id="10" w:name="_Toc28335"/>
      <w:r>
        <w:rPr>
          <w:rFonts w:hint="eastAsia"/>
          <w:lang w:val="en-US" w:eastAsia="zh-CN"/>
        </w:rPr>
        <w:t>Conclusion</w:t>
      </w:r>
      <w:bookmarkEnd w:id="10"/>
    </w:p>
    <w:p>
      <w:pPr>
        <w:bidi w:val="0"/>
        <w:rPr>
          <w:rFonts w:hint="eastAsia"/>
          <w:lang w:val="en-US" w:eastAsia="zh-CN"/>
        </w:rPr>
      </w:pPr>
      <w:r>
        <w:rPr>
          <w:rFonts w:hint="eastAsia"/>
          <w:lang w:val="en-US" w:eastAsia="zh-CN"/>
        </w:rPr>
        <w:t>Performance management is one of the keys to enterprise success. It requires establishing effective performance goals and measures based on scientific evaluation indicators, and continuously optimizing and adjusting business processes through effective performance evaluation to improve efficiency and productivity of the enterprise, in order to maintain its competitiveness and profitability (Wang Hui, Xi Ruiliang, 2021). This report evaluates the performance and feasibility of decision-making of Portal Fabric PLC and Troy Brands through research.</w:t>
      </w:r>
    </w:p>
    <w:p>
      <w:pPr>
        <w:bidi w:val="0"/>
        <w:rPr>
          <w:rFonts w:hint="eastAsia"/>
          <w:lang w:val="en-US" w:eastAsia="zh-CN"/>
        </w:rPr>
      </w:pPr>
    </w:p>
    <w:p>
      <w:pPr>
        <w:bidi w:val="0"/>
        <w:rPr>
          <w:rFonts w:hint="eastAsia"/>
          <w:lang w:val="en-US" w:eastAsia="zh-CN"/>
        </w:rPr>
      </w:pPr>
      <w:r>
        <w:rPr>
          <w:rFonts w:hint="eastAsia"/>
          <w:lang w:val="en-US" w:eastAsia="zh-CN"/>
        </w:rPr>
        <w:t>For Portal Fabric PLC, the proposed metrics for department performance evaluation include ROI, RI, and EVA. Although these metrics can reflect the department's financial performance, they fail to take into account other important non-financial factors such as customer satisfaction, market share, employee satisfaction and retention, team spirit, etc. In terms of the standards and evaluation of the transfer pricing system, this report believes that Portal needs to consider the principles of consistent goals, incentives, and participation in internal and external markets for each department. When choosing between market price method and cost plus method, various factors should be fully considered, including external market conditions, internal cost structure and expected profits. In terms of the impact of new information systems on performance management, this report believes that information systems can improve data consistency and accuracy, strengthen collaboration among various departments of the enterprise, but also need to overcome some challenges, such as high costs and employee resistance.</w:t>
      </w:r>
    </w:p>
    <w:p>
      <w:pPr>
        <w:bidi w:val="0"/>
        <w:rPr>
          <w:rFonts w:hint="eastAsia"/>
          <w:lang w:val="en-US" w:eastAsia="zh-CN"/>
        </w:rPr>
      </w:pPr>
    </w:p>
    <w:p>
      <w:pPr>
        <w:bidi w:val="0"/>
        <w:rPr>
          <w:rFonts w:hint="eastAsia"/>
          <w:lang w:val="en-US" w:eastAsia="zh-CN"/>
        </w:rPr>
      </w:pPr>
      <w:r>
        <w:rPr>
          <w:rFonts w:hint="eastAsia"/>
          <w:lang w:val="en-US" w:eastAsia="zh-CN"/>
        </w:rPr>
        <w:t>For Troy Brands, the company is facing various crises, including increased raw material costs, decreased operating revenue, reduced market share, and increased cash flow risks. This report evaluates the performance of enterprises from four dimensions: finance, customers, internal processes, and learning and growth based on the balanced scorecard performance analysis. In addition, Troy Brands needs to re plan its pricing strategy, working capital management, business scope expansion and other aspects of business process reengineering to improve its competitive advantage and market position.</w:t>
      </w:r>
    </w:p>
    <w:p>
      <w:pPr>
        <w:bidi w:val="0"/>
        <w:rPr>
          <w:rFonts w:hint="eastAsia"/>
          <w:lang w:val="en-US" w:eastAsia="zh-CN"/>
        </w:rPr>
      </w:pPr>
    </w:p>
    <w:p>
      <w:pPr>
        <w:bidi w:val="0"/>
        <w:rPr>
          <w:rFonts w:hint="eastAsia" w:cstheme="minorBidi"/>
          <w:kern w:val="2"/>
          <w:sz w:val="21"/>
          <w:szCs w:val="24"/>
          <w:lang w:val="en-US" w:eastAsia="zh-CN" w:bidi="ar-SA"/>
        </w:rPr>
      </w:pPr>
    </w:p>
    <w:p>
      <w:pPr>
        <w:bidi w:val="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ind w:firstLine="420" w:firstLineChars="200"/>
        <w:rPr>
          <w:rFonts w:hint="eastAsia" w:cstheme="minorBidi"/>
          <w:kern w:val="2"/>
          <w:sz w:val="21"/>
          <w:szCs w:val="24"/>
          <w:lang w:val="en-US" w:eastAsia="zh-CN" w:bidi="ar-SA"/>
        </w:rPr>
      </w:pPr>
    </w:p>
    <w:p>
      <w:pPr>
        <w:bidi w:val="0"/>
        <w:rPr>
          <w:rFonts w:hint="eastAsia" w:cstheme="minorBidi"/>
          <w:kern w:val="2"/>
          <w:sz w:val="21"/>
          <w:szCs w:val="24"/>
          <w:lang w:val="en-US" w:eastAsia="zh-CN" w:bidi="ar-SA"/>
        </w:rPr>
      </w:pPr>
    </w:p>
    <w:p>
      <w:pPr>
        <w:pStyle w:val="2"/>
        <w:bidi w:val="0"/>
        <w:rPr>
          <w:rFonts w:hint="eastAsia"/>
          <w:lang w:val="en-US" w:eastAsia="zh-CN"/>
        </w:rPr>
      </w:pPr>
      <w:bookmarkStart w:id="11" w:name="_Toc9530"/>
      <w:r>
        <w:rPr>
          <w:rFonts w:hint="eastAsia"/>
          <w:lang w:val="en-US" w:eastAsia="zh-CN"/>
        </w:rPr>
        <w:t>Bibliography</w:t>
      </w:r>
      <w:bookmarkEnd w:id="11"/>
    </w:p>
    <w:p>
      <w:pPr>
        <w:bidi w:val="0"/>
        <w:rPr>
          <w:rFonts w:hint="eastAsia"/>
          <w:lang w:val="en-US" w:eastAsia="zh-CN"/>
        </w:rPr>
      </w:pPr>
      <w:r>
        <w:rPr>
          <w:rFonts w:hint="eastAsia"/>
          <w:lang w:val="en-US" w:eastAsia="zh-CN"/>
        </w:rPr>
        <w:t>Balanced Scorecard and Its Important Role in Enterprise Management. China Market, (17): 92-93</w:t>
      </w:r>
    </w:p>
    <w:p>
      <w:pPr>
        <w:bidi w:val="0"/>
        <w:rPr>
          <w:rFonts w:hint="eastAsia"/>
          <w:lang w:val="en-US" w:eastAsia="zh-CN"/>
        </w:rPr>
      </w:pPr>
    </w:p>
    <w:p>
      <w:pPr>
        <w:bidi w:val="0"/>
        <w:rPr>
          <w:rFonts w:hint="eastAsia"/>
          <w:lang w:val="en-US" w:eastAsia="zh-CN"/>
        </w:rPr>
      </w:pPr>
      <w:r>
        <w:rPr>
          <w:rFonts w:hint="eastAsia"/>
          <w:lang w:val="en-US" w:eastAsia="zh-CN"/>
        </w:rPr>
        <w:t>Chen Wenchao. (2021). Research on the Role of Strategic Performance Management in Enhancing Enterprise Competitiveness. People's Forum, (16): 88-90.</w:t>
      </w:r>
    </w:p>
    <w:p>
      <w:pPr>
        <w:bidi w:val="0"/>
        <w:rPr>
          <w:rFonts w:hint="eastAsia"/>
          <w:lang w:val="en-US" w:eastAsia="zh-CN"/>
        </w:rPr>
      </w:pPr>
    </w:p>
    <w:p>
      <w:pPr>
        <w:bidi w:val="0"/>
        <w:rPr>
          <w:rFonts w:hint="eastAsia"/>
          <w:lang w:val="en-US" w:eastAsia="zh-CN"/>
        </w:rPr>
      </w:pPr>
      <w:r>
        <w:rPr>
          <w:rFonts w:hint="eastAsia"/>
          <w:lang w:val="en-US" w:eastAsia="zh-CN"/>
        </w:rPr>
        <w:t>Chen Xianyu. (2010). Performance Evaluation and Empirical Research on Enterprise Informatization. Industrial Technology and Economics, 29 (06): 90-97</w:t>
      </w:r>
    </w:p>
    <w:p>
      <w:pPr>
        <w:bidi w:val="0"/>
        <w:rPr>
          <w:rFonts w:hint="eastAsia"/>
          <w:lang w:val="en-US" w:eastAsia="zh-CN"/>
        </w:rPr>
      </w:pPr>
    </w:p>
    <w:p>
      <w:pPr>
        <w:bidi w:val="0"/>
        <w:rPr>
          <w:rFonts w:hint="eastAsia"/>
          <w:lang w:val="en-US" w:eastAsia="zh-CN"/>
        </w:rPr>
      </w:pPr>
      <w:r>
        <w:rPr>
          <w:rFonts w:hint="eastAsia"/>
          <w:lang w:val="en-US" w:eastAsia="zh-CN"/>
        </w:rPr>
        <w:t>Deng Keying. (2021). Analysis of Problems and Improvement Suggestions in Enterprise Salary and Performance Management. Talent Resource Development, (23): 79-80.</w:t>
      </w:r>
    </w:p>
    <w:p>
      <w:pPr>
        <w:bidi w:val="0"/>
        <w:rPr>
          <w:rFonts w:hint="eastAsia"/>
          <w:lang w:val="en-US" w:eastAsia="zh-CN"/>
        </w:rPr>
      </w:pPr>
    </w:p>
    <w:p>
      <w:pPr>
        <w:bidi w:val="0"/>
        <w:rPr>
          <w:rFonts w:hint="default"/>
          <w:lang w:val="en-US" w:eastAsia="zh-CN"/>
        </w:rPr>
      </w:pPr>
      <w:r>
        <w:rPr>
          <w:rFonts w:hint="eastAsia"/>
          <w:lang w:val="en-US" w:eastAsia="zh-CN"/>
        </w:rPr>
        <w:t>Dong Hao, Wang Xinli. (2019). Analysis of Performance Management Issues Based on Balanced Scorecard. Modern Marketing (Business Edition), (02): 137.</w:t>
      </w:r>
    </w:p>
    <w:p>
      <w:pPr>
        <w:bidi w:val="0"/>
        <w:rPr>
          <w:rFonts w:hint="eastAsia"/>
          <w:lang w:val="en-US" w:eastAsia="zh-CN"/>
        </w:rPr>
      </w:pPr>
    </w:p>
    <w:p>
      <w:pPr>
        <w:bidi w:val="0"/>
        <w:rPr>
          <w:rFonts w:hint="eastAsia"/>
          <w:lang w:val="en-US" w:eastAsia="zh-CN"/>
        </w:rPr>
      </w:pPr>
      <w:r>
        <w:rPr>
          <w:rFonts w:hint="eastAsia"/>
          <w:lang w:val="en-US" w:eastAsia="zh-CN"/>
        </w:rPr>
        <w:t>Duan Shedi. (2019). Analysis of the Application of Balanced Scorecard in Strategic Human Resource Management. Enterprise Reform and Management, (23): 77-78.</w:t>
      </w:r>
    </w:p>
    <w:p>
      <w:pPr>
        <w:bidi w:val="0"/>
        <w:rPr>
          <w:rFonts w:hint="eastAsia"/>
          <w:lang w:val="en-US" w:eastAsia="zh-CN"/>
        </w:rPr>
      </w:pPr>
    </w:p>
    <w:p>
      <w:pPr>
        <w:bidi w:val="0"/>
        <w:rPr>
          <w:rFonts w:hint="eastAsia"/>
          <w:lang w:val="en-US" w:eastAsia="zh-CN"/>
        </w:rPr>
      </w:pPr>
      <w:r>
        <w:rPr>
          <w:rFonts w:hint="eastAsia"/>
          <w:lang w:val="en-US" w:eastAsia="zh-CN"/>
        </w:rPr>
        <w:t>Fan Yanqin. (2021). The Application of Balanced Scorecard in Enterprise Performance Management. Accounting Studies, (19): 170-172.</w:t>
      </w:r>
    </w:p>
    <w:p>
      <w:pPr>
        <w:bidi w:val="0"/>
        <w:rPr>
          <w:rFonts w:hint="eastAsia"/>
          <w:lang w:val="en-US" w:eastAsia="zh-CN"/>
        </w:rPr>
      </w:pPr>
    </w:p>
    <w:p>
      <w:pPr>
        <w:bidi w:val="0"/>
        <w:rPr>
          <w:rFonts w:hint="eastAsia"/>
          <w:lang w:val="en-US" w:eastAsia="zh-CN"/>
        </w:rPr>
      </w:pPr>
      <w:r>
        <w:rPr>
          <w:rFonts w:hint="eastAsia"/>
          <w:lang w:val="en-US" w:eastAsia="zh-CN"/>
        </w:rPr>
        <w:t>Feng Hua, Pang Mei, Liu Kaijun, Wang Tianyu. (2016). Research on Supplier Selection Flexibility under Strategic Transfer Pricing Commitment Strategy. Chinese Management Science, 24 (02): 38-46.</w:t>
      </w:r>
    </w:p>
    <w:p>
      <w:pPr>
        <w:bidi w:val="0"/>
        <w:rPr>
          <w:rFonts w:hint="eastAsia"/>
          <w:lang w:val="en-US" w:eastAsia="zh-CN"/>
        </w:rPr>
      </w:pPr>
    </w:p>
    <w:p>
      <w:pPr>
        <w:bidi w:val="0"/>
        <w:rPr>
          <w:rFonts w:hint="eastAsia"/>
          <w:lang w:val="en-US" w:eastAsia="zh-CN"/>
        </w:rPr>
      </w:pPr>
      <w:r>
        <w:rPr>
          <w:rFonts w:hint="eastAsia"/>
          <w:lang w:val="en-US" w:eastAsia="zh-CN"/>
        </w:rPr>
        <w:t>Ha Thanh LE,Nam Tien PHAN. (2022). State Management of Transfer Pricing Activities of Foreign-Invested Enterprises in Vietnam. The Journal of Asian Finance, Economics and Business (JAFEB), 9(2).</w:t>
      </w:r>
    </w:p>
    <w:p>
      <w:pPr>
        <w:bidi w:val="0"/>
        <w:rPr>
          <w:rFonts w:hint="eastAsia"/>
          <w:lang w:val="en-US" w:eastAsia="zh-CN"/>
        </w:rPr>
      </w:pPr>
    </w:p>
    <w:p>
      <w:pPr>
        <w:bidi w:val="0"/>
        <w:rPr>
          <w:rFonts w:hint="eastAsia"/>
          <w:lang w:val="en-US" w:eastAsia="zh-CN"/>
        </w:rPr>
      </w:pPr>
      <w:r>
        <w:rPr>
          <w:rFonts w:hint="eastAsia"/>
          <w:lang w:val="en-US" w:eastAsia="zh-CN"/>
        </w:rPr>
        <w:t>He Liqiu. (2022). Exploring employee performance management and improvement strategies in enterprises. Modern Business, (23): 43-45.</w:t>
      </w:r>
    </w:p>
    <w:p>
      <w:pPr>
        <w:bidi w:val="0"/>
        <w:rPr>
          <w:rFonts w:hint="eastAsia"/>
          <w:lang w:val="en-US" w:eastAsia="zh-CN"/>
        </w:rPr>
      </w:pPr>
    </w:p>
    <w:p>
      <w:pPr>
        <w:bidi w:val="0"/>
        <w:rPr>
          <w:rFonts w:hint="eastAsia"/>
          <w:lang w:val="en-US" w:eastAsia="zh-CN"/>
        </w:rPr>
      </w:pPr>
      <w:r>
        <w:rPr>
          <w:rFonts w:hint="eastAsia"/>
          <w:lang w:val="en-US" w:eastAsia="zh-CN"/>
        </w:rPr>
        <w:t>He Mengting. (2020). Research on Performance Evaluation of Public Sector Management Based on Balanced Scorecard - Taking Public Environmental Management Departments as an Example. China Collective Economy, (16): 65-67.</w:t>
      </w:r>
    </w:p>
    <w:p>
      <w:pPr>
        <w:bidi w:val="0"/>
        <w:rPr>
          <w:rFonts w:hint="eastAsia"/>
          <w:lang w:val="en-US" w:eastAsia="zh-CN"/>
        </w:rPr>
      </w:pPr>
    </w:p>
    <w:p>
      <w:pPr>
        <w:bidi w:val="0"/>
        <w:rPr>
          <w:rFonts w:hint="eastAsia"/>
          <w:lang w:val="en-US" w:eastAsia="zh-CN"/>
        </w:rPr>
      </w:pPr>
      <w:r>
        <w:rPr>
          <w:rFonts w:hint="eastAsia"/>
          <w:lang w:val="en-US" w:eastAsia="zh-CN"/>
        </w:rPr>
        <w:t>Herianti Eva,Marundha Amor. (2019). Transfer Pricing, Agency Costs, and Financial Reporting Aggressiveness: An Empirical Study in Indonesia. Journal of Accounting and Investment,20(3).</w:t>
      </w:r>
    </w:p>
    <w:p>
      <w:pPr>
        <w:bidi w:val="0"/>
        <w:rPr>
          <w:rFonts w:hint="eastAsia"/>
          <w:lang w:val="en-US" w:eastAsia="zh-CN"/>
        </w:rPr>
      </w:pPr>
    </w:p>
    <w:p>
      <w:pPr>
        <w:bidi w:val="0"/>
        <w:rPr>
          <w:rFonts w:hint="eastAsia"/>
          <w:lang w:val="en-US" w:eastAsia="zh-CN"/>
        </w:rPr>
      </w:pPr>
      <w:r>
        <w:rPr>
          <w:rFonts w:hint="eastAsia"/>
          <w:lang w:val="en-US" w:eastAsia="zh-CN"/>
        </w:rPr>
        <w:t>Jay Pil Choi,Taiji Furusawa,Jota Ishikawa. (2020). Transfer pricing regulation and tax competition. Journal of International Economics,127.</w:t>
      </w:r>
    </w:p>
    <w:p>
      <w:pPr>
        <w:bidi w:val="0"/>
        <w:rPr>
          <w:rFonts w:hint="eastAsia"/>
          <w:lang w:val="en-US" w:eastAsia="zh-CN"/>
        </w:rPr>
      </w:pPr>
    </w:p>
    <w:p>
      <w:pPr>
        <w:bidi w:val="0"/>
        <w:rPr>
          <w:rFonts w:hint="eastAsia"/>
          <w:lang w:val="en-US" w:eastAsia="zh-CN"/>
        </w:rPr>
      </w:pPr>
      <w:r>
        <w:rPr>
          <w:rFonts w:hint="eastAsia"/>
          <w:lang w:val="en-US" w:eastAsia="zh-CN"/>
        </w:rPr>
        <w:t>Jiang Yan, Dong Weiwei. (2016). Research on Transfer Pricing of Multinational Corporations. Industrial Technology and Economy, 35 (09): 105-109.</w:t>
      </w:r>
    </w:p>
    <w:p>
      <w:pPr>
        <w:bidi w:val="0"/>
        <w:rPr>
          <w:rFonts w:hint="eastAsia"/>
          <w:lang w:val="en-US" w:eastAsia="zh-CN"/>
        </w:rPr>
      </w:pPr>
    </w:p>
    <w:p>
      <w:pPr>
        <w:bidi w:val="0"/>
        <w:rPr>
          <w:rFonts w:hint="eastAsia"/>
          <w:lang w:val="en-US" w:eastAsia="zh-CN"/>
        </w:rPr>
      </w:pPr>
      <w:r>
        <w:rPr>
          <w:rFonts w:hint="eastAsia"/>
          <w:lang w:val="en-US" w:eastAsia="zh-CN"/>
        </w:rPr>
        <w:t>John Mendy. (2021). Performance management problem of four small and medium-sized enterprises (SMEs): towards a performance resolution. Journal of Small Business and Enterprise Development, 28(5).</w:t>
      </w:r>
    </w:p>
    <w:p>
      <w:pPr>
        <w:bidi w:val="0"/>
        <w:rPr>
          <w:rFonts w:hint="eastAsia"/>
          <w:lang w:val="en-US" w:eastAsia="zh-CN"/>
        </w:rPr>
      </w:pPr>
    </w:p>
    <w:p>
      <w:pPr>
        <w:bidi w:val="0"/>
        <w:rPr>
          <w:rFonts w:hint="eastAsia"/>
          <w:lang w:val="en-US" w:eastAsia="zh-CN"/>
        </w:rPr>
      </w:pPr>
      <w:r>
        <w:rPr>
          <w:rFonts w:hint="eastAsia"/>
          <w:lang w:val="en-US" w:eastAsia="zh-CN"/>
        </w:rPr>
        <w:t>Kato Hayato,Okoshi Hirofumi. (2022). ECONOMIC INTEGRATION AND AGGLOMERATION OF MULTINATIONAL PRODUCTION WITH TRANSFER PRICING. International Economic Review,63(3).</w:t>
      </w:r>
    </w:p>
    <w:p>
      <w:pPr>
        <w:bidi w:val="0"/>
        <w:rPr>
          <w:rFonts w:hint="eastAsia"/>
          <w:lang w:val="en-US" w:eastAsia="zh-CN"/>
        </w:rPr>
      </w:pPr>
    </w:p>
    <w:p>
      <w:pPr>
        <w:bidi w:val="0"/>
        <w:rPr>
          <w:rFonts w:hint="eastAsia"/>
          <w:lang w:val="en-US" w:eastAsia="zh-CN"/>
        </w:rPr>
      </w:pPr>
      <w:r>
        <w:rPr>
          <w:rFonts w:hint="eastAsia"/>
          <w:lang w:val="en-US" w:eastAsia="zh-CN"/>
        </w:rPr>
        <w:t>Liang Bin. (2021). Internal Fund Transfer Pricing, Economic Capital Management, and Value Management. Contemporary Accounting, (08): 120-122.</w:t>
      </w:r>
    </w:p>
    <w:p>
      <w:pPr>
        <w:bidi w:val="0"/>
        <w:rPr>
          <w:rFonts w:hint="eastAsia"/>
          <w:lang w:val="en-US" w:eastAsia="zh-CN"/>
        </w:rPr>
      </w:pPr>
    </w:p>
    <w:p>
      <w:pPr>
        <w:bidi w:val="0"/>
        <w:rPr>
          <w:rFonts w:hint="eastAsia"/>
          <w:lang w:val="en-US" w:eastAsia="zh-CN"/>
        </w:rPr>
      </w:pPr>
      <w:r>
        <w:rPr>
          <w:rFonts w:hint="eastAsia"/>
          <w:lang w:val="en-US" w:eastAsia="zh-CN"/>
        </w:rPr>
        <w:t>Liu Songbo, Wang Haibo. (2004). Comparative analysis of ROI, BSC, SCOR performance evaluation systems. Modern Management Science, (04): 27-30.</w:t>
      </w:r>
    </w:p>
    <w:p>
      <w:pPr>
        <w:bidi w:val="0"/>
        <w:rPr>
          <w:rFonts w:hint="eastAsia"/>
          <w:lang w:val="en-US" w:eastAsia="zh-CN"/>
        </w:rPr>
      </w:pPr>
    </w:p>
    <w:p>
      <w:pPr>
        <w:bidi w:val="0"/>
        <w:rPr>
          <w:rFonts w:hint="eastAsia"/>
          <w:lang w:val="en-US" w:eastAsia="zh-CN"/>
        </w:rPr>
      </w:pPr>
      <w:r>
        <w:rPr>
          <w:rFonts w:hint="eastAsia"/>
          <w:lang w:val="en-US" w:eastAsia="zh-CN"/>
        </w:rPr>
        <w:t>Liu Zhonghua.(2022). The Problems and Countermeasures of Enterprise Performance Management. National Circulation Economy, (29): 67-70.</w:t>
      </w:r>
    </w:p>
    <w:p>
      <w:pPr>
        <w:bidi w:val="0"/>
        <w:rPr>
          <w:rFonts w:hint="eastAsia"/>
          <w:lang w:val="en-US" w:eastAsia="zh-CN"/>
        </w:rPr>
      </w:pPr>
    </w:p>
    <w:p>
      <w:pPr>
        <w:bidi w:val="0"/>
        <w:rPr>
          <w:rFonts w:hint="eastAsia"/>
          <w:lang w:val="en-US" w:eastAsia="zh-CN"/>
        </w:rPr>
      </w:pPr>
      <w:r>
        <w:rPr>
          <w:rFonts w:hint="eastAsia"/>
          <w:lang w:val="en-US" w:eastAsia="zh-CN"/>
        </w:rPr>
        <w:t>Lv Xiaoxiang. (2016). Research on Enterprise Performance Management Based on Balanced Scorecard. Human Resources Management, (12): 135-136</w:t>
      </w:r>
    </w:p>
    <w:p>
      <w:pPr>
        <w:bidi w:val="0"/>
        <w:rPr>
          <w:rFonts w:hint="eastAsia"/>
          <w:lang w:val="en-US" w:eastAsia="zh-CN"/>
        </w:rPr>
      </w:pPr>
    </w:p>
    <w:p>
      <w:pPr>
        <w:bidi w:val="0"/>
        <w:rPr>
          <w:rFonts w:hint="eastAsia"/>
          <w:lang w:val="en-US" w:eastAsia="zh-CN"/>
        </w:rPr>
      </w:pPr>
      <w:r>
        <w:rPr>
          <w:rFonts w:hint="eastAsia"/>
          <w:lang w:val="en-US" w:eastAsia="zh-CN"/>
        </w:rPr>
        <w:t>Makamu Ntsako Idris, Mello David Mbati. (2017). Assessment of Performance Management and Development System in Selected National Government Departments in South Africa. Journal of Social Sciences, 53(1).</w:t>
      </w:r>
    </w:p>
    <w:p>
      <w:pPr>
        <w:bidi w:val="0"/>
        <w:rPr>
          <w:rFonts w:hint="eastAsia"/>
          <w:lang w:val="en-US" w:eastAsia="zh-CN"/>
        </w:rPr>
      </w:pPr>
    </w:p>
    <w:p>
      <w:pPr>
        <w:bidi w:val="0"/>
        <w:rPr>
          <w:rFonts w:hint="eastAsia"/>
          <w:lang w:val="en-US" w:eastAsia="zh-CN"/>
        </w:rPr>
      </w:pPr>
      <w:r>
        <w:rPr>
          <w:rFonts w:hint="eastAsia"/>
          <w:lang w:val="en-US" w:eastAsia="zh-CN"/>
        </w:rPr>
        <w:t>Ni Jinping. (2019). Research on Tax Planning for Transfer Pricing of Group Companies. Financial and Accounting Communication, (26): 115-119.</w:t>
      </w:r>
    </w:p>
    <w:p>
      <w:pPr>
        <w:bidi w:val="0"/>
        <w:rPr>
          <w:rFonts w:hint="eastAsia"/>
          <w:lang w:val="en-US" w:eastAsia="zh-CN"/>
        </w:rPr>
      </w:pPr>
    </w:p>
    <w:p>
      <w:pPr>
        <w:bidi w:val="0"/>
        <w:rPr>
          <w:rFonts w:hint="eastAsia"/>
          <w:lang w:val="en-US" w:eastAsia="zh-CN"/>
        </w:rPr>
      </w:pPr>
      <w:r>
        <w:rPr>
          <w:rFonts w:hint="eastAsia"/>
          <w:lang w:val="en-US" w:eastAsia="zh-CN"/>
        </w:rPr>
        <w:t>Ren Meng. (2022). Research on Performance Management Optimization of T Group. Nanchang University.</w:t>
      </w:r>
    </w:p>
    <w:p>
      <w:pPr>
        <w:bidi w:val="0"/>
        <w:rPr>
          <w:rFonts w:hint="eastAsia"/>
          <w:lang w:val="en-US" w:eastAsia="zh-CN"/>
        </w:rPr>
      </w:pPr>
    </w:p>
    <w:p>
      <w:pPr>
        <w:bidi w:val="0"/>
        <w:rPr>
          <w:rFonts w:hint="eastAsia"/>
          <w:lang w:val="en-US" w:eastAsia="zh-CN"/>
        </w:rPr>
      </w:pPr>
      <w:r>
        <w:rPr>
          <w:rFonts w:hint="eastAsia"/>
          <w:lang w:val="en-US" w:eastAsia="zh-CN"/>
        </w:rPr>
        <w:t>Tang Chunyan. (2022). Discussion on the Problems and Countermeasures of Enterprise Performance Management. Quality and Market, (11): 118-120.</w:t>
      </w:r>
    </w:p>
    <w:p>
      <w:pPr>
        <w:bidi w:val="0"/>
        <w:rPr>
          <w:rFonts w:hint="eastAsia"/>
          <w:lang w:val="en-US" w:eastAsia="zh-CN"/>
        </w:rPr>
      </w:pPr>
    </w:p>
    <w:p>
      <w:pPr>
        <w:bidi w:val="0"/>
        <w:rPr>
          <w:rFonts w:hint="eastAsia"/>
          <w:lang w:val="en-US" w:eastAsia="zh-CN"/>
        </w:rPr>
      </w:pPr>
      <w:r>
        <w:rPr>
          <w:rFonts w:hint="eastAsia"/>
          <w:lang w:val="en-US" w:eastAsia="zh-CN"/>
        </w:rPr>
        <w:t>Viet Nguyen Thanh,Kravets Alla G.(2022). The New Method for Analyzing Technology Trends of Smart Energy Asset Performance Management. Energies,15(18).</w:t>
      </w:r>
    </w:p>
    <w:p>
      <w:pPr>
        <w:bidi w:val="0"/>
        <w:rPr>
          <w:rFonts w:hint="eastAsia"/>
          <w:lang w:val="en-US" w:eastAsia="zh-CN"/>
        </w:rPr>
      </w:pPr>
    </w:p>
    <w:p>
      <w:pPr>
        <w:bidi w:val="0"/>
        <w:rPr>
          <w:rFonts w:hint="eastAsia"/>
          <w:lang w:val="en-US" w:eastAsia="zh-CN"/>
        </w:rPr>
      </w:pPr>
      <w:r>
        <w:rPr>
          <w:rFonts w:hint="eastAsia"/>
          <w:lang w:val="en-US" w:eastAsia="zh-CN"/>
        </w:rPr>
        <w:t>Wang Hui, Xi Ruiliang. (2021). Research on W Company's Performance Management System Based on Balanced Scorecard. Enterprise Reform and Management, 2021, (17): 48-50.</w:t>
      </w:r>
    </w:p>
    <w:p>
      <w:pPr>
        <w:bidi w:val="0"/>
        <w:rPr>
          <w:rFonts w:hint="eastAsia"/>
          <w:lang w:val="en-US" w:eastAsia="zh-CN"/>
        </w:rPr>
      </w:pPr>
    </w:p>
    <w:p>
      <w:pPr>
        <w:bidi w:val="0"/>
        <w:rPr>
          <w:rFonts w:hint="eastAsia"/>
          <w:lang w:val="en-US" w:eastAsia="zh-CN"/>
        </w:rPr>
      </w:pPr>
      <w:r>
        <w:rPr>
          <w:rFonts w:hint="eastAsia"/>
          <w:lang w:val="en-US" w:eastAsia="zh-CN"/>
        </w:rPr>
        <w:t>Wang Jun. (2022). Analysis on the Digital Transformation and Application Strategy of Enterprise Performance Management. National Circulation Economy, (35): 60-63.</w:t>
      </w:r>
    </w:p>
    <w:p>
      <w:pPr>
        <w:bidi w:val="0"/>
        <w:rPr>
          <w:rFonts w:hint="eastAsia"/>
          <w:lang w:val="en-US" w:eastAsia="zh-CN"/>
        </w:rPr>
      </w:pPr>
    </w:p>
    <w:p>
      <w:pPr>
        <w:bidi w:val="0"/>
        <w:rPr>
          <w:rFonts w:hint="eastAsia"/>
          <w:lang w:val="en-US" w:eastAsia="zh-CN"/>
        </w:rPr>
      </w:pPr>
      <w:r>
        <w:rPr>
          <w:rFonts w:hint="eastAsia"/>
          <w:lang w:val="en-US" w:eastAsia="zh-CN"/>
        </w:rPr>
        <w:t>Wu Minghao. (2022). Research on Strategies for Implementing Performance Management in Enterprises. Enterprise Reform and Management, (17): 45-47.</w:t>
      </w:r>
    </w:p>
    <w:p>
      <w:pPr>
        <w:bidi w:val="0"/>
        <w:rPr>
          <w:rFonts w:hint="eastAsia"/>
          <w:lang w:val="en-US" w:eastAsia="zh-CN"/>
        </w:rPr>
      </w:pPr>
    </w:p>
    <w:p>
      <w:pPr>
        <w:bidi w:val="0"/>
        <w:rPr>
          <w:rFonts w:hint="eastAsia"/>
          <w:lang w:val="en-US" w:eastAsia="zh-CN"/>
        </w:rPr>
      </w:pPr>
      <w:r>
        <w:rPr>
          <w:rFonts w:hint="eastAsia"/>
          <w:lang w:val="en-US" w:eastAsia="zh-CN"/>
        </w:rPr>
        <w:t>Yang Shixin, Liu Yunguo, Tian Wei. (2018). Theoretical Evolution and Research Review of Transfer Pricing . Social Scientist, (08): 69-75.</w:t>
      </w:r>
    </w:p>
    <w:p>
      <w:pPr>
        <w:bidi w:val="0"/>
        <w:rPr>
          <w:rFonts w:hint="eastAsia"/>
          <w:lang w:val="en-US" w:eastAsia="zh-CN"/>
        </w:rPr>
      </w:pPr>
    </w:p>
    <w:p>
      <w:pPr>
        <w:bidi w:val="0"/>
        <w:rPr>
          <w:rFonts w:hint="eastAsia"/>
          <w:lang w:val="en-US" w:eastAsia="zh-CN"/>
        </w:rPr>
      </w:pPr>
      <w:r>
        <w:rPr>
          <w:rFonts w:hint="eastAsia"/>
          <w:lang w:val="en-US" w:eastAsia="zh-CN"/>
        </w:rPr>
        <w:t>Yin Xiaoguo. (2018). Strategies for Building a Strategic Oriented Enterprise Performance Management System: Innovative Transformation Practice Based on H Company's Performance Management. Enterprise Economy, 37 (09): 111-117.</w:t>
      </w:r>
    </w:p>
    <w:p>
      <w:pPr>
        <w:bidi w:val="0"/>
        <w:rPr>
          <w:rFonts w:hint="eastAsia"/>
          <w:lang w:val="en-US" w:eastAsia="zh-CN"/>
        </w:rPr>
      </w:pPr>
    </w:p>
    <w:p>
      <w:pPr>
        <w:bidi w:val="0"/>
        <w:rPr>
          <w:rFonts w:hint="eastAsia"/>
          <w:lang w:val="en-US" w:eastAsia="zh-CN"/>
        </w:rPr>
      </w:pPr>
      <w:r>
        <w:rPr>
          <w:rFonts w:hint="eastAsia"/>
          <w:lang w:val="en-US" w:eastAsia="zh-CN"/>
        </w:rPr>
        <w:t>Zhou Wencheng, Lv Lei. (2020). The Application of Balanced Scorecard in Enterprise Performance Management. China Collective Economy, (01): 118-119.</w:t>
      </w:r>
    </w:p>
    <w:p>
      <w:pPr>
        <w:bidi w:val="0"/>
        <w:rPr>
          <w:rFonts w:hint="eastAsia" w:cstheme="minorBidi"/>
          <w:kern w:val="2"/>
          <w:sz w:val="21"/>
          <w:szCs w:val="24"/>
          <w:lang w:val="en-US" w:eastAsia="zh-CN" w:bidi="ar-SA"/>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pStyle w:val="2"/>
        <w:bidi w:val="0"/>
        <w:rPr>
          <w:rFonts w:hint="default"/>
          <w:lang w:val="en-US" w:eastAsia="zh-CN"/>
        </w:rPr>
      </w:pPr>
      <w:bookmarkStart w:id="12" w:name="_Toc1386"/>
      <w:r>
        <w:rPr>
          <w:rFonts w:hint="default"/>
          <w:lang w:val="en-US" w:eastAsia="zh-CN"/>
        </w:rPr>
        <w:t>Appendix</w:t>
      </w:r>
      <w:bookmarkEnd w:id="12"/>
    </w:p>
    <w:p>
      <w:pPr>
        <w:bidi w:val="0"/>
        <w:jc w:val="left"/>
        <w:rPr>
          <w:rFonts w:hint="default"/>
          <w:lang w:val="en-US" w:eastAsia="zh-CN"/>
        </w:rPr>
      </w:pPr>
      <w:r>
        <w:rPr>
          <w:rFonts w:hint="default"/>
          <w:lang w:val="en-US" w:eastAsia="zh-CN"/>
        </w:rPr>
        <w:t>ROE in 2018 = (Net profit / Net assets) = 243,000 / 845,000 = 28.7%</w:t>
      </w:r>
    </w:p>
    <w:p>
      <w:pPr>
        <w:bidi w:val="0"/>
        <w:jc w:val="left"/>
        <w:rPr>
          <w:rFonts w:hint="default"/>
          <w:lang w:val="en-US" w:eastAsia="zh-CN"/>
        </w:rPr>
      </w:pPr>
      <w:r>
        <w:rPr>
          <w:rFonts w:hint="default"/>
          <w:lang w:val="en-US" w:eastAsia="zh-CN"/>
        </w:rPr>
        <w:t>ROE in 2019 = (Net profit / Net assets)= 301,000 / 975,000 = 30.9%</w:t>
      </w:r>
    </w:p>
    <w:p>
      <w:pPr>
        <w:bidi w:val="0"/>
        <w:jc w:val="left"/>
        <w:rPr>
          <w:rFonts w:hint="default"/>
          <w:lang w:val="en-US" w:eastAsia="zh-CN"/>
        </w:rPr>
      </w:pPr>
      <w:r>
        <w:rPr>
          <w:rFonts w:hint="default"/>
          <w:lang w:val="en-US" w:eastAsia="zh-CN"/>
        </w:rPr>
        <w:t>ROE in 2020 = (Net profit / Net assets) = 86,000 / 985,000 = 8.8%</w:t>
      </w:r>
    </w:p>
    <w:p>
      <w:pPr>
        <w:bidi w:val="0"/>
        <w:jc w:val="left"/>
        <w:rPr>
          <w:rFonts w:hint="default"/>
          <w:lang w:val="en-US" w:eastAsia="zh-CN"/>
        </w:rPr>
      </w:pPr>
      <w:r>
        <w:rPr>
          <w:rFonts w:hint="default"/>
          <w:lang w:val="en-US" w:eastAsia="zh-CN"/>
        </w:rPr>
        <w:t>ROE in 2021 = (Net profit / Net assets) = -160,000 / 825,000 = -19.4%</w:t>
      </w:r>
    </w:p>
    <w:p>
      <w:pPr>
        <w:bidi w:val="0"/>
        <w:jc w:val="left"/>
        <w:rPr>
          <w:rFonts w:hint="default"/>
          <w:lang w:val="en-US" w:eastAsia="zh-CN"/>
        </w:rPr>
      </w:pPr>
      <w:r>
        <w:rPr>
          <w:rFonts w:hint="default"/>
          <w:lang w:val="en-US" w:eastAsia="zh-CN"/>
        </w:rPr>
        <w:t>Gross profit margin in 2018=Gross profit /Turnover = 700,000 / 1,400,000 = 50.0%</w:t>
      </w:r>
    </w:p>
    <w:p>
      <w:pPr>
        <w:bidi w:val="0"/>
        <w:jc w:val="left"/>
        <w:rPr>
          <w:rFonts w:hint="default"/>
          <w:lang w:val="en-US" w:eastAsia="zh-CN"/>
        </w:rPr>
      </w:pPr>
      <w:r>
        <w:rPr>
          <w:rFonts w:hint="default"/>
          <w:lang w:val="en-US" w:eastAsia="zh-CN"/>
        </w:rPr>
        <w:t>Gross profit margin in 2019=Gross profit /Turnover = 820,000 / 1,750,000 = 46.9%</w:t>
      </w:r>
    </w:p>
    <w:p>
      <w:pPr>
        <w:bidi w:val="0"/>
        <w:jc w:val="left"/>
        <w:rPr>
          <w:rFonts w:hint="default"/>
          <w:lang w:val="en-US" w:eastAsia="zh-CN"/>
        </w:rPr>
      </w:pPr>
      <w:r>
        <w:rPr>
          <w:rFonts w:hint="default"/>
          <w:lang w:val="en-US" w:eastAsia="zh-CN"/>
        </w:rPr>
        <w:t>Gross profit margin in 2020=Gross profit /Turnover = 600,000 / 1,455,000 = 41.2%</w:t>
      </w:r>
    </w:p>
    <w:p>
      <w:pPr>
        <w:bidi w:val="0"/>
        <w:jc w:val="left"/>
        <w:rPr>
          <w:rFonts w:hint="default"/>
          <w:lang w:val="en-US" w:eastAsia="zh-CN"/>
        </w:rPr>
      </w:pPr>
      <w:r>
        <w:rPr>
          <w:rFonts w:hint="default"/>
          <w:lang w:val="en-US" w:eastAsia="zh-CN"/>
        </w:rPr>
        <w:t>Gross profit margin in 2021=Gross profit /Turnover = 320,000 / 600,000 = 53.3%</w:t>
      </w:r>
    </w:p>
    <w:p>
      <w:pPr>
        <w:bidi w:val="0"/>
        <w:jc w:val="left"/>
        <w:rPr>
          <w:rFonts w:hint="default"/>
          <w:lang w:val="en-US" w:eastAsia="zh-CN"/>
        </w:rPr>
      </w:pPr>
      <w:r>
        <w:rPr>
          <w:rFonts w:hint="default"/>
          <w:lang w:val="en-US" w:eastAsia="zh-CN"/>
        </w:rPr>
        <w:t>Net profit growth rate in 2019 = (Net profit in 2019 - Net profit in 2018) / Net profit in 2018 =  (301,000-243,000) / 243,000 = 24.0%</w:t>
      </w:r>
    </w:p>
    <w:p>
      <w:pPr>
        <w:bidi w:val="0"/>
        <w:jc w:val="left"/>
        <w:rPr>
          <w:rFonts w:hint="default"/>
          <w:lang w:val="en-US" w:eastAsia="zh-CN"/>
        </w:rPr>
      </w:pPr>
      <w:r>
        <w:rPr>
          <w:rFonts w:hint="default"/>
          <w:lang w:val="en-US" w:eastAsia="zh-CN"/>
        </w:rPr>
        <w:t>Net profit growth rate in 2020 = (Net profit in 2020 - Net profit in 2019) / Net profit in 2029 =  (86,000-301,000) / 301,000 = -71.3%</w:t>
      </w:r>
    </w:p>
    <w:p>
      <w:pPr>
        <w:bidi w:val="0"/>
        <w:jc w:val="left"/>
        <w:rPr>
          <w:rFonts w:hint="default"/>
          <w:lang w:val="en-US" w:eastAsia="zh-CN"/>
        </w:rPr>
      </w:pPr>
      <w:r>
        <w:rPr>
          <w:rFonts w:hint="default"/>
          <w:lang w:val="en-US" w:eastAsia="zh-CN"/>
        </w:rPr>
        <w:t>Net profit growth rate in 2021 = (Net profit in 2021 - Net profit in 2020) / Net profit in 2020 =  (-160,000-86,000) / 86,000 =-286.0%</w:t>
      </w:r>
    </w:p>
    <w:p>
      <w:pPr>
        <w:bidi w:val="0"/>
        <w:jc w:val="left"/>
        <w:rPr>
          <w:rFonts w:hint="default"/>
          <w:lang w:val="en-US" w:eastAsia="zh-CN"/>
        </w:rPr>
      </w:pPr>
      <w:r>
        <w:rPr>
          <w:rFonts w:hint="default"/>
          <w:lang w:val="en-US" w:eastAsia="zh-CN"/>
        </w:rPr>
        <w:t>Turnover growth rate in 2019 = (Turnover in 2019 -Turnover in 2018) / Turnover in 2018 = (1,750,000-1,400,000) / 1,400,000 = 25.0%</w:t>
      </w:r>
    </w:p>
    <w:p>
      <w:pPr>
        <w:bidi w:val="0"/>
        <w:jc w:val="left"/>
        <w:rPr>
          <w:rFonts w:hint="default"/>
          <w:lang w:val="en-US" w:eastAsia="zh-CN"/>
        </w:rPr>
      </w:pPr>
      <w:r>
        <w:rPr>
          <w:rFonts w:hint="default"/>
          <w:lang w:val="en-US" w:eastAsia="zh-CN"/>
        </w:rPr>
        <w:t>Turnover growth rate in 2020 = (Turnover in 2020 -Turnover in 2019) / Turnover in 2019 = (1,455,000-1,750,000) / 1,455,000 = -16.9%</w:t>
      </w:r>
    </w:p>
    <w:p>
      <w:pPr>
        <w:bidi w:val="0"/>
        <w:jc w:val="left"/>
        <w:rPr>
          <w:rFonts w:hint="default"/>
          <w:lang w:val="en-US" w:eastAsia="zh-CN"/>
        </w:rPr>
      </w:pPr>
      <w:r>
        <w:rPr>
          <w:rFonts w:hint="default"/>
          <w:lang w:val="en-US" w:eastAsia="zh-CN"/>
        </w:rPr>
        <w:t>Turnover growth rate in 2021 = (Turnover in 2021 -Turnover in 2020) / Turnover in 2020 = (1,455,000-1,750,000) / 1,750,000 = -58.7%</w:t>
      </w:r>
    </w:p>
    <w:p>
      <w:pPr>
        <w:bidi w:val="0"/>
        <w:jc w:val="left"/>
        <w:rPr>
          <w:rFonts w:hint="default"/>
          <w:lang w:val="en-US" w:eastAsia="zh-CN"/>
        </w:rPr>
      </w:pPr>
      <w:r>
        <w:rPr>
          <w:rFonts w:hint="default"/>
          <w:lang w:val="en-US" w:eastAsia="zh-CN"/>
        </w:rPr>
        <w:t>Current ratio in 2018 = current assets/current liabilities = 328,000 / 183,000 = 1.79</w:t>
      </w:r>
    </w:p>
    <w:p>
      <w:pPr>
        <w:bidi w:val="0"/>
        <w:jc w:val="left"/>
        <w:rPr>
          <w:rFonts w:hint="default"/>
          <w:lang w:val="en-US" w:eastAsia="zh-CN"/>
        </w:rPr>
      </w:pPr>
      <w:r>
        <w:rPr>
          <w:rFonts w:hint="default"/>
          <w:lang w:val="en-US" w:eastAsia="zh-CN"/>
        </w:rPr>
        <w:t>Current ratio in 2019 = current assets/current liabilities = 392,000 / 197,000 = 1.99</w:t>
      </w:r>
    </w:p>
    <w:p>
      <w:pPr>
        <w:bidi w:val="0"/>
        <w:jc w:val="left"/>
        <w:rPr>
          <w:rFonts w:hint="default"/>
          <w:lang w:val="en-US" w:eastAsia="zh-CN"/>
        </w:rPr>
      </w:pPr>
      <w:r>
        <w:rPr>
          <w:rFonts w:hint="default"/>
          <w:lang w:val="en-US" w:eastAsia="zh-CN"/>
        </w:rPr>
        <w:t>Current ratio in 2020 = current assets/current liabilities = 377,000 / 172,000 = 2.19</w:t>
      </w:r>
    </w:p>
    <w:p>
      <w:pPr>
        <w:bidi w:val="0"/>
        <w:jc w:val="left"/>
        <w:rPr>
          <w:rFonts w:hint="default"/>
          <w:lang w:val="en-US" w:eastAsia="zh-CN"/>
        </w:rPr>
      </w:pPr>
      <w:r>
        <w:rPr>
          <w:rFonts w:hint="default"/>
          <w:lang w:val="en-US" w:eastAsia="zh-CN"/>
        </w:rPr>
        <w:t>Current ratio in 2021 = current assets/current liabilities = 282,000 / 237,000 = 1.19</w:t>
      </w: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p>
      <w:pPr>
        <w:bidi w:val="0"/>
        <w:jc w:val="left"/>
        <w:rPr>
          <w:rFonts w:hint="default"/>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宋体">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Calibri">
    <w:panose1 w:val="020F0502020204030204"/>
    <w:charset w:val="86"/>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697CBB"/>
    <w:multiLevelType w:val="singleLevel"/>
    <w:tmpl w:val="CE697CBB"/>
    <w:lvl w:ilvl="0" w:tentative="0">
      <w:start w:val="3"/>
      <w:numFmt w:val="decimal"/>
      <w:suff w:val="space"/>
      <w:lvlText w:val="(%1)"/>
      <w:lvlJc w:val="left"/>
    </w:lvl>
  </w:abstractNum>
  <w:abstractNum w:abstractNumId="1">
    <w:nsid w:val="0710910B"/>
    <w:multiLevelType w:val="singleLevel"/>
    <w:tmpl w:val="0710910B"/>
    <w:lvl w:ilvl="0" w:tentative="0">
      <w:start w:val="1"/>
      <w:numFmt w:val="lowerLetter"/>
      <w:suff w:val="space"/>
      <w:lvlText w:val="(%1)"/>
      <w:lvlJc w:val="left"/>
    </w:lvl>
  </w:abstractNum>
  <w:abstractNum w:abstractNumId="2">
    <w:nsid w:val="715A963E"/>
    <w:multiLevelType w:val="singleLevel"/>
    <w:tmpl w:val="715A963E"/>
    <w:lvl w:ilvl="0" w:tentative="0">
      <w:start w:val="1"/>
      <w:numFmt w:val="lowerLetter"/>
      <w:suff w:val="space"/>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5NTcyYzA5NWMwMDAwNDc5M2M3ZWE0MjFjMDEzODUifQ=="/>
  </w:docVars>
  <w:rsids>
    <w:rsidRoot w:val="5B090760"/>
    <w:rsid w:val="0142677D"/>
    <w:rsid w:val="02306473"/>
    <w:rsid w:val="02C47E90"/>
    <w:rsid w:val="03575D3D"/>
    <w:rsid w:val="05A21435"/>
    <w:rsid w:val="08A3365A"/>
    <w:rsid w:val="09AB1135"/>
    <w:rsid w:val="0AF81AF7"/>
    <w:rsid w:val="0BA602D5"/>
    <w:rsid w:val="0D18022F"/>
    <w:rsid w:val="0D1C2FB3"/>
    <w:rsid w:val="0F102B00"/>
    <w:rsid w:val="102857D9"/>
    <w:rsid w:val="102B5A0D"/>
    <w:rsid w:val="107F72C7"/>
    <w:rsid w:val="124F38BA"/>
    <w:rsid w:val="140E413A"/>
    <w:rsid w:val="148D32B1"/>
    <w:rsid w:val="16363B54"/>
    <w:rsid w:val="16442095"/>
    <w:rsid w:val="176F6C9D"/>
    <w:rsid w:val="181B22BC"/>
    <w:rsid w:val="18AC1E92"/>
    <w:rsid w:val="1937411D"/>
    <w:rsid w:val="19924070"/>
    <w:rsid w:val="1A295CF9"/>
    <w:rsid w:val="1BF15DCA"/>
    <w:rsid w:val="1C02332F"/>
    <w:rsid w:val="1CC56BA8"/>
    <w:rsid w:val="1D365C31"/>
    <w:rsid w:val="1D644DCB"/>
    <w:rsid w:val="1DAB6F39"/>
    <w:rsid w:val="1DD27F86"/>
    <w:rsid w:val="1F0258B4"/>
    <w:rsid w:val="1F4D78E4"/>
    <w:rsid w:val="1FBC2C9C"/>
    <w:rsid w:val="1FE6238A"/>
    <w:rsid w:val="24011F24"/>
    <w:rsid w:val="27BC5F2F"/>
    <w:rsid w:val="2A4100AB"/>
    <w:rsid w:val="2AB033FD"/>
    <w:rsid w:val="2B1F098C"/>
    <w:rsid w:val="2B3B53BD"/>
    <w:rsid w:val="2BE5423B"/>
    <w:rsid w:val="2D406CBA"/>
    <w:rsid w:val="2D6D7CCB"/>
    <w:rsid w:val="2E5073D1"/>
    <w:rsid w:val="31210BB1"/>
    <w:rsid w:val="320A7897"/>
    <w:rsid w:val="3227669B"/>
    <w:rsid w:val="325356E2"/>
    <w:rsid w:val="32AD3812"/>
    <w:rsid w:val="37A451ED"/>
    <w:rsid w:val="37E013B5"/>
    <w:rsid w:val="381373C5"/>
    <w:rsid w:val="392E348B"/>
    <w:rsid w:val="39567866"/>
    <w:rsid w:val="39744FD5"/>
    <w:rsid w:val="3A541B42"/>
    <w:rsid w:val="3AFC4F3F"/>
    <w:rsid w:val="3B781D15"/>
    <w:rsid w:val="3C396621"/>
    <w:rsid w:val="40AF11E5"/>
    <w:rsid w:val="422229DB"/>
    <w:rsid w:val="42B9333F"/>
    <w:rsid w:val="438C0A54"/>
    <w:rsid w:val="47266AC9"/>
    <w:rsid w:val="48D72771"/>
    <w:rsid w:val="4A0B01F8"/>
    <w:rsid w:val="4A6022F2"/>
    <w:rsid w:val="4BA22873"/>
    <w:rsid w:val="4C5F07FF"/>
    <w:rsid w:val="4E61488B"/>
    <w:rsid w:val="50EA150D"/>
    <w:rsid w:val="534E687A"/>
    <w:rsid w:val="54BE7664"/>
    <w:rsid w:val="54CE39EE"/>
    <w:rsid w:val="56331C6F"/>
    <w:rsid w:val="56F00EA2"/>
    <w:rsid w:val="576378C6"/>
    <w:rsid w:val="58B57CAD"/>
    <w:rsid w:val="58E01B21"/>
    <w:rsid w:val="598D56E3"/>
    <w:rsid w:val="5A9F29C3"/>
    <w:rsid w:val="5AFF483B"/>
    <w:rsid w:val="5B090760"/>
    <w:rsid w:val="5C2238AB"/>
    <w:rsid w:val="5D747DE6"/>
    <w:rsid w:val="5E547F68"/>
    <w:rsid w:val="5E6C6B55"/>
    <w:rsid w:val="60A033CC"/>
    <w:rsid w:val="61AB000E"/>
    <w:rsid w:val="63CE60C7"/>
    <w:rsid w:val="640734E9"/>
    <w:rsid w:val="66B477F6"/>
    <w:rsid w:val="66BB5028"/>
    <w:rsid w:val="67B03147"/>
    <w:rsid w:val="69117181"/>
    <w:rsid w:val="6C8519DA"/>
    <w:rsid w:val="6D673ED8"/>
    <w:rsid w:val="6D6F4477"/>
    <w:rsid w:val="6DA35ABB"/>
    <w:rsid w:val="6FA04DBB"/>
    <w:rsid w:val="704E6C3A"/>
    <w:rsid w:val="70DF32D9"/>
    <w:rsid w:val="71415D87"/>
    <w:rsid w:val="71BE3247"/>
    <w:rsid w:val="74AB0781"/>
    <w:rsid w:val="762322A2"/>
    <w:rsid w:val="764304AB"/>
    <w:rsid w:val="76BE1FCB"/>
    <w:rsid w:val="770A48E1"/>
    <w:rsid w:val="774976EB"/>
    <w:rsid w:val="776B2153"/>
    <w:rsid w:val="79F86EF8"/>
    <w:rsid w:val="79FE6657"/>
    <w:rsid w:val="7A841815"/>
    <w:rsid w:val="7B7468FE"/>
    <w:rsid w:val="7BA33F17"/>
    <w:rsid w:val="7C6C49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outlineLvl w:val="0"/>
    </w:pPr>
    <w:rPr>
      <w:b/>
      <w:kern w:val="44"/>
      <w:sz w:val="28"/>
    </w:rPr>
  </w:style>
  <w:style w:type="paragraph" w:styleId="3">
    <w:name w:val="heading 2"/>
    <w:basedOn w:val="1"/>
    <w:next w:val="1"/>
    <w:unhideWhenUsed/>
    <w:qFormat/>
    <w:uiPriority w:val="9"/>
    <w:pPr>
      <w:keepNext/>
      <w:keepLines/>
      <w:spacing w:beforeLines="0" w:beforeAutospacing="0" w:afterLines="0" w:afterAutospacing="0" w:line="240" w:lineRule="auto"/>
      <w:outlineLvl w:val="1"/>
    </w:pPr>
    <w:rPr>
      <w:rFonts w:ascii="Times New Roman" w:hAnsi="Times New Roman" w:eastAsia="黑体"/>
      <w:b/>
      <w:sz w:val="24"/>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toc 2"/>
    <w:basedOn w:val="1"/>
    <w:next w:val="1"/>
    <w:uiPriority w:val="0"/>
    <w:pPr>
      <w:ind w:left="420" w:leftChars="200"/>
    </w:pPr>
  </w:style>
  <w:style w:type="paragraph" w:styleId="10">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18981b-cdbe-4124-9bf8-83c9c9a2a606}"/>
        <w:style w:val=""/>
        <w:category>
          <w:name w:val="General"/>
          <w:gallery w:val="placeholder"/>
        </w:category>
        <w:types>
          <w:type w:val="bbPlcHdr"/>
        </w:types>
        <w:behaviors>
          <w:behavior w:val="content"/>
        </w:behaviors>
        <w:description w:val=""/>
        <w:guid w:val="{f218981b-cdbe-4124-9bf8-83c9c9a2a606}"/>
      </w:docPartPr>
      <w:docPartBody>
        <w:p>
          <w:pPr>
            <w:pStyle w:val="1"/>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 w:type="paragraph" w:customStyle="1" w:styleId="1">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6532</Words>
  <Characters>37720</Characters>
  <Lines>0</Lines>
  <Paragraphs>0</Paragraphs>
  <TotalTime>4</TotalTime>
  <ScaleCrop>false</ScaleCrop>
  <LinksUpToDate>false</LinksUpToDate>
  <CharactersWithSpaces>44420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2023-04-28T09:03:00Z</dcterms:created>
  <dc:creator>学罢～</dc:creator>
  <cp:lastModifiedBy>学罢～</cp:lastModifiedBy>
  <dcterms:modified xsi:type="dcterms:W3CDTF">2023-05-10T09:34:08Z</dcterms:modified>
  <dc:title>Portal Fabrication Plc  and Troy Brands</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739C292C165F4ACF8CFA5FB7BFF24622_13</vt:lpwstr>
  </property>
</Properties>
</file>