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38A25" w14:textId="038DBAD7" w:rsidR="002643BE" w:rsidRPr="00126F74" w:rsidRDefault="002643BE" w:rsidP="00911785">
      <w:pPr>
        <w:spacing w:line="360" w:lineRule="auto"/>
        <w:jc w:val="both"/>
        <w:rPr>
          <w:rFonts w:ascii="Arial" w:hAnsi="Arial" w:cs="Arial"/>
        </w:rPr>
      </w:pPr>
    </w:p>
    <w:p w14:paraId="6BE8A778" w14:textId="77777777" w:rsidR="00A76773" w:rsidRPr="00126F74" w:rsidRDefault="00A76773" w:rsidP="00911785">
      <w:pPr>
        <w:spacing w:line="360" w:lineRule="auto"/>
        <w:jc w:val="both"/>
        <w:rPr>
          <w:rFonts w:ascii="Arial" w:hAnsi="Arial" w:cs="Arial"/>
        </w:rPr>
      </w:pPr>
    </w:p>
    <w:p w14:paraId="1F944C1C" w14:textId="5DA5076E" w:rsidR="00A76773" w:rsidRDefault="000F59F5" w:rsidP="000F59F5">
      <w:pPr>
        <w:spacing w:line="360" w:lineRule="auto"/>
        <w:jc w:val="center"/>
        <w:rPr>
          <w:rFonts w:ascii="Arial" w:hAnsi="Arial" w:cs="Arial"/>
        </w:rPr>
      </w:pPr>
      <w:r>
        <w:rPr>
          <w:rFonts w:ascii="Arial" w:hAnsi="Arial" w:cs="Arial"/>
          <w:noProof/>
        </w:rPr>
        <w:drawing>
          <wp:inline distT="0" distB="0" distL="0" distR="0" wp14:anchorId="076969FA" wp14:editId="12298376">
            <wp:extent cx="1908175" cy="2109470"/>
            <wp:effectExtent l="0" t="0" r="0" b="5080"/>
            <wp:docPr id="844478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2109470"/>
                    </a:xfrm>
                    <a:prstGeom prst="rect">
                      <a:avLst/>
                    </a:prstGeom>
                    <a:noFill/>
                  </pic:spPr>
                </pic:pic>
              </a:graphicData>
            </a:graphic>
          </wp:inline>
        </w:drawing>
      </w:r>
    </w:p>
    <w:p w14:paraId="685779B4" w14:textId="77777777" w:rsidR="002C4AAC" w:rsidRDefault="002C4AAC" w:rsidP="000F59F5">
      <w:pPr>
        <w:spacing w:line="360" w:lineRule="auto"/>
        <w:jc w:val="center"/>
        <w:rPr>
          <w:rFonts w:ascii="Arial" w:hAnsi="Arial" w:cs="Arial"/>
        </w:rPr>
      </w:pPr>
    </w:p>
    <w:p w14:paraId="5A5A69EA" w14:textId="77777777" w:rsidR="00FF72B6" w:rsidRDefault="002C4AAC" w:rsidP="00FF72B6">
      <w:pPr>
        <w:spacing w:line="360" w:lineRule="auto"/>
        <w:rPr>
          <w:rFonts w:ascii="Arial" w:hAnsi="Arial" w:cs="Arial"/>
          <w:b/>
          <w:bCs/>
          <w:sz w:val="48"/>
          <w:szCs w:val="48"/>
        </w:rPr>
      </w:pPr>
      <w:r w:rsidRPr="00FF72B6">
        <w:rPr>
          <w:rFonts w:ascii="Arial" w:hAnsi="Arial" w:cs="Arial"/>
          <w:b/>
          <w:bCs/>
          <w:sz w:val="48"/>
          <w:szCs w:val="48"/>
        </w:rPr>
        <w:t>STRATEGIC MANAGEMENT FOR SME</w:t>
      </w:r>
      <w:r w:rsidR="0060230D" w:rsidRPr="00FF72B6">
        <w:rPr>
          <w:rFonts w:ascii="Arial" w:hAnsi="Arial" w:cs="Arial"/>
          <w:b/>
          <w:bCs/>
          <w:sz w:val="48"/>
          <w:szCs w:val="48"/>
        </w:rPr>
        <w:t>s</w:t>
      </w:r>
    </w:p>
    <w:p w14:paraId="2F461308" w14:textId="608145AA" w:rsidR="002C4AAC" w:rsidRPr="00FF72B6" w:rsidRDefault="002C4AAC" w:rsidP="00FF72B6">
      <w:pPr>
        <w:spacing w:line="360" w:lineRule="auto"/>
        <w:rPr>
          <w:rFonts w:ascii="Arial" w:hAnsi="Arial" w:cs="Arial"/>
          <w:b/>
          <w:bCs/>
          <w:sz w:val="48"/>
          <w:szCs w:val="48"/>
        </w:rPr>
      </w:pPr>
      <w:r w:rsidRPr="00FF72B6">
        <w:rPr>
          <w:rFonts w:ascii="Arial" w:hAnsi="Arial" w:cs="Arial"/>
          <w:b/>
          <w:bCs/>
          <w:sz w:val="48"/>
          <w:szCs w:val="48"/>
        </w:rPr>
        <w:t xml:space="preserve">(BMSW </w:t>
      </w:r>
      <w:r w:rsidR="0060230D" w:rsidRPr="00FF72B6">
        <w:rPr>
          <w:rFonts w:ascii="Arial" w:hAnsi="Arial" w:cs="Arial"/>
          <w:b/>
          <w:bCs/>
          <w:sz w:val="48"/>
          <w:szCs w:val="48"/>
        </w:rPr>
        <w:t>6</w:t>
      </w:r>
      <w:r w:rsidRPr="00FF72B6">
        <w:rPr>
          <w:rFonts w:ascii="Arial" w:hAnsi="Arial" w:cs="Arial"/>
          <w:b/>
          <w:bCs/>
          <w:sz w:val="48"/>
          <w:szCs w:val="48"/>
        </w:rPr>
        <w:t>1</w:t>
      </w:r>
      <w:r w:rsidR="0060230D" w:rsidRPr="00FF72B6">
        <w:rPr>
          <w:rFonts w:ascii="Arial" w:hAnsi="Arial" w:cs="Arial"/>
          <w:b/>
          <w:bCs/>
          <w:sz w:val="48"/>
          <w:szCs w:val="48"/>
        </w:rPr>
        <w:t>O4)</w:t>
      </w:r>
    </w:p>
    <w:p w14:paraId="4E1877ED" w14:textId="77777777" w:rsidR="00F447DB" w:rsidRDefault="00F85155" w:rsidP="00911785">
      <w:pPr>
        <w:spacing w:line="360" w:lineRule="auto"/>
        <w:jc w:val="both"/>
        <w:rPr>
          <w:rFonts w:ascii="Arial" w:hAnsi="Arial" w:cs="Arial"/>
          <w:b/>
          <w:bCs/>
          <w:sz w:val="36"/>
          <w:szCs w:val="36"/>
        </w:rPr>
      </w:pPr>
      <w:r w:rsidRPr="00F447DB">
        <w:rPr>
          <w:rFonts w:ascii="Arial" w:hAnsi="Arial" w:cs="Arial"/>
          <w:b/>
          <w:bCs/>
          <w:sz w:val="36"/>
          <w:szCs w:val="36"/>
        </w:rPr>
        <w:t>Strategi</w:t>
      </w:r>
      <w:r w:rsidR="001D52CF" w:rsidRPr="00F447DB">
        <w:rPr>
          <w:rFonts w:ascii="Arial" w:hAnsi="Arial" w:cs="Arial"/>
          <w:b/>
          <w:bCs/>
          <w:sz w:val="36"/>
          <w:szCs w:val="36"/>
        </w:rPr>
        <w:t>c Development and Implementation</w:t>
      </w:r>
    </w:p>
    <w:p w14:paraId="72DD510E" w14:textId="1BBD8EF9" w:rsidR="00A76773" w:rsidRPr="00F447DB" w:rsidRDefault="001D52CF" w:rsidP="00911785">
      <w:pPr>
        <w:spacing w:line="360" w:lineRule="auto"/>
        <w:jc w:val="both"/>
        <w:rPr>
          <w:rFonts w:ascii="Arial" w:hAnsi="Arial" w:cs="Arial"/>
          <w:b/>
          <w:bCs/>
          <w:sz w:val="36"/>
          <w:szCs w:val="36"/>
        </w:rPr>
      </w:pPr>
      <w:r w:rsidRPr="00F447DB">
        <w:rPr>
          <w:rFonts w:ascii="Arial" w:hAnsi="Arial" w:cs="Arial"/>
          <w:b/>
          <w:bCs/>
          <w:sz w:val="36"/>
          <w:szCs w:val="36"/>
        </w:rPr>
        <w:t>for Small and Medium Enterprises</w:t>
      </w:r>
    </w:p>
    <w:p w14:paraId="31CA2BF9" w14:textId="77777777" w:rsidR="00A76773" w:rsidRPr="00F447DB" w:rsidRDefault="00A76773" w:rsidP="00911785">
      <w:pPr>
        <w:spacing w:line="360" w:lineRule="auto"/>
        <w:jc w:val="both"/>
        <w:rPr>
          <w:rFonts w:ascii="Arial" w:hAnsi="Arial" w:cs="Arial"/>
          <w:b/>
          <w:bCs/>
          <w:sz w:val="36"/>
          <w:szCs w:val="36"/>
        </w:rPr>
      </w:pPr>
    </w:p>
    <w:p w14:paraId="59C97FA8" w14:textId="77777777" w:rsidR="00A76773" w:rsidRPr="00126F74" w:rsidRDefault="00A76773" w:rsidP="00911785">
      <w:pPr>
        <w:spacing w:line="360" w:lineRule="auto"/>
        <w:jc w:val="both"/>
        <w:rPr>
          <w:rFonts w:ascii="Arial" w:hAnsi="Arial" w:cs="Arial"/>
        </w:rPr>
      </w:pPr>
    </w:p>
    <w:p w14:paraId="200AFF7D" w14:textId="77777777" w:rsidR="00A76773" w:rsidRPr="00126F74" w:rsidRDefault="00A76773" w:rsidP="00911785">
      <w:pPr>
        <w:spacing w:line="360" w:lineRule="auto"/>
        <w:jc w:val="both"/>
        <w:rPr>
          <w:rFonts w:ascii="Arial" w:hAnsi="Arial" w:cs="Arial"/>
        </w:rPr>
      </w:pPr>
    </w:p>
    <w:p w14:paraId="28C19868" w14:textId="77777777" w:rsidR="00A76773" w:rsidRPr="00126F74" w:rsidRDefault="00A76773" w:rsidP="00911785">
      <w:pPr>
        <w:spacing w:line="360" w:lineRule="auto"/>
        <w:jc w:val="both"/>
        <w:rPr>
          <w:rFonts w:ascii="Arial" w:hAnsi="Arial" w:cs="Arial"/>
        </w:rPr>
      </w:pPr>
    </w:p>
    <w:p w14:paraId="7CD5EDDC" w14:textId="77777777" w:rsidR="00A76773" w:rsidRPr="00126F74" w:rsidRDefault="00A76773" w:rsidP="00911785">
      <w:pPr>
        <w:spacing w:line="360" w:lineRule="auto"/>
        <w:jc w:val="both"/>
        <w:rPr>
          <w:rFonts w:ascii="Arial" w:hAnsi="Arial" w:cs="Arial"/>
        </w:rPr>
      </w:pPr>
    </w:p>
    <w:p w14:paraId="1498E98B" w14:textId="77777777" w:rsidR="00A76773" w:rsidRPr="00126F74" w:rsidRDefault="00A76773" w:rsidP="00911785">
      <w:pPr>
        <w:spacing w:line="360" w:lineRule="auto"/>
        <w:jc w:val="both"/>
        <w:rPr>
          <w:rFonts w:ascii="Arial" w:hAnsi="Arial" w:cs="Arial"/>
        </w:rPr>
      </w:pPr>
    </w:p>
    <w:p w14:paraId="5AF0966D" w14:textId="77777777" w:rsidR="00A76773" w:rsidRPr="00126F74" w:rsidRDefault="00A76773" w:rsidP="00911785">
      <w:pPr>
        <w:spacing w:line="360" w:lineRule="auto"/>
        <w:jc w:val="both"/>
        <w:rPr>
          <w:rFonts w:ascii="Arial" w:hAnsi="Arial" w:cs="Arial"/>
        </w:rPr>
      </w:pPr>
    </w:p>
    <w:p w14:paraId="3963D2B7" w14:textId="77777777" w:rsidR="00A76773" w:rsidRPr="00126F74" w:rsidRDefault="00A76773" w:rsidP="00911785">
      <w:pPr>
        <w:spacing w:line="360" w:lineRule="auto"/>
        <w:jc w:val="both"/>
        <w:rPr>
          <w:rFonts w:ascii="Arial" w:hAnsi="Arial" w:cs="Arial"/>
        </w:rPr>
      </w:pPr>
    </w:p>
    <w:p w14:paraId="5F60AFCD" w14:textId="4C3878B5" w:rsidR="00A76773" w:rsidRPr="00126F74" w:rsidRDefault="00CC1E4D" w:rsidP="00CC1E4D">
      <w:pPr>
        <w:spacing w:line="360" w:lineRule="auto"/>
        <w:rPr>
          <w:rFonts w:ascii="Arial" w:hAnsi="Arial" w:cs="Arial"/>
        </w:rPr>
      </w:pPr>
      <w:r>
        <w:rPr>
          <w:rFonts w:ascii="Arial" w:hAnsi="Arial" w:cs="Arial"/>
        </w:rPr>
        <w:t xml:space="preserve">                                                                                        </w:t>
      </w:r>
      <w:r w:rsidR="0081085A">
        <w:rPr>
          <w:rFonts w:ascii="Arial" w:hAnsi="Arial" w:cs="Arial"/>
        </w:rPr>
        <w:t>Lecturer</w:t>
      </w:r>
      <w:r>
        <w:rPr>
          <w:rFonts w:ascii="Arial" w:hAnsi="Arial" w:cs="Arial"/>
        </w:rPr>
        <w:t>:</w:t>
      </w:r>
      <w:r w:rsidR="0081085A">
        <w:rPr>
          <w:rFonts w:ascii="Arial" w:hAnsi="Arial" w:cs="Arial"/>
        </w:rPr>
        <w:t xml:space="preserve"> </w:t>
      </w:r>
      <w:r>
        <w:rPr>
          <w:rFonts w:ascii="Arial" w:hAnsi="Arial" w:cs="Arial"/>
        </w:rPr>
        <w:t xml:space="preserve">     </w:t>
      </w:r>
      <w:proofErr w:type="spellStart"/>
      <w:r w:rsidR="007E78A7">
        <w:rPr>
          <w:rFonts w:ascii="Arial" w:hAnsi="Arial" w:cs="Arial"/>
        </w:rPr>
        <w:t>Dr</w:t>
      </w:r>
      <w:r w:rsidR="00070EFB">
        <w:rPr>
          <w:rFonts w:ascii="Arial" w:hAnsi="Arial" w:cs="Arial"/>
        </w:rPr>
        <w:t>.</w:t>
      </w:r>
      <w:proofErr w:type="spellEnd"/>
      <w:r w:rsidR="00070EFB">
        <w:rPr>
          <w:rFonts w:ascii="Arial" w:hAnsi="Arial" w:cs="Arial"/>
        </w:rPr>
        <w:t xml:space="preserve"> </w:t>
      </w:r>
      <w:proofErr w:type="spellStart"/>
      <w:r w:rsidR="00070EFB">
        <w:rPr>
          <w:rFonts w:ascii="Arial" w:hAnsi="Arial" w:cs="Arial"/>
        </w:rPr>
        <w:t>Faizu</w:t>
      </w:r>
      <w:proofErr w:type="spellEnd"/>
      <w:r w:rsidR="00070EFB">
        <w:rPr>
          <w:rFonts w:ascii="Arial" w:hAnsi="Arial" w:cs="Arial"/>
        </w:rPr>
        <w:t xml:space="preserve"> Edu</w:t>
      </w:r>
    </w:p>
    <w:p w14:paraId="47B51439" w14:textId="77777777" w:rsidR="00A76773" w:rsidRPr="00126F74" w:rsidRDefault="00A76773" w:rsidP="00911785">
      <w:pPr>
        <w:spacing w:line="360" w:lineRule="auto"/>
        <w:jc w:val="both"/>
        <w:rPr>
          <w:rFonts w:ascii="Arial" w:hAnsi="Arial" w:cs="Arial"/>
        </w:rPr>
      </w:pPr>
    </w:p>
    <w:p w14:paraId="42BBCE2C" w14:textId="77777777" w:rsidR="00501DE9" w:rsidRDefault="00501DE9" w:rsidP="00911785">
      <w:pPr>
        <w:spacing w:line="360" w:lineRule="auto"/>
        <w:jc w:val="both"/>
        <w:rPr>
          <w:rFonts w:ascii="Arial" w:hAnsi="Arial" w:cs="Arial"/>
        </w:rPr>
      </w:pPr>
    </w:p>
    <w:p w14:paraId="13A6EEA7" w14:textId="77777777" w:rsidR="00501DE9" w:rsidRDefault="00501DE9" w:rsidP="00911785">
      <w:pPr>
        <w:spacing w:line="360" w:lineRule="auto"/>
        <w:jc w:val="both"/>
        <w:rPr>
          <w:rFonts w:ascii="Arial" w:hAnsi="Arial" w:cs="Arial"/>
        </w:rPr>
      </w:pPr>
    </w:p>
    <w:p w14:paraId="225EF788" w14:textId="39E14F2B" w:rsidR="00346C14" w:rsidRPr="00126F74" w:rsidRDefault="00346C14" w:rsidP="00010995">
      <w:pPr>
        <w:pStyle w:val="Heading2"/>
      </w:pPr>
      <w:bookmarkStart w:id="0" w:name="_Toc143532256"/>
      <w:r w:rsidRPr="00126F74">
        <w:t>Executive Summary</w:t>
      </w:r>
      <w:bookmarkEnd w:id="0"/>
    </w:p>
    <w:p w14:paraId="304AD37B" w14:textId="77777777" w:rsidR="00346C14" w:rsidRPr="00126F74" w:rsidRDefault="00346C14" w:rsidP="00911785">
      <w:pPr>
        <w:spacing w:line="360" w:lineRule="auto"/>
        <w:jc w:val="both"/>
        <w:rPr>
          <w:rFonts w:ascii="Arial" w:hAnsi="Arial" w:cs="Arial"/>
        </w:rPr>
      </w:pPr>
      <w:r w:rsidRPr="00126F74">
        <w:rPr>
          <w:rFonts w:ascii="Arial" w:hAnsi="Arial" w:cs="Arial"/>
        </w:rPr>
        <w:t>The report provides a complete and straightforward overview of Alimera Sciences Inc.'s company operations. It offers detailed information on all relevant data, including SWOT Analysis, ESG Spotlight, Financial KPIs &amp; Benchmarking, and more. The report provides a comprehensive assessment of Alimera Sciences Inc.'s overall strategic status by combining various strategic studies. This comprehensive examination assists in making educated decisions, strategic planning, and developing long-term organisational Strategy.</w:t>
      </w:r>
    </w:p>
    <w:p w14:paraId="419FDC91" w14:textId="77777777" w:rsidR="00346C14" w:rsidRPr="00126F74" w:rsidRDefault="00346C14" w:rsidP="00911785">
      <w:pPr>
        <w:spacing w:line="360" w:lineRule="auto"/>
        <w:jc w:val="both"/>
        <w:rPr>
          <w:rFonts w:ascii="Arial" w:hAnsi="Arial" w:cs="Arial"/>
        </w:rPr>
      </w:pPr>
    </w:p>
    <w:p w14:paraId="2CDD7A13" w14:textId="77777777" w:rsidR="00346C14" w:rsidRPr="00126F74" w:rsidRDefault="00346C14" w:rsidP="00911785">
      <w:pPr>
        <w:spacing w:line="360" w:lineRule="auto"/>
        <w:jc w:val="both"/>
        <w:rPr>
          <w:rFonts w:ascii="Arial" w:hAnsi="Arial" w:cs="Arial"/>
        </w:rPr>
      </w:pPr>
    </w:p>
    <w:p w14:paraId="47A0E4BF" w14:textId="77777777" w:rsidR="00346C14" w:rsidRPr="00126F74" w:rsidRDefault="00346C14" w:rsidP="00911785">
      <w:pPr>
        <w:spacing w:line="360" w:lineRule="auto"/>
        <w:jc w:val="both"/>
        <w:rPr>
          <w:rFonts w:ascii="Arial" w:hAnsi="Arial" w:cs="Arial"/>
        </w:rPr>
      </w:pPr>
    </w:p>
    <w:p w14:paraId="027455EC" w14:textId="77777777" w:rsidR="00346C14" w:rsidRPr="00126F74" w:rsidRDefault="00346C14" w:rsidP="00911785">
      <w:pPr>
        <w:spacing w:line="360" w:lineRule="auto"/>
        <w:jc w:val="both"/>
        <w:rPr>
          <w:rFonts w:ascii="Arial" w:hAnsi="Arial" w:cs="Arial"/>
        </w:rPr>
      </w:pPr>
    </w:p>
    <w:p w14:paraId="4410ECBE" w14:textId="77777777" w:rsidR="00346C14" w:rsidRPr="00126F74" w:rsidRDefault="00346C14" w:rsidP="00911785">
      <w:pPr>
        <w:spacing w:line="360" w:lineRule="auto"/>
        <w:jc w:val="both"/>
        <w:rPr>
          <w:rFonts w:ascii="Arial" w:hAnsi="Arial" w:cs="Arial"/>
        </w:rPr>
      </w:pPr>
    </w:p>
    <w:p w14:paraId="5856FCBB" w14:textId="77777777" w:rsidR="00346C14" w:rsidRPr="00126F74" w:rsidRDefault="00346C14" w:rsidP="00911785">
      <w:pPr>
        <w:spacing w:line="360" w:lineRule="auto"/>
        <w:jc w:val="both"/>
        <w:rPr>
          <w:rFonts w:ascii="Arial" w:hAnsi="Arial" w:cs="Arial"/>
        </w:rPr>
      </w:pPr>
    </w:p>
    <w:p w14:paraId="1C2A7C42" w14:textId="77777777" w:rsidR="00346C14" w:rsidRPr="00126F74" w:rsidRDefault="00346C14" w:rsidP="00911785">
      <w:pPr>
        <w:spacing w:line="360" w:lineRule="auto"/>
        <w:jc w:val="both"/>
        <w:rPr>
          <w:rFonts w:ascii="Arial" w:hAnsi="Arial" w:cs="Arial"/>
        </w:rPr>
      </w:pPr>
    </w:p>
    <w:p w14:paraId="24EDC027" w14:textId="77777777" w:rsidR="00346C14" w:rsidRPr="00126F74" w:rsidRDefault="00346C14" w:rsidP="00911785">
      <w:pPr>
        <w:spacing w:line="360" w:lineRule="auto"/>
        <w:jc w:val="both"/>
        <w:rPr>
          <w:rFonts w:ascii="Arial" w:hAnsi="Arial" w:cs="Arial"/>
        </w:rPr>
      </w:pPr>
    </w:p>
    <w:p w14:paraId="4FF15948" w14:textId="77777777" w:rsidR="00346C14" w:rsidRPr="00126F74" w:rsidRDefault="00346C14" w:rsidP="00911785">
      <w:pPr>
        <w:spacing w:line="360" w:lineRule="auto"/>
        <w:jc w:val="both"/>
        <w:rPr>
          <w:rFonts w:ascii="Arial" w:hAnsi="Arial" w:cs="Arial"/>
        </w:rPr>
      </w:pPr>
    </w:p>
    <w:p w14:paraId="78FAF313" w14:textId="77777777" w:rsidR="00346C14" w:rsidRPr="00126F74" w:rsidRDefault="00346C14" w:rsidP="00911785">
      <w:pPr>
        <w:spacing w:line="360" w:lineRule="auto"/>
        <w:jc w:val="both"/>
        <w:rPr>
          <w:rFonts w:ascii="Arial" w:hAnsi="Arial" w:cs="Arial"/>
        </w:rPr>
      </w:pPr>
    </w:p>
    <w:p w14:paraId="4E4C0A86" w14:textId="77777777" w:rsidR="00346C14" w:rsidRPr="00126F74" w:rsidRDefault="00346C14" w:rsidP="00911785">
      <w:pPr>
        <w:spacing w:line="360" w:lineRule="auto"/>
        <w:jc w:val="both"/>
        <w:rPr>
          <w:rFonts w:ascii="Arial" w:hAnsi="Arial" w:cs="Arial"/>
        </w:rPr>
      </w:pPr>
    </w:p>
    <w:p w14:paraId="563CA2CD" w14:textId="77777777" w:rsidR="00346C14" w:rsidRPr="00126F74" w:rsidRDefault="00346C14" w:rsidP="00911785">
      <w:pPr>
        <w:spacing w:line="360" w:lineRule="auto"/>
        <w:jc w:val="both"/>
        <w:rPr>
          <w:rFonts w:ascii="Arial" w:hAnsi="Arial" w:cs="Arial"/>
        </w:rPr>
      </w:pPr>
    </w:p>
    <w:p w14:paraId="6F3E706E" w14:textId="77777777" w:rsidR="00346C14" w:rsidRPr="00126F74" w:rsidRDefault="00346C14" w:rsidP="00911785">
      <w:pPr>
        <w:spacing w:line="360" w:lineRule="auto"/>
        <w:jc w:val="both"/>
        <w:rPr>
          <w:rFonts w:ascii="Arial" w:hAnsi="Arial" w:cs="Arial"/>
        </w:rPr>
      </w:pPr>
    </w:p>
    <w:p w14:paraId="496C239F" w14:textId="77777777" w:rsidR="00346C14" w:rsidRPr="00126F74" w:rsidRDefault="00346C14" w:rsidP="00911785">
      <w:pPr>
        <w:spacing w:line="360" w:lineRule="auto"/>
        <w:jc w:val="both"/>
        <w:rPr>
          <w:rFonts w:ascii="Arial" w:hAnsi="Arial" w:cs="Arial"/>
        </w:rPr>
      </w:pPr>
    </w:p>
    <w:p w14:paraId="549F67BF" w14:textId="77777777" w:rsidR="00346C14" w:rsidRPr="00126F74" w:rsidRDefault="00346C14" w:rsidP="00911785">
      <w:pPr>
        <w:spacing w:line="360" w:lineRule="auto"/>
        <w:jc w:val="both"/>
        <w:rPr>
          <w:rFonts w:ascii="Arial" w:hAnsi="Arial" w:cs="Arial"/>
        </w:rPr>
      </w:pPr>
    </w:p>
    <w:p w14:paraId="025BF431" w14:textId="77777777" w:rsidR="00346C14" w:rsidRPr="00126F74" w:rsidRDefault="00346C14" w:rsidP="00911785">
      <w:pPr>
        <w:spacing w:line="360" w:lineRule="auto"/>
        <w:jc w:val="both"/>
        <w:rPr>
          <w:rFonts w:ascii="Arial" w:hAnsi="Arial" w:cs="Arial"/>
        </w:rPr>
      </w:pPr>
    </w:p>
    <w:p w14:paraId="1CB39B33" w14:textId="77777777" w:rsidR="00346C14" w:rsidRPr="00126F74" w:rsidRDefault="00346C14" w:rsidP="00911785">
      <w:pPr>
        <w:spacing w:line="360" w:lineRule="auto"/>
        <w:jc w:val="both"/>
        <w:rPr>
          <w:rFonts w:ascii="Arial" w:hAnsi="Arial" w:cs="Arial"/>
        </w:rPr>
      </w:pPr>
    </w:p>
    <w:p w14:paraId="3155AB21" w14:textId="77777777" w:rsidR="00346C14" w:rsidRPr="00126F74" w:rsidRDefault="00346C14" w:rsidP="00911785">
      <w:pPr>
        <w:spacing w:line="360" w:lineRule="auto"/>
        <w:jc w:val="both"/>
        <w:rPr>
          <w:rFonts w:ascii="Arial" w:hAnsi="Arial" w:cs="Arial"/>
        </w:rPr>
      </w:pPr>
    </w:p>
    <w:p w14:paraId="6CE691D0" w14:textId="77777777" w:rsidR="00010995" w:rsidRDefault="00010995" w:rsidP="00911785">
      <w:pPr>
        <w:spacing w:line="360" w:lineRule="auto"/>
        <w:jc w:val="both"/>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123769377"/>
        <w:docPartObj>
          <w:docPartGallery w:val="Table of Contents"/>
          <w:docPartUnique/>
        </w:docPartObj>
      </w:sdtPr>
      <w:sdtEndPr>
        <w:rPr>
          <w:b/>
          <w:bCs/>
          <w:noProof/>
        </w:rPr>
      </w:sdtEndPr>
      <w:sdtContent>
        <w:p w14:paraId="106B3457" w14:textId="4B3C2C76" w:rsidR="00BB645D" w:rsidRDefault="00BB645D">
          <w:pPr>
            <w:pStyle w:val="TOCHeading"/>
          </w:pPr>
          <w:r>
            <w:t>Contents</w:t>
          </w:r>
        </w:p>
        <w:p w14:paraId="57F8461C" w14:textId="155466FC" w:rsidR="00BB645D" w:rsidRDefault="00BB645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532256" w:history="1">
            <w:r w:rsidRPr="00FF685D">
              <w:rPr>
                <w:rStyle w:val="Hyperlink"/>
                <w:noProof/>
              </w:rPr>
              <w:t>Executive Summary</w:t>
            </w:r>
            <w:r>
              <w:rPr>
                <w:noProof/>
                <w:webHidden/>
              </w:rPr>
              <w:tab/>
            </w:r>
            <w:r>
              <w:rPr>
                <w:noProof/>
                <w:webHidden/>
              </w:rPr>
              <w:fldChar w:fldCharType="begin"/>
            </w:r>
            <w:r>
              <w:rPr>
                <w:noProof/>
                <w:webHidden/>
              </w:rPr>
              <w:instrText xml:space="preserve"> PAGEREF _Toc143532256 \h </w:instrText>
            </w:r>
            <w:r>
              <w:rPr>
                <w:noProof/>
                <w:webHidden/>
              </w:rPr>
            </w:r>
            <w:r>
              <w:rPr>
                <w:noProof/>
                <w:webHidden/>
              </w:rPr>
              <w:fldChar w:fldCharType="separate"/>
            </w:r>
            <w:r>
              <w:rPr>
                <w:noProof/>
                <w:webHidden/>
              </w:rPr>
              <w:t>2</w:t>
            </w:r>
            <w:r>
              <w:rPr>
                <w:noProof/>
                <w:webHidden/>
              </w:rPr>
              <w:fldChar w:fldCharType="end"/>
            </w:r>
          </w:hyperlink>
        </w:p>
        <w:p w14:paraId="6AA67FDA" w14:textId="4D74C049" w:rsidR="00BB645D" w:rsidRDefault="001E1150">
          <w:pPr>
            <w:pStyle w:val="TOC2"/>
            <w:tabs>
              <w:tab w:val="right" w:leader="dot" w:pos="9016"/>
            </w:tabs>
            <w:rPr>
              <w:rFonts w:eastAsiaTheme="minorEastAsia"/>
              <w:noProof/>
              <w:lang w:eastAsia="en-GB"/>
            </w:rPr>
          </w:pPr>
          <w:hyperlink w:anchor="_Toc143532257" w:history="1">
            <w:r w:rsidR="00BB645D" w:rsidRPr="00FF685D">
              <w:rPr>
                <w:rStyle w:val="Hyperlink"/>
                <w:noProof/>
              </w:rPr>
              <w:t>Introduction:</w:t>
            </w:r>
            <w:r w:rsidR="00BB645D">
              <w:rPr>
                <w:noProof/>
                <w:webHidden/>
              </w:rPr>
              <w:tab/>
            </w:r>
            <w:r w:rsidR="00BB645D">
              <w:rPr>
                <w:noProof/>
                <w:webHidden/>
              </w:rPr>
              <w:fldChar w:fldCharType="begin"/>
            </w:r>
            <w:r w:rsidR="00BB645D">
              <w:rPr>
                <w:noProof/>
                <w:webHidden/>
              </w:rPr>
              <w:instrText xml:space="preserve"> PAGEREF _Toc143532257 \h </w:instrText>
            </w:r>
            <w:r w:rsidR="00BB645D">
              <w:rPr>
                <w:noProof/>
                <w:webHidden/>
              </w:rPr>
            </w:r>
            <w:r w:rsidR="00BB645D">
              <w:rPr>
                <w:noProof/>
                <w:webHidden/>
              </w:rPr>
              <w:fldChar w:fldCharType="separate"/>
            </w:r>
            <w:r w:rsidR="00BB645D">
              <w:rPr>
                <w:noProof/>
                <w:webHidden/>
              </w:rPr>
              <w:t>4</w:t>
            </w:r>
            <w:r w:rsidR="00BB645D">
              <w:rPr>
                <w:noProof/>
                <w:webHidden/>
              </w:rPr>
              <w:fldChar w:fldCharType="end"/>
            </w:r>
          </w:hyperlink>
        </w:p>
        <w:p w14:paraId="1083CCAD" w14:textId="114D4880" w:rsidR="00BB645D" w:rsidRDefault="001E1150">
          <w:pPr>
            <w:pStyle w:val="TOC2"/>
            <w:tabs>
              <w:tab w:val="right" w:leader="dot" w:pos="9016"/>
            </w:tabs>
            <w:rPr>
              <w:rFonts w:eastAsiaTheme="minorEastAsia"/>
              <w:noProof/>
              <w:lang w:eastAsia="en-GB"/>
            </w:rPr>
          </w:pPr>
          <w:hyperlink w:anchor="_Toc143532258" w:history="1">
            <w:r w:rsidR="00BB645D" w:rsidRPr="00FF685D">
              <w:rPr>
                <w:rStyle w:val="Hyperlink"/>
                <w:noProof/>
              </w:rPr>
              <w:t>The primary purpose of writing the report</w:t>
            </w:r>
            <w:r w:rsidR="00BB645D">
              <w:rPr>
                <w:noProof/>
                <w:webHidden/>
              </w:rPr>
              <w:tab/>
            </w:r>
            <w:r w:rsidR="00BB645D">
              <w:rPr>
                <w:noProof/>
                <w:webHidden/>
              </w:rPr>
              <w:fldChar w:fldCharType="begin"/>
            </w:r>
            <w:r w:rsidR="00BB645D">
              <w:rPr>
                <w:noProof/>
                <w:webHidden/>
              </w:rPr>
              <w:instrText xml:space="preserve"> PAGEREF _Toc143532258 \h </w:instrText>
            </w:r>
            <w:r w:rsidR="00BB645D">
              <w:rPr>
                <w:noProof/>
                <w:webHidden/>
              </w:rPr>
            </w:r>
            <w:r w:rsidR="00BB645D">
              <w:rPr>
                <w:noProof/>
                <w:webHidden/>
              </w:rPr>
              <w:fldChar w:fldCharType="separate"/>
            </w:r>
            <w:r w:rsidR="00BB645D">
              <w:rPr>
                <w:noProof/>
                <w:webHidden/>
              </w:rPr>
              <w:t>5</w:t>
            </w:r>
            <w:r w:rsidR="00BB645D">
              <w:rPr>
                <w:noProof/>
                <w:webHidden/>
              </w:rPr>
              <w:fldChar w:fldCharType="end"/>
            </w:r>
          </w:hyperlink>
        </w:p>
        <w:p w14:paraId="2B4FD3B4" w14:textId="398A8214" w:rsidR="00BB645D" w:rsidRDefault="001E1150">
          <w:pPr>
            <w:pStyle w:val="TOC2"/>
            <w:tabs>
              <w:tab w:val="right" w:leader="dot" w:pos="9016"/>
            </w:tabs>
            <w:rPr>
              <w:rFonts w:eastAsiaTheme="minorEastAsia"/>
              <w:noProof/>
              <w:lang w:eastAsia="en-GB"/>
            </w:rPr>
          </w:pPr>
          <w:hyperlink w:anchor="_Toc143532259" w:history="1">
            <w:r w:rsidR="00BB645D" w:rsidRPr="00FF685D">
              <w:rPr>
                <w:rStyle w:val="Hyperlink"/>
                <w:noProof/>
              </w:rPr>
              <w:t>Strategic Development Process</w:t>
            </w:r>
            <w:r w:rsidR="00BB645D">
              <w:rPr>
                <w:noProof/>
                <w:webHidden/>
              </w:rPr>
              <w:tab/>
            </w:r>
            <w:r w:rsidR="00BB645D">
              <w:rPr>
                <w:noProof/>
                <w:webHidden/>
              </w:rPr>
              <w:fldChar w:fldCharType="begin"/>
            </w:r>
            <w:r w:rsidR="00BB645D">
              <w:rPr>
                <w:noProof/>
                <w:webHidden/>
              </w:rPr>
              <w:instrText xml:space="preserve"> PAGEREF _Toc143532259 \h </w:instrText>
            </w:r>
            <w:r w:rsidR="00BB645D">
              <w:rPr>
                <w:noProof/>
                <w:webHidden/>
              </w:rPr>
            </w:r>
            <w:r w:rsidR="00BB645D">
              <w:rPr>
                <w:noProof/>
                <w:webHidden/>
              </w:rPr>
              <w:fldChar w:fldCharType="separate"/>
            </w:r>
            <w:r w:rsidR="00BB645D">
              <w:rPr>
                <w:noProof/>
                <w:webHidden/>
              </w:rPr>
              <w:t>5</w:t>
            </w:r>
            <w:r w:rsidR="00BB645D">
              <w:rPr>
                <w:noProof/>
                <w:webHidden/>
              </w:rPr>
              <w:fldChar w:fldCharType="end"/>
            </w:r>
          </w:hyperlink>
        </w:p>
        <w:p w14:paraId="3079657A" w14:textId="797C948C" w:rsidR="00BB645D" w:rsidRDefault="001E1150">
          <w:pPr>
            <w:pStyle w:val="TOC2"/>
            <w:tabs>
              <w:tab w:val="right" w:leader="dot" w:pos="9016"/>
            </w:tabs>
            <w:rPr>
              <w:rFonts w:eastAsiaTheme="minorEastAsia"/>
              <w:noProof/>
              <w:lang w:eastAsia="en-GB"/>
            </w:rPr>
          </w:pPr>
          <w:hyperlink w:anchor="_Toc143532260" w:history="1">
            <w:r w:rsidR="00BB645D" w:rsidRPr="00FF685D">
              <w:rPr>
                <w:rStyle w:val="Hyperlink"/>
                <w:noProof/>
              </w:rPr>
              <w:t>Alimera Sciences Inc., chosen company</w:t>
            </w:r>
            <w:r w:rsidR="00BB645D">
              <w:rPr>
                <w:noProof/>
                <w:webHidden/>
              </w:rPr>
              <w:tab/>
            </w:r>
            <w:r w:rsidR="00BB645D">
              <w:rPr>
                <w:noProof/>
                <w:webHidden/>
              </w:rPr>
              <w:fldChar w:fldCharType="begin"/>
            </w:r>
            <w:r w:rsidR="00BB645D">
              <w:rPr>
                <w:noProof/>
                <w:webHidden/>
              </w:rPr>
              <w:instrText xml:space="preserve"> PAGEREF _Toc143532260 \h </w:instrText>
            </w:r>
            <w:r w:rsidR="00BB645D">
              <w:rPr>
                <w:noProof/>
                <w:webHidden/>
              </w:rPr>
            </w:r>
            <w:r w:rsidR="00BB645D">
              <w:rPr>
                <w:noProof/>
                <w:webHidden/>
              </w:rPr>
              <w:fldChar w:fldCharType="separate"/>
            </w:r>
            <w:r w:rsidR="00BB645D">
              <w:rPr>
                <w:noProof/>
                <w:webHidden/>
              </w:rPr>
              <w:t>7</w:t>
            </w:r>
            <w:r w:rsidR="00BB645D">
              <w:rPr>
                <w:noProof/>
                <w:webHidden/>
              </w:rPr>
              <w:fldChar w:fldCharType="end"/>
            </w:r>
          </w:hyperlink>
        </w:p>
        <w:p w14:paraId="3C36BEEE" w14:textId="60792DAE" w:rsidR="00BB645D" w:rsidRDefault="001E1150">
          <w:pPr>
            <w:pStyle w:val="TOC2"/>
            <w:tabs>
              <w:tab w:val="right" w:leader="dot" w:pos="9016"/>
            </w:tabs>
            <w:rPr>
              <w:rFonts w:eastAsiaTheme="minorEastAsia"/>
              <w:noProof/>
              <w:lang w:eastAsia="en-GB"/>
            </w:rPr>
          </w:pPr>
          <w:hyperlink w:anchor="_Toc143532261" w:history="1">
            <w:r w:rsidR="00BB645D" w:rsidRPr="00FF685D">
              <w:rPr>
                <w:rStyle w:val="Hyperlink"/>
                <w:noProof/>
              </w:rPr>
              <w:t>Strategic Analysis (SWOT) &amp; external analysis by applying P.E.S.T.E.L. model</w:t>
            </w:r>
            <w:r w:rsidR="00BB645D">
              <w:rPr>
                <w:noProof/>
                <w:webHidden/>
              </w:rPr>
              <w:tab/>
            </w:r>
            <w:r w:rsidR="00BB645D">
              <w:rPr>
                <w:noProof/>
                <w:webHidden/>
              </w:rPr>
              <w:fldChar w:fldCharType="begin"/>
            </w:r>
            <w:r w:rsidR="00BB645D">
              <w:rPr>
                <w:noProof/>
                <w:webHidden/>
              </w:rPr>
              <w:instrText xml:space="preserve"> PAGEREF _Toc143532261 \h </w:instrText>
            </w:r>
            <w:r w:rsidR="00BB645D">
              <w:rPr>
                <w:noProof/>
                <w:webHidden/>
              </w:rPr>
            </w:r>
            <w:r w:rsidR="00BB645D">
              <w:rPr>
                <w:noProof/>
                <w:webHidden/>
              </w:rPr>
              <w:fldChar w:fldCharType="separate"/>
            </w:r>
            <w:r w:rsidR="00BB645D">
              <w:rPr>
                <w:noProof/>
                <w:webHidden/>
              </w:rPr>
              <w:t>9</w:t>
            </w:r>
            <w:r w:rsidR="00BB645D">
              <w:rPr>
                <w:noProof/>
                <w:webHidden/>
              </w:rPr>
              <w:fldChar w:fldCharType="end"/>
            </w:r>
          </w:hyperlink>
        </w:p>
        <w:p w14:paraId="1B47807D" w14:textId="6EB2B3F0" w:rsidR="00BB645D" w:rsidRDefault="001E1150">
          <w:pPr>
            <w:pStyle w:val="TOC2"/>
            <w:tabs>
              <w:tab w:val="right" w:leader="dot" w:pos="9016"/>
            </w:tabs>
            <w:rPr>
              <w:rFonts w:eastAsiaTheme="minorEastAsia"/>
              <w:noProof/>
              <w:lang w:eastAsia="en-GB"/>
            </w:rPr>
          </w:pPr>
          <w:hyperlink w:anchor="_Toc143532262" w:history="1">
            <w:r w:rsidR="00BB645D" w:rsidRPr="00FF685D">
              <w:rPr>
                <w:rStyle w:val="Hyperlink"/>
                <w:noProof/>
              </w:rPr>
              <w:t>Benchmarking/ Balanced Scorecard Model/ Product Life Cycle Model</w:t>
            </w:r>
            <w:r w:rsidR="00BB645D">
              <w:rPr>
                <w:noProof/>
                <w:webHidden/>
              </w:rPr>
              <w:tab/>
            </w:r>
            <w:r w:rsidR="00BB645D">
              <w:rPr>
                <w:noProof/>
                <w:webHidden/>
              </w:rPr>
              <w:fldChar w:fldCharType="begin"/>
            </w:r>
            <w:r w:rsidR="00BB645D">
              <w:rPr>
                <w:noProof/>
                <w:webHidden/>
              </w:rPr>
              <w:instrText xml:space="preserve"> PAGEREF _Toc143532262 \h </w:instrText>
            </w:r>
            <w:r w:rsidR="00BB645D">
              <w:rPr>
                <w:noProof/>
                <w:webHidden/>
              </w:rPr>
            </w:r>
            <w:r w:rsidR="00BB645D">
              <w:rPr>
                <w:noProof/>
                <w:webHidden/>
              </w:rPr>
              <w:fldChar w:fldCharType="separate"/>
            </w:r>
            <w:r w:rsidR="00BB645D">
              <w:rPr>
                <w:noProof/>
                <w:webHidden/>
              </w:rPr>
              <w:t>11</w:t>
            </w:r>
            <w:r w:rsidR="00BB645D">
              <w:rPr>
                <w:noProof/>
                <w:webHidden/>
              </w:rPr>
              <w:fldChar w:fldCharType="end"/>
            </w:r>
          </w:hyperlink>
        </w:p>
        <w:p w14:paraId="2118EE97" w14:textId="1C4E654D" w:rsidR="00BB645D" w:rsidRDefault="001E1150">
          <w:pPr>
            <w:pStyle w:val="TOC2"/>
            <w:tabs>
              <w:tab w:val="right" w:leader="dot" w:pos="9016"/>
            </w:tabs>
            <w:rPr>
              <w:rFonts w:eastAsiaTheme="minorEastAsia"/>
              <w:noProof/>
              <w:lang w:eastAsia="en-GB"/>
            </w:rPr>
          </w:pPr>
          <w:hyperlink w:anchor="_Toc143532263" w:history="1">
            <w:r w:rsidR="00BB645D" w:rsidRPr="00FF685D">
              <w:rPr>
                <w:rStyle w:val="Hyperlink"/>
                <w:noProof/>
              </w:rPr>
              <w:t>Strategic growth choices/options/action points</w:t>
            </w:r>
            <w:r w:rsidR="00BB645D">
              <w:rPr>
                <w:noProof/>
                <w:webHidden/>
              </w:rPr>
              <w:tab/>
            </w:r>
            <w:r w:rsidR="00BB645D">
              <w:rPr>
                <w:noProof/>
                <w:webHidden/>
              </w:rPr>
              <w:fldChar w:fldCharType="begin"/>
            </w:r>
            <w:r w:rsidR="00BB645D">
              <w:rPr>
                <w:noProof/>
                <w:webHidden/>
              </w:rPr>
              <w:instrText xml:space="preserve"> PAGEREF _Toc143532263 \h </w:instrText>
            </w:r>
            <w:r w:rsidR="00BB645D">
              <w:rPr>
                <w:noProof/>
                <w:webHidden/>
              </w:rPr>
            </w:r>
            <w:r w:rsidR="00BB645D">
              <w:rPr>
                <w:noProof/>
                <w:webHidden/>
              </w:rPr>
              <w:fldChar w:fldCharType="separate"/>
            </w:r>
            <w:r w:rsidR="00BB645D">
              <w:rPr>
                <w:noProof/>
                <w:webHidden/>
              </w:rPr>
              <w:t>12</w:t>
            </w:r>
            <w:r w:rsidR="00BB645D">
              <w:rPr>
                <w:noProof/>
                <w:webHidden/>
              </w:rPr>
              <w:fldChar w:fldCharType="end"/>
            </w:r>
          </w:hyperlink>
        </w:p>
        <w:p w14:paraId="5485CCA7" w14:textId="49554806" w:rsidR="00BB645D" w:rsidRDefault="001E1150">
          <w:pPr>
            <w:pStyle w:val="TOC2"/>
            <w:tabs>
              <w:tab w:val="right" w:leader="dot" w:pos="9016"/>
            </w:tabs>
            <w:rPr>
              <w:rFonts w:eastAsiaTheme="minorEastAsia"/>
              <w:noProof/>
              <w:lang w:eastAsia="en-GB"/>
            </w:rPr>
          </w:pPr>
          <w:hyperlink w:anchor="_Toc143532264" w:history="1">
            <w:r w:rsidR="00BB645D" w:rsidRPr="00FF685D">
              <w:rPr>
                <w:rStyle w:val="Hyperlink"/>
                <w:noProof/>
              </w:rPr>
              <w:t>Stakeholder</w:t>
            </w:r>
            <w:r w:rsidR="00BB645D">
              <w:rPr>
                <w:noProof/>
                <w:webHidden/>
              </w:rPr>
              <w:tab/>
            </w:r>
            <w:r w:rsidR="00BB645D">
              <w:rPr>
                <w:noProof/>
                <w:webHidden/>
              </w:rPr>
              <w:fldChar w:fldCharType="begin"/>
            </w:r>
            <w:r w:rsidR="00BB645D">
              <w:rPr>
                <w:noProof/>
                <w:webHidden/>
              </w:rPr>
              <w:instrText xml:space="preserve"> PAGEREF _Toc143532264 \h </w:instrText>
            </w:r>
            <w:r w:rsidR="00BB645D">
              <w:rPr>
                <w:noProof/>
                <w:webHidden/>
              </w:rPr>
            </w:r>
            <w:r w:rsidR="00BB645D">
              <w:rPr>
                <w:noProof/>
                <w:webHidden/>
              </w:rPr>
              <w:fldChar w:fldCharType="separate"/>
            </w:r>
            <w:r w:rsidR="00BB645D">
              <w:rPr>
                <w:noProof/>
                <w:webHidden/>
              </w:rPr>
              <w:t>13</w:t>
            </w:r>
            <w:r w:rsidR="00BB645D">
              <w:rPr>
                <w:noProof/>
                <w:webHidden/>
              </w:rPr>
              <w:fldChar w:fldCharType="end"/>
            </w:r>
          </w:hyperlink>
        </w:p>
        <w:p w14:paraId="2C090C8B" w14:textId="4B3FFFF6" w:rsidR="00BB645D" w:rsidRDefault="001E1150">
          <w:pPr>
            <w:pStyle w:val="TOC2"/>
            <w:tabs>
              <w:tab w:val="right" w:leader="dot" w:pos="9016"/>
            </w:tabs>
            <w:rPr>
              <w:rFonts w:eastAsiaTheme="minorEastAsia"/>
              <w:noProof/>
              <w:lang w:eastAsia="en-GB"/>
            </w:rPr>
          </w:pPr>
          <w:hyperlink w:anchor="_Toc143532265" w:history="1">
            <w:r w:rsidR="00BB645D" w:rsidRPr="00FF685D">
              <w:rPr>
                <w:rStyle w:val="Hyperlink"/>
                <w:noProof/>
              </w:rPr>
              <w:t>Conclusions and Recommendations</w:t>
            </w:r>
            <w:r w:rsidR="00BB645D">
              <w:rPr>
                <w:noProof/>
                <w:webHidden/>
              </w:rPr>
              <w:tab/>
            </w:r>
            <w:r w:rsidR="00BB645D">
              <w:rPr>
                <w:noProof/>
                <w:webHidden/>
              </w:rPr>
              <w:fldChar w:fldCharType="begin"/>
            </w:r>
            <w:r w:rsidR="00BB645D">
              <w:rPr>
                <w:noProof/>
                <w:webHidden/>
              </w:rPr>
              <w:instrText xml:space="preserve"> PAGEREF _Toc143532265 \h </w:instrText>
            </w:r>
            <w:r w:rsidR="00BB645D">
              <w:rPr>
                <w:noProof/>
                <w:webHidden/>
              </w:rPr>
            </w:r>
            <w:r w:rsidR="00BB645D">
              <w:rPr>
                <w:noProof/>
                <w:webHidden/>
              </w:rPr>
              <w:fldChar w:fldCharType="separate"/>
            </w:r>
            <w:r w:rsidR="00BB645D">
              <w:rPr>
                <w:noProof/>
                <w:webHidden/>
              </w:rPr>
              <w:t>14</w:t>
            </w:r>
            <w:r w:rsidR="00BB645D">
              <w:rPr>
                <w:noProof/>
                <w:webHidden/>
              </w:rPr>
              <w:fldChar w:fldCharType="end"/>
            </w:r>
          </w:hyperlink>
        </w:p>
        <w:p w14:paraId="7232FD38" w14:textId="260CAB76" w:rsidR="00BB645D" w:rsidRDefault="001E1150">
          <w:pPr>
            <w:pStyle w:val="TOC2"/>
            <w:tabs>
              <w:tab w:val="right" w:leader="dot" w:pos="9016"/>
            </w:tabs>
            <w:rPr>
              <w:rFonts w:eastAsiaTheme="minorEastAsia"/>
              <w:noProof/>
              <w:lang w:eastAsia="en-GB"/>
            </w:rPr>
          </w:pPr>
          <w:hyperlink w:anchor="_Toc143532266" w:history="1">
            <w:r w:rsidR="00BB645D" w:rsidRPr="00FF685D">
              <w:rPr>
                <w:rStyle w:val="Hyperlink"/>
                <w:noProof/>
              </w:rPr>
              <w:t>References:</w:t>
            </w:r>
            <w:r w:rsidR="00BB645D">
              <w:rPr>
                <w:noProof/>
                <w:webHidden/>
              </w:rPr>
              <w:tab/>
            </w:r>
            <w:r w:rsidR="00BB645D">
              <w:rPr>
                <w:noProof/>
                <w:webHidden/>
              </w:rPr>
              <w:fldChar w:fldCharType="begin"/>
            </w:r>
            <w:r w:rsidR="00BB645D">
              <w:rPr>
                <w:noProof/>
                <w:webHidden/>
              </w:rPr>
              <w:instrText xml:space="preserve"> PAGEREF _Toc143532266 \h </w:instrText>
            </w:r>
            <w:r w:rsidR="00BB645D">
              <w:rPr>
                <w:noProof/>
                <w:webHidden/>
              </w:rPr>
            </w:r>
            <w:r w:rsidR="00BB645D">
              <w:rPr>
                <w:noProof/>
                <w:webHidden/>
              </w:rPr>
              <w:fldChar w:fldCharType="separate"/>
            </w:r>
            <w:r w:rsidR="00BB645D">
              <w:rPr>
                <w:noProof/>
                <w:webHidden/>
              </w:rPr>
              <w:t>16</w:t>
            </w:r>
            <w:r w:rsidR="00BB645D">
              <w:rPr>
                <w:noProof/>
                <w:webHidden/>
              </w:rPr>
              <w:fldChar w:fldCharType="end"/>
            </w:r>
          </w:hyperlink>
        </w:p>
        <w:p w14:paraId="7BC3B396" w14:textId="4F1A9E6A" w:rsidR="00BB645D" w:rsidRDefault="00BB645D">
          <w:r>
            <w:rPr>
              <w:b/>
              <w:bCs/>
              <w:noProof/>
            </w:rPr>
            <w:fldChar w:fldCharType="end"/>
          </w:r>
        </w:p>
      </w:sdtContent>
    </w:sdt>
    <w:p w14:paraId="6CE9DFC8" w14:textId="77777777" w:rsidR="00010995" w:rsidRPr="00126F74" w:rsidRDefault="00010995" w:rsidP="00911785">
      <w:pPr>
        <w:spacing w:line="360" w:lineRule="auto"/>
        <w:jc w:val="both"/>
        <w:rPr>
          <w:rFonts w:ascii="Arial" w:hAnsi="Arial" w:cs="Arial"/>
        </w:rPr>
      </w:pPr>
    </w:p>
    <w:p w14:paraId="32811289" w14:textId="77777777" w:rsidR="00346C14" w:rsidRPr="00126F74" w:rsidRDefault="00346C14" w:rsidP="00911785">
      <w:pPr>
        <w:spacing w:line="360" w:lineRule="auto"/>
        <w:jc w:val="both"/>
        <w:rPr>
          <w:rFonts w:ascii="Arial" w:hAnsi="Arial" w:cs="Arial"/>
        </w:rPr>
      </w:pPr>
    </w:p>
    <w:p w14:paraId="1CB0EED5" w14:textId="77777777" w:rsidR="00346C14" w:rsidRPr="00126F74" w:rsidRDefault="00346C14" w:rsidP="00911785">
      <w:pPr>
        <w:spacing w:line="360" w:lineRule="auto"/>
        <w:jc w:val="both"/>
        <w:rPr>
          <w:rFonts w:ascii="Arial" w:hAnsi="Arial" w:cs="Arial"/>
        </w:rPr>
      </w:pPr>
    </w:p>
    <w:p w14:paraId="4AC72BC8" w14:textId="32B69193" w:rsidR="00346C14" w:rsidRPr="00126F74" w:rsidRDefault="00BB645D" w:rsidP="00BB645D">
      <w:pPr>
        <w:tabs>
          <w:tab w:val="left" w:pos="6475"/>
        </w:tabs>
        <w:spacing w:line="360" w:lineRule="auto"/>
        <w:jc w:val="both"/>
        <w:rPr>
          <w:rFonts w:ascii="Arial" w:hAnsi="Arial" w:cs="Arial"/>
        </w:rPr>
      </w:pPr>
      <w:r>
        <w:rPr>
          <w:rFonts w:ascii="Arial" w:hAnsi="Arial" w:cs="Arial"/>
        </w:rPr>
        <w:tab/>
      </w:r>
    </w:p>
    <w:p w14:paraId="55E77FA8" w14:textId="77777777" w:rsidR="00346C14" w:rsidRPr="00126F74" w:rsidRDefault="00346C14" w:rsidP="00911785">
      <w:pPr>
        <w:spacing w:line="360" w:lineRule="auto"/>
        <w:jc w:val="both"/>
        <w:rPr>
          <w:rFonts w:ascii="Arial" w:hAnsi="Arial" w:cs="Arial"/>
        </w:rPr>
      </w:pPr>
    </w:p>
    <w:p w14:paraId="2D192E5E" w14:textId="77777777" w:rsidR="00346C14" w:rsidRPr="00126F74" w:rsidRDefault="00346C14" w:rsidP="00911785">
      <w:pPr>
        <w:spacing w:line="360" w:lineRule="auto"/>
        <w:jc w:val="both"/>
        <w:rPr>
          <w:rFonts w:ascii="Arial" w:hAnsi="Arial" w:cs="Arial"/>
        </w:rPr>
      </w:pPr>
    </w:p>
    <w:p w14:paraId="3A1499ED" w14:textId="77777777" w:rsidR="00346C14" w:rsidRPr="00126F74" w:rsidRDefault="00346C14" w:rsidP="00911785">
      <w:pPr>
        <w:spacing w:line="360" w:lineRule="auto"/>
        <w:jc w:val="both"/>
        <w:rPr>
          <w:rFonts w:ascii="Arial" w:hAnsi="Arial" w:cs="Arial"/>
        </w:rPr>
      </w:pPr>
    </w:p>
    <w:p w14:paraId="4361E167" w14:textId="77777777" w:rsidR="00346C14" w:rsidRPr="00126F74" w:rsidRDefault="00346C14" w:rsidP="00911785">
      <w:pPr>
        <w:spacing w:line="360" w:lineRule="auto"/>
        <w:jc w:val="both"/>
        <w:rPr>
          <w:rFonts w:ascii="Arial" w:hAnsi="Arial" w:cs="Arial"/>
        </w:rPr>
      </w:pPr>
    </w:p>
    <w:p w14:paraId="1D111120" w14:textId="77777777" w:rsidR="00346C14" w:rsidRPr="00126F74" w:rsidRDefault="00346C14" w:rsidP="00911785">
      <w:pPr>
        <w:spacing w:line="360" w:lineRule="auto"/>
        <w:jc w:val="both"/>
        <w:rPr>
          <w:rFonts w:ascii="Arial" w:hAnsi="Arial" w:cs="Arial"/>
        </w:rPr>
      </w:pPr>
    </w:p>
    <w:p w14:paraId="32CAB0E6" w14:textId="77777777" w:rsidR="00346C14" w:rsidRPr="00126F74" w:rsidRDefault="00346C14" w:rsidP="00911785">
      <w:pPr>
        <w:spacing w:line="360" w:lineRule="auto"/>
        <w:jc w:val="both"/>
        <w:rPr>
          <w:rFonts w:ascii="Arial" w:hAnsi="Arial" w:cs="Arial"/>
        </w:rPr>
      </w:pPr>
    </w:p>
    <w:p w14:paraId="24F12AD8" w14:textId="77777777" w:rsidR="00346C14" w:rsidRPr="00126F74" w:rsidRDefault="00346C14" w:rsidP="00911785">
      <w:pPr>
        <w:spacing w:line="360" w:lineRule="auto"/>
        <w:jc w:val="both"/>
        <w:rPr>
          <w:rFonts w:ascii="Arial" w:hAnsi="Arial" w:cs="Arial"/>
        </w:rPr>
      </w:pPr>
    </w:p>
    <w:p w14:paraId="5305584A" w14:textId="77777777" w:rsidR="00346C14" w:rsidRPr="00126F74" w:rsidRDefault="00346C14" w:rsidP="00911785">
      <w:pPr>
        <w:spacing w:line="360" w:lineRule="auto"/>
        <w:jc w:val="both"/>
        <w:rPr>
          <w:rFonts w:ascii="Arial" w:hAnsi="Arial" w:cs="Arial"/>
        </w:rPr>
      </w:pPr>
    </w:p>
    <w:p w14:paraId="0F18F517" w14:textId="77777777" w:rsidR="00346C14" w:rsidRPr="00126F74" w:rsidRDefault="00346C14" w:rsidP="00911785">
      <w:pPr>
        <w:spacing w:line="360" w:lineRule="auto"/>
        <w:jc w:val="both"/>
        <w:rPr>
          <w:rFonts w:ascii="Arial" w:hAnsi="Arial" w:cs="Arial"/>
        </w:rPr>
      </w:pPr>
    </w:p>
    <w:p w14:paraId="4B7F1D8A" w14:textId="77777777" w:rsidR="00346C14" w:rsidRPr="00126F74" w:rsidRDefault="00346C14" w:rsidP="00911785">
      <w:pPr>
        <w:spacing w:line="360" w:lineRule="auto"/>
        <w:jc w:val="both"/>
        <w:rPr>
          <w:rFonts w:ascii="Arial" w:hAnsi="Arial" w:cs="Arial"/>
        </w:rPr>
      </w:pPr>
    </w:p>
    <w:p w14:paraId="669D1B16" w14:textId="77777777" w:rsidR="00346C14" w:rsidRPr="00126F74" w:rsidRDefault="00346C14" w:rsidP="00911785">
      <w:pPr>
        <w:spacing w:line="360" w:lineRule="auto"/>
        <w:jc w:val="both"/>
        <w:rPr>
          <w:rFonts w:ascii="Arial" w:hAnsi="Arial" w:cs="Arial"/>
        </w:rPr>
      </w:pPr>
    </w:p>
    <w:p w14:paraId="342500AC" w14:textId="77777777" w:rsidR="00346C14" w:rsidRPr="00126F74" w:rsidRDefault="00346C14" w:rsidP="00911785">
      <w:pPr>
        <w:spacing w:line="360" w:lineRule="auto"/>
        <w:jc w:val="both"/>
        <w:rPr>
          <w:rFonts w:ascii="Arial" w:hAnsi="Arial" w:cs="Arial"/>
        </w:rPr>
      </w:pPr>
    </w:p>
    <w:p w14:paraId="4076232C" w14:textId="05AF8CC5" w:rsidR="00346C14" w:rsidRDefault="00346C14" w:rsidP="00806155">
      <w:pPr>
        <w:pStyle w:val="Heading2"/>
      </w:pPr>
      <w:bookmarkStart w:id="1" w:name="_Toc143532257"/>
      <w:r w:rsidRPr="00126F74">
        <w:t>Introduction</w:t>
      </w:r>
      <w:r w:rsidR="00501DE9">
        <w:t>:</w:t>
      </w:r>
      <w:bookmarkEnd w:id="1"/>
    </w:p>
    <w:p w14:paraId="12706E89" w14:textId="77777777" w:rsidR="00374D50" w:rsidRPr="00374D50" w:rsidRDefault="00374D50" w:rsidP="00374D50"/>
    <w:p w14:paraId="0F302EE5" w14:textId="77777777" w:rsidR="00346C14" w:rsidRPr="00126F74" w:rsidRDefault="00346C14" w:rsidP="00911785">
      <w:pPr>
        <w:spacing w:line="360" w:lineRule="auto"/>
        <w:jc w:val="both"/>
        <w:rPr>
          <w:rFonts w:ascii="Arial" w:hAnsi="Arial" w:cs="Arial"/>
        </w:rPr>
      </w:pPr>
      <w:r w:rsidRPr="00126F74">
        <w:rPr>
          <w:rFonts w:ascii="Arial" w:hAnsi="Arial" w:cs="Arial"/>
        </w:rPr>
        <w:t>Small and medium-sized firms (SMEs) have long been the focus of academic research. It is comprehensible, given their significant contribution to global economic development and prosperity. Evidence suggests that SMEs are critical to creating innovative and creative industries in today's business world. They are also regarded as a significant source of job possibilities—a strategic researcher's interest in research. Significant investments in research and development (R&amp;D) differentiate the pharmaceutical sector, which provides large rewards when a new drug is successfully introduced. Pharmaceutical companies keep their competitiveness by investing extensive resources to maintain their research pipeline to bring innovative drugs to market (Banerjee et al.; A.,2015).</w:t>
      </w:r>
    </w:p>
    <w:p w14:paraId="497CE2AF" w14:textId="5783AA36" w:rsidR="00346C14" w:rsidRPr="00126F74" w:rsidRDefault="00E26977" w:rsidP="00911785">
      <w:pPr>
        <w:spacing w:line="360" w:lineRule="auto"/>
        <w:jc w:val="both"/>
        <w:rPr>
          <w:rFonts w:ascii="Arial" w:hAnsi="Arial" w:cs="Arial"/>
        </w:rPr>
      </w:pPr>
      <w:r w:rsidRPr="00E26977">
        <w:rPr>
          <w:rFonts w:ascii="Arial" w:hAnsi="Arial" w:cs="Arial"/>
        </w:rPr>
        <w:t>Small and medium-sized enterprises (SMEs) are playing a significant role in global trade. The Organisation for Economic Cooperation and Development (OECD) and other sources report that SMEs account for a considerable portion of exports in most industrialized nations. Nevertheless, additional research is necessary to understand how these companies' performance is affected by their international entrepreneurial orientation and the effectiveness of techniques related to this concept.</w:t>
      </w:r>
      <w:r w:rsidR="00040028">
        <w:rPr>
          <w:rFonts w:ascii="Arial" w:hAnsi="Arial" w:cs="Arial"/>
        </w:rPr>
        <w:t xml:space="preserve"> </w:t>
      </w:r>
      <w:r w:rsidR="00040028" w:rsidRPr="00040028">
        <w:rPr>
          <w:rFonts w:ascii="Arial" w:hAnsi="Arial" w:cs="Arial"/>
        </w:rPr>
        <w:t>Through an empirical study of SMEs, we have developed a structural model that emphasizes the importance of international entrepreneurial orientation, key strategic activities, and their overall impact on the international performance of modern SMEs. These findings hold significant implications for management and research in the field.</w:t>
      </w:r>
      <w:r w:rsidR="00346C14" w:rsidRPr="00126F74">
        <w:rPr>
          <w:rFonts w:ascii="Arial" w:hAnsi="Arial" w:cs="Arial"/>
        </w:rPr>
        <w:t xml:space="preserve"> (Knight, G.A., 2001).</w:t>
      </w:r>
    </w:p>
    <w:p w14:paraId="57114025" w14:textId="77777777" w:rsidR="00346C14" w:rsidRPr="00126F74" w:rsidRDefault="00346C14" w:rsidP="00911785">
      <w:pPr>
        <w:spacing w:line="360" w:lineRule="auto"/>
        <w:jc w:val="both"/>
        <w:rPr>
          <w:rFonts w:ascii="Arial" w:hAnsi="Arial" w:cs="Arial"/>
        </w:rPr>
      </w:pPr>
      <w:r w:rsidRPr="00126F74">
        <w:rPr>
          <w:rFonts w:ascii="Arial" w:hAnsi="Arial" w:cs="Arial"/>
        </w:rPr>
        <w:t>Most SMEs' internal capabilities and access hurdles were the most important, and that business environment barriers, including trade policy, were of less importance. However, a shift in perspective emerges when SME responses are segmented based on how active they are in international markets. Instead of businesses that were active exporters, passive exporters' primary worries were often financial and access limitations. Mostly static equilibrium theories come from the discipline of industrial economics, are unconcerned with the dynamics of growth, and are preoccupied with achieving economies of scale and minimising long-run unit costs. Many people believe that the enormous firm is the ultimate steady conclusion of expansion because there is no apparent limit to a business's size (Perry, 1982; O'Farrell &amp; Hitchens, 1988). Penrose's (1959) views on the availability of managerial time and experience, and its impact on the achievable growth rate for a corporation, are especially relevant in this situation (McMahon, R.G., 1998).</w:t>
      </w:r>
    </w:p>
    <w:p w14:paraId="4BD6ACD9" w14:textId="77777777" w:rsidR="00346C14" w:rsidRPr="00126F74" w:rsidRDefault="00346C14" w:rsidP="00911785">
      <w:pPr>
        <w:spacing w:line="360" w:lineRule="auto"/>
        <w:jc w:val="both"/>
        <w:rPr>
          <w:rFonts w:ascii="Arial" w:hAnsi="Arial" w:cs="Arial"/>
        </w:rPr>
      </w:pPr>
      <w:r w:rsidRPr="00126F74">
        <w:rPr>
          <w:rFonts w:ascii="Arial" w:hAnsi="Arial" w:cs="Arial"/>
        </w:rPr>
        <w:lastRenderedPageBreak/>
        <w:t xml:space="preserve">Stochastic models of business growth, established chiefly in economics, show that "many factors affect growth and, thus, there is no dominant theory". In this context, it is critical to remember </w:t>
      </w:r>
      <w:proofErr w:type="spellStart"/>
      <w:r w:rsidRPr="00126F74">
        <w:rPr>
          <w:rFonts w:ascii="Arial" w:hAnsi="Arial" w:cs="Arial"/>
        </w:rPr>
        <w:t>Gibrat's</w:t>
      </w:r>
      <w:proofErr w:type="spellEnd"/>
      <w:r w:rsidRPr="00126F74">
        <w:rPr>
          <w:rFonts w:ascii="Arial" w:hAnsi="Arial" w:cs="Arial"/>
        </w:rPr>
        <w:t xml:space="preserve"> (1931) proportionate impact law, which claims that business growth rates are independent of enterprise size. O'Farrell and Hitchens (1988) present empirical evidence that supports </w:t>
      </w:r>
      <w:proofErr w:type="spellStart"/>
      <w:r w:rsidRPr="00126F74">
        <w:rPr>
          <w:rFonts w:ascii="Arial" w:hAnsi="Arial" w:cs="Arial"/>
        </w:rPr>
        <w:t>Gibrat's</w:t>
      </w:r>
      <w:proofErr w:type="spellEnd"/>
      <w:r w:rsidRPr="00126F74">
        <w:rPr>
          <w:rFonts w:ascii="Arial" w:hAnsi="Arial" w:cs="Arial"/>
        </w:rPr>
        <w:t xml:space="preserve"> law for manufacturing SMEs, as well as evidence that suggests that the variability of growth rate reduces with firm size. As a result of their export experience, concerns had grown regarding how their company environment was operating (Carvalho et al.; T., 2014).</w:t>
      </w:r>
    </w:p>
    <w:p w14:paraId="5D585ABE" w14:textId="77777777" w:rsidR="00091CA3" w:rsidRPr="00126F74" w:rsidRDefault="00091CA3" w:rsidP="00911785">
      <w:pPr>
        <w:spacing w:line="360" w:lineRule="auto"/>
        <w:jc w:val="both"/>
        <w:rPr>
          <w:rFonts w:ascii="Arial" w:hAnsi="Arial" w:cs="Arial"/>
        </w:rPr>
      </w:pPr>
    </w:p>
    <w:p w14:paraId="05B1DFC5" w14:textId="1B1430F2" w:rsidR="00346C14" w:rsidRDefault="00346C14" w:rsidP="00806155">
      <w:pPr>
        <w:pStyle w:val="Heading2"/>
      </w:pPr>
      <w:bookmarkStart w:id="2" w:name="_Toc143532258"/>
      <w:r w:rsidRPr="00126F74">
        <w:t xml:space="preserve">The primary purpose of writing the </w:t>
      </w:r>
      <w:proofErr w:type="gramStart"/>
      <w:r w:rsidRPr="00126F74">
        <w:t>report</w:t>
      </w:r>
      <w:bookmarkEnd w:id="2"/>
      <w:proofErr w:type="gramEnd"/>
    </w:p>
    <w:p w14:paraId="765AE208" w14:textId="77777777" w:rsidR="00374D50" w:rsidRPr="00374D50" w:rsidRDefault="00374D50" w:rsidP="00374D50"/>
    <w:p w14:paraId="13E2415D" w14:textId="2E0B9E49" w:rsidR="00346C14" w:rsidRDefault="00346C14" w:rsidP="00911785">
      <w:pPr>
        <w:spacing w:line="360" w:lineRule="auto"/>
        <w:jc w:val="both"/>
        <w:rPr>
          <w:rFonts w:ascii="Arial" w:hAnsi="Arial" w:cs="Arial"/>
        </w:rPr>
      </w:pPr>
      <w:r w:rsidRPr="00126F74">
        <w:rPr>
          <w:rFonts w:ascii="Arial" w:hAnsi="Arial" w:cs="Arial"/>
        </w:rPr>
        <w:t xml:space="preserve">This report distinguishes a type of internationalised SME, offering managers and business owners a better understanding of the essential strategic alternatives and how they relate to the performance of businesses worldwide. </w:t>
      </w:r>
      <w:r w:rsidR="00843B02" w:rsidRPr="00843B02">
        <w:rPr>
          <w:rFonts w:ascii="Arial" w:hAnsi="Arial" w:cs="Arial"/>
        </w:rPr>
        <w:t xml:space="preserve">Before conducting empirical research on American SMEs, we </w:t>
      </w:r>
      <w:proofErr w:type="spellStart"/>
      <w:r w:rsidR="00843B02" w:rsidRPr="00843B02">
        <w:rPr>
          <w:rFonts w:ascii="Arial" w:hAnsi="Arial" w:cs="Arial"/>
        </w:rPr>
        <w:t>analyze</w:t>
      </w:r>
      <w:proofErr w:type="spellEnd"/>
      <w:r w:rsidR="00843B02" w:rsidRPr="00843B02">
        <w:rPr>
          <w:rFonts w:ascii="Arial" w:hAnsi="Arial" w:cs="Arial"/>
        </w:rPr>
        <w:t xml:space="preserve"> the strategic orientations and </w:t>
      </w:r>
      <w:proofErr w:type="spellStart"/>
      <w:r w:rsidR="00843B02" w:rsidRPr="00843B02">
        <w:rPr>
          <w:rFonts w:ascii="Arial" w:hAnsi="Arial" w:cs="Arial"/>
        </w:rPr>
        <w:t>behavior</w:t>
      </w:r>
      <w:proofErr w:type="spellEnd"/>
      <w:r w:rsidR="00843B02" w:rsidRPr="00843B02">
        <w:rPr>
          <w:rFonts w:ascii="Arial" w:hAnsi="Arial" w:cs="Arial"/>
        </w:rPr>
        <w:t xml:space="preserve"> of global SMEs. We use cluster analysis to categorize SMEs into strategic types and then investigate the connection between these types and international performance using logistic </w:t>
      </w:r>
      <w:proofErr w:type="spellStart"/>
      <w:proofErr w:type="gramStart"/>
      <w:r w:rsidR="00843B02" w:rsidRPr="00843B02">
        <w:rPr>
          <w:rFonts w:ascii="Arial" w:hAnsi="Arial" w:cs="Arial"/>
        </w:rPr>
        <w:t>regression.</w:t>
      </w:r>
      <w:r w:rsidR="00483D89" w:rsidRPr="00483D89">
        <w:rPr>
          <w:rFonts w:ascii="Arial" w:hAnsi="Arial" w:cs="Arial"/>
        </w:rPr>
        <w:t>The</w:t>
      </w:r>
      <w:proofErr w:type="spellEnd"/>
      <w:proofErr w:type="gramEnd"/>
      <w:r w:rsidR="00483D89" w:rsidRPr="00483D89">
        <w:rPr>
          <w:rFonts w:ascii="Arial" w:hAnsi="Arial" w:cs="Arial"/>
        </w:rPr>
        <w:t xml:space="preserve"> empirical data suggest four major strategic types: an entrepreneurial/growth-oriented group of enterprises, a customer-oriented group, a product/inward-oriented cluster, and a further group of firms without a strategic orientation.</w:t>
      </w:r>
      <w:r w:rsidRPr="00126F74">
        <w:rPr>
          <w:rFonts w:ascii="Arial" w:hAnsi="Arial" w:cs="Arial"/>
        </w:rPr>
        <w:t xml:space="preserve"> </w:t>
      </w:r>
      <w:r w:rsidR="000C06DE" w:rsidRPr="000C06DE">
        <w:rPr>
          <w:rFonts w:ascii="Arial" w:hAnsi="Arial" w:cs="Arial"/>
        </w:rPr>
        <w:t xml:space="preserve">When the characteristics of the strategic clusters are examined, it is obvious that increased international performance is the consequence of a proactive, clear-cut strategic orientation that fits with corporate strategy. It exemplifies the critical and positive role that strategists play. According to the organisation under consideration, they </w:t>
      </w:r>
      <w:proofErr w:type="gramStart"/>
      <w:r w:rsidR="000C06DE" w:rsidRPr="000C06DE">
        <w:rPr>
          <w:rFonts w:ascii="Arial" w:hAnsi="Arial" w:cs="Arial"/>
        </w:rPr>
        <w:t>have the opportunity to</w:t>
      </w:r>
      <w:proofErr w:type="gramEnd"/>
      <w:r w:rsidR="000C06DE" w:rsidRPr="000C06DE">
        <w:rPr>
          <w:rFonts w:ascii="Arial" w:hAnsi="Arial" w:cs="Arial"/>
        </w:rPr>
        <w:t xml:space="preserve"> make a difference in someone's life every day, therefore we use our knowledge, unique treatments, and involvement with doctors, patients, and partners to do so.</w:t>
      </w:r>
    </w:p>
    <w:p w14:paraId="2FE0071C" w14:textId="77777777" w:rsidR="001B3897" w:rsidRPr="00126F74" w:rsidRDefault="001B3897" w:rsidP="00911785">
      <w:pPr>
        <w:spacing w:line="360" w:lineRule="auto"/>
        <w:jc w:val="both"/>
        <w:rPr>
          <w:rFonts w:ascii="Arial" w:hAnsi="Arial" w:cs="Arial"/>
        </w:rPr>
      </w:pPr>
    </w:p>
    <w:p w14:paraId="524C1FB9" w14:textId="77777777" w:rsidR="00091CA3" w:rsidRDefault="00091CA3" w:rsidP="00806155">
      <w:pPr>
        <w:pStyle w:val="Heading2"/>
      </w:pPr>
      <w:bookmarkStart w:id="3" w:name="_Toc143532259"/>
      <w:r w:rsidRPr="00126F74">
        <w:t>Strategic Development Process</w:t>
      </w:r>
      <w:bookmarkEnd w:id="3"/>
    </w:p>
    <w:p w14:paraId="30097106" w14:textId="77777777" w:rsidR="00374D50" w:rsidRPr="00374D50" w:rsidRDefault="00374D50" w:rsidP="00374D50"/>
    <w:p w14:paraId="70A437C3" w14:textId="680F9652" w:rsidR="00091CA3" w:rsidRPr="00126F74" w:rsidRDefault="00091CA3" w:rsidP="00BE2EE3">
      <w:pPr>
        <w:spacing w:line="360" w:lineRule="auto"/>
        <w:jc w:val="both"/>
        <w:rPr>
          <w:rFonts w:ascii="Arial" w:hAnsi="Arial" w:cs="Arial"/>
        </w:rPr>
      </w:pPr>
      <w:r w:rsidRPr="00126F74">
        <w:rPr>
          <w:rFonts w:ascii="Arial" w:hAnsi="Arial" w:cs="Arial"/>
        </w:rPr>
        <w:t xml:space="preserve">"How are </w:t>
      </w:r>
      <w:r w:rsidR="00B7487A" w:rsidRPr="00126F74">
        <w:rPr>
          <w:rFonts w:ascii="Arial" w:hAnsi="Arial" w:cs="Arial"/>
        </w:rPr>
        <w:t xml:space="preserve">the </w:t>
      </w:r>
      <w:r w:rsidR="00C5378B">
        <w:rPr>
          <w:rFonts w:ascii="Arial" w:hAnsi="Arial" w:cs="Arial"/>
        </w:rPr>
        <w:t>company</w:t>
      </w:r>
      <w:r w:rsidRPr="00126F74">
        <w:rPr>
          <w:rFonts w:ascii="Arial" w:hAnsi="Arial" w:cs="Arial"/>
        </w:rPr>
        <w:t xml:space="preserve"> going to win in the coming period?" That is the essential question in developing a strategy. To succeed at anything good, the company must have a game plan. Professional sports teams understand this, and it applies to any organisation, department, squad, and individual. To be successful, the company must understand how to maximise talents and resources.</w:t>
      </w:r>
      <w:r w:rsidR="006B6F26">
        <w:rPr>
          <w:rFonts w:ascii="Arial" w:hAnsi="Arial" w:cs="Arial"/>
        </w:rPr>
        <w:t xml:space="preserve"> </w:t>
      </w:r>
      <w:r w:rsidRPr="00126F74">
        <w:rPr>
          <w:rFonts w:ascii="Arial" w:hAnsi="Arial" w:cs="Arial"/>
        </w:rPr>
        <w:t xml:space="preserve">Moreover, it is </w:t>
      </w:r>
      <w:r w:rsidR="00A047C9" w:rsidRPr="00126F74">
        <w:rPr>
          <w:rFonts w:ascii="Arial" w:hAnsi="Arial" w:cs="Arial"/>
        </w:rPr>
        <w:t>tough</w:t>
      </w:r>
      <w:r w:rsidRPr="00126F74">
        <w:rPr>
          <w:rFonts w:ascii="Arial" w:hAnsi="Arial" w:cs="Arial"/>
        </w:rPr>
        <w:t xml:space="preserve"> to "win" without this game plan. </w:t>
      </w:r>
      <w:r w:rsidR="00BE2EE3" w:rsidRPr="00BE2EE3">
        <w:rPr>
          <w:rFonts w:ascii="Arial" w:hAnsi="Arial" w:cs="Arial"/>
        </w:rPr>
        <w:t xml:space="preserve">Michael Porter is widely recognized as the foremost researcher in strategic management over the past three decades due to the groundbreaking concepts he presented in his influential publication. Competitive strategy is a crucial aspect of the field, addressing many of the key topics in </w:t>
      </w:r>
      <w:r w:rsidR="00BE2EE3" w:rsidRPr="00BE2EE3">
        <w:rPr>
          <w:rFonts w:ascii="Arial" w:hAnsi="Arial" w:cs="Arial"/>
        </w:rPr>
        <w:lastRenderedPageBreak/>
        <w:t>strategic management.</w:t>
      </w:r>
      <w:r w:rsidR="00AE0C3B">
        <w:rPr>
          <w:rFonts w:ascii="Arial" w:hAnsi="Arial" w:cs="Arial"/>
        </w:rPr>
        <w:t xml:space="preserve"> </w:t>
      </w:r>
      <w:r w:rsidRPr="00126F74">
        <w:rPr>
          <w:rFonts w:ascii="Arial" w:hAnsi="Arial" w:cs="Arial"/>
        </w:rPr>
        <w:t xml:space="preserve">His responses to questions such as "What is the acceptable dependent variable in strategic management research and practice?" "What is the proper theoretical framework for analysing strategic management problems?" and "What is the proper theoretical framework for analysing strategic management problems?" 'In this field, what is the proper analytical unit?' as well as 'What is the role of broader socioeconomic issues in this field?' Competitive Strategy is still impacting debates thirty years after it was first published. Whether one agrees or disagrees with Porter's solutions to these concerns, they have had an influence. There needed to be more unanimity on the purpose of strategic management practice or study prior to Competitive Strategy. Others argued that understanding the determinants of employee satisfaction should be the field's critical goal. In contrast, still, others argue that understanding how firms satisfy </w:t>
      </w:r>
      <w:proofErr w:type="gramStart"/>
      <w:r w:rsidRPr="00126F74">
        <w:rPr>
          <w:rFonts w:ascii="Arial" w:hAnsi="Arial" w:cs="Arial"/>
        </w:rPr>
        <w:t>all of</w:t>
      </w:r>
      <w:proofErr w:type="gramEnd"/>
      <w:r w:rsidRPr="00126F74">
        <w:rPr>
          <w:rFonts w:ascii="Arial" w:hAnsi="Arial" w:cs="Arial"/>
        </w:rPr>
        <w:t xml:space="preserve"> their stakeholders should be the field's primary goal. Indeed, Porter provides a decent synthesis of these many perspectives at the start of Competitive Strategy (Huggins et al.; H., 2011)</w:t>
      </w:r>
    </w:p>
    <w:p w14:paraId="66FC1EB0" w14:textId="77777777" w:rsidR="00091CA3" w:rsidRPr="00126F74" w:rsidRDefault="00091CA3" w:rsidP="00911785">
      <w:pPr>
        <w:spacing w:line="360" w:lineRule="auto"/>
        <w:jc w:val="both"/>
        <w:rPr>
          <w:rFonts w:ascii="Arial" w:hAnsi="Arial" w:cs="Arial"/>
        </w:rPr>
      </w:pPr>
      <w:r w:rsidRPr="00126F74">
        <w:rPr>
          <w:rFonts w:ascii="Arial" w:hAnsi="Arial" w:cs="Arial"/>
        </w:rPr>
        <w:t xml:space="preserve">The VRIO framework serves as the text's organisational underpinning. It develops a decision-making framework for students while analysing case studies and commercial issues. Students frequently perceive concepts, models, and theories (across </w:t>
      </w:r>
      <w:proofErr w:type="gramStart"/>
      <w:r w:rsidRPr="00126F74">
        <w:rPr>
          <w:rFonts w:ascii="Arial" w:hAnsi="Arial" w:cs="Arial"/>
        </w:rPr>
        <w:t>all of</w:t>
      </w:r>
      <w:proofErr w:type="gramEnd"/>
      <w:r w:rsidRPr="00126F74">
        <w:rPr>
          <w:rFonts w:ascii="Arial" w:hAnsi="Arial" w:cs="Arial"/>
        </w:rPr>
        <w:t xml:space="preserve"> their education) to be fragmented and disjointed. Strategy is no different. This viewpoint promotes rote memory rather than proper comprehension. VRIO connects ideas by acting as a consistent framework. It promotes comprehension rather than memorisation.</w:t>
      </w:r>
    </w:p>
    <w:p w14:paraId="713220AC" w14:textId="77777777" w:rsidR="00091CA3" w:rsidRPr="00126F74" w:rsidRDefault="00091CA3" w:rsidP="00911785">
      <w:pPr>
        <w:spacing w:line="360" w:lineRule="auto"/>
        <w:jc w:val="both"/>
        <w:rPr>
          <w:rFonts w:ascii="Arial" w:hAnsi="Arial" w:cs="Arial"/>
        </w:rPr>
      </w:pPr>
      <w:r w:rsidRPr="00126F74">
        <w:rPr>
          <w:rFonts w:ascii="Arial" w:hAnsi="Arial" w:cs="Arial"/>
        </w:rPr>
        <w:t xml:space="preserve"> 1. The Value Question: Does a resource enable a corporation to capitalise on an environmental opportunity or mitigate an environmental threat?</w:t>
      </w:r>
    </w:p>
    <w:p w14:paraId="2B1C656A" w14:textId="77777777" w:rsidR="00091CA3" w:rsidRPr="00126F74" w:rsidRDefault="00091CA3" w:rsidP="00911785">
      <w:pPr>
        <w:spacing w:line="360" w:lineRule="auto"/>
        <w:jc w:val="both"/>
        <w:rPr>
          <w:rFonts w:ascii="Arial" w:hAnsi="Arial" w:cs="Arial"/>
        </w:rPr>
      </w:pPr>
      <w:r w:rsidRPr="00126F74">
        <w:rPr>
          <w:rFonts w:ascii="Arial" w:hAnsi="Arial" w:cs="Arial"/>
        </w:rPr>
        <w:t>2. The Rarity Question: Do only a few competing firms currently hold a resource?</w:t>
      </w:r>
    </w:p>
    <w:p w14:paraId="7B6B61F4" w14:textId="77777777" w:rsidR="00091CA3" w:rsidRPr="00126F74" w:rsidRDefault="00091CA3" w:rsidP="00911785">
      <w:pPr>
        <w:spacing w:line="360" w:lineRule="auto"/>
        <w:jc w:val="both"/>
        <w:rPr>
          <w:rFonts w:ascii="Arial" w:hAnsi="Arial" w:cs="Arial"/>
        </w:rPr>
      </w:pPr>
      <w:r w:rsidRPr="00126F74">
        <w:rPr>
          <w:rFonts w:ascii="Arial" w:hAnsi="Arial" w:cs="Arial"/>
        </w:rPr>
        <w:t>3. Imitability: Do enterprises lacking a resource incur a cost disadvantage in acquiring or developing it?</w:t>
      </w:r>
    </w:p>
    <w:p w14:paraId="6199D4A9" w14:textId="77777777" w:rsidR="00091CA3" w:rsidRPr="00126F74" w:rsidRDefault="00091CA3" w:rsidP="00911785">
      <w:pPr>
        <w:spacing w:line="360" w:lineRule="auto"/>
        <w:jc w:val="both"/>
        <w:rPr>
          <w:rFonts w:ascii="Arial" w:hAnsi="Arial" w:cs="Arial"/>
        </w:rPr>
      </w:pPr>
      <w:r w:rsidRPr="00126F74">
        <w:rPr>
          <w:rFonts w:ascii="Arial" w:hAnsi="Arial" w:cs="Arial"/>
        </w:rPr>
        <w:t xml:space="preserve"> 4. The Organisational Question: Are a firm's other policies and processes organised to facilitate using its valuable, uncommon, and expensive-to-copy resources?</w:t>
      </w:r>
    </w:p>
    <w:p w14:paraId="65803D85" w14:textId="77777777" w:rsidR="00091CA3" w:rsidRPr="00126F74" w:rsidRDefault="00091CA3" w:rsidP="00911785">
      <w:pPr>
        <w:spacing w:line="360" w:lineRule="auto"/>
        <w:jc w:val="both"/>
        <w:rPr>
          <w:rFonts w:ascii="Arial" w:hAnsi="Arial" w:cs="Arial"/>
        </w:rPr>
      </w:pPr>
      <w:r w:rsidRPr="00126F74">
        <w:rPr>
          <w:rFonts w:ascii="Arial" w:hAnsi="Arial" w:cs="Arial"/>
        </w:rPr>
        <w:t>When a company identifies its mission, the strategic management process begins. The mission of a company is its long-term goal. Mission statements outline what a company wants to be in the long run and what it wants to avoid in the short term. Mission statements are frequently used to document missions (Barney et al., WSWS, 2019).</w:t>
      </w:r>
    </w:p>
    <w:p w14:paraId="38B4570D" w14:textId="4B6F859F" w:rsidR="00091CA3" w:rsidRPr="00126F74" w:rsidRDefault="00091CA3" w:rsidP="00911785">
      <w:pPr>
        <w:spacing w:line="360" w:lineRule="auto"/>
        <w:jc w:val="both"/>
        <w:rPr>
          <w:rFonts w:ascii="Arial" w:hAnsi="Arial" w:cs="Arial"/>
        </w:rPr>
      </w:pPr>
      <w:r w:rsidRPr="00126F74">
        <w:rPr>
          <w:rFonts w:ascii="Arial" w:hAnsi="Arial" w:cs="Arial"/>
        </w:rPr>
        <w:t xml:space="preserve">How do they approach strategy development? Many of us ponder opportunities and then plan how to capitalise on them. Unfortunately, while this method is necessary, we need to consider much more to succeed. After all, there is no purpose in crafting a strategy that ignores competitor reactions or fails to consider the organisation's culture and skills. It would also be </w:t>
      </w:r>
      <w:r w:rsidRPr="00126F74">
        <w:rPr>
          <w:rFonts w:ascii="Arial" w:hAnsi="Arial" w:cs="Arial"/>
        </w:rPr>
        <w:lastRenderedPageBreak/>
        <w:t xml:space="preserve">wasteful not to capitalise on the company's capabilities, whether evident or not. </w:t>
      </w:r>
      <w:r w:rsidR="00B70434" w:rsidRPr="00B70434">
        <w:rPr>
          <w:rFonts w:ascii="Arial" w:hAnsi="Arial" w:cs="Arial"/>
        </w:rPr>
        <w:t>To achieve success, it's important to develop a plan of action in advance and employ a strategy that outsmarts the opposition. By understanding the influence of past actions on future outcomes, we can position ourselves effectively in a competitive environment and differentiate our products. It's also crucial to consider the impact of organizational culture and group thinking on strategic decision-making. By thoroughly understanding each element and implementing them, we can create a practical and achievable business strategy</w:t>
      </w:r>
      <w:r w:rsidR="001E1150">
        <w:rPr>
          <w:rFonts w:ascii="Arial" w:hAnsi="Arial" w:cs="Arial"/>
        </w:rPr>
        <w:t xml:space="preserve"> </w:t>
      </w:r>
      <w:r w:rsidRPr="00126F74">
        <w:rPr>
          <w:rFonts w:ascii="Arial" w:hAnsi="Arial" w:cs="Arial"/>
        </w:rPr>
        <w:t>(Mintzberg et al.; J., 2009)</w:t>
      </w:r>
      <w:r w:rsidR="001E1150">
        <w:rPr>
          <w:rFonts w:ascii="Arial" w:hAnsi="Arial" w:cs="Arial"/>
        </w:rPr>
        <w:t>.</w:t>
      </w:r>
    </w:p>
    <w:p w14:paraId="7B439C67" w14:textId="77777777" w:rsidR="006033C1" w:rsidRDefault="00091CA3" w:rsidP="00911785">
      <w:pPr>
        <w:spacing w:line="360" w:lineRule="auto"/>
        <w:jc w:val="both"/>
        <w:rPr>
          <w:rFonts w:ascii="Arial" w:hAnsi="Arial" w:cs="Arial"/>
        </w:rPr>
      </w:pPr>
      <w:r w:rsidRPr="00126F74">
        <w:rPr>
          <w:rFonts w:ascii="Arial" w:hAnsi="Arial" w:cs="Arial"/>
        </w:rPr>
        <w:t>In Hamel's experience, organisations frequently approach innovation piecemeal or regard it as the responsibility of a few specialised groups, such as R&amp;D or a corporate incubator. Instead, he contends that leaders must strive to make innovation a fundamental competency. Intuit, a financial software company, is one such example. Businesses can compete in three ways: by creating key strengths that make their products and services stand out, establishing a worldwide distribution network and recognisable brand, and focusing on maintaining their products' quality. Out of these, the most critical factor for future success is developing unique capabilities that enhance the functionality of their offerings (Prahalad et al.; G., 1994).</w:t>
      </w:r>
    </w:p>
    <w:p w14:paraId="491DC8BA" w14:textId="77777777" w:rsidR="001B3897" w:rsidRPr="00126F74" w:rsidRDefault="001B3897" w:rsidP="00911785">
      <w:pPr>
        <w:spacing w:line="360" w:lineRule="auto"/>
        <w:jc w:val="both"/>
        <w:rPr>
          <w:rFonts w:ascii="Arial" w:hAnsi="Arial" w:cs="Arial"/>
        </w:rPr>
      </w:pPr>
    </w:p>
    <w:p w14:paraId="55E28D40" w14:textId="5CF09D17" w:rsidR="006033C1" w:rsidRDefault="006033C1" w:rsidP="003D60C4">
      <w:pPr>
        <w:pStyle w:val="Heading2"/>
      </w:pPr>
      <w:bookmarkStart w:id="4" w:name="_Toc143532260"/>
      <w:r w:rsidRPr="00126F74">
        <w:t>Alimera Sciences Inc.</w:t>
      </w:r>
      <w:r w:rsidR="001B3897">
        <w:t xml:space="preserve">, chosen </w:t>
      </w:r>
      <w:proofErr w:type="gramStart"/>
      <w:r w:rsidR="001B3897">
        <w:t>company</w:t>
      </w:r>
      <w:bookmarkEnd w:id="4"/>
      <w:proofErr w:type="gramEnd"/>
    </w:p>
    <w:p w14:paraId="7449D9B0" w14:textId="77777777" w:rsidR="00374D50" w:rsidRPr="00374D50" w:rsidRDefault="00374D50" w:rsidP="00374D50"/>
    <w:p w14:paraId="6F51AD62" w14:textId="36600AF6" w:rsidR="006033C1" w:rsidRPr="00126F74" w:rsidRDefault="006033C1" w:rsidP="00911785">
      <w:pPr>
        <w:spacing w:line="360" w:lineRule="auto"/>
        <w:jc w:val="both"/>
        <w:rPr>
          <w:rFonts w:ascii="Arial" w:hAnsi="Arial" w:cs="Arial"/>
        </w:rPr>
      </w:pPr>
      <w:r w:rsidRPr="00126F74">
        <w:rPr>
          <w:rFonts w:ascii="Arial" w:hAnsi="Arial" w:cs="Arial"/>
        </w:rPr>
        <w:t xml:space="preserve">Alimera Sciences Inc. (Alimera), a pharmaceutical company, finds, develops, and sells prescription ophthalmic medications. For the treatment of persistent diabetic macular oedema (DME) in patients who have previously undergone corticosteroid treatment but did not have a clinically meaningful increase in intraocular pressure (IOP), the company's fluocinolone acetonide intravitreal implant </w:t>
      </w:r>
      <w:proofErr w:type="spellStart"/>
      <w:r w:rsidRPr="00126F74">
        <w:rPr>
          <w:rFonts w:ascii="Arial" w:hAnsi="Arial" w:cs="Arial"/>
        </w:rPr>
        <w:t>Iluvien</w:t>
      </w:r>
      <w:proofErr w:type="spellEnd"/>
      <w:r w:rsidRPr="00126F74">
        <w:rPr>
          <w:rFonts w:ascii="Arial" w:hAnsi="Arial" w:cs="Arial"/>
        </w:rPr>
        <w:t xml:space="preserve"> is indicated. </w:t>
      </w:r>
      <w:proofErr w:type="spellStart"/>
      <w:r w:rsidRPr="00126F74">
        <w:rPr>
          <w:rFonts w:ascii="Arial" w:hAnsi="Arial" w:cs="Arial"/>
        </w:rPr>
        <w:t>Iluvien</w:t>
      </w:r>
      <w:proofErr w:type="spellEnd"/>
      <w:r w:rsidRPr="00126F74">
        <w:rPr>
          <w:rFonts w:ascii="Arial" w:hAnsi="Arial" w:cs="Arial"/>
        </w:rPr>
        <w:t xml:space="preserve"> is also used to treat non-infectious uveitis affecting the posterior segment of the eye (NIU-PS), proliferative diabetic retinopathy, wet and dry age-related macular degeneration (AMD), and retinal vein occlusion. The company exports its products to Germany, Spain, the United Kingdom, Denmark, Finland, Austria, Portugal, France, and other nations. The Alimera headquarters are in Alpharetta, Georgia, in the United States (Marketline.com, 2023). </w:t>
      </w:r>
      <w:proofErr w:type="spellStart"/>
      <w:r w:rsidRPr="00126F74">
        <w:rPr>
          <w:rFonts w:ascii="Arial" w:hAnsi="Arial" w:cs="Arial"/>
        </w:rPr>
        <w:t>Iluvien</w:t>
      </w:r>
      <w:proofErr w:type="spellEnd"/>
      <w:r w:rsidRPr="00126F74">
        <w:rPr>
          <w:rFonts w:ascii="Arial" w:hAnsi="Arial" w:cs="Arial"/>
        </w:rPr>
        <w:t xml:space="preserve">, an intravitreal implant that releases a constant </w:t>
      </w:r>
      <w:proofErr w:type="spellStart"/>
      <w:r w:rsidRPr="00126F74">
        <w:rPr>
          <w:rFonts w:ascii="Arial" w:hAnsi="Arial" w:cs="Arial"/>
        </w:rPr>
        <w:t>microdose</w:t>
      </w:r>
      <w:proofErr w:type="spellEnd"/>
      <w:r w:rsidRPr="00126F74">
        <w:rPr>
          <w:rFonts w:ascii="Arial" w:hAnsi="Arial" w:cs="Arial"/>
        </w:rPr>
        <w:t xml:space="preserve"> of the non-proprietary corticosteroid fluocinolone acetonide (</w:t>
      </w:r>
      <w:proofErr w:type="spellStart"/>
      <w:r w:rsidRPr="00126F74">
        <w:rPr>
          <w:rFonts w:ascii="Arial" w:hAnsi="Arial" w:cs="Arial"/>
        </w:rPr>
        <w:t>FAc</w:t>
      </w:r>
      <w:proofErr w:type="spellEnd"/>
      <w:r w:rsidRPr="00126F74">
        <w:rPr>
          <w:rFonts w:ascii="Arial" w:hAnsi="Arial" w:cs="Arial"/>
        </w:rPr>
        <w:t xml:space="preserve">) in the eye over 36 months, is the company's sole commercial product. It is recommended for treating non-infectious uveitis affecting the posterior segment of the eye (NIU-PS) and diabetic macular oedema (DME). </w:t>
      </w:r>
      <w:proofErr w:type="spellStart"/>
      <w:r w:rsidRPr="00126F74">
        <w:rPr>
          <w:rFonts w:ascii="Arial" w:hAnsi="Arial" w:cs="Arial"/>
        </w:rPr>
        <w:t>Iluvien</w:t>
      </w:r>
      <w:proofErr w:type="spellEnd"/>
      <w:r w:rsidRPr="00126F74">
        <w:rPr>
          <w:rFonts w:ascii="Arial" w:hAnsi="Arial" w:cs="Arial"/>
        </w:rPr>
        <w:t xml:space="preserve"> enables a self-sealing wound when it is non-surgically put in the patient's eye's back (Marketline.com, 2023). Alimera launched </w:t>
      </w:r>
      <w:proofErr w:type="spellStart"/>
      <w:r w:rsidRPr="00126F74">
        <w:rPr>
          <w:rFonts w:ascii="Arial" w:hAnsi="Arial" w:cs="Arial"/>
        </w:rPr>
        <w:t>Iluvien</w:t>
      </w:r>
      <w:proofErr w:type="spellEnd"/>
      <w:r w:rsidRPr="00126F74">
        <w:rPr>
          <w:rFonts w:ascii="Arial" w:hAnsi="Arial" w:cs="Arial"/>
        </w:rPr>
        <w:t xml:space="preserve"> in Germany and the UK in 2013, the US and Portugal in 2015, and Germany and the UK in 2019 for the treatment of recurrent non-infectious uveitis affecting the posterior portion of the eye (NIU-</w:t>
      </w:r>
      <w:r w:rsidRPr="00126F74">
        <w:rPr>
          <w:rFonts w:ascii="Arial" w:hAnsi="Arial" w:cs="Arial"/>
        </w:rPr>
        <w:lastRenderedPageBreak/>
        <w:t xml:space="preserve">PS). This treatment is used to treat diabetic macular oedema (DME). </w:t>
      </w:r>
      <w:proofErr w:type="spellStart"/>
      <w:r w:rsidRPr="00126F74">
        <w:rPr>
          <w:rFonts w:ascii="Arial" w:hAnsi="Arial" w:cs="Arial"/>
        </w:rPr>
        <w:t>Iluvien</w:t>
      </w:r>
      <w:proofErr w:type="spellEnd"/>
      <w:r w:rsidRPr="00126F74">
        <w:rPr>
          <w:rFonts w:ascii="Arial" w:hAnsi="Arial" w:cs="Arial"/>
        </w:rPr>
        <w:t xml:space="preserve"> has received marketing authorisation from the US, Belgium, Australia, Austria, Denmark, Finland, the Czech Republic, Germany, France, Ireland, Italy, the Netherlands, Portugal, Luxembourg, Norway, Poland, Sweden, Spain, and the</w:t>
      </w:r>
      <w:r w:rsidR="00F05BBA">
        <w:rPr>
          <w:rFonts w:ascii="Arial" w:hAnsi="Arial" w:cs="Arial"/>
        </w:rPr>
        <w:t xml:space="preserve"> </w:t>
      </w:r>
      <w:r w:rsidRPr="00126F74">
        <w:rPr>
          <w:rFonts w:ascii="Arial" w:hAnsi="Arial" w:cs="Arial"/>
        </w:rPr>
        <w:t xml:space="preserve">U.K. In the US, Kuwait, Lebanon, and the United Arab Emirates, diluvian is prescribed for DME in patients who have already completed a course of corticosteroids but did not show a clinically meaningful increase in intraocular pressure (IOP). In the European Economic Area (EEA) countries, </w:t>
      </w:r>
      <w:proofErr w:type="spellStart"/>
      <w:r w:rsidRPr="00126F74">
        <w:rPr>
          <w:rFonts w:ascii="Arial" w:hAnsi="Arial" w:cs="Arial"/>
        </w:rPr>
        <w:t>Iluvien</w:t>
      </w:r>
      <w:proofErr w:type="spellEnd"/>
      <w:r w:rsidRPr="00126F74">
        <w:rPr>
          <w:rFonts w:ascii="Arial" w:hAnsi="Arial" w:cs="Arial"/>
        </w:rPr>
        <w:t xml:space="preserve"> is advised for treating vision impairment brought on by DME in patients who did not respond to earlier therapies. The company markets </w:t>
      </w:r>
      <w:proofErr w:type="spellStart"/>
      <w:r w:rsidRPr="00126F74">
        <w:rPr>
          <w:rFonts w:ascii="Arial" w:hAnsi="Arial" w:cs="Arial"/>
        </w:rPr>
        <w:t>Iluvien</w:t>
      </w:r>
      <w:proofErr w:type="spellEnd"/>
      <w:r w:rsidRPr="00126F74">
        <w:rPr>
          <w:rFonts w:ascii="Arial" w:hAnsi="Arial" w:cs="Arial"/>
        </w:rPr>
        <w:t xml:space="preserve"> both directly in the United States, Germany, the United Kingdom, Portugal, and Ireland and through distributors in France, Luxembourg, Italy, Spain, the Netherlands, Belgium, Canada, Australia, New Zealand, and many Middle Eastern countries (Marketline.com, 2023).</w:t>
      </w:r>
    </w:p>
    <w:p w14:paraId="2B758057" w14:textId="77777777" w:rsidR="006033C1" w:rsidRPr="00126F74" w:rsidRDefault="006033C1" w:rsidP="00911785">
      <w:pPr>
        <w:spacing w:line="360" w:lineRule="auto"/>
        <w:jc w:val="both"/>
        <w:rPr>
          <w:rFonts w:ascii="Arial" w:hAnsi="Arial" w:cs="Arial"/>
        </w:rPr>
      </w:pPr>
      <w:r w:rsidRPr="00126F74">
        <w:rPr>
          <w:rFonts w:ascii="Arial" w:hAnsi="Arial" w:cs="Arial"/>
        </w:rPr>
        <w:t>The company invested US$0.3 million in capital during FY2022. Financial analysis uses a neural network to evaluate a company's financial performance and situation. It includes going over the company's financial statements, such as the balance sheet, income statement, and cash flow statement, as well as any other financial reports and records (</w:t>
      </w:r>
      <w:proofErr w:type="spellStart"/>
      <w:r w:rsidRPr="00126F74">
        <w:rPr>
          <w:rFonts w:ascii="Arial" w:hAnsi="Arial" w:cs="Arial"/>
        </w:rPr>
        <w:t>ZXhang</w:t>
      </w:r>
      <w:proofErr w:type="spellEnd"/>
      <w:r w:rsidRPr="00126F74">
        <w:rPr>
          <w:rFonts w:ascii="Arial" w:hAnsi="Arial" w:cs="Arial"/>
        </w:rPr>
        <w:t xml:space="preserve">, Y.X., </w:t>
      </w:r>
      <w:proofErr w:type="spellStart"/>
      <w:r w:rsidRPr="00126F74">
        <w:rPr>
          <w:rFonts w:ascii="Arial" w:hAnsi="Arial" w:cs="Arial"/>
        </w:rPr>
        <w:t>Haxo</w:t>
      </w:r>
      <w:proofErr w:type="spellEnd"/>
      <w:r w:rsidRPr="00126F74">
        <w:rPr>
          <w:rFonts w:ascii="Arial" w:hAnsi="Arial" w:cs="Arial"/>
        </w:rPr>
        <w:t>, Y.M. and Mat, YXYX, 2023).</w:t>
      </w:r>
    </w:p>
    <w:p w14:paraId="420981F5" w14:textId="55C94745" w:rsidR="006033C1" w:rsidRPr="00126F74" w:rsidRDefault="006033C1" w:rsidP="00911785">
      <w:pPr>
        <w:spacing w:line="360" w:lineRule="auto"/>
        <w:jc w:val="both"/>
        <w:rPr>
          <w:rFonts w:ascii="Arial" w:hAnsi="Arial" w:cs="Arial"/>
        </w:rPr>
      </w:pPr>
      <w:r w:rsidRPr="00126F74">
        <w:rPr>
          <w:rFonts w:ascii="Arial" w:hAnsi="Arial" w:cs="Arial"/>
        </w:rPr>
        <w:t>As a commercial-stage, international pharmaceutical company, Alimera Sciences, Inc., and its subsidiaries are working on marketing ILUVIEN for the treatment of diabetic macular oedema (DME), one of the leading causes of blindness, as well as non-infectious uveitis affecting the posterior segment of the eye (NIU-PS). Its cutting-edge sustained-release intravitreal implant, called ILUVIEN, helps patients preserve their vision for extended periods and, more critically, with fewer injections. The company market ILUVIEN in the United States, Europe, China, and the Middle East. They are also researching ILUVIEN in a clinical trial called the New Day Study, where its effectiveness as a first-line treatment for individuals with early DME is assessed by contrasting it with the anti-VEGF therapy that is now the gold standard of care. Alimera aims to help patients, doctors, and partners concerned about preserving improved vision for a more extended period. The firm will issue and sell 15,000 shares of Series B Preferred at the Tranche 2 Closing for an average purchase price per share equal to the Stated Value, generating total gross proceeds of $15.0 million. The Tranche 2 Closing shall be consummated no later than December 31, 2023, and shall be approved by Us and the holders of the Preferred Majority of the Outstanding Series B Preferred Stock. Subject to any applicable Nasdaq listing restrictions, the Tranche 2 Closing proceeds, if any, will be used to support possible in-licenses or acquisitions of new technologies, products, or businesses in the ophthalmology sector. The US, International, and other segments comprise the company's three reportable business divisions (Marketline.com, 2023).</w:t>
      </w:r>
    </w:p>
    <w:p w14:paraId="49D5D169" w14:textId="77777777" w:rsidR="00532538" w:rsidRPr="00126F74" w:rsidRDefault="00532538" w:rsidP="00911785">
      <w:pPr>
        <w:spacing w:line="360" w:lineRule="auto"/>
        <w:jc w:val="both"/>
        <w:rPr>
          <w:rFonts w:ascii="Arial" w:hAnsi="Arial" w:cs="Arial"/>
        </w:rPr>
      </w:pPr>
    </w:p>
    <w:p w14:paraId="4D4B8082" w14:textId="71ED1460" w:rsidR="00346C14" w:rsidRDefault="00346C14" w:rsidP="003D60C4">
      <w:pPr>
        <w:pStyle w:val="Heading2"/>
      </w:pPr>
      <w:bookmarkStart w:id="5" w:name="_Toc143532261"/>
      <w:r w:rsidRPr="00126F74">
        <w:rPr>
          <w:sz w:val="22"/>
          <w:szCs w:val="22"/>
        </w:rPr>
        <w:t>Strategic Analysis (SWOT)</w:t>
      </w:r>
      <w:r w:rsidR="000F1E51">
        <w:t xml:space="preserve"> &amp;</w:t>
      </w:r>
      <w:r w:rsidR="007A4F0C">
        <w:t xml:space="preserve"> </w:t>
      </w:r>
      <w:r w:rsidR="000F1E51" w:rsidRPr="000F1E51">
        <w:t xml:space="preserve">external analysis by applying P.E.S.T.E.L. </w:t>
      </w:r>
      <w:proofErr w:type="gramStart"/>
      <w:r w:rsidR="00B41BEE">
        <w:t>model</w:t>
      </w:r>
      <w:bookmarkEnd w:id="5"/>
      <w:proofErr w:type="gramEnd"/>
    </w:p>
    <w:p w14:paraId="0BF5AAA3" w14:textId="77777777" w:rsidR="00374D50" w:rsidRPr="00374D50" w:rsidRDefault="00374D50" w:rsidP="00374D50"/>
    <w:p w14:paraId="648DDB82" w14:textId="77777777" w:rsidR="00346C14" w:rsidRDefault="00346C14" w:rsidP="00911785">
      <w:pPr>
        <w:spacing w:line="360" w:lineRule="auto"/>
        <w:jc w:val="both"/>
        <w:rPr>
          <w:rFonts w:ascii="Arial" w:hAnsi="Arial" w:cs="Arial"/>
        </w:rPr>
      </w:pPr>
      <w:r w:rsidRPr="00126F74">
        <w:rPr>
          <w:rFonts w:ascii="Arial" w:hAnsi="Arial" w:cs="Arial"/>
        </w:rPr>
        <w:t>The term SWOT stands for Strengths, Weaknesses, Opportunities, and Threats. Internal variables are the strengths and weaknesses of the organisation (or partnership, if applicable to the project at hand). Outside of the organisation, opportunities and risks emerge. SWOT analysis is a well-known and often used tool; the method described here deviates slightly from traditional SWOT analysis to produce the most potent results (Gomer et al.; J., 2015).</w:t>
      </w:r>
    </w:p>
    <w:p w14:paraId="5D9DAB11" w14:textId="4F95A338" w:rsidR="007A4F0C" w:rsidRPr="00126F74" w:rsidRDefault="007A4F0C" w:rsidP="00911785">
      <w:pPr>
        <w:spacing w:line="360" w:lineRule="auto"/>
        <w:jc w:val="both"/>
        <w:rPr>
          <w:rFonts w:ascii="Arial" w:hAnsi="Arial" w:cs="Arial"/>
        </w:rPr>
      </w:pPr>
      <w:r w:rsidRPr="007A4F0C">
        <w:rPr>
          <w:rFonts w:ascii="Arial" w:hAnsi="Arial" w:cs="Arial"/>
        </w:rPr>
        <w:t>PESTEL, a SWOT-companion approach, relies on the assessment of external context by diving into specific types of problems that frequently hinder project/initiative implementation. The abbreviation 'PESTEL' stands for Political, Economic, Social, Technological, Environmental, and Legal. Finding the factors in each of these six areas that are crucial to the project at hand is what PESTEL entails. PESTEL has a strong emphasis on identifying trends. As a result, it is advantageous to think proactively and anticipate change rather than becoming overwhelmed by it (Yüksel, I., 2012).</w:t>
      </w:r>
    </w:p>
    <w:p w14:paraId="6F8BB59F" w14:textId="1A2FF75D" w:rsidR="00B41BEE" w:rsidRPr="00B41BEE" w:rsidRDefault="00346C14" w:rsidP="00B41BEE">
      <w:pPr>
        <w:spacing w:line="360" w:lineRule="auto"/>
        <w:jc w:val="both"/>
        <w:rPr>
          <w:rFonts w:ascii="Arial" w:hAnsi="Arial" w:cs="Arial"/>
        </w:rPr>
      </w:pPr>
      <w:r w:rsidRPr="00126F74">
        <w:rPr>
          <w:rFonts w:ascii="Arial" w:hAnsi="Arial" w:cs="Arial"/>
        </w:rPr>
        <w:t xml:space="preserve">Alimera Sciences Inc. (Alimera) is a pharmaceutical company with a scientific base that sells ophthalmic prescription medications. </w:t>
      </w:r>
      <w:proofErr w:type="spellStart"/>
      <w:r w:rsidRPr="00126F74">
        <w:rPr>
          <w:rFonts w:ascii="Arial" w:hAnsi="Arial" w:cs="Arial"/>
        </w:rPr>
        <w:t>Iluvien</w:t>
      </w:r>
      <w:proofErr w:type="spellEnd"/>
      <w:r w:rsidRPr="00126F74">
        <w:rPr>
          <w:rFonts w:ascii="Arial" w:hAnsi="Arial" w:cs="Arial"/>
        </w:rPr>
        <w:t xml:space="preserve">, the company's flagship product, the business performance of the US market, and its attention to research and development are strong qualities; nonetheless, reliance on distributors may be a significant source of concern. Strategic alliances, regulatory clearances, the growing market for diabetes care devices, and the future market for ocular disorders could all benefit the company. However, Alimera's potential for expansion may be limited by severe competition, government limitations, and reliance on outside producers. As mentioned before, the strength of Alimera is the </w:t>
      </w:r>
      <w:proofErr w:type="spellStart"/>
      <w:r w:rsidRPr="00126F74">
        <w:rPr>
          <w:rFonts w:ascii="Arial" w:hAnsi="Arial" w:cs="Arial"/>
        </w:rPr>
        <w:t>Iluvien</w:t>
      </w:r>
      <w:proofErr w:type="spellEnd"/>
      <w:r w:rsidRPr="00126F74">
        <w:rPr>
          <w:rFonts w:ascii="Arial" w:hAnsi="Arial" w:cs="Arial"/>
        </w:rPr>
        <w:t xml:space="preserve"> Research and Development, which is the lead product. The company's weaknesses are based on International Business performance; many opportunities can be relying on distributors. Approvals and Strategic Agreements Market Prospects: Ophthalmic Issues Diabetes Care Devices are Increasing market threats. Those companies' internal strengths and weaknesses in terms of capabilities and resources</w:t>
      </w:r>
      <w:r w:rsidR="00E8098D">
        <w:rPr>
          <w:rFonts w:ascii="Arial" w:hAnsi="Arial" w:cs="Arial"/>
        </w:rPr>
        <w:t xml:space="preserve"> </w:t>
      </w:r>
      <w:r w:rsidRPr="00126F74">
        <w:rPr>
          <w:rFonts w:ascii="Arial" w:hAnsi="Arial" w:cs="Arial"/>
        </w:rPr>
        <w:t>(physical resources, financial resources and human resources and skills- administration skills, management skills and technological skills)</w:t>
      </w:r>
      <w:r w:rsidR="005D60FF" w:rsidRPr="00126F74">
        <w:rPr>
          <w:rFonts w:ascii="Arial" w:hAnsi="Arial" w:cs="Arial"/>
        </w:rPr>
        <w:t>.</w:t>
      </w:r>
      <w:r w:rsidRPr="00126F74">
        <w:rPr>
          <w:rFonts w:ascii="Arial" w:hAnsi="Arial" w:cs="Arial"/>
        </w:rPr>
        <w:t xml:space="preserve"> Counting on Third-Party Manufacturers Government Regulations on Competition (Marketline.com, 2023).</w:t>
      </w:r>
      <w:r w:rsidR="00B41BEE" w:rsidRPr="00B41BEE">
        <w:t xml:space="preserve"> </w:t>
      </w:r>
      <w:r w:rsidR="00B41BEE" w:rsidRPr="00B41BEE">
        <w:rPr>
          <w:rFonts w:ascii="Arial" w:hAnsi="Arial" w:cs="Arial"/>
        </w:rPr>
        <w:t xml:space="preserve">Alimera's sole commercial product is </w:t>
      </w:r>
      <w:proofErr w:type="spellStart"/>
      <w:r w:rsidR="00B41BEE" w:rsidRPr="00B41BEE">
        <w:rPr>
          <w:rFonts w:ascii="Arial" w:hAnsi="Arial" w:cs="Arial"/>
        </w:rPr>
        <w:t>Iluvien</w:t>
      </w:r>
      <w:proofErr w:type="spellEnd"/>
      <w:r w:rsidR="00B41BEE" w:rsidRPr="00B41BEE">
        <w:rPr>
          <w:rFonts w:ascii="Arial" w:hAnsi="Arial" w:cs="Arial"/>
        </w:rPr>
        <w:t xml:space="preserve">. It is an intravitreal implant that, over a 36-month period, administers a constant </w:t>
      </w:r>
      <w:proofErr w:type="spellStart"/>
      <w:r w:rsidR="00B41BEE" w:rsidRPr="00B41BEE">
        <w:rPr>
          <w:rFonts w:ascii="Arial" w:hAnsi="Arial" w:cs="Arial"/>
        </w:rPr>
        <w:t>microdose</w:t>
      </w:r>
      <w:proofErr w:type="spellEnd"/>
      <w:r w:rsidR="00B41BEE" w:rsidRPr="00B41BEE">
        <w:rPr>
          <w:rFonts w:ascii="Arial" w:hAnsi="Arial" w:cs="Arial"/>
        </w:rPr>
        <w:t xml:space="preserve"> of the non-proprietary corticosteroid fluocinolone acetonide (</w:t>
      </w:r>
      <w:proofErr w:type="spellStart"/>
      <w:r w:rsidR="00B41BEE" w:rsidRPr="00B41BEE">
        <w:rPr>
          <w:rFonts w:ascii="Arial" w:hAnsi="Arial" w:cs="Arial"/>
        </w:rPr>
        <w:t>FAc</w:t>
      </w:r>
      <w:proofErr w:type="spellEnd"/>
      <w:r w:rsidR="00B41BEE" w:rsidRPr="00B41BEE">
        <w:rPr>
          <w:rFonts w:ascii="Arial" w:hAnsi="Arial" w:cs="Arial"/>
        </w:rPr>
        <w:t xml:space="preserve">) in the eye. It is used to treat diabetic macular oedema (DME) and recurrent non-infectious uveitis of the posterior portion of the eye (NIU-PS). </w:t>
      </w:r>
      <w:proofErr w:type="spellStart"/>
      <w:r w:rsidR="00B41BEE" w:rsidRPr="00B41BEE">
        <w:rPr>
          <w:rFonts w:ascii="Arial" w:hAnsi="Arial" w:cs="Arial"/>
        </w:rPr>
        <w:t>Iluvien</w:t>
      </w:r>
      <w:proofErr w:type="spellEnd"/>
      <w:r w:rsidR="00B41BEE" w:rsidRPr="00B41BEE">
        <w:rPr>
          <w:rFonts w:ascii="Arial" w:hAnsi="Arial" w:cs="Arial"/>
        </w:rPr>
        <w:t>, when placed non-surgically in the back of the patient's eye, provides for a self-</w:t>
      </w:r>
      <w:r w:rsidR="00B41BEE" w:rsidRPr="00B41BEE">
        <w:rPr>
          <w:rFonts w:ascii="Arial" w:hAnsi="Arial" w:cs="Arial"/>
        </w:rPr>
        <w:lastRenderedPageBreak/>
        <w:t xml:space="preserve">sealing incision. It improves eyesight while reducing the adverse effects of long-term intravitreal corticosteroid administration, including high IOP in DME patients. Alimera does ophthalmic pharmaceutical research. The business is undertaking clinical trials on </w:t>
      </w:r>
      <w:proofErr w:type="spellStart"/>
      <w:r w:rsidR="00B41BEE" w:rsidRPr="00B41BEE">
        <w:rPr>
          <w:rFonts w:ascii="Arial" w:hAnsi="Arial" w:cs="Arial"/>
        </w:rPr>
        <w:t>Iluvien</w:t>
      </w:r>
      <w:proofErr w:type="spellEnd"/>
      <w:r w:rsidR="00B41BEE" w:rsidRPr="00B41BEE">
        <w:rPr>
          <w:rFonts w:ascii="Arial" w:hAnsi="Arial" w:cs="Arial"/>
        </w:rPr>
        <w:t xml:space="preserve"> to treat a variety of other disorders, including macular oedema linked with RVO, moderately severe to severe NPDR progression to proliferative diabetic retinopathy, dry age-related macular degeneration (AMD), and wet AMD. To that purpose, the corporation spent $16.2 million on R&amp;D in FY2022. The company also intends to examine acquisition and in-licensing options for technology or substances with potential eye disease therapy applications (Marketline.com, 2023).</w:t>
      </w:r>
    </w:p>
    <w:p w14:paraId="5DC383F5" w14:textId="77777777" w:rsidR="00B41BEE" w:rsidRPr="00B41BEE" w:rsidRDefault="00B41BEE" w:rsidP="00B41BEE">
      <w:pPr>
        <w:spacing w:line="360" w:lineRule="auto"/>
        <w:jc w:val="both"/>
        <w:rPr>
          <w:rFonts w:ascii="Arial" w:hAnsi="Arial" w:cs="Arial"/>
        </w:rPr>
      </w:pPr>
      <w:r w:rsidRPr="00B41BEE">
        <w:rPr>
          <w:rFonts w:ascii="Arial" w:hAnsi="Arial" w:cs="Arial"/>
        </w:rPr>
        <w:t>The company's revenue is primarily generated in the United States. In FY2022, the segment accounted for 63.2% of the company's sales. For FY2022, the segment recorded revenue of $34.2 million, a 27.9% increase year over year. The company's sales increased by 23% in 2022 compared to the previous year due to increased customer demand. The company's efforts to communicate with customers in various ways, as well as the publishing of its PALADIN Study, contributed to this boost. The units purchased by physicians and pharmacists from the company's distributors are referred to as end-user demand. The company's geographical footprint is limited due to its over-reliance on the distributor network for promoting its products. Alimera relies heavily on its distributors to advertise its products in international marketplaces across the globe. In fiscal year 2022, the company received 63% and 55% of its revenue from two pharmaceutical distributors. Termination of agreements with one or a few big distributors may have an impact on business operations (Marketline.com, 2023).</w:t>
      </w:r>
    </w:p>
    <w:p w14:paraId="312AF3BA" w14:textId="30AA2DD7" w:rsidR="00346C14" w:rsidRDefault="00B41BEE" w:rsidP="00B41BEE">
      <w:pPr>
        <w:spacing w:line="360" w:lineRule="auto"/>
        <w:jc w:val="both"/>
        <w:rPr>
          <w:rFonts w:ascii="Arial" w:hAnsi="Arial" w:cs="Arial"/>
        </w:rPr>
      </w:pPr>
      <w:r w:rsidRPr="00B41BEE">
        <w:rPr>
          <w:rFonts w:ascii="Arial" w:hAnsi="Arial" w:cs="Arial"/>
        </w:rPr>
        <w:t xml:space="preserve">Alimera's marketplaces are defined by severe competition, rising industry standards, and novel business practices. The competitive environment determines the demand for its products, which involves the timely creation and delivery of new and competitive items, as well as the company's response to downward price pressure </w:t>
      </w:r>
      <w:proofErr w:type="gramStart"/>
      <w:r w:rsidRPr="00B41BEE">
        <w:rPr>
          <w:rFonts w:ascii="Arial" w:hAnsi="Arial" w:cs="Arial"/>
        </w:rPr>
        <w:t>in order to</w:t>
      </w:r>
      <w:proofErr w:type="gramEnd"/>
      <w:r w:rsidRPr="00B41BEE">
        <w:rPr>
          <w:rFonts w:ascii="Arial" w:hAnsi="Arial" w:cs="Arial"/>
        </w:rPr>
        <w:t xml:space="preserve"> retain competition. Roche's Lucentis and Avastin, Regeneron's Eylea (aflibercept), and Allergan's </w:t>
      </w:r>
      <w:proofErr w:type="spellStart"/>
      <w:r w:rsidRPr="00B41BEE">
        <w:rPr>
          <w:rFonts w:ascii="Arial" w:hAnsi="Arial" w:cs="Arial"/>
        </w:rPr>
        <w:t>Ozurdex</w:t>
      </w:r>
      <w:proofErr w:type="spellEnd"/>
      <w:r w:rsidRPr="00B41BEE">
        <w:rPr>
          <w:rFonts w:ascii="Arial" w:hAnsi="Arial" w:cs="Arial"/>
        </w:rPr>
        <w:t xml:space="preserve"> (dexamethasone intravitreal implant) are all competitors for </w:t>
      </w:r>
      <w:proofErr w:type="spellStart"/>
      <w:r w:rsidRPr="00B41BEE">
        <w:rPr>
          <w:rFonts w:ascii="Arial" w:hAnsi="Arial" w:cs="Arial"/>
        </w:rPr>
        <w:t>Iluvien</w:t>
      </w:r>
      <w:proofErr w:type="spellEnd"/>
      <w:r w:rsidRPr="00B41BEE">
        <w:rPr>
          <w:rFonts w:ascii="Arial" w:hAnsi="Arial" w:cs="Arial"/>
        </w:rPr>
        <w:t xml:space="preserve">. Several pharmaceutical companies, including Regeneron Pharmaceuticals Inc, </w:t>
      </w:r>
      <w:proofErr w:type="spellStart"/>
      <w:r w:rsidRPr="00B41BEE">
        <w:rPr>
          <w:rFonts w:ascii="Arial" w:hAnsi="Arial" w:cs="Arial"/>
        </w:rPr>
        <w:t>NeoVista</w:t>
      </w:r>
      <w:proofErr w:type="spellEnd"/>
      <w:r w:rsidRPr="00B41BEE">
        <w:rPr>
          <w:rFonts w:ascii="Arial" w:hAnsi="Arial" w:cs="Arial"/>
        </w:rPr>
        <w:t xml:space="preserve"> Inc, and others, are developing competitive therapies for wet AMD through a variety of approaches. The existence and development of these things by competitors may have a detrimental impact on the company's product marketability (Marketline.com, 2023).</w:t>
      </w:r>
    </w:p>
    <w:p w14:paraId="02D74C87" w14:textId="77777777" w:rsidR="00806155" w:rsidRDefault="00806155" w:rsidP="00B41BEE">
      <w:pPr>
        <w:spacing w:line="360" w:lineRule="auto"/>
        <w:jc w:val="both"/>
        <w:rPr>
          <w:rFonts w:ascii="Arial" w:hAnsi="Arial" w:cs="Arial"/>
        </w:rPr>
      </w:pPr>
    </w:p>
    <w:p w14:paraId="38B7C2D7" w14:textId="77777777" w:rsidR="00806155" w:rsidRDefault="00806155" w:rsidP="00B41BEE">
      <w:pPr>
        <w:spacing w:line="360" w:lineRule="auto"/>
        <w:jc w:val="both"/>
        <w:rPr>
          <w:rFonts w:ascii="Arial" w:hAnsi="Arial" w:cs="Arial"/>
        </w:rPr>
      </w:pPr>
    </w:p>
    <w:p w14:paraId="2499C61E" w14:textId="77777777" w:rsidR="00E4421E" w:rsidRPr="00126F74" w:rsidRDefault="00E4421E" w:rsidP="00B41BEE">
      <w:pPr>
        <w:spacing w:line="360" w:lineRule="auto"/>
        <w:jc w:val="both"/>
        <w:rPr>
          <w:rFonts w:ascii="Arial" w:hAnsi="Arial" w:cs="Arial"/>
        </w:rPr>
      </w:pPr>
    </w:p>
    <w:p w14:paraId="039771E0" w14:textId="69E8F2B6" w:rsidR="00E4421E" w:rsidRDefault="00346C14" w:rsidP="00E4421E">
      <w:pPr>
        <w:pStyle w:val="Heading2"/>
      </w:pPr>
      <w:bookmarkStart w:id="6" w:name="_Toc143532262"/>
      <w:r w:rsidRPr="00E4421E">
        <w:lastRenderedPageBreak/>
        <w:t>Benchmarking/ Balanced Scorecard Model/ Product Life Cycle Model</w:t>
      </w:r>
      <w:bookmarkEnd w:id="6"/>
    </w:p>
    <w:p w14:paraId="56B34BAB" w14:textId="77777777" w:rsidR="00374D50" w:rsidRPr="00374D50" w:rsidRDefault="00374D50" w:rsidP="00374D50"/>
    <w:p w14:paraId="4581724F" w14:textId="4913FB7D" w:rsidR="00346C14" w:rsidRPr="00126F74" w:rsidRDefault="00346C14" w:rsidP="00911785">
      <w:pPr>
        <w:spacing w:line="360" w:lineRule="auto"/>
        <w:jc w:val="both"/>
        <w:rPr>
          <w:rFonts w:ascii="Arial" w:hAnsi="Arial" w:cs="Arial"/>
        </w:rPr>
      </w:pPr>
      <w:r w:rsidRPr="00126F74">
        <w:rPr>
          <w:rFonts w:ascii="Arial" w:hAnsi="Arial" w:cs="Arial"/>
        </w:rPr>
        <w:t xml:space="preserve">Third-party manufacturer facilities that fail to fulfil current good manufacturing practices have a detrimental influence on the company's product development and commercialisation efforts. The corporation uses third-party manufacturers for product development. This reliance on third-party sources could expose the organisation to several risks. Only a few firms follow the FDA and European Union's reasonable manufacturing practices regulations. Failure of the company's third-party manufacturers to follow current good manufacturing practices or other regulatory requirements will result in delays in the availability of products for commercial use or clinical testing (Marketline.com, 2023). An entity may use a derivative with terms that match the critical terms of the hedged item (this is commonly referred to as a 'hypothetical derivative') and would be calibrated using the hedged price (or rate) level, for example, for a hedge of a forecast transaction, to calculate the change in the value of the hedged item for the purpose of measuring hedge ineffectiveness. </w:t>
      </w:r>
      <w:r w:rsidR="009C5BB1" w:rsidRPr="009C5BB1">
        <w:rPr>
          <w:rFonts w:ascii="Arial" w:hAnsi="Arial" w:cs="Arial"/>
        </w:rPr>
        <w:t>A hypothetical forward contract calibrated to zero at the time the hedging relationship is disclosed would be the hypothetical derivative, for instance, if the hedge is for a two-sided risk at the present market level. If the risk being hedged was one-sided, the hypothetical derivative would stand in for the intrinsic value of a hypothetical option that is in the black if the price level being hedged is the current market level or out of the black if the price level being hedged is above (or below) the current market level at the time the hedging relationship is designated.</w:t>
      </w:r>
      <w:r w:rsidR="005F1615" w:rsidRPr="005F1615">
        <w:t xml:space="preserve"> </w:t>
      </w:r>
      <w:r w:rsidR="005F1615" w:rsidRPr="005F1615">
        <w:rPr>
          <w:rFonts w:ascii="Arial" w:hAnsi="Arial" w:cs="Arial"/>
        </w:rPr>
        <w:t>A method to calculate the change in value of the hedged item is by using a hypothetical derivative. This fabricated derivative mimics the hedged item and produces the same result no matter how the value change was computed</w:t>
      </w:r>
      <w:r w:rsidRPr="00126F74">
        <w:rPr>
          <w:rFonts w:ascii="Arial" w:hAnsi="Arial" w:cs="Arial"/>
        </w:rPr>
        <w:t xml:space="preserve"> (</w:t>
      </w:r>
      <w:proofErr w:type="spellStart"/>
      <w:r w:rsidRPr="00126F74">
        <w:rPr>
          <w:rFonts w:ascii="Arial" w:hAnsi="Arial" w:cs="Arial"/>
        </w:rPr>
        <w:t>ZXhang</w:t>
      </w:r>
      <w:proofErr w:type="spellEnd"/>
      <w:r w:rsidRPr="00126F74">
        <w:rPr>
          <w:rFonts w:ascii="Arial" w:hAnsi="Arial" w:cs="Arial"/>
        </w:rPr>
        <w:t xml:space="preserve">, Y.X., </w:t>
      </w:r>
      <w:proofErr w:type="spellStart"/>
      <w:r w:rsidRPr="00126F74">
        <w:rPr>
          <w:rFonts w:ascii="Arial" w:hAnsi="Arial" w:cs="Arial"/>
        </w:rPr>
        <w:t>Haxo</w:t>
      </w:r>
      <w:proofErr w:type="spellEnd"/>
      <w:r w:rsidRPr="00126F74">
        <w:rPr>
          <w:rFonts w:ascii="Arial" w:hAnsi="Arial" w:cs="Arial"/>
        </w:rPr>
        <w:t>, Y.M. and Mat, YXYX, 2023).</w:t>
      </w:r>
      <w:r w:rsidR="00516871" w:rsidRPr="00516871">
        <w:t xml:space="preserve"> </w:t>
      </w:r>
      <w:r w:rsidR="00516871" w:rsidRPr="00516871">
        <w:rPr>
          <w:rFonts w:ascii="Arial" w:hAnsi="Arial" w:cs="Arial"/>
        </w:rPr>
        <w:t xml:space="preserve">On March 24th, 2023, a group of investors signed a securities purchase agreement (known as the "Purchase Agreement") to buy a maximum of 27,000 newly designated Series B Convertible Preferred Stock shares, each with a par value of $0.01 per share, and Warrants that allow them to purchase up to 5,714,286 shares of our common stock. The total purchase price is capped at $27.0 million, which will be paid in two </w:t>
      </w:r>
      <w:proofErr w:type="spellStart"/>
      <w:r w:rsidR="002D3BEC">
        <w:rPr>
          <w:rFonts w:ascii="Arial" w:hAnsi="Arial" w:cs="Arial"/>
        </w:rPr>
        <w:t>installments</w:t>
      </w:r>
      <w:proofErr w:type="spellEnd"/>
      <w:r w:rsidR="00516871" w:rsidRPr="00516871">
        <w:rPr>
          <w:rFonts w:ascii="Arial" w:hAnsi="Arial" w:cs="Arial"/>
        </w:rPr>
        <w:t>.</w:t>
      </w:r>
      <w:r w:rsidR="006B443A" w:rsidRPr="00126F74">
        <w:rPr>
          <w:rFonts w:ascii="Arial" w:hAnsi="Arial" w:cs="Arial"/>
        </w:rPr>
        <w:t xml:space="preserve"> Alimera </w:t>
      </w:r>
      <w:r w:rsidR="002D3BEC" w:rsidRPr="00126F74">
        <w:rPr>
          <w:rFonts w:ascii="Arial" w:hAnsi="Arial" w:cs="Arial"/>
        </w:rPr>
        <w:t>research</w:t>
      </w:r>
      <w:r w:rsidR="006B443A" w:rsidRPr="00126F74">
        <w:rPr>
          <w:rFonts w:ascii="Arial" w:hAnsi="Arial" w:cs="Arial"/>
        </w:rPr>
        <w:t xml:space="preserve"> to develop treatments for retinal diseases. The company focuses on developing treatments for patients with unmet medical needs who suffer from geographic atrophy (GAGA) and dry AMD. Pre-clinical studies have demonstrated the effectiveness of </w:t>
      </w:r>
      <w:proofErr w:type="spellStart"/>
      <w:r w:rsidR="006B443A" w:rsidRPr="00126F74">
        <w:rPr>
          <w:rFonts w:ascii="Arial" w:hAnsi="Arial" w:cs="Arial"/>
        </w:rPr>
        <w:t>Iluvien</w:t>
      </w:r>
      <w:proofErr w:type="spellEnd"/>
      <w:r w:rsidR="006B443A" w:rsidRPr="00126F74">
        <w:rPr>
          <w:rFonts w:ascii="Arial" w:hAnsi="Arial" w:cs="Arial"/>
        </w:rPr>
        <w:t xml:space="preserve"> (the minor form) in treating retinal degeneration. The company spent $16.2 million, or 29.9% of total revenue, on R&amp;D in FY2022, an increase of 17.8% from the previous </w:t>
      </w:r>
      <w:proofErr w:type="spellStart"/>
      <w:proofErr w:type="gramStart"/>
      <w:r w:rsidR="006B443A" w:rsidRPr="00126F74">
        <w:rPr>
          <w:rFonts w:ascii="Arial" w:hAnsi="Arial" w:cs="Arial"/>
        </w:rPr>
        <w:t>year.ALimera</w:t>
      </w:r>
      <w:proofErr w:type="spellEnd"/>
      <w:proofErr w:type="gramEnd"/>
      <w:r w:rsidR="006B443A" w:rsidRPr="00126F74">
        <w:rPr>
          <w:rFonts w:ascii="Arial" w:hAnsi="Arial" w:cs="Arial"/>
        </w:rPr>
        <w:t xml:space="preserve"> focuses on unmet medical needs for disorders affecting the retina or the back of the eye. According to the company's business strategy, the company intends to</w:t>
      </w:r>
      <w:r w:rsidR="00C60C1D">
        <w:rPr>
          <w:rFonts w:ascii="Arial" w:hAnsi="Arial" w:cs="Arial"/>
        </w:rPr>
        <w:t xml:space="preserve"> </w:t>
      </w:r>
      <w:r w:rsidR="006B443A" w:rsidRPr="00126F74">
        <w:rPr>
          <w:rFonts w:ascii="Arial" w:hAnsi="Arial" w:cs="Arial"/>
        </w:rPr>
        <w:t xml:space="preserve">maximise </w:t>
      </w:r>
      <w:proofErr w:type="spellStart"/>
      <w:r w:rsidR="006B443A" w:rsidRPr="00126F74">
        <w:rPr>
          <w:rFonts w:ascii="Arial" w:hAnsi="Arial" w:cs="Arial"/>
        </w:rPr>
        <w:t>Iluvien's</w:t>
      </w:r>
      <w:proofErr w:type="spellEnd"/>
      <w:r w:rsidR="006B443A" w:rsidRPr="00126F74">
        <w:rPr>
          <w:rFonts w:ascii="Arial" w:hAnsi="Arial" w:cs="Arial"/>
        </w:rPr>
        <w:t xml:space="preserve"> market outreach for DME treatment in the United States and Europe; to pursue commercialisation of </w:t>
      </w:r>
      <w:proofErr w:type="spellStart"/>
      <w:r w:rsidR="006B443A" w:rsidRPr="00126F74">
        <w:rPr>
          <w:rFonts w:ascii="Arial" w:hAnsi="Arial" w:cs="Arial"/>
        </w:rPr>
        <w:t>Iluvien</w:t>
      </w:r>
      <w:proofErr w:type="spellEnd"/>
      <w:r w:rsidR="006B443A" w:rsidRPr="00126F74">
        <w:rPr>
          <w:rFonts w:ascii="Arial" w:hAnsi="Arial" w:cs="Arial"/>
        </w:rPr>
        <w:t xml:space="preserve"> for DME treatment in additional countries outside the </w:t>
      </w:r>
      <w:r w:rsidR="006B443A" w:rsidRPr="00126F74">
        <w:rPr>
          <w:rFonts w:ascii="Arial" w:hAnsi="Arial" w:cs="Arial"/>
        </w:rPr>
        <w:lastRenderedPageBreak/>
        <w:t xml:space="preserve">United States and Europe; and to pursue the marketing of </w:t>
      </w:r>
      <w:proofErr w:type="spellStart"/>
      <w:r w:rsidR="006B443A" w:rsidRPr="00126F74">
        <w:rPr>
          <w:rFonts w:ascii="Arial" w:hAnsi="Arial" w:cs="Arial"/>
        </w:rPr>
        <w:t>Iluvien</w:t>
      </w:r>
      <w:proofErr w:type="spellEnd"/>
      <w:r w:rsidR="006B443A" w:rsidRPr="00126F74">
        <w:rPr>
          <w:rFonts w:ascii="Arial" w:hAnsi="Arial" w:cs="Arial"/>
        </w:rPr>
        <w:t xml:space="preserve"> for NIU-PS treatment in Europe. The company intends to extend its ophthalmic product portfolio by licencing and acquiring substances and technology for treating eye ailments. </w:t>
      </w:r>
      <w:proofErr w:type="spellStart"/>
      <w:r w:rsidR="006B443A" w:rsidRPr="00126F74">
        <w:rPr>
          <w:rFonts w:ascii="Arial" w:hAnsi="Arial" w:cs="Arial"/>
        </w:rPr>
        <w:t>Iluvien</w:t>
      </w:r>
      <w:proofErr w:type="spellEnd"/>
      <w:r w:rsidR="006B443A" w:rsidRPr="00126F74">
        <w:rPr>
          <w:rFonts w:ascii="Arial" w:hAnsi="Arial" w:cs="Arial"/>
        </w:rPr>
        <w:t xml:space="preserve"> is being promoted by the firm as a safe and effective therapy option for patients with DME and NIU-PS, with the added benefit of requiring fewer injections for up to three years. It plans to offer </w:t>
      </w:r>
      <w:proofErr w:type="spellStart"/>
      <w:r w:rsidR="006B443A" w:rsidRPr="00126F74">
        <w:rPr>
          <w:rFonts w:ascii="Arial" w:hAnsi="Arial" w:cs="Arial"/>
        </w:rPr>
        <w:t>Iluvien</w:t>
      </w:r>
      <w:proofErr w:type="spellEnd"/>
      <w:r w:rsidR="006B443A" w:rsidRPr="00126F74">
        <w:rPr>
          <w:rFonts w:ascii="Arial" w:hAnsi="Arial" w:cs="Arial"/>
        </w:rPr>
        <w:t xml:space="preserve"> for retinal problems and, in the future, develop and sell further eye care products based on its expertise (Marketline.com, 2023).</w:t>
      </w:r>
    </w:p>
    <w:p w14:paraId="2D62CF56" w14:textId="77777777" w:rsidR="00FF4F7F" w:rsidRDefault="00FF4F7F" w:rsidP="00911785">
      <w:pPr>
        <w:spacing w:line="360" w:lineRule="auto"/>
        <w:jc w:val="both"/>
        <w:rPr>
          <w:rFonts w:ascii="Arial" w:hAnsi="Arial" w:cs="Arial"/>
        </w:rPr>
      </w:pPr>
    </w:p>
    <w:p w14:paraId="31EDBB3B" w14:textId="70F92F3B" w:rsidR="00346C14" w:rsidRDefault="00346C14" w:rsidP="00D72BC5">
      <w:pPr>
        <w:pStyle w:val="Heading2"/>
      </w:pPr>
      <w:bookmarkStart w:id="7" w:name="_Toc143532263"/>
      <w:r w:rsidRPr="00126F74">
        <w:t>Strategic growth choices/options/action points</w:t>
      </w:r>
      <w:bookmarkEnd w:id="7"/>
    </w:p>
    <w:p w14:paraId="172F058C" w14:textId="77777777" w:rsidR="00374D50" w:rsidRPr="00374D50" w:rsidRDefault="00374D50" w:rsidP="00374D50"/>
    <w:p w14:paraId="218D2426" w14:textId="77777777" w:rsidR="00FF4F7F" w:rsidRPr="00FF4F7F" w:rsidRDefault="00346C14" w:rsidP="00FF4F7F">
      <w:pPr>
        <w:spacing w:line="360" w:lineRule="auto"/>
        <w:jc w:val="both"/>
        <w:rPr>
          <w:rFonts w:ascii="Arial" w:hAnsi="Arial" w:cs="Arial"/>
        </w:rPr>
      </w:pPr>
      <w:r w:rsidRPr="00126F74">
        <w:rPr>
          <w:rFonts w:ascii="Arial" w:hAnsi="Arial" w:cs="Arial"/>
        </w:rPr>
        <w:t xml:space="preserve">To increase its market presence and operational effectiveness, the corporation </w:t>
      </w:r>
      <w:proofErr w:type="gramStart"/>
      <w:r w:rsidRPr="00126F74">
        <w:rPr>
          <w:rFonts w:ascii="Arial" w:hAnsi="Arial" w:cs="Arial"/>
        </w:rPr>
        <w:t>entered into</w:t>
      </w:r>
      <w:proofErr w:type="gramEnd"/>
      <w:r w:rsidRPr="00126F74">
        <w:rPr>
          <w:rFonts w:ascii="Arial" w:hAnsi="Arial" w:cs="Arial"/>
        </w:rPr>
        <w:t xml:space="preserve"> strategic alliances. In April 2023, the company agreed with Horus Pharma to expand their relationship beyond France, Belgium, Luxembourg, and the Netherlands </w:t>
      </w:r>
      <w:proofErr w:type="gramStart"/>
      <w:r w:rsidRPr="00126F74">
        <w:rPr>
          <w:rFonts w:ascii="Arial" w:hAnsi="Arial" w:cs="Arial"/>
        </w:rPr>
        <w:t>in order to</w:t>
      </w:r>
      <w:proofErr w:type="gramEnd"/>
      <w:r w:rsidRPr="00126F74">
        <w:rPr>
          <w:rFonts w:ascii="Arial" w:hAnsi="Arial" w:cs="Arial"/>
        </w:rPr>
        <w:t xml:space="preserve"> increase commercialisation efforts for ILUVIEN in the Nordic countries of Denmark, Finland, Norway, and Sweden for both diabetic macular oedema and non-infectious uveitis affecting the posterior segment of the eye. The company will be able to expand its market reach as a result. Alimera Sciences Europe Limited has reached a deal with </w:t>
      </w:r>
      <w:proofErr w:type="spellStart"/>
      <w:r w:rsidRPr="00126F74">
        <w:rPr>
          <w:rFonts w:ascii="Arial" w:hAnsi="Arial" w:cs="Arial"/>
        </w:rPr>
        <w:t>Medis</w:t>
      </w:r>
      <w:proofErr w:type="spellEnd"/>
      <w:r w:rsidRPr="00126F74">
        <w:rPr>
          <w:rFonts w:ascii="Arial" w:hAnsi="Arial" w:cs="Arial"/>
        </w:rPr>
        <w:t xml:space="preserve"> Pharmaceutical to market ILUVIEN for non-infectious uveitis in November 2022. This arrangement will allow the company to provide clinicians and patients with information about retinal health and how to retain better eyesight for longer. The company's operations are governed by several existing and emerging state, federal, and government restrictions. Even yet, the company's operations must adhere to requirements set by regulatory bodies such as the United States Food and Drug Administration (FDA) and other state and municipal environmental laws and regulations. Noncompliance with regulating bodies' regulations may result in expensive fines in the form of taxes, unforeseen compliance expenditures, seizures, product recalls, and </w:t>
      </w:r>
      <w:proofErr w:type="gramStart"/>
      <w:r w:rsidRPr="00126F74">
        <w:rPr>
          <w:rFonts w:ascii="Arial" w:hAnsi="Arial" w:cs="Arial"/>
        </w:rPr>
        <w:t>other</w:t>
      </w:r>
      <w:proofErr w:type="gramEnd"/>
      <w:r w:rsidRPr="00126F74">
        <w:rPr>
          <w:rFonts w:ascii="Arial" w:hAnsi="Arial" w:cs="Arial"/>
        </w:rPr>
        <w:t xml:space="preserve"> legal pro</w:t>
      </w:r>
      <w:r w:rsidR="00FF4F7F" w:rsidRPr="00FF4F7F">
        <w:rPr>
          <w:rFonts w:ascii="Arial" w:hAnsi="Arial" w:cs="Arial"/>
        </w:rPr>
        <w:t>• Propose strategic direction</w:t>
      </w:r>
    </w:p>
    <w:p w14:paraId="3EB09933" w14:textId="77777777" w:rsidR="00FF4F7F" w:rsidRPr="00FF4F7F" w:rsidRDefault="00FF4F7F" w:rsidP="00FF4F7F">
      <w:pPr>
        <w:spacing w:line="360" w:lineRule="auto"/>
        <w:jc w:val="both"/>
        <w:rPr>
          <w:rFonts w:ascii="Arial" w:hAnsi="Arial" w:cs="Arial"/>
        </w:rPr>
      </w:pPr>
      <w:r w:rsidRPr="00FF4F7F">
        <w:rPr>
          <w:rFonts w:ascii="Arial" w:hAnsi="Arial" w:cs="Arial"/>
        </w:rPr>
        <w:t xml:space="preserve">14th New Day Study, The Intravitreal ILUVIEN® Implant as Baseline Therapy in Patients with Early Diabetic Macular </w:t>
      </w:r>
      <w:proofErr w:type="spellStart"/>
      <w:r w:rsidRPr="00FF4F7F">
        <w:rPr>
          <w:rFonts w:ascii="Arial" w:hAnsi="Arial" w:cs="Arial"/>
        </w:rPr>
        <w:t>Edoema</w:t>
      </w:r>
      <w:proofErr w:type="spellEnd"/>
      <w:r w:rsidRPr="00FF4F7F">
        <w:rPr>
          <w:rFonts w:ascii="Arial" w:hAnsi="Arial" w:cs="Arial"/>
        </w:rPr>
        <w:t>: A Prospective, Randomised, Controlled Study:</w:t>
      </w:r>
    </w:p>
    <w:p w14:paraId="17F219BD" w14:textId="77777777" w:rsidR="00FF4F7F" w:rsidRPr="00FF4F7F" w:rsidRDefault="00FF4F7F" w:rsidP="00FF4F7F">
      <w:pPr>
        <w:spacing w:line="360" w:lineRule="auto"/>
        <w:jc w:val="both"/>
        <w:rPr>
          <w:rFonts w:ascii="Arial" w:hAnsi="Arial" w:cs="Arial"/>
        </w:rPr>
      </w:pPr>
      <w:r w:rsidRPr="00FF4F7F">
        <w:rPr>
          <w:rFonts w:ascii="Arial" w:hAnsi="Arial" w:cs="Arial"/>
        </w:rPr>
        <w:t>• First direct head-to-head comparison of a corticosteroid and anti-VEGF medication (aflibercept) in patients with early diabetic macular oedema • Assesses ILUVIEN as baseline therapy in patients with diabetic macular oedema</w:t>
      </w:r>
    </w:p>
    <w:p w14:paraId="41B55063" w14:textId="1B02BE33" w:rsidR="00FF4F7F" w:rsidRPr="00FF4F7F" w:rsidRDefault="00FF4F7F" w:rsidP="00FF4F7F">
      <w:pPr>
        <w:spacing w:line="360" w:lineRule="auto"/>
        <w:jc w:val="both"/>
        <w:rPr>
          <w:rFonts w:ascii="Arial" w:hAnsi="Arial" w:cs="Arial"/>
        </w:rPr>
      </w:pPr>
      <w:r w:rsidRPr="00FF4F7F">
        <w:rPr>
          <w:rFonts w:ascii="Arial" w:hAnsi="Arial" w:cs="Arial"/>
        </w:rPr>
        <w:t xml:space="preserve">• Show reduced disease recurrence, reduced treatment frequency, better disease control, and reduced retinal damage when compared to the current standard of care therapy • Include a groundbreaking cytokine </w:t>
      </w:r>
      <w:proofErr w:type="spellStart"/>
      <w:r w:rsidRPr="00FF4F7F">
        <w:rPr>
          <w:rFonts w:ascii="Arial" w:hAnsi="Arial" w:cs="Arial"/>
        </w:rPr>
        <w:t>substudy</w:t>
      </w:r>
      <w:proofErr w:type="spellEnd"/>
      <w:r w:rsidRPr="00FF4F7F">
        <w:rPr>
          <w:rFonts w:ascii="Arial" w:hAnsi="Arial" w:cs="Arial"/>
        </w:rPr>
        <w:t xml:space="preserve"> and electro-retinal graph readings to establish potential </w:t>
      </w:r>
      <w:r w:rsidRPr="00FF4F7F">
        <w:rPr>
          <w:rFonts w:ascii="Arial" w:hAnsi="Arial" w:cs="Arial"/>
        </w:rPr>
        <w:lastRenderedPageBreak/>
        <w:t>neuroprotection from ILUVIEN • An 18-month study with target of 300 patients at over 40 sites in the United States Given considerable evidence from numerous real-world studies, PALADIN Research, A 36-month phase 4, open-label, prospective, observational trial at 41 sites across the United States:</w:t>
      </w:r>
    </w:p>
    <w:p w14:paraId="63D9ADAB" w14:textId="6CE0E5DE" w:rsidR="00FF4F7F" w:rsidRPr="00FF4F7F" w:rsidRDefault="00FF4F7F" w:rsidP="00FF4F7F">
      <w:pPr>
        <w:spacing w:line="360" w:lineRule="auto"/>
        <w:jc w:val="both"/>
        <w:rPr>
          <w:rFonts w:ascii="Arial" w:hAnsi="Arial" w:cs="Arial"/>
        </w:rPr>
      </w:pPr>
      <w:r w:rsidRPr="00FF4F7F">
        <w:rPr>
          <w:rFonts w:ascii="Arial" w:hAnsi="Arial" w:cs="Arial"/>
        </w:rPr>
        <w:t>• 2.97% of eyes required IOP lowering surgery, but only half of them were attributable to steroid-induced ocular hypertension after using ILUVIEN, according to the USUS label. It compares favourably to the crucial FAME Studies' 4.8%.</w:t>
      </w:r>
    </w:p>
    <w:p w14:paraId="30E872CE" w14:textId="77777777" w:rsidR="00FF4F7F" w:rsidRPr="00FF4F7F" w:rsidRDefault="00FF4F7F" w:rsidP="00FF4F7F">
      <w:pPr>
        <w:spacing w:line="360" w:lineRule="auto"/>
        <w:jc w:val="both"/>
        <w:rPr>
          <w:rFonts w:ascii="Arial" w:hAnsi="Arial" w:cs="Arial"/>
        </w:rPr>
      </w:pPr>
      <w:r w:rsidRPr="00FF4F7F">
        <w:rPr>
          <w:rFonts w:ascii="Arial" w:hAnsi="Arial" w:cs="Arial"/>
        </w:rPr>
        <w:t>• Treatment load was significantly reduced (70.5% reduction) • Patients achieved a statistically significant anatomical decrease at all time intervals examined when compared to baseline</w:t>
      </w:r>
    </w:p>
    <w:p w14:paraId="60892213" w14:textId="77777777" w:rsidR="00FF4F7F" w:rsidRPr="00FF4F7F" w:rsidRDefault="00FF4F7F" w:rsidP="00FF4F7F">
      <w:pPr>
        <w:spacing w:line="360" w:lineRule="auto"/>
        <w:jc w:val="both"/>
        <w:rPr>
          <w:rFonts w:ascii="Arial" w:hAnsi="Arial" w:cs="Arial"/>
        </w:rPr>
      </w:pPr>
      <w:r w:rsidRPr="00FF4F7F">
        <w:rPr>
          <w:rFonts w:ascii="Arial" w:hAnsi="Arial" w:cs="Arial"/>
        </w:rPr>
        <w:t>• Patients treated early in their condition gained over three times as many letters (5.7 letters vs. 1.8 letters).</w:t>
      </w:r>
    </w:p>
    <w:p w14:paraId="07ED198F" w14:textId="77777777" w:rsidR="00FF4F7F" w:rsidRPr="00FF4F7F" w:rsidRDefault="00FF4F7F" w:rsidP="00FF4F7F">
      <w:pPr>
        <w:spacing w:line="360" w:lineRule="auto"/>
        <w:jc w:val="both"/>
        <w:rPr>
          <w:rFonts w:ascii="Arial" w:hAnsi="Arial" w:cs="Arial"/>
        </w:rPr>
      </w:pPr>
      <w:r w:rsidRPr="00FF4F7F">
        <w:rPr>
          <w:rFonts w:ascii="Arial" w:hAnsi="Arial" w:cs="Arial"/>
        </w:rPr>
        <w:t>The company is strategically expanding our reach to new markets, starting with those that allow us to launch. Our plans include extending into other territories across the globe shortly (alimerasciences.com, 2023)</w:t>
      </w:r>
    </w:p>
    <w:p w14:paraId="2DFA3095" w14:textId="77777777" w:rsidR="00FF4F7F" w:rsidRPr="00FF4F7F" w:rsidRDefault="00FF4F7F" w:rsidP="00FF4F7F">
      <w:pPr>
        <w:spacing w:line="360" w:lineRule="auto"/>
        <w:jc w:val="both"/>
        <w:rPr>
          <w:rFonts w:ascii="Arial" w:hAnsi="Arial" w:cs="Arial"/>
        </w:rPr>
      </w:pPr>
      <w:r w:rsidRPr="00FF4F7F">
        <w:rPr>
          <w:rFonts w:ascii="Arial" w:hAnsi="Arial" w:cs="Arial"/>
        </w:rPr>
        <w:t>Additional Launches for Non-Infectious Uveitis of the Posterior Segment of the Eye</w:t>
      </w:r>
    </w:p>
    <w:p w14:paraId="72268F5B" w14:textId="77777777" w:rsidR="00FF4F7F" w:rsidRPr="00FF4F7F" w:rsidRDefault="00FF4F7F" w:rsidP="00FF4F7F">
      <w:pPr>
        <w:spacing w:line="360" w:lineRule="auto"/>
        <w:jc w:val="both"/>
        <w:rPr>
          <w:rFonts w:ascii="Arial" w:hAnsi="Arial" w:cs="Arial"/>
        </w:rPr>
      </w:pPr>
      <w:r w:rsidRPr="00FF4F7F">
        <w:rPr>
          <w:rFonts w:ascii="Arial" w:hAnsi="Arial" w:cs="Arial"/>
        </w:rPr>
        <w:t>ILUVIEN Active Control Median Weeks to Recurrence</w:t>
      </w:r>
    </w:p>
    <w:p w14:paraId="4C567DFC" w14:textId="77777777" w:rsidR="00FF4F7F" w:rsidRPr="00FF4F7F" w:rsidRDefault="00FF4F7F" w:rsidP="00FF4F7F">
      <w:pPr>
        <w:spacing w:line="360" w:lineRule="auto"/>
        <w:jc w:val="both"/>
        <w:rPr>
          <w:rFonts w:ascii="Arial" w:hAnsi="Arial" w:cs="Arial"/>
        </w:rPr>
      </w:pPr>
      <w:r w:rsidRPr="00FF4F7F">
        <w:rPr>
          <w:rFonts w:ascii="Arial" w:hAnsi="Arial" w:cs="Arial"/>
        </w:rPr>
        <w:t>Active Management ILUVIEN Mean Recurrence Rate</w:t>
      </w:r>
    </w:p>
    <w:p w14:paraId="2D2C03FD" w14:textId="77777777" w:rsidR="00FF4F7F" w:rsidRPr="00FF4F7F" w:rsidRDefault="00FF4F7F" w:rsidP="00FF4F7F">
      <w:pPr>
        <w:spacing w:line="360" w:lineRule="auto"/>
        <w:jc w:val="both"/>
        <w:rPr>
          <w:rFonts w:ascii="Arial" w:hAnsi="Arial" w:cs="Arial"/>
        </w:rPr>
      </w:pPr>
      <w:r w:rsidRPr="00FF4F7F">
        <w:rPr>
          <w:rFonts w:ascii="Arial" w:hAnsi="Arial" w:cs="Arial"/>
        </w:rPr>
        <w:t xml:space="preserve"> •First uveitis label for "prevention1 ". This adds to ILUVIEN's unique ability to minimise the recurrence of retinal disease.</w:t>
      </w:r>
    </w:p>
    <w:p w14:paraId="0CA1D9C7" w14:textId="77777777" w:rsidR="00FF4F7F" w:rsidRPr="00FF4F7F" w:rsidRDefault="00FF4F7F" w:rsidP="00FF4F7F">
      <w:pPr>
        <w:spacing w:line="360" w:lineRule="auto"/>
        <w:jc w:val="both"/>
        <w:rPr>
          <w:rFonts w:ascii="Arial" w:hAnsi="Arial" w:cs="Arial"/>
        </w:rPr>
      </w:pPr>
      <w:r w:rsidRPr="00FF4F7F">
        <w:rPr>
          <w:rFonts w:ascii="Arial" w:hAnsi="Arial" w:cs="Arial"/>
        </w:rPr>
        <w:t>• Market size is estimated to be 15-20% of the DME market.</w:t>
      </w:r>
    </w:p>
    <w:p w14:paraId="5F2C5615" w14:textId="49166CD6" w:rsidR="00346C14" w:rsidRDefault="00FF4F7F" w:rsidP="00FF4F7F">
      <w:pPr>
        <w:spacing w:line="360" w:lineRule="auto"/>
        <w:jc w:val="both"/>
        <w:rPr>
          <w:rFonts w:ascii="Arial" w:hAnsi="Arial" w:cs="Arial"/>
        </w:rPr>
      </w:pPr>
      <w:r w:rsidRPr="00FF4F7F">
        <w:rPr>
          <w:rFonts w:ascii="Arial" w:hAnsi="Arial" w:cs="Arial"/>
        </w:rPr>
        <w:t>• Steroids are the current standard of care; there is no anti-VEGF competition. • Available in Germany, the United Kingdom, the Netherlands, and, most recently, Spain; France and Italy in Q4; (alimerasciences.com, 2023</w:t>
      </w:r>
    </w:p>
    <w:p w14:paraId="2E1FCD61" w14:textId="77777777" w:rsidR="00FF4F7F" w:rsidRPr="00126F74" w:rsidRDefault="00FF4F7F" w:rsidP="00911785">
      <w:pPr>
        <w:spacing w:line="360" w:lineRule="auto"/>
        <w:jc w:val="both"/>
        <w:rPr>
          <w:rFonts w:ascii="Arial" w:hAnsi="Arial" w:cs="Arial"/>
        </w:rPr>
      </w:pPr>
    </w:p>
    <w:p w14:paraId="42EF3DB1" w14:textId="2C8A4FD3" w:rsidR="00346C14" w:rsidRDefault="00346C14" w:rsidP="003F3CC6">
      <w:pPr>
        <w:pStyle w:val="Heading2"/>
      </w:pPr>
      <w:bookmarkStart w:id="8" w:name="_Toc143532264"/>
      <w:r w:rsidRPr="00126F74">
        <w:t>Stakeholder</w:t>
      </w:r>
      <w:bookmarkEnd w:id="8"/>
      <w:r w:rsidRPr="00126F74">
        <w:t xml:space="preserve"> </w:t>
      </w:r>
    </w:p>
    <w:p w14:paraId="1CBA2CEC" w14:textId="77777777" w:rsidR="00374D50" w:rsidRPr="00374D50" w:rsidRDefault="00374D50" w:rsidP="00374D50"/>
    <w:p w14:paraId="0368A5C5" w14:textId="5995A218" w:rsidR="00346C14" w:rsidRPr="00126F74" w:rsidRDefault="007D52DB" w:rsidP="00911785">
      <w:pPr>
        <w:spacing w:line="360" w:lineRule="auto"/>
        <w:jc w:val="both"/>
        <w:rPr>
          <w:rFonts w:ascii="Arial" w:hAnsi="Arial" w:cs="Arial"/>
        </w:rPr>
      </w:pPr>
      <w:r w:rsidRPr="00126F74">
        <w:rPr>
          <w:rFonts w:ascii="Arial" w:hAnsi="Arial" w:cs="Arial"/>
        </w:rPr>
        <w:t>T</w:t>
      </w:r>
      <w:r w:rsidR="00346C14" w:rsidRPr="00126F74">
        <w:rPr>
          <w:rFonts w:ascii="Arial" w:hAnsi="Arial" w:cs="Arial"/>
        </w:rPr>
        <w:t xml:space="preserve">he plan dictates how will win, and how well serve clients is frequently regarded as winning. Customers and shareholders must be satisfied by for-profit businesses. Governments, organisations, and project teams must satisfy other stakeholders. When establishing a plan, these requirements must be </w:t>
      </w:r>
      <w:proofErr w:type="gramStart"/>
      <w:r w:rsidR="00346C14" w:rsidRPr="00126F74">
        <w:rPr>
          <w:rFonts w:ascii="Arial" w:hAnsi="Arial" w:cs="Arial"/>
        </w:rPr>
        <w:t>taken into account</w:t>
      </w:r>
      <w:proofErr w:type="gramEnd"/>
      <w:r w:rsidR="00346C14" w:rsidRPr="00126F74">
        <w:rPr>
          <w:rFonts w:ascii="Arial" w:hAnsi="Arial" w:cs="Arial"/>
        </w:rPr>
        <w:t xml:space="preserve">. Determine clients' and stakeholders' identities. What do clients want? Who are the key figures in success? Stakeholder analysis </w:t>
      </w:r>
      <w:r w:rsidR="00346C14" w:rsidRPr="00126F74">
        <w:rPr>
          <w:rFonts w:ascii="Arial" w:hAnsi="Arial" w:cs="Arial"/>
        </w:rPr>
        <w:lastRenderedPageBreak/>
        <w:t>can help uncover these requirements and preferences. Examine the market thoroughly as well. Answer crucial questions such as "How is our market segmented?" "What subpopulations can we reach cost-effectively?" and "What is our optimal Marketing Mix?"</w:t>
      </w:r>
      <w:r w:rsidR="00560934" w:rsidRPr="00126F74">
        <w:rPr>
          <w:rFonts w:ascii="Arial" w:hAnsi="Arial" w:cs="Arial"/>
        </w:rPr>
        <w:t xml:space="preserve"> With focused marketing programmes, Alimera might benefit from the rising market for ophthalmic medicines. The growing target population will fuel market expansion due to the increased frequency of eye illnesses such as dry eye syndrome (DES), macular degeneration, and uveitis. Dry eye syndrome and macular degeneration are becoming more common as the population ages. According to internal research projections, the AMD industry is predicted to increase at an 8.3% CAGR to $5,562 million by 2023. It is the most common reason for seeking eye care in the older population, which is predicted to grow exponentially as the population ages. The rising prevalence of diabetes will present Alimera with new revenue prospects as well as considerable opportunities to expand as a leading provider of diabetes diagnostics solutions (Marketline.com, 2023).</w:t>
      </w:r>
    </w:p>
    <w:p w14:paraId="452346D0" w14:textId="77777777" w:rsidR="001575EF" w:rsidRPr="00126F74" w:rsidRDefault="001575EF" w:rsidP="00911785">
      <w:pPr>
        <w:spacing w:line="360" w:lineRule="auto"/>
        <w:jc w:val="both"/>
        <w:rPr>
          <w:rFonts w:ascii="Arial" w:hAnsi="Arial" w:cs="Arial"/>
        </w:rPr>
      </w:pPr>
    </w:p>
    <w:p w14:paraId="60AC1F8D" w14:textId="75607280" w:rsidR="00346C14" w:rsidRDefault="00346C14" w:rsidP="00010995">
      <w:pPr>
        <w:pStyle w:val="Heading2"/>
      </w:pPr>
      <w:bookmarkStart w:id="9" w:name="_Toc143532265"/>
      <w:r w:rsidRPr="00126F74">
        <w:t>Conclusions and Recommendations</w:t>
      </w:r>
      <w:bookmarkEnd w:id="9"/>
    </w:p>
    <w:p w14:paraId="77A7A084" w14:textId="77777777" w:rsidR="00374D50" w:rsidRPr="00374D50" w:rsidRDefault="00374D50" w:rsidP="00374D50"/>
    <w:p w14:paraId="1EBEC5D2" w14:textId="77777777" w:rsidR="00346C14" w:rsidRPr="00126F74" w:rsidRDefault="00346C14" w:rsidP="00911785">
      <w:pPr>
        <w:spacing w:line="360" w:lineRule="auto"/>
        <w:jc w:val="both"/>
        <w:rPr>
          <w:rFonts w:ascii="Arial" w:hAnsi="Arial" w:cs="Arial"/>
        </w:rPr>
      </w:pPr>
      <w:r w:rsidRPr="00126F74">
        <w:rPr>
          <w:rFonts w:ascii="Arial" w:hAnsi="Arial" w:cs="Arial"/>
        </w:rPr>
        <w:t>The SME must adopt an entirely new approach to strategic planning and management to build an extensive infrastructure network based on shared resources with other businesses. We are using Internet-based information technology. The adjustment of essential characteristics of an SME environment through a virtual organising perspective is central to the SMALL framework (Tetteh et al.; J., 2001).</w:t>
      </w:r>
    </w:p>
    <w:p w14:paraId="7CA791FA" w14:textId="64ED5B50" w:rsidR="0004494B" w:rsidRDefault="0004494B" w:rsidP="00911785">
      <w:pPr>
        <w:spacing w:line="360" w:lineRule="auto"/>
        <w:jc w:val="both"/>
        <w:rPr>
          <w:rFonts w:ascii="Arial" w:hAnsi="Arial" w:cs="Arial"/>
        </w:rPr>
      </w:pPr>
      <w:r w:rsidRPr="0004494B">
        <w:rPr>
          <w:rFonts w:ascii="Arial" w:hAnsi="Arial" w:cs="Arial"/>
        </w:rPr>
        <w:t>Significant product development uncertainty, high R&amp;D expenditures, limits on cross-border sales, and a variety of alliances are further noteworthy sector traits. We looked at the drivers and outcomes of both domestic and international mergers in this sector. Our estimates show that businesses with significant R&amp;D spending as a share of overall sales but few drug approvals are more likely to engage in international M&amp;A. Domestic mergers frequently involve businesses with smaller medication portfolios and lesser R&amp;D as a percentage of sales.</w:t>
      </w:r>
      <w:r w:rsidR="003E7850" w:rsidRPr="003E7850">
        <w:t xml:space="preserve"> </w:t>
      </w:r>
      <w:r w:rsidR="003E7850" w:rsidRPr="003E7850">
        <w:rPr>
          <w:rFonts w:ascii="Arial" w:hAnsi="Arial" w:cs="Arial"/>
        </w:rPr>
        <w:t xml:space="preserve">(Igartua, J.I., </w:t>
      </w:r>
      <w:proofErr w:type="spellStart"/>
      <w:r w:rsidR="003E7850" w:rsidRPr="003E7850">
        <w:rPr>
          <w:rFonts w:ascii="Arial" w:hAnsi="Arial" w:cs="Arial"/>
        </w:rPr>
        <w:t>Garrigós</w:t>
      </w:r>
      <w:proofErr w:type="spellEnd"/>
      <w:r w:rsidR="003E7850" w:rsidRPr="003E7850">
        <w:rPr>
          <w:rFonts w:ascii="Arial" w:hAnsi="Arial" w:cs="Arial"/>
        </w:rPr>
        <w:t>, J.A. and Hervas-Oliver, J.L., 2010).</w:t>
      </w:r>
    </w:p>
    <w:p w14:paraId="1F7A8AE8" w14:textId="39E0B5B4" w:rsidR="003A73D7" w:rsidRPr="00126F74" w:rsidRDefault="003A73D7" w:rsidP="00911785">
      <w:pPr>
        <w:spacing w:line="360" w:lineRule="auto"/>
        <w:jc w:val="both"/>
        <w:rPr>
          <w:rFonts w:ascii="Arial" w:hAnsi="Arial" w:cs="Arial"/>
        </w:rPr>
      </w:pPr>
      <w:r w:rsidRPr="00126F74">
        <w:rPr>
          <w:rFonts w:ascii="Arial" w:hAnsi="Arial" w:cs="Arial"/>
        </w:rPr>
        <w:t xml:space="preserve">Management ideas, techniques, and analytical frameworks are among the several strategy instruments managers utilise in strategy formation. Some usage studies have examined the potential benefits of employing specific technologies in the firm. Their importance in strategic planning has also been investigated, focusing on the ability of such tools to simplify an organisation's inherent complexities (Igartua, J.I., </w:t>
      </w:r>
      <w:proofErr w:type="spellStart"/>
      <w:r w:rsidRPr="00126F74">
        <w:rPr>
          <w:rFonts w:ascii="Arial" w:hAnsi="Arial" w:cs="Arial"/>
        </w:rPr>
        <w:t>Garrigós</w:t>
      </w:r>
      <w:proofErr w:type="spellEnd"/>
      <w:r w:rsidRPr="00126F74">
        <w:rPr>
          <w:rFonts w:ascii="Arial" w:hAnsi="Arial" w:cs="Arial"/>
        </w:rPr>
        <w:t>, J.A. and Hervas-Oliver, J.L., 2010).</w:t>
      </w:r>
    </w:p>
    <w:p w14:paraId="0F7BE9C6" w14:textId="1FC6AB53" w:rsidR="00B329E9" w:rsidRPr="00126F74" w:rsidRDefault="00B329E9" w:rsidP="00911785">
      <w:pPr>
        <w:spacing w:line="360" w:lineRule="auto"/>
        <w:jc w:val="both"/>
        <w:rPr>
          <w:rFonts w:ascii="Arial" w:hAnsi="Arial" w:cs="Arial"/>
        </w:rPr>
      </w:pPr>
      <w:r w:rsidRPr="00126F74">
        <w:rPr>
          <w:rFonts w:ascii="Arial" w:hAnsi="Arial" w:cs="Arial"/>
        </w:rPr>
        <w:lastRenderedPageBreak/>
        <w:t xml:space="preserve">When asked most organisational executives about their areas of focus, they will hear that Strategy is one of their top priorities. Unfortunately, too many leaders spend too much time and energy developing Strategy and need more time working out how to implement that Strategy throughout the organisation. To properly execute an organisation's Strategy, it must be the attention of all employees. It is the responsibility of leaders to generate, monitor, and reward that focus when it manifests itself. So, how do we supply the leadership required to implement strategies in such a way that they can be realised in every part of an organisation? If we focus on the Three Cs of Strategy, we will be well on the way to success in this endeavour. The plan outlines how it will accomplish success, regardless of how that success is defined. When establishing a strategy for a team, or an organisation, the process is just as crucial as the outcome. Identify </w:t>
      </w:r>
      <w:proofErr w:type="gramStart"/>
      <w:r w:rsidRPr="00126F74">
        <w:rPr>
          <w:rFonts w:ascii="Arial" w:hAnsi="Arial" w:cs="Arial"/>
        </w:rPr>
        <w:t>particular capabilities</w:t>
      </w:r>
      <w:proofErr w:type="gramEnd"/>
      <w:r w:rsidRPr="00126F74">
        <w:rPr>
          <w:rFonts w:ascii="Arial" w:hAnsi="Arial" w:cs="Arial"/>
        </w:rPr>
        <w:t xml:space="preserve"> and understand how to leverage them best while minimising hazards. The process and tools described above will assist in identifying many potential success strategies so that we can ultimately select the one that is best for the </w:t>
      </w:r>
      <w:proofErr w:type="gramStart"/>
      <w:r w:rsidRPr="00126F74">
        <w:rPr>
          <w:rFonts w:ascii="Arial" w:hAnsi="Arial" w:cs="Arial"/>
        </w:rPr>
        <w:t>company  (</w:t>
      </w:r>
      <w:proofErr w:type="gramEnd"/>
      <w:r w:rsidRPr="00126F74">
        <w:rPr>
          <w:rFonts w:ascii="Arial" w:hAnsi="Arial" w:cs="Arial"/>
        </w:rPr>
        <w:t>forbes.com, 2023)</w:t>
      </w:r>
    </w:p>
    <w:p w14:paraId="2A4507BF" w14:textId="77777777" w:rsidR="006C0E2B" w:rsidRPr="00126F74" w:rsidRDefault="006C0E2B" w:rsidP="00911785">
      <w:pPr>
        <w:spacing w:line="360" w:lineRule="auto"/>
        <w:jc w:val="both"/>
        <w:rPr>
          <w:rFonts w:ascii="Arial" w:hAnsi="Arial" w:cs="Arial"/>
        </w:rPr>
      </w:pPr>
    </w:p>
    <w:p w14:paraId="7F380539" w14:textId="77777777" w:rsidR="006C0E2B" w:rsidRPr="00126F74" w:rsidRDefault="006C0E2B" w:rsidP="00911785">
      <w:pPr>
        <w:spacing w:line="360" w:lineRule="auto"/>
        <w:jc w:val="both"/>
        <w:rPr>
          <w:rFonts w:ascii="Arial" w:hAnsi="Arial" w:cs="Arial"/>
        </w:rPr>
      </w:pPr>
    </w:p>
    <w:p w14:paraId="1E488A1A" w14:textId="77777777" w:rsidR="006C0E2B" w:rsidRPr="00126F74" w:rsidRDefault="006C0E2B" w:rsidP="00911785">
      <w:pPr>
        <w:spacing w:line="360" w:lineRule="auto"/>
        <w:jc w:val="both"/>
        <w:rPr>
          <w:rFonts w:ascii="Arial" w:hAnsi="Arial" w:cs="Arial"/>
        </w:rPr>
      </w:pPr>
    </w:p>
    <w:p w14:paraId="3899E821" w14:textId="77777777" w:rsidR="00B861AF" w:rsidRPr="00126F74" w:rsidRDefault="00B861AF" w:rsidP="00911785">
      <w:pPr>
        <w:spacing w:line="360" w:lineRule="auto"/>
        <w:jc w:val="both"/>
        <w:rPr>
          <w:rFonts w:ascii="Arial" w:hAnsi="Arial" w:cs="Arial"/>
        </w:rPr>
      </w:pPr>
    </w:p>
    <w:p w14:paraId="3BD0B59D" w14:textId="77777777" w:rsidR="00B861AF" w:rsidRPr="00126F74" w:rsidRDefault="00B861AF" w:rsidP="00911785">
      <w:pPr>
        <w:spacing w:line="360" w:lineRule="auto"/>
        <w:jc w:val="both"/>
        <w:rPr>
          <w:rFonts w:ascii="Arial" w:hAnsi="Arial" w:cs="Arial"/>
        </w:rPr>
      </w:pPr>
    </w:p>
    <w:p w14:paraId="71A1CAD4" w14:textId="77777777" w:rsidR="00A455E4" w:rsidRPr="00126F74" w:rsidRDefault="00A455E4" w:rsidP="00911785">
      <w:pPr>
        <w:spacing w:line="360" w:lineRule="auto"/>
        <w:jc w:val="both"/>
        <w:rPr>
          <w:rFonts w:ascii="Arial" w:hAnsi="Arial" w:cs="Arial"/>
        </w:rPr>
      </w:pPr>
    </w:p>
    <w:p w14:paraId="7458493A" w14:textId="77777777" w:rsidR="00B861AF" w:rsidRPr="00126F74" w:rsidRDefault="00B861AF" w:rsidP="00911785">
      <w:pPr>
        <w:spacing w:line="360" w:lineRule="auto"/>
        <w:jc w:val="both"/>
        <w:rPr>
          <w:rFonts w:ascii="Arial" w:hAnsi="Arial" w:cs="Arial"/>
        </w:rPr>
      </w:pPr>
    </w:p>
    <w:p w14:paraId="263EA6BB" w14:textId="77777777" w:rsidR="00B861AF" w:rsidRDefault="00B861AF" w:rsidP="00911785">
      <w:pPr>
        <w:spacing w:line="360" w:lineRule="auto"/>
        <w:jc w:val="both"/>
        <w:rPr>
          <w:rFonts w:ascii="Arial" w:hAnsi="Arial" w:cs="Arial"/>
        </w:rPr>
      </w:pPr>
    </w:p>
    <w:p w14:paraId="138275BE" w14:textId="77777777" w:rsidR="00935C24" w:rsidRDefault="00935C24" w:rsidP="00911785">
      <w:pPr>
        <w:spacing w:line="360" w:lineRule="auto"/>
        <w:jc w:val="both"/>
        <w:rPr>
          <w:rFonts w:ascii="Arial" w:hAnsi="Arial" w:cs="Arial"/>
        </w:rPr>
      </w:pPr>
    </w:p>
    <w:p w14:paraId="0517FA65" w14:textId="77777777" w:rsidR="00935C24" w:rsidRDefault="00935C24" w:rsidP="00911785">
      <w:pPr>
        <w:spacing w:line="360" w:lineRule="auto"/>
        <w:jc w:val="both"/>
        <w:rPr>
          <w:rFonts w:ascii="Arial" w:hAnsi="Arial" w:cs="Arial"/>
        </w:rPr>
      </w:pPr>
    </w:p>
    <w:p w14:paraId="51C62F5C" w14:textId="77777777" w:rsidR="00935C24" w:rsidRDefault="00935C24" w:rsidP="00911785">
      <w:pPr>
        <w:spacing w:line="360" w:lineRule="auto"/>
        <w:jc w:val="both"/>
        <w:rPr>
          <w:rFonts w:ascii="Arial" w:hAnsi="Arial" w:cs="Arial"/>
        </w:rPr>
      </w:pPr>
    </w:p>
    <w:p w14:paraId="7D07C83C" w14:textId="77777777" w:rsidR="00935C24" w:rsidRDefault="00935C24" w:rsidP="00911785">
      <w:pPr>
        <w:spacing w:line="360" w:lineRule="auto"/>
        <w:jc w:val="both"/>
        <w:rPr>
          <w:rFonts w:ascii="Arial" w:hAnsi="Arial" w:cs="Arial"/>
        </w:rPr>
      </w:pPr>
    </w:p>
    <w:p w14:paraId="5662ACAE" w14:textId="77777777" w:rsidR="00935C24" w:rsidRDefault="00935C24" w:rsidP="00911785">
      <w:pPr>
        <w:spacing w:line="360" w:lineRule="auto"/>
        <w:jc w:val="both"/>
        <w:rPr>
          <w:rFonts w:ascii="Arial" w:hAnsi="Arial" w:cs="Arial"/>
        </w:rPr>
      </w:pPr>
    </w:p>
    <w:p w14:paraId="3F548F37" w14:textId="77777777" w:rsidR="00935C24" w:rsidRDefault="00935C24" w:rsidP="00911785">
      <w:pPr>
        <w:spacing w:line="360" w:lineRule="auto"/>
        <w:jc w:val="both"/>
        <w:rPr>
          <w:rFonts w:ascii="Arial" w:hAnsi="Arial" w:cs="Arial"/>
        </w:rPr>
      </w:pPr>
    </w:p>
    <w:p w14:paraId="6A3157BA" w14:textId="77777777" w:rsidR="00935C24" w:rsidRDefault="00935C24" w:rsidP="00911785">
      <w:pPr>
        <w:spacing w:line="360" w:lineRule="auto"/>
        <w:jc w:val="both"/>
        <w:rPr>
          <w:rFonts w:ascii="Arial" w:hAnsi="Arial" w:cs="Arial"/>
        </w:rPr>
      </w:pPr>
    </w:p>
    <w:p w14:paraId="3FB9FF40" w14:textId="77777777" w:rsidR="00935C24" w:rsidRDefault="00935C24" w:rsidP="00911785">
      <w:pPr>
        <w:spacing w:line="360" w:lineRule="auto"/>
        <w:jc w:val="both"/>
        <w:rPr>
          <w:rFonts w:ascii="Arial" w:hAnsi="Arial" w:cs="Arial"/>
        </w:rPr>
      </w:pPr>
    </w:p>
    <w:p w14:paraId="62357FEF" w14:textId="77777777" w:rsidR="00935C24" w:rsidRDefault="00935C24" w:rsidP="00911785">
      <w:pPr>
        <w:spacing w:line="360" w:lineRule="auto"/>
        <w:jc w:val="both"/>
        <w:rPr>
          <w:rFonts w:ascii="Arial" w:hAnsi="Arial" w:cs="Arial"/>
        </w:rPr>
      </w:pPr>
    </w:p>
    <w:p w14:paraId="01001E2F" w14:textId="5FD3ABE2" w:rsidR="00B861AF" w:rsidRDefault="00935C24" w:rsidP="00010995">
      <w:pPr>
        <w:pStyle w:val="Heading2"/>
      </w:pPr>
      <w:bookmarkStart w:id="10" w:name="_Toc143532266"/>
      <w:r>
        <w:t>References:</w:t>
      </w:r>
      <w:bookmarkEnd w:id="10"/>
      <w:r>
        <w:t xml:space="preserve"> </w:t>
      </w:r>
    </w:p>
    <w:p w14:paraId="636D49EE" w14:textId="77777777" w:rsidR="00374D50" w:rsidRPr="00374D50" w:rsidRDefault="00374D50" w:rsidP="00374D50"/>
    <w:p w14:paraId="6D415919" w14:textId="7994FE34" w:rsidR="00B861AF" w:rsidRPr="00935C24" w:rsidRDefault="00EF7711" w:rsidP="00911785">
      <w:pPr>
        <w:spacing w:line="360" w:lineRule="auto"/>
        <w:jc w:val="both"/>
        <w:rPr>
          <w:rFonts w:ascii="Arial" w:hAnsi="Arial" w:cs="Arial"/>
          <w:i/>
          <w:iCs/>
        </w:rPr>
      </w:pPr>
      <w:r w:rsidRPr="00935C24">
        <w:rPr>
          <w:rFonts w:ascii="Arial" w:hAnsi="Arial" w:cs="Arial"/>
          <w:i/>
          <w:iCs/>
        </w:rPr>
        <w:t xml:space="preserve">Alimerasciences.com, Presentations | Alimera Sciences Inc. online accessed </w:t>
      </w:r>
      <w:proofErr w:type="gramStart"/>
      <w:r w:rsidRPr="00935C24">
        <w:rPr>
          <w:rFonts w:ascii="Arial" w:hAnsi="Arial" w:cs="Arial"/>
          <w:i/>
          <w:iCs/>
        </w:rPr>
        <w:t>19.08.2023</w:t>
      </w:r>
      <w:proofErr w:type="gramEnd"/>
    </w:p>
    <w:p w14:paraId="1720CAB7" w14:textId="19CD6D8F" w:rsidR="00EB0ECF" w:rsidRPr="00935C24" w:rsidRDefault="00A80942" w:rsidP="00911785">
      <w:pPr>
        <w:spacing w:line="360" w:lineRule="auto"/>
        <w:jc w:val="both"/>
        <w:rPr>
          <w:rFonts w:ascii="Arial" w:hAnsi="Arial" w:cs="Arial"/>
          <w:i/>
          <w:iCs/>
        </w:rPr>
      </w:pPr>
      <w:r w:rsidRPr="00935C24">
        <w:rPr>
          <w:rFonts w:ascii="Arial" w:hAnsi="Arial" w:cs="Arial"/>
          <w:i/>
          <w:iCs/>
        </w:rPr>
        <w:t>Banerjee, T., &amp; Nayak, A.</w:t>
      </w:r>
      <w:r w:rsidR="006B107C" w:rsidRPr="00935C24">
        <w:rPr>
          <w:rFonts w:ascii="Arial" w:hAnsi="Arial" w:cs="Arial"/>
          <w:i/>
          <w:iCs/>
        </w:rPr>
        <w:t xml:space="preserve">, </w:t>
      </w:r>
      <w:r w:rsidRPr="00935C24">
        <w:rPr>
          <w:rFonts w:ascii="Arial" w:hAnsi="Arial" w:cs="Arial"/>
          <w:i/>
          <w:iCs/>
        </w:rPr>
        <w:t>2015</w:t>
      </w:r>
      <w:r w:rsidR="006B107C" w:rsidRPr="00935C24">
        <w:rPr>
          <w:rFonts w:ascii="Arial" w:hAnsi="Arial" w:cs="Arial"/>
          <w:i/>
          <w:iCs/>
        </w:rPr>
        <w:t>.</w:t>
      </w:r>
      <w:r w:rsidRPr="00935C24">
        <w:rPr>
          <w:rFonts w:ascii="Arial" w:hAnsi="Arial" w:cs="Arial"/>
          <w:i/>
          <w:iCs/>
        </w:rPr>
        <w:t xml:space="preserve"> Comparing domestic and cross-border mergers and acquisitions in the pharmaceutical industry. Atlantic Economic Journal, 43, 489-499.</w:t>
      </w:r>
    </w:p>
    <w:p w14:paraId="3A7E4A27" w14:textId="777D8B69" w:rsidR="00E85009" w:rsidRPr="00935C24" w:rsidRDefault="00E85009" w:rsidP="00911785">
      <w:pPr>
        <w:spacing w:line="360" w:lineRule="auto"/>
        <w:jc w:val="both"/>
        <w:rPr>
          <w:rFonts w:ascii="Arial" w:hAnsi="Arial" w:cs="Arial"/>
          <w:i/>
          <w:iCs/>
        </w:rPr>
      </w:pPr>
      <w:r w:rsidRPr="00935C24">
        <w:rPr>
          <w:rFonts w:ascii="Arial" w:hAnsi="Arial" w:cs="Arial"/>
          <w:i/>
          <w:iCs/>
        </w:rPr>
        <w:t xml:space="preserve">Bellamy, L.C., Amoo, N., Mervyn, K. and </w:t>
      </w:r>
      <w:proofErr w:type="spellStart"/>
      <w:r w:rsidRPr="00935C24">
        <w:rPr>
          <w:rFonts w:ascii="Arial" w:hAnsi="Arial" w:cs="Arial"/>
          <w:i/>
          <w:iCs/>
        </w:rPr>
        <w:t>Hiddlestone</w:t>
      </w:r>
      <w:proofErr w:type="spellEnd"/>
      <w:r w:rsidRPr="00935C24">
        <w:rPr>
          <w:rFonts w:ascii="Arial" w:hAnsi="Arial" w:cs="Arial"/>
          <w:i/>
          <w:iCs/>
        </w:rPr>
        <w:t>-Mumford, J., 2019. The use of strategy tools and frameworks by SMEs in the strategy formation process. International Journal of Organizational Analysis, 27(2), pp.337-367.</w:t>
      </w:r>
    </w:p>
    <w:p w14:paraId="0D9F046B" w14:textId="26D489F5" w:rsidR="001C71D9" w:rsidRPr="00935C24" w:rsidRDefault="001C71D9" w:rsidP="00911785">
      <w:pPr>
        <w:spacing w:line="360" w:lineRule="auto"/>
        <w:jc w:val="both"/>
        <w:rPr>
          <w:rFonts w:ascii="Arial" w:hAnsi="Arial" w:cs="Arial"/>
          <w:i/>
          <w:iCs/>
        </w:rPr>
      </w:pPr>
      <w:r w:rsidRPr="00935C24">
        <w:rPr>
          <w:rFonts w:ascii="Arial" w:hAnsi="Arial" w:cs="Arial"/>
          <w:i/>
          <w:iCs/>
        </w:rPr>
        <w:t xml:space="preserve">Barney, J.B. and Hesterly, W.S. (2019) Strategic management and competitive </w:t>
      </w:r>
      <w:proofErr w:type="gramStart"/>
      <w:r w:rsidRPr="00935C24">
        <w:rPr>
          <w:rFonts w:ascii="Arial" w:hAnsi="Arial" w:cs="Arial"/>
          <w:i/>
          <w:iCs/>
        </w:rPr>
        <w:t>advantage :</w:t>
      </w:r>
      <w:proofErr w:type="gramEnd"/>
      <w:r w:rsidRPr="00935C24">
        <w:rPr>
          <w:rFonts w:ascii="Arial" w:hAnsi="Arial" w:cs="Arial"/>
          <w:i/>
          <w:iCs/>
        </w:rPr>
        <w:t xml:space="preserve"> concepts and cases. Sixth </w:t>
      </w:r>
      <w:proofErr w:type="gramStart"/>
      <w:r w:rsidRPr="00935C24">
        <w:rPr>
          <w:rFonts w:ascii="Arial" w:hAnsi="Arial" w:cs="Arial"/>
          <w:i/>
          <w:iCs/>
        </w:rPr>
        <w:t>edition ;</w:t>
      </w:r>
      <w:proofErr w:type="gramEnd"/>
      <w:r w:rsidRPr="00935C24">
        <w:rPr>
          <w:rFonts w:ascii="Arial" w:hAnsi="Arial" w:cs="Arial"/>
          <w:i/>
          <w:iCs/>
        </w:rPr>
        <w:t xml:space="preserve"> Global edition. Harlow, England: Pearson Education Limited.</w:t>
      </w:r>
    </w:p>
    <w:p w14:paraId="37C49B06" w14:textId="407E3E83" w:rsidR="00227B8C" w:rsidRPr="00935C24" w:rsidRDefault="00EC035F" w:rsidP="00911785">
      <w:pPr>
        <w:spacing w:line="360" w:lineRule="auto"/>
        <w:jc w:val="both"/>
        <w:rPr>
          <w:rFonts w:ascii="Arial" w:hAnsi="Arial" w:cs="Arial"/>
          <w:i/>
          <w:iCs/>
        </w:rPr>
      </w:pPr>
      <w:r w:rsidRPr="00935C24">
        <w:rPr>
          <w:rFonts w:ascii="Arial" w:hAnsi="Arial" w:cs="Arial"/>
          <w:i/>
          <w:iCs/>
        </w:rPr>
        <w:t>Carvalho, L. and Costa, T., 2014. Small and medium enterprises (SMEs) and competitiveness: An empirical study. Journal of Management Studies, 2(2), pp.88-95.</w:t>
      </w:r>
    </w:p>
    <w:p w14:paraId="12AEFAE9" w14:textId="77777777" w:rsidR="00B861AF" w:rsidRPr="00935C24" w:rsidRDefault="00B861AF" w:rsidP="00911785">
      <w:pPr>
        <w:spacing w:line="360" w:lineRule="auto"/>
        <w:jc w:val="both"/>
        <w:rPr>
          <w:rFonts w:ascii="Arial" w:hAnsi="Arial" w:cs="Arial"/>
          <w:i/>
          <w:iCs/>
        </w:rPr>
      </w:pPr>
      <w:r w:rsidRPr="00935C24">
        <w:rPr>
          <w:rFonts w:ascii="Arial" w:hAnsi="Arial" w:cs="Arial"/>
          <w:i/>
          <w:iCs/>
        </w:rPr>
        <w:t xml:space="preserve">Gomer, J. and Hille, J., 2015. An essential guide to SWOT analysis. University of California. Online </w:t>
      </w:r>
      <w:proofErr w:type="spellStart"/>
      <w:r w:rsidRPr="00935C24">
        <w:rPr>
          <w:rFonts w:ascii="Arial" w:hAnsi="Arial" w:cs="Arial"/>
          <w:i/>
          <w:iCs/>
        </w:rPr>
        <w:t>verfügbar</w:t>
      </w:r>
      <w:proofErr w:type="spellEnd"/>
      <w:r w:rsidRPr="00935C24">
        <w:rPr>
          <w:rFonts w:ascii="Arial" w:hAnsi="Arial" w:cs="Arial"/>
          <w:i/>
          <w:iCs/>
        </w:rPr>
        <w:t xml:space="preserve"> </w:t>
      </w:r>
      <w:proofErr w:type="spellStart"/>
      <w:r w:rsidRPr="00935C24">
        <w:rPr>
          <w:rFonts w:ascii="Arial" w:hAnsi="Arial" w:cs="Arial"/>
          <w:i/>
          <w:iCs/>
        </w:rPr>
        <w:t>unter</w:t>
      </w:r>
      <w:proofErr w:type="spellEnd"/>
      <w:r w:rsidRPr="00935C24">
        <w:rPr>
          <w:rFonts w:ascii="Arial" w:hAnsi="Arial" w:cs="Arial"/>
          <w:i/>
          <w:iCs/>
        </w:rPr>
        <w:t xml:space="preserve"> http://mci. </w:t>
      </w:r>
      <w:proofErr w:type="spellStart"/>
      <w:r w:rsidRPr="00935C24">
        <w:rPr>
          <w:rFonts w:ascii="Arial" w:hAnsi="Arial" w:cs="Arial"/>
          <w:i/>
          <w:iCs/>
        </w:rPr>
        <w:t>ei</w:t>
      </w:r>
      <w:proofErr w:type="spellEnd"/>
      <w:r w:rsidRPr="00935C24">
        <w:rPr>
          <w:rFonts w:ascii="Arial" w:hAnsi="Arial" w:cs="Arial"/>
          <w:i/>
          <w:iCs/>
        </w:rPr>
        <w:t xml:space="preserve">. </w:t>
      </w:r>
      <w:proofErr w:type="spellStart"/>
      <w:r w:rsidRPr="00935C24">
        <w:rPr>
          <w:rFonts w:ascii="Arial" w:hAnsi="Arial" w:cs="Arial"/>
          <w:i/>
          <w:iCs/>
        </w:rPr>
        <w:t>columbia</w:t>
      </w:r>
      <w:proofErr w:type="spellEnd"/>
      <w:r w:rsidRPr="00935C24">
        <w:rPr>
          <w:rFonts w:ascii="Arial" w:hAnsi="Arial" w:cs="Arial"/>
          <w:i/>
          <w:iCs/>
        </w:rPr>
        <w:t xml:space="preserve">. </w:t>
      </w:r>
      <w:proofErr w:type="spellStart"/>
      <w:r w:rsidRPr="00935C24">
        <w:rPr>
          <w:rFonts w:ascii="Arial" w:hAnsi="Arial" w:cs="Arial"/>
          <w:i/>
          <w:iCs/>
        </w:rPr>
        <w:t>edu</w:t>
      </w:r>
      <w:proofErr w:type="spellEnd"/>
      <w:r w:rsidRPr="00935C24">
        <w:rPr>
          <w:rFonts w:ascii="Arial" w:hAnsi="Arial" w:cs="Arial"/>
          <w:i/>
          <w:iCs/>
        </w:rPr>
        <w:t xml:space="preserve">/files/2012/12/An-Essential-Guide-to-SWOT-Analysis. pdf, </w:t>
      </w:r>
      <w:proofErr w:type="spellStart"/>
      <w:r w:rsidRPr="00935C24">
        <w:rPr>
          <w:rFonts w:ascii="Arial" w:hAnsi="Arial" w:cs="Arial"/>
          <w:i/>
          <w:iCs/>
        </w:rPr>
        <w:t>zuletzt</w:t>
      </w:r>
      <w:proofErr w:type="spellEnd"/>
      <w:r w:rsidRPr="00935C24">
        <w:rPr>
          <w:rFonts w:ascii="Arial" w:hAnsi="Arial" w:cs="Arial"/>
          <w:i/>
          <w:iCs/>
        </w:rPr>
        <w:t xml:space="preserve"> </w:t>
      </w:r>
      <w:proofErr w:type="spellStart"/>
      <w:r w:rsidRPr="00935C24">
        <w:rPr>
          <w:rFonts w:ascii="Arial" w:hAnsi="Arial" w:cs="Arial"/>
          <w:i/>
          <w:iCs/>
        </w:rPr>
        <w:t>aktualisiert</w:t>
      </w:r>
      <w:proofErr w:type="spellEnd"/>
      <w:r w:rsidRPr="00935C24">
        <w:rPr>
          <w:rFonts w:ascii="Arial" w:hAnsi="Arial" w:cs="Arial"/>
          <w:i/>
          <w:iCs/>
        </w:rPr>
        <w:t xml:space="preserve"> am, 14, p.2015.</w:t>
      </w:r>
    </w:p>
    <w:p w14:paraId="2094A3EB" w14:textId="77777777" w:rsidR="004424C1" w:rsidRPr="00935C24" w:rsidRDefault="004424C1" w:rsidP="00911785">
      <w:pPr>
        <w:spacing w:line="360" w:lineRule="auto"/>
        <w:jc w:val="both"/>
        <w:rPr>
          <w:rFonts w:ascii="Arial" w:hAnsi="Arial" w:cs="Arial"/>
          <w:i/>
          <w:iCs/>
        </w:rPr>
      </w:pPr>
      <w:r w:rsidRPr="00935C24">
        <w:rPr>
          <w:rFonts w:ascii="Arial" w:hAnsi="Arial" w:cs="Arial"/>
          <w:i/>
          <w:iCs/>
        </w:rPr>
        <w:t xml:space="preserve">Huggins, R. and </w:t>
      </w:r>
      <w:proofErr w:type="spellStart"/>
      <w:r w:rsidRPr="00935C24">
        <w:rPr>
          <w:rFonts w:ascii="Arial" w:hAnsi="Arial" w:cs="Arial"/>
          <w:i/>
          <w:iCs/>
        </w:rPr>
        <w:t>Izushi</w:t>
      </w:r>
      <w:proofErr w:type="spellEnd"/>
      <w:r w:rsidRPr="00935C24">
        <w:rPr>
          <w:rFonts w:ascii="Arial" w:hAnsi="Arial" w:cs="Arial"/>
          <w:i/>
          <w:iCs/>
        </w:rPr>
        <w:t>, H., 2011. Competition, competitive advantage, and clusters the ideas of Michael Porter. Oxford: Oxford University Press.</w:t>
      </w:r>
    </w:p>
    <w:p w14:paraId="5AFEBB2A" w14:textId="211981C7" w:rsidR="00806B2B" w:rsidRPr="00935C24" w:rsidRDefault="00806B2B" w:rsidP="00911785">
      <w:pPr>
        <w:spacing w:line="360" w:lineRule="auto"/>
        <w:jc w:val="both"/>
        <w:rPr>
          <w:rFonts w:ascii="Arial" w:hAnsi="Arial" w:cs="Arial"/>
          <w:i/>
          <w:iCs/>
        </w:rPr>
      </w:pPr>
      <w:r w:rsidRPr="00935C24">
        <w:rPr>
          <w:rFonts w:ascii="Arial" w:hAnsi="Arial" w:cs="Arial"/>
          <w:i/>
          <w:iCs/>
        </w:rPr>
        <w:t xml:space="preserve">Igartua, J.I., </w:t>
      </w:r>
      <w:proofErr w:type="spellStart"/>
      <w:r w:rsidRPr="00935C24">
        <w:rPr>
          <w:rFonts w:ascii="Arial" w:hAnsi="Arial" w:cs="Arial"/>
          <w:i/>
          <w:iCs/>
        </w:rPr>
        <w:t>Garrigós</w:t>
      </w:r>
      <w:proofErr w:type="spellEnd"/>
      <w:r w:rsidRPr="00935C24">
        <w:rPr>
          <w:rFonts w:ascii="Arial" w:hAnsi="Arial" w:cs="Arial"/>
          <w:i/>
          <w:iCs/>
        </w:rPr>
        <w:t>, J.A. and Hervas-Oliver, J.L., 2010. How innovation management techniques support an open innovation strategy. Research-Technology Management, 53(3), pp.41-52.</w:t>
      </w:r>
    </w:p>
    <w:p w14:paraId="3BC72494" w14:textId="07515813" w:rsidR="00EF7711" w:rsidRPr="00935C24" w:rsidRDefault="00EF7711" w:rsidP="00911785">
      <w:pPr>
        <w:spacing w:line="360" w:lineRule="auto"/>
        <w:jc w:val="both"/>
        <w:rPr>
          <w:rFonts w:ascii="Arial" w:hAnsi="Arial" w:cs="Arial"/>
          <w:i/>
          <w:iCs/>
        </w:rPr>
      </w:pPr>
      <w:r w:rsidRPr="00935C24">
        <w:rPr>
          <w:rFonts w:ascii="Arial" w:hAnsi="Arial" w:cs="Arial"/>
          <w:i/>
          <w:iCs/>
        </w:rPr>
        <w:t xml:space="preserve">Marketline.com, Alimera Sciences Inc - Profile Alimera Sciences Inc | MarketLine Intelligence </w:t>
      </w:r>
      <w:proofErr w:type="spellStart"/>
      <w:r w:rsidRPr="00935C24">
        <w:rPr>
          <w:rFonts w:ascii="Arial" w:hAnsi="Arial" w:cs="Arial"/>
          <w:i/>
          <w:iCs/>
        </w:rPr>
        <w:t>Center</w:t>
      </w:r>
      <w:proofErr w:type="spellEnd"/>
      <w:r w:rsidRPr="00935C24">
        <w:rPr>
          <w:rFonts w:ascii="Arial" w:hAnsi="Arial" w:cs="Arial"/>
          <w:i/>
          <w:iCs/>
        </w:rPr>
        <w:t xml:space="preserve"> (uwtsd.ac.uk) online accessed </w:t>
      </w:r>
      <w:proofErr w:type="gramStart"/>
      <w:r w:rsidRPr="00935C24">
        <w:rPr>
          <w:rFonts w:ascii="Arial" w:hAnsi="Arial" w:cs="Arial"/>
          <w:i/>
          <w:iCs/>
        </w:rPr>
        <w:t>18.08.2023</w:t>
      </w:r>
      <w:proofErr w:type="gramEnd"/>
    </w:p>
    <w:p w14:paraId="5BDEF05C" w14:textId="6C488B71" w:rsidR="00177BAF" w:rsidRPr="00935C24" w:rsidRDefault="00177BAF" w:rsidP="00911785">
      <w:pPr>
        <w:spacing w:line="360" w:lineRule="auto"/>
        <w:jc w:val="both"/>
        <w:rPr>
          <w:rFonts w:ascii="Arial" w:hAnsi="Arial" w:cs="Arial"/>
          <w:i/>
          <w:iCs/>
        </w:rPr>
      </w:pPr>
      <w:r w:rsidRPr="00935C24">
        <w:rPr>
          <w:rFonts w:ascii="Arial" w:hAnsi="Arial" w:cs="Arial"/>
          <w:i/>
          <w:iCs/>
        </w:rPr>
        <w:t>McMahon, R.G., 1998. Stage models of SME growth reconsidered. Small Enterprise Research, 6(2), pp.20-35.</w:t>
      </w:r>
    </w:p>
    <w:p w14:paraId="59D78A15" w14:textId="3C427D8C" w:rsidR="00BA2B9B" w:rsidRPr="00935C24" w:rsidRDefault="00BA2B9B" w:rsidP="00911785">
      <w:pPr>
        <w:spacing w:line="360" w:lineRule="auto"/>
        <w:jc w:val="both"/>
        <w:rPr>
          <w:rFonts w:ascii="Arial" w:hAnsi="Arial" w:cs="Arial"/>
          <w:i/>
          <w:iCs/>
        </w:rPr>
      </w:pPr>
      <w:r w:rsidRPr="00935C24">
        <w:rPr>
          <w:rFonts w:ascii="Arial" w:hAnsi="Arial" w:cs="Arial"/>
          <w:i/>
          <w:iCs/>
        </w:rPr>
        <w:t xml:space="preserve">Mintzberg, H., Ahlstrand, B.W. and Lampel, J.,2009. Strategy </w:t>
      </w:r>
      <w:proofErr w:type="gramStart"/>
      <w:r w:rsidRPr="00935C24">
        <w:rPr>
          <w:rFonts w:ascii="Arial" w:hAnsi="Arial" w:cs="Arial"/>
          <w:i/>
          <w:iCs/>
        </w:rPr>
        <w:t>safari :</w:t>
      </w:r>
      <w:proofErr w:type="gramEnd"/>
      <w:r w:rsidRPr="00935C24">
        <w:rPr>
          <w:rFonts w:ascii="Arial" w:hAnsi="Arial" w:cs="Arial"/>
          <w:i/>
          <w:iCs/>
        </w:rPr>
        <w:t xml:space="preserve"> the complete guide through the wilds of strategic management. Second edition. Harlow, UK: FT Prentice Hall.</w:t>
      </w:r>
    </w:p>
    <w:p w14:paraId="601975C1" w14:textId="2148A681" w:rsidR="00227B8C" w:rsidRPr="00935C24" w:rsidRDefault="00227B8C" w:rsidP="00911785">
      <w:pPr>
        <w:spacing w:line="360" w:lineRule="auto"/>
        <w:jc w:val="both"/>
        <w:rPr>
          <w:rFonts w:ascii="Arial" w:hAnsi="Arial" w:cs="Arial"/>
          <w:i/>
          <w:iCs/>
        </w:rPr>
      </w:pPr>
      <w:r w:rsidRPr="00935C24">
        <w:rPr>
          <w:rFonts w:ascii="Arial" w:hAnsi="Arial" w:cs="Arial"/>
          <w:i/>
          <w:iCs/>
        </w:rPr>
        <w:t>Prahalad, C.K. and Hamel, G. (1994) ‘Strategy as a field of study: Why search for a new paradigm?’, Strategic management journal, 15(S2), pp. 5–16. Available at: https://doi.org/10.1002/smj.4250151002.</w:t>
      </w:r>
    </w:p>
    <w:p w14:paraId="4600EEC7" w14:textId="0F5779DF" w:rsidR="00B861AF" w:rsidRPr="00935C24" w:rsidRDefault="00B861AF" w:rsidP="00911785">
      <w:pPr>
        <w:spacing w:line="360" w:lineRule="auto"/>
        <w:jc w:val="both"/>
        <w:rPr>
          <w:rFonts w:ascii="Arial" w:hAnsi="Arial" w:cs="Arial"/>
          <w:i/>
          <w:iCs/>
        </w:rPr>
      </w:pPr>
      <w:r w:rsidRPr="00935C24">
        <w:rPr>
          <w:rFonts w:ascii="Arial" w:hAnsi="Arial" w:cs="Arial"/>
          <w:i/>
          <w:iCs/>
        </w:rPr>
        <w:lastRenderedPageBreak/>
        <w:t xml:space="preserve">Tetteh, E. and Burn, J., 2001. Global strategies for </w:t>
      </w:r>
      <w:proofErr w:type="spellStart"/>
      <w:r w:rsidRPr="00935C24">
        <w:rPr>
          <w:rFonts w:ascii="Arial" w:hAnsi="Arial" w:cs="Arial"/>
          <w:i/>
          <w:iCs/>
        </w:rPr>
        <w:t>SMe</w:t>
      </w:r>
      <w:proofErr w:type="spellEnd"/>
      <w:r w:rsidRPr="00935C24">
        <w:rPr>
          <w:rFonts w:ascii="Cambria Math" w:hAnsi="Cambria Math" w:cs="Cambria Math"/>
          <w:i/>
          <w:iCs/>
        </w:rPr>
        <w:t>‐</w:t>
      </w:r>
      <w:r w:rsidRPr="00935C24">
        <w:rPr>
          <w:rFonts w:ascii="Arial" w:hAnsi="Arial" w:cs="Arial"/>
          <w:i/>
          <w:iCs/>
        </w:rPr>
        <w:t>business: applying the SMALL framework. Logistics Information Management, 14(1/2), pp.171-180.</w:t>
      </w:r>
    </w:p>
    <w:p w14:paraId="1086BEEB" w14:textId="22F808D7" w:rsidR="00C47802" w:rsidRPr="00935C24" w:rsidRDefault="001E1150" w:rsidP="00911785">
      <w:pPr>
        <w:spacing w:line="360" w:lineRule="auto"/>
        <w:jc w:val="both"/>
        <w:rPr>
          <w:rFonts w:ascii="Arial" w:hAnsi="Arial" w:cs="Arial"/>
          <w:i/>
          <w:iCs/>
        </w:rPr>
      </w:pPr>
      <w:hyperlink r:id="rId9" w:anchor="1ae2efb95fb1" w:history="1">
        <w:r w:rsidR="00C47802" w:rsidRPr="00935C24">
          <w:rPr>
            <w:rStyle w:val="Hyperlink"/>
            <w:rFonts w:ascii="Arial" w:hAnsi="Arial" w:cs="Arial"/>
            <w:i/>
            <w:iCs/>
          </w:rPr>
          <w:t>Three Cs of Implementing Strategy (forbes.com)</w:t>
        </w:r>
      </w:hyperlink>
      <w:r w:rsidR="00C47802" w:rsidRPr="00935C24">
        <w:rPr>
          <w:rFonts w:ascii="Arial" w:hAnsi="Arial" w:cs="Arial"/>
          <w:i/>
          <w:iCs/>
        </w:rPr>
        <w:t xml:space="preserve"> online accessed </w:t>
      </w:r>
      <w:proofErr w:type="gramStart"/>
      <w:r w:rsidR="00C47802" w:rsidRPr="00935C24">
        <w:rPr>
          <w:rFonts w:ascii="Arial" w:hAnsi="Arial" w:cs="Arial"/>
          <w:i/>
          <w:iCs/>
        </w:rPr>
        <w:t>20</w:t>
      </w:r>
      <w:r w:rsidR="00D9712D" w:rsidRPr="00935C24">
        <w:rPr>
          <w:rFonts w:ascii="Arial" w:hAnsi="Arial" w:cs="Arial"/>
          <w:i/>
          <w:iCs/>
        </w:rPr>
        <w:t>.08.2023</w:t>
      </w:r>
      <w:proofErr w:type="gramEnd"/>
    </w:p>
    <w:p w14:paraId="4387D5CF" w14:textId="397CD4D6" w:rsidR="00302A74" w:rsidRPr="00935C24" w:rsidRDefault="00302A74" w:rsidP="00911785">
      <w:pPr>
        <w:spacing w:line="360" w:lineRule="auto"/>
        <w:jc w:val="both"/>
        <w:rPr>
          <w:rFonts w:ascii="Arial" w:hAnsi="Arial" w:cs="Arial"/>
          <w:i/>
          <w:iCs/>
        </w:rPr>
      </w:pPr>
      <w:r w:rsidRPr="00935C24">
        <w:rPr>
          <w:rFonts w:ascii="Arial" w:hAnsi="Arial" w:cs="Arial"/>
          <w:i/>
          <w:iCs/>
        </w:rPr>
        <w:t>Yüksel, I., 2012. Developing a multi-</w:t>
      </w:r>
      <w:proofErr w:type="gramStart"/>
      <w:r w:rsidRPr="00935C24">
        <w:rPr>
          <w:rFonts w:ascii="Arial" w:hAnsi="Arial" w:cs="Arial"/>
          <w:i/>
          <w:iCs/>
        </w:rPr>
        <w:t>criteria decision making</w:t>
      </w:r>
      <w:proofErr w:type="gramEnd"/>
      <w:r w:rsidRPr="00935C24">
        <w:rPr>
          <w:rFonts w:ascii="Arial" w:hAnsi="Arial" w:cs="Arial"/>
          <w:i/>
          <w:iCs/>
        </w:rPr>
        <w:t xml:space="preserve"> model for PESTEL analysis. International Journal of Business and Management, 7(24), p.52.</w:t>
      </w:r>
    </w:p>
    <w:p w14:paraId="1FA752E7" w14:textId="78AA4657" w:rsidR="00953AEA" w:rsidRPr="00935C24" w:rsidRDefault="00953AEA" w:rsidP="00911785">
      <w:pPr>
        <w:spacing w:line="360" w:lineRule="auto"/>
        <w:jc w:val="both"/>
        <w:rPr>
          <w:rFonts w:ascii="Arial" w:hAnsi="Arial" w:cs="Arial"/>
          <w:i/>
          <w:iCs/>
        </w:rPr>
      </w:pPr>
      <w:r w:rsidRPr="00935C24">
        <w:rPr>
          <w:rFonts w:ascii="Arial" w:hAnsi="Arial" w:cs="Arial"/>
          <w:i/>
          <w:iCs/>
        </w:rPr>
        <w:t>Knight, G.A., 2001. Entrepreneurship and strategy in the international SME. Journal of international management, 7(3), pp.155-171.</w:t>
      </w:r>
    </w:p>
    <w:p w14:paraId="2D963897" w14:textId="525C5425" w:rsidR="00B77FC9" w:rsidRPr="00935C24" w:rsidRDefault="00B77FC9" w:rsidP="00911785">
      <w:pPr>
        <w:spacing w:line="360" w:lineRule="auto"/>
        <w:jc w:val="both"/>
        <w:rPr>
          <w:rFonts w:ascii="Arial" w:hAnsi="Arial" w:cs="Arial"/>
          <w:i/>
          <w:iCs/>
        </w:rPr>
      </w:pPr>
      <w:proofErr w:type="spellStart"/>
      <w:r w:rsidRPr="00935C24">
        <w:rPr>
          <w:rFonts w:ascii="Arial" w:hAnsi="Arial" w:cs="Arial"/>
          <w:i/>
          <w:iCs/>
        </w:rPr>
        <w:t>ZXhang</w:t>
      </w:r>
      <w:proofErr w:type="spellEnd"/>
      <w:r w:rsidRPr="00935C24">
        <w:rPr>
          <w:rFonts w:ascii="Arial" w:hAnsi="Arial" w:cs="Arial"/>
          <w:i/>
          <w:iCs/>
        </w:rPr>
        <w:t xml:space="preserve">, Y.X., </w:t>
      </w:r>
      <w:proofErr w:type="spellStart"/>
      <w:r w:rsidRPr="00935C24">
        <w:rPr>
          <w:rFonts w:ascii="Arial" w:hAnsi="Arial" w:cs="Arial"/>
          <w:i/>
          <w:iCs/>
        </w:rPr>
        <w:t>Haxo</w:t>
      </w:r>
      <w:proofErr w:type="spellEnd"/>
      <w:r w:rsidRPr="00935C24">
        <w:rPr>
          <w:rFonts w:ascii="Arial" w:hAnsi="Arial" w:cs="Arial"/>
          <w:i/>
          <w:iCs/>
        </w:rPr>
        <w:t>, Y.M. and Mat, Y.X., 2023. ALIM Alimera Sciences Inc. Common Stock. AC Investment Research Journal, 220(44).</w:t>
      </w:r>
    </w:p>
    <w:sectPr w:rsidR="00B77FC9" w:rsidRPr="00935C2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00970" w14:textId="77777777" w:rsidR="0089225F" w:rsidRDefault="0089225F" w:rsidP="00917C90">
      <w:pPr>
        <w:spacing w:after="0" w:line="240" w:lineRule="auto"/>
      </w:pPr>
      <w:r>
        <w:separator/>
      </w:r>
    </w:p>
  </w:endnote>
  <w:endnote w:type="continuationSeparator" w:id="0">
    <w:p w14:paraId="3AC369C0" w14:textId="77777777" w:rsidR="0089225F" w:rsidRDefault="0089225F" w:rsidP="00917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513696"/>
      <w:docPartObj>
        <w:docPartGallery w:val="Page Numbers (Bottom of Page)"/>
        <w:docPartUnique/>
      </w:docPartObj>
    </w:sdtPr>
    <w:sdtEndPr>
      <w:rPr>
        <w:rFonts w:ascii="Arial" w:hAnsi="Arial" w:cs="Arial"/>
        <w:noProof/>
      </w:rPr>
    </w:sdtEndPr>
    <w:sdtContent>
      <w:p w14:paraId="4AE2FE27" w14:textId="4A72153C" w:rsidR="00D92800" w:rsidRPr="002D0AA8" w:rsidRDefault="00D92800">
        <w:pPr>
          <w:pStyle w:val="Footer"/>
          <w:rPr>
            <w:rFonts w:ascii="Arial" w:hAnsi="Arial" w:cs="Arial"/>
          </w:rPr>
        </w:pPr>
        <w:r w:rsidRPr="002D0AA8">
          <w:rPr>
            <w:rFonts w:ascii="Arial" w:hAnsi="Arial" w:cs="Arial"/>
          </w:rPr>
          <w:fldChar w:fldCharType="begin"/>
        </w:r>
        <w:r w:rsidRPr="002D0AA8">
          <w:rPr>
            <w:rFonts w:ascii="Arial" w:hAnsi="Arial" w:cs="Arial"/>
          </w:rPr>
          <w:instrText xml:space="preserve"> PAGE   \* MERGEFORMAT </w:instrText>
        </w:r>
        <w:r w:rsidRPr="002D0AA8">
          <w:rPr>
            <w:rFonts w:ascii="Arial" w:hAnsi="Arial" w:cs="Arial"/>
          </w:rPr>
          <w:fldChar w:fldCharType="separate"/>
        </w:r>
        <w:r w:rsidRPr="002D0AA8">
          <w:rPr>
            <w:rFonts w:ascii="Arial" w:hAnsi="Arial" w:cs="Arial"/>
            <w:noProof/>
          </w:rPr>
          <w:t>2</w:t>
        </w:r>
        <w:r w:rsidRPr="002D0AA8">
          <w:rPr>
            <w:rFonts w:ascii="Arial" w:hAnsi="Arial" w:cs="Arial"/>
            <w:noProof/>
          </w:rPr>
          <w:fldChar w:fldCharType="end"/>
        </w:r>
        <w:r w:rsidR="00CC1E4D" w:rsidRPr="002D0AA8">
          <w:rPr>
            <w:rFonts w:ascii="Arial" w:hAnsi="Arial" w:cs="Arial"/>
          </w:rPr>
          <w:t xml:space="preserve">                                                                                      </w:t>
        </w:r>
        <w:r w:rsidR="00CC1E4D" w:rsidRPr="002D0AA8">
          <w:rPr>
            <w:rFonts w:ascii="Arial" w:hAnsi="Arial" w:cs="Arial"/>
            <w:noProof/>
          </w:rPr>
          <w:t>Student:       Sasha Galster 2029866</w:t>
        </w:r>
      </w:p>
    </w:sdtContent>
  </w:sdt>
  <w:p w14:paraId="1D85DD6C" w14:textId="77777777" w:rsidR="0081085A" w:rsidRDefault="00810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FF123" w14:textId="77777777" w:rsidR="0089225F" w:rsidRDefault="0089225F" w:rsidP="00917C90">
      <w:pPr>
        <w:spacing w:after="0" w:line="240" w:lineRule="auto"/>
      </w:pPr>
      <w:r>
        <w:separator/>
      </w:r>
    </w:p>
  </w:footnote>
  <w:footnote w:type="continuationSeparator" w:id="0">
    <w:p w14:paraId="6838F487" w14:textId="77777777" w:rsidR="0089225F" w:rsidRDefault="0089225F" w:rsidP="00917C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0172E" w14:textId="339D11F4" w:rsidR="0081085A" w:rsidRDefault="00A7522C" w:rsidP="00A7522C">
    <w:pPr>
      <w:pStyle w:val="Header"/>
      <w:jc w:val="center"/>
    </w:pPr>
    <w:r>
      <w:rPr>
        <w:noProof/>
      </w:rPr>
      <w:drawing>
        <wp:inline distT="0" distB="0" distL="0" distR="0" wp14:anchorId="07D28E27" wp14:editId="70A6371C">
          <wp:extent cx="1097280" cy="438785"/>
          <wp:effectExtent l="0" t="0" r="7620" b="0"/>
          <wp:docPr id="15185947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7280" cy="4387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91471A"/>
    <w:multiLevelType w:val="hybridMultilevel"/>
    <w:tmpl w:val="B622B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8063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1D4"/>
    <w:rsid w:val="00003EB2"/>
    <w:rsid w:val="000040C0"/>
    <w:rsid w:val="00010995"/>
    <w:rsid w:val="00021D88"/>
    <w:rsid w:val="00040028"/>
    <w:rsid w:val="0004494B"/>
    <w:rsid w:val="0004576D"/>
    <w:rsid w:val="00053497"/>
    <w:rsid w:val="000624FB"/>
    <w:rsid w:val="00070EFB"/>
    <w:rsid w:val="00086B16"/>
    <w:rsid w:val="00091CA3"/>
    <w:rsid w:val="000C06DE"/>
    <w:rsid w:val="000F1E51"/>
    <w:rsid w:val="000F59F5"/>
    <w:rsid w:val="00126F74"/>
    <w:rsid w:val="001278DF"/>
    <w:rsid w:val="00154350"/>
    <w:rsid w:val="00154C15"/>
    <w:rsid w:val="001575EF"/>
    <w:rsid w:val="00177BAF"/>
    <w:rsid w:val="00181AA8"/>
    <w:rsid w:val="00186A58"/>
    <w:rsid w:val="001947C9"/>
    <w:rsid w:val="001A4FA1"/>
    <w:rsid w:val="001B3897"/>
    <w:rsid w:val="001C71D9"/>
    <w:rsid w:val="001D52CF"/>
    <w:rsid w:val="001D7E1B"/>
    <w:rsid w:val="001E1150"/>
    <w:rsid w:val="00216448"/>
    <w:rsid w:val="0022788D"/>
    <w:rsid w:val="00227B8C"/>
    <w:rsid w:val="00233BDB"/>
    <w:rsid w:val="002356BF"/>
    <w:rsid w:val="002643BE"/>
    <w:rsid w:val="002672D1"/>
    <w:rsid w:val="00277B52"/>
    <w:rsid w:val="00293B55"/>
    <w:rsid w:val="00294E23"/>
    <w:rsid w:val="002A5146"/>
    <w:rsid w:val="002C4AAC"/>
    <w:rsid w:val="002C7F92"/>
    <w:rsid w:val="002D0AA8"/>
    <w:rsid w:val="002D3BEC"/>
    <w:rsid w:val="002D5CF2"/>
    <w:rsid w:val="002E4CD5"/>
    <w:rsid w:val="00302A74"/>
    <w:rsid w:val="00303623"/>
    <w:rsid w:val="003052B5"/>
    <w:rsid w:val="00327C47"/>
    <w:rsid w:val="00346C14"/>
    <w:rsid w:val="00347B0E"/>
    <w:rsid w:val="003516B6"/>
    <w:rsid w:val="00374D50"/>
    <w:rsid w:val="003A73D7"/>
    <w:rsid w:val="003A78CF"/>
    <w:rsid w:val="003B37EC"/>
    <w:rsid w:val="003D60C4"/>
    <w:rsid w:val="003D7684"/>
    <w:rsid w:val="003E036F"/>
    <w:rsid w:val="003E182E"/>
    <w:rsid w:val="003E7850"/>
    <w:rsid w:val="003F3CC6"/>
    <w:rsid w:val="004134CA"/>
    <w:rsid w:val="00415B34"/>
    <w:rsid w:val="004424C1"/>
    <w:rsid w:val="0046170C"/>
    <w:rsid w:val="0047746A"/>
    <w:rsid w:val="00483482"/>
    <w:rsid w:val="00483D89"/>
    <w:rsid w:val="00492D82"/>
    <w:rsid w:val="004932FE"/>
    <w:rsid w:val="004B10D3"/>
    <w:rsid w:val="004B5BD4"/>
    <w:rsid w:val="004D64A6"/>
    <w:rsid w:val="004E1CA1"/>
    <w:rsid w:val="004F34FF"/>
    <w:rsid w:val="00501DE9"/>
    <w:rsid w:val="00516871"/>
    <w:rsid w:val="00532538"/>
    <w:rsid w:val="00534530"/>
    <w:rsid w:val="00536D59"/>
    <w:rsid w:val="00547AD3"/>
    <w:rsid w:val="00552A39"/>
    <w:rsid w:val="00560934"/>
    <w:rsid w:val="00563295"/>
    <w:rsid w:val="00563641"/>
    <w:rsid w:val="00573D58"/>
    <w:rsid w:val="005827D6"/>
    <w:rsid w:val="00594143"/>
    <w:rsid w:val="005D0436"/>
    <w:rsid w:val="005D60FF"/>
    <w:rsid w:val="005D7BA7"/>
    <w:rsid w:val="005E1BFC"/>
    <w:rsid w:val="005F1615"/>
    <w:rsid w:val="005F544E"/>
    <w:rsid w:val="0060230D"/>
    <w:rsid w:val="006033C1"/>
    <w:rsid w:val="0060797E"/>
    <w:rsid w:val="006104FA"/>
    <w:rsid w:val="0061684B"/>
    <w:rsid w:val="006261DA"/>
    <w:rsid w:val="0064245D"/>
    <w:rsid w:val="00647CF5"/>
    <w:rsid w:val="006869C9"/>
    <w:rsid w:val="00687C00"/>
    <w:rsid w:val="00693DDC"/>
    <w:rsid w:val="006B107C"/>
    <w:rsid w:val="006B443A"/>
    <w:rsid w:val="006B6F26"/>
    <w:rsid w:val="006C0E2B"/>
    <w:rsid w:val="006D7558"/>
    <w:rsid w:val="006E300F"/>
    <w:rsid w:val="006E3DB7"/>
    <w:rsid w:val="006F467E"/>
    <w:rsid w:val="0071391C"/>
    <w:rsid w:val="00747A0F"/>
    <w:rsid w:val="007747DC"/>
    <w:rsid w:val="007910F8"/>
    <w:rsid w:val="007A4F0C"/>
    <w:rsid w:val="007B3BB4"/>
    <w:rsid w:val="007B6DD1"/>
    <w:rsid w:val="007C11D4"/>
    <w:rsid w:val="007D204B"/>
    <w:rsid w:val="007D52DB"/>
    <w:rsid w:val="007E78A7"/>
    <w:rsid w:val="00805D8C"/>
    <w:rsid w:val="00806155"/>
    <w:rsid w:val="00806B2B"/>
    <w:rsid w:val="0081085A"/>
    <w:rsid w:val="0081606C"/>
    <w:rsid w:val="00843B02"/>
    <w:rsid w:val="00853877"/>
    <w:rsid w:val="0085724E"/>
    <w:rsid w:val="00860DA5"/>
    <w:rsid w:val="00867CD7"/>
    <w:rsid w:val="00880B9A"/>
    <w:rsid w:val="0089225F"/>
    <w:rsid w:val="008951FC"/>
    <w:rsid w:val="008953C4"/>
    <w:rsid w:val="008C6E3D"/>
    <w:rsid w:val="008D171F"/>
    <w:rsid w:val="008D4B91"/>
    <w:rsid w:val="008E0234"/>
    <w:rsid w:val="00911785"/>
    <w:rsid w:val="00913090"/>
    <w:rsid w:val="00913A90"/>
    <w:rsid w:val="00914416"/>
    <w:rsid w:val="0091511B"/>
    <w:rsid w:val="00917C90"/>
    <w:rsid w:val="00922154"/>
    <w:rsid w:val="009262A0"/>
    <w:rsid w:val="00935C24"/>
    <w:rsid w:val="00942B8E"/>
    <w:rsid w:val="00953AEA"/>
    <w:rsid w:val="00977162"/>
    <w:rsid w:val="00981141"/>
    <w:rsid w:val="00991DA8"/>
    <w:rsid w:val="009A3D56"/>
    <w:rsid w:val="009C44B8"/>
    <w:rsid w:val="009C5BB1"/>
    <w:rsid w:val="009E5DB7"/>
    <w:rsid w:val="009F63D8"/>
    <w:rsid w:val="00A047C9"/>
    <w:rsid w:val="00A053C3"/>
    <w:rsid w:val="00A2234C"/>
    <w:rsid w:val="00A24B95"/>
    <w:rsid w:val="00A455E4"/>
    <w:rsid w:val="00A7522C"/>
    <w:rsid w:val="00A76773"/>
    <w:rsid w:val="00A80942"/>
    <w:rsid w:val="00A911AA"/>
    <w:rsid w:val="00AA5ADD"/>
    <w:rsid w:val="00AE0C3B"/>
    <w:rsid w:val="00AF147C"/>
    <w:rsid w:val="00B06237"/>
    <w:rsid w:val="00B113EA"/>
    <w:rsid w:val="00B30D30"/>
    <w:rsid w:val="00B32603"/>
    <w:rsid w:val="00B329E9"/>
    <w:rsid w:val="00B41BEE"/>
    <w:rsid w:val="00B46754"/>
    <w:rsid w:val="00B46812"/>
    <w:rsid w:val="00B47C34"/>
    <w:rsid w:val="00B67E28"/>
    <w:rsid w:val="00B67EC2"/>
    <w:rsid w:val="00B70434"/>
    <w:rsid w:val="00B7487A"/>
    <w:rsid w:val="00B77FC9"/>
    <w:rsid w:val="00B861AF"/>
    <w:rsid w:val="00B929B0"/>
    <w:rsid w:val="00BA2B9B"/>
    <w:rsid w:val="00BA7E40"/>
    <w:rsid w:val="00BB645D"/>
    <w:rsid w:val="00BE2EE3"/>
    <w:rsid w:val="00BF682E"/>
    <w:rsid w:val="00C2635F"/>
    <w:rsid w:val="00C27261"/>
    <w:rsid w:val="00C36D4A"/>
    <w:rsid w:val="00C47802"/>
    <w:rsid w:val="00C5378B"/>
    <w:rsid w:val="00C60C1D"/>
    <w:rsid w:val="00C617BE"/>
    <w:rsid w:val="00C62C00"/>
    <w:rsid w:val="00C73EB2"/>
    <w:rsid w:val="00C84D19"/>
    <w:rsid w:val="00C854EC"/>
    <w:rsid w:val="00C95F18"/>
    <w:rsid w:val="00C9707D"/>
    <w:rsid w:val="00CC1E4D"/>
    <w:rsid w:val="00CD4D86"/>
    <w:rsid w:val="00CD5699"/>
    <w:rsid w:val="00D04D7B"/>
    <w:rsid w:val="00D25424"/>
    <w:rsid w:val="00D5644B"/>
    <w:rsid w:val="00D72BC5"/>
    <w:rsid w:val="00D80E15"/>
    <w:rsid w:val="00D86002"/>
    <w:rsid w:val="00D87DC9"/>
    <w:rsid w:val="00D92800"/>
    <w:rsid w:val="00D9712D"/>
    <w:rsid w:val="00DC4D26"/>
    <w:rsid w:val="00DD63B4"/>
    <w:rsid w:val="00DF1392"/>
    <w:rsid w:val="00E031A0"/>
    <w:rsid w:val="00E05177"/>
    <w:rsid w:val="00E1155D"/>
    <w:rsid w:val="00E26977"/>
    <w:rsid w:val="00E3126E"/>
    <w:rsid w:val="00E312F9"/>
    <w:rsid w:val="00E412BE"/>
    <w:rsid w:val="00E4421E"/>
    <w:rsid w:val="00E650C3"/>
    <w:rsid w:val="00E70218"/>
    <w:rsid w:val="00E8098D"/>
    <w:rsid w:val="00E85009"/>
    <w:rsid w:val="00EB0ECF"/>
    <w:rsid w:val="00EB360C"/>
    <w:rsid w:val="00EC035F"/>
    <w:rsid w:val="00EF4A88"/>
    <w:rsid w:val="00EF7711"/>
    <w:rsid w:val="00F00DF6"/>
    <w:rsid w:val="00F023B7"/>
    <w:rsid w:val="00F05BBA"/>
    <w:rsid w:val="00F25744"/>
    <w:rsid w:val="00F32828"/>
    <w:rsid w:val="00F3389B"/>
    <w:rsid w:val="00F350C2"/>
    <w:rsid w:val="00F447DB"/>
    <w:rsid w:val="00F46347"/>
    <w:rsid w:val="00F72A29"/>
    <w:rsid w:val="00F85155"/>
    <w:rsid w:val="00F86CA5"/>
    <w:rsid w:val="00FB05D3"/>
    <w:rsid w:val="00FB38CF"/>
    <w:rsid w:val="00FF4F7F"/>
    <w:rsid w:val="00FF7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936EE1"/>
  <w15:chartTrackingRefBased/>
  <w15:docId w15:val="{70444C23-BAC3-4CC2-9FBE-A31EBDAE7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0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61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511B"/>
    <w:pPr>
      <w:ind w:left="720"/>
      <w:contextualSpacing/>
    </w:pPr>
  </w:style>
  <w:style w:type="character" w:styleId="Hyperlink">
    <w:name w:val="Hyperlink"/>
    <w:basedOn w:val="DefaultParagraphFont"/>
    <w:uiPriority w:val="99"/>
    <w:unhideWhenUsed/>
    <w:rsid w:val="009E5DB7"/>
    <w:rPr>
      <w:color w:val="0563C1" w:themeColor="hyperlink"/>
      <w:u w:val="single"/>
    </w:rPr>
  </w:style>
  <w:style w:type="character" w:styleId="UnresolvedMention">
    <w:name w:val="Unresolved Mention"/>
    <w:basedOn w:val="DefaultParagraphFont"/>
    <w:uiPriority w:val="99"/>
    <w:semiHidden/>
    <w:unhideWhenUsed/>
    <w:rsid w:val="009E5DB7"/>
    <w:rPr>
      <w:color w:val="605E5C"/>
      <w:shd w:val="clear" w:color="auto" w:fill="E1DFDD"/>
    </w:rPr>
  </w:style>
  <w:style w:type="paragraph" w:styleId="Header">
    <w:name w:val="header"/>
    <w:basedOn w:val="Normal"/>
    <w:link w:val="HeaderChar"/>
    <w:uiPriority w:val="99"/>
    <w:unhideWhenUsed/>
    <w:rsid w:val="00917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C90"/>
  </w:style>
  <w:style w:type="paragraph" w:styleId="Footer">
    <w:name w:val="footer"/>
    <w:basedOn w:val="Normal"/>
    <w:link w:val="FooterChar"/>
    <w:uiPriority w:val="99"/>
    <w:unhideWhenUsed/>
    <w:rsid w:val="00917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C90"/>
  </w:style>
  <w:style w:type="character" w:customStyle="1" w:styleId="Heading1Char">
    <w:name w:val="Heading 1 Char"/>
    <w:basedOn w:val="DefaultParagraphFont"/>
    <w:link w:val="Heading1"/>
    <w:uiPriority w:val="9"/>
    <w:rsid w:val="007910F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615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F147C"/>
    <w:pPr>
      <w:outlineLvl w:val="9"/>
    </w:pPr>
    <w:rPr>
      <w:kern w:val="0"/>
      <w:lang w:val="en-US"/>
      <w14:ligatures w14:val="none"/>
    </w:rPr>
  </w:style>
  <w:style w:type="paragraph" w:styleId="TOC2">
    <w:name w:val="toc 2"/>
    <w:basedOn w:val="Normal"/>
    <w:next w:val="Normal"/>
    <w:autoRedefine/>
    <w:uiPriority w:val="39"/>
    <w:unhideWhenUsed/>
    <w:rsid w:val="00AF147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forbes.com/sites/scottedinger/2012/08/07/three-cs-of-implementing-strateg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B65DA5-C669-451E-AA8F-BF8133EDC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TotalTime>
  <Pages>17</Pages>
  <Words>5448</Words>
  <Characters>31056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235</cp:revision>
  <dcterms:created xsi:type="dcterms:W3CDTF">2023-07-30T14:12:00Z</dcterms:created>
  <dcterms:modified xsi:type="dcterms:W3CDTF">2023-08-24T08:54:00Z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dfb6f878-1038-4ea8-9cba-6e8cae1cb8cd</vt:lpwstr>
  </property>
</Properties>
</file>