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2582369"/>
        <w:docPartObj>
          <w:docPartGallery w:val="Cover Pages"/>
          <w:docPartUnique/>
        </w:docPartObj>
      </w:sdtPr>
      <w:sdtEndPr>
        <w:rPr>
          <w:b/>
          <w:bCs/>
        </w:rPr>
      </w:sdtEndPr>
      <w:sdtContent>
        <w:p w14:paraId="5E73CD6D" w14:textId="77777777" w:rsidR="00E4358F" w:rsidRPr="00E4358F" w:rsidRDefault="00E4358F" w:rsidP="00E4358F">
          <w:pPr>
            <w:pStyle w:val="ListParagraph"/>
            <w:ind w:left="6455"/>
            <w:jc w:val="right"/>
            <w:rPr>
              <w:rFonts w:ascii="Calibri" w:eastAsia="Calibri" w:hAnsi="Calibri" w:cs="Times New Roman"/>
              <w:kern w:val="2"/>
              <w:szCs w:val="24"/>
              <w:lang w:val="en-GB"/>
              <w14:ligatures w14:val="standardContextual"/>
            </w:rPr>
          </w:pPr>
          <w:r w:rsidRPr="00E4358F">
            <w:rPr>
              <w:rFonts w:ascii="Calibri" w:eastAsia="Calibri" w:hAnsi="Calibri" w:cs="Times New Roman"/>
              <w:kern w:val="2"/>
              <w:szCs w:val="24"/>
              <w:lang w:val="en-GB"/>
              <w14:ligatures w14:val="standardContextual"/>
            </w:rPr>
            <w:t>Principles of Marketing</w:t>
          </w:r>
        </w:p>
        <w:p w14:paraId="1B9CB507" w14:textId="77777777" w:rsidR="00E4358F" w:rsidRPr="00E4358F" w:rsidRDefault="00E4358F" w:rsidP="00E4358F">
          <w:pPr>
            <w:spacing w:after="160" w:line="259" w:lineRule="auto"/>
            <w:ind w:left="6455"/>
            <w:contextualSpacing/>
            <w:jc w:val="right"/>
            <w:rPr>
              <w:rFonts w:ascii="Calibri" w:eastAsia="Calibri" w:hAnsi="Calibri" w:cs="Times New Roman"/>
              <w:kern w:val="2"/>
              <w:szCs w:val="24"/>
              <w:lang w:val="en-GB"/>
              <w14:ligatures w14:val="standardContextual"/>
            </w:rPr>
          </w:pPr>
          <w:r w:rsidRPr="00E4358F">
            <w:rPr>
              <w:rFonts w:ascii="Calibri" w:eastAsia="Calibri" w:hAnsi="Calibri" w:cs="Times New Roman"/>
              <w:kern w:val="2"/>
              <w:szCs w:val="24"/>
              <w:lang w:val="en-GB"/>
              <w14:ligatures w14:val="standardContextual"/>
            </w:rPr>
            <w:t>LCBB5015</w:t>
          </w:r>
        </w:p>
        <w:p w14:paraId="65D98CA1" w14:textId="77777777" w:rsidR="00E4358F" w:rsidRPr="00E4358F" w:rsidRDefault="00E4358F" w:rsidP="00E4358F">
          <w:pPr>
            <w:spacing w:after="160" w:line="259" w:lineRule="auto"/>
            <w:ind w:left="6455"/>
            <w:contextualSpacing/>
            <w:jc w:val="right"/>
            <w:rPr>
              <w:rFonts w:ascii="Calibri" w:eastAsia="Calibri" w:hAnsi="Calibri" w:cs="Times New Roman"/>
              <w:kern w:val="2"/>
              <w:szCs w:val="24"/>
              <w:lang w:val="en-GB"/>
              <w14:ligatures w14:val="standardContextual"/>
            </w:rPr>
          </w:pPr>
          <w:r w:rsidRPr="00E4358F">
            <w:rPr>
              <w:rFonts w:ascii="Calibri" w:eastAsia="Calibri" w:hAnsi="Calibri" w:cs="Times New Roman"/>
              <w:kern w:val="2"/>
              <w:szCs w:val="24"/>
              <w:lang w:val="en-GB"/>
              <w14:ligatures w14:val="standardContextual"/>
            </w:rPr>
            <w:t xml:space="preserve">Tutor </w:t>
          </w:r>
        </w:p>
        <w:p w14:paraId="65F4FA71" w14:textId="6ABBABD9" w:rsidR="00E4358F" w:rsidRPr="00E4358F" w:rsidRDefault="00E4358F" w:rsidP="00E4358F">
          <w:pPr>
            <w:spacing w:after="160" w:line="259" w:lineRule="auto"/>
            <w:ind w:left="6095"/>
            <w:jc w:val="right"/>
            <w:rPr>
              <w:rFonts w:ascii="Calibri" w:eastAsia="Calibri" w:hAnsi="Calibri" w:cs="Times New Roman"/>
              <w:kern w:val="2"/>
              <w:szCs w:val="24"/>
              <w:lang w:val="en-GB"/>
              <w14:ligatures w14:val="standardContextual"/>
            </w:rPr>
          </w:pPr>
          <w:r w:rsidRPr="00E4358F">
            <w:rPr>
              <w:rFonts w:ascii="Calibri" w:eastAsia="Calibri" w:hAnsi="Calibri" w:cs="Times New Roman"/>
              <w:kern w:val="2"/>
              <w:szCs w:val="24"/>
              <w:lang w:val="en-GB"/>
              <w14:ligatures w14:val="standardContextual"/>
            </w:rPr>
            <w:t>van Rodriguez Hernandez</w:t>
          </w:r>
        </w:p>
        <w:p w14:paraId="0238A7DB" w14:textId="77777777" w:rsidR="00E4358F" w:rsidRPr="00E4358F" w:rsidRDefault="00E4358F" w:rsidP="00E4358F">
          <w:pPr>
            <w:spacing w:after="160" w:line="259" w:lineRule="auto"/>
            <w:jc w:val="right"/>
            <w:rPr>
              <w:rFonts w:ascii="Calibri" w:eastAsia="Calibri" w:hAnsi="Calibri" w:cs="Times New Roman"/>
              <w:kern w:val="2"/>
              <w:szCs w:val="24"/>
              <w:lang w:val="en-GB"/>
              <w14:ligatures w14:val="standardContextual"/>
            </w:rPr>
          </w:pPr>
          <w:r w:rsidRPr="00E4358F">
            <w:rPr>
              <w:rFonts w:ascii="Calibri" w:eastAsia="Calibri" w:hAnsi="Calibri" w:cs="Times New Roman"/>
              <w:kern w:val="2"/>
              <w:szCs w:val="24"/>
              <w:lang w:val="en-GB"/>
              <w14:ligatures w14:val="standardContextual"/>
            </w:rPr>
            <w:t>Mohammed imran</w:t>
          </w:r>
        </w:p>
        <w:p w14:paraId="528C3820" w14:textId="77777777" w:rsidR="00E4358F" w:rsidRPr="00E4358F" w:rsidRDefault="00E4358F" w:rsidP="00E4358F">
          <w:pPr>
            <w:spacing w:after="160" w:line="259" w:lineRule="auto"/>
            <w:jc w:val="right"/>
            <w:rPr>
              <w:rFonts w:ascii="Calibri" w:eastAsia="Calibri" w:hAnsi="Calibri" w:cs="Times New Roman"/>
              <w:kern w:val="2"/>
              <w:sz w:val="22"/>
              <w:lang w:val="en-GB"/>
              <w14:ligatures w14:val="standardContextual"/>
            </w:rPr>
          </w:pPr>
          <w:r w:rsidRPr="00E4358F">
            <w:rPr>
              <w:rFonts w:ascii="Calibri" w:eastAsia="Calibri" w:hAnsi="Calibri" w:cs="Times New Roman"/>
              <w:kern w:val="2"/>
              <w:szCs w:val="24"/>
              <w:lang w:val="en-GB"/>
              <w14:ligatures w14:val="standardContextual"/>
            </w:rPr>
            <w:t>2313646</w:t>
          </w:r>
        </w:p>
        <w:p w14:paraId="496B68D6" w14:textId="651437CD" w:rsidR="00E4358F" w:rsidRDefault="00E4358F" w:rsidP="00E4358F">
          <w:pPr>
            <w:pStyle w:val="NoSpacing"/>
            <w:jc w:val="right"/>
          </w:pPr>
          <w:r>
            <w:rPr>
              <w:noProof/>
            </w:rPr>
            <mc:AlternateContent>
              <mc:Choice Requires="wpg">
                <w:drawing>
                  <wp:anchor distT="0" distB="0" distL="114300" distR="114300" simplePos="0" relativeHeight="251659264" behindDoc="1" locked="0" layoutInCell="1" allowOverlap="1" wp14:anchorId="38A1BBAD" wp14:editId="2FA99ED6">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60CFB32F" w14:textId="77777777" w:rsidR="00E4358F" w:rsidRDefault="00E4358F">
                                      <w:pPr>
                                        <w:pStyle w:val="NoSpacing"/>
                                        <w:jc w:val="right"/>
                                        <w:rPr>
                                          <w:color w:val="FFFFFF" w:themeColor="background1"/>
                                          <w:sz w:val="28"/>
                                          <w:szCs w:val="28"/>
                                        </w:rPr>
                                      </w:pPr>
                                      <w:r>
                                        <w:rPr>
                                          <w:color w:val="FFFFFF" w:themeColor="background1"/>
                                          <w:sz w:val="28"/>
                                          <w:szCs w:val="28"/>
                                          <w:lang w:val="en-GB"/>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8A1BBAD"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60CFB32F" w14:textId="77777777" w:rsidR="00E4358F" w:rsidRDefault="00E4358F">
                                <w:pPr>
                                  <w:pStyle w:val="NoSpacing"/>
                                  <w:jc w:val="right"/>
                                  <w:rPr>
                                    <w:color w:val="FFFFFF" w:themeColor="background1"/>
                                    <w:sz w:val="28"/>
                                    <w:szCs w:val="28"/>
                                  </w:rPr>
                                </w:pPr>
                                <w:r>
                                  <w:rPr>
                                    <w:color w:val="FFFFFF" w:themeColor="background1"/>
                                    <w:sz w:val="28"/>
                                    <w:szCs w:val="28"/>
                                    <w:lang w:val="en-GB"/>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476E8DA" w14:textId="3040052A" w:rsidR="00E4358F" w:rsidRDefault="00E4358F">
          <w:r>
            <w:rPr>
              <w:b/>
              <w:bCs/>
            </w:rPr>
            <w:br w:type="page"/>
          </w:r>
        </w:p>
      </w:sdtContent>
    </w:sdt>
    <w:p w14:paraId="0B4F3DA9" w14:textId="316ED890" w:rsidR="00E6795C" w:rsidRPr="00A3683E" w:rsidRDefault="00C260B5">
      <w:pPr>
        <w:pStyle w:val="Heading1"/>
        <w:rPr>
          <w:color w:val="auto"/>
        </w:rPr>
      </w:pPr>
      <w:r w:rsidRPr="00A3683E">
        <w:rPr>
          <w:color w:val="auto"/>
        </w:rPr>
        <w:lastRenderedPageBreak/>
        <w:t>Situational Analysis Report: Tesco PLC (UK)</w:t>
      </w:r>
    </w:p>
    <w:p w14:paraId="79FD42E6" w14:textId="77777777" w:rsidR="00E6795C" w:rsidRPr="00A3683E" w:rsidRDefault="00C260B5">
      <w:pPr>
        <w:pStyle w:val="Heading2"/>
        <w:rPr>
          <w:color w:val="auto"/>
        </w:rPr>
      </w:pPr>
      <w:r w:rsidRPr="00A3683E">
        <w:rPr>
          <w:color w:val="auto"/>
        </w:rPr>
        <w:t>Introduction</w:t>
      </w:r>
    </w:p>
    <w:p w14:paraId="330BFE69" w14:textId="77777777" w:rsidR="00A3683E" w:rsidRDefault="00A3683E">
      <w:r w:rsidRPr="00A3683E">
        <w:t xml:space="preserve">Tesco PLC stands as the largest supermarket retailer in the United Kingdom and is one of the foremost grocery chains in the world. Established in 1919, Tesco operates across various sectors, including food retail, financial services, and online grocery shopping. Its primary offerings encompass groceries, clothing under the F&amp;F brand, household goods, and banking services through Tesco Bank. With approximately 27% of the UK grocery market share, Tesco is the market leader, surpassing competitors like Sainsbury’s and Asda (Statista, 2024). </w:t>
      </w:r>
    </w:p>
    <w:p w14:paraId="4D965783" w14:textId="78C2C68C" w:rsidR="00A3683E" w:rsidRDefault="00A3683E">
      <w:r w:rsidRPr="00A3683E">
        <w:t xml:space="preserve">This report delivers a situational analysis of Tesco PLC to assess the internal and external factors influencing its strategic decisions and </w:t>
      </w:r>
      <w:proofErr w:type="spellStart"/>
      <w:r>
        <w:t>organisational</w:t>
      </w:r>
      <w:proofErr w:type="spellEnd"/>
      <w:r w:rsidRPr="00A3683E">
        <w:t xml:space="preserve"> performance. The analytical models employed include PESTLE and SWOT analyses. The PESTLE analysis investigates macro-environmental factors affecting the </w:t>
      </w:r>
      <w:proofErr w:type="spellStart"/>
      <w:r>
        <w:t>organisation</w:t>
      </w:r>
      <w:proofErr w:type="spellEnd"/>
      <w:r w:rsidRPr="00A3683E">
        <w:t>, while the SWOT analysis evaluates Tesco’s internal strengths and weaknesses in conjunction with external opportunities and threats (Johnson et al., 2023). Together, these tools afford a comprehensive understanding of Tesco’s strategic position within the UK grocery sector.</w:t>
      </w:r>
    </w:p>
    <w:p w14:paraId="1C069966" w14:textId="77777777" w:rsidR="00A3683E" w:rsidRDefault="00A3683E"/>
    <w:p w14:paraId="27ADC857" w14:textId="77777777" w:rsidR="00A3683E" w:rsidRDefault="00A3683E"/>
    <w:p w14:paraId="75885AA5" w14:textId="77777777" w:rsidR="00A3683E" w:rsidRDefault="00A3683E"/>
    <w:p w14:paraId="2A4834BD" w14:textId="77777777" w:rsidR="00A3683E" w:rsidRDefault="00A3683E"/>
    <w:p w14:paraId="60590B33" w14:textId="77777777" w:rsidR="00A3683E" w:rsidRDefault="00A3683E"/>
    <w:p w14:paraId="16D013BA" w14:textId="77777777" w:rsidR="00A3683E" w:rsidRDefault="00A3683E"/>
    <w:p w14:paraId="31F89C0F" w14:textId="77777777" w:rsidR="00A3683E" w:rsidRDefault="00A3683E"/>
    <w:p w14:paraId="5888DAFA" w14:textId="77777777" w:rsidR="00A3683E" w:rsidRDefault="00A3683E"/>
    <w:p w14:paraId="27AC73D1" w14:textId="77777777" w:rsidR="00A3683E" w:rsidRDefault="00A3683E"/>
    <w:p w14:paraId="4AD7128B" w14:textId="77777777" w:rsidR="00A3683E" w:rsidRDefault="00A3683E"/>
    <w:p w14:paraId="7E69E728" w14:textId="77777777" w:rsidR="00A3683E" w:rsidRDefault="00A3683E"/>
    <w:p w14:paraId="0E2E193A" w14:textId="77777777" w:rsidR="00A3683E" w:rsidRDefault="00A3683E">
      <w:pPr>
        <w:pStyle w:val="Heading2"/>
        <w:rPr>
          <w:color w:val="auto"/>
        </w:rPr>
      </w:pPr>
    </w:p>
    <w:p w14:paraId="2BCA0BBF" w14:textId="77777777" w:rsidR="00BC5D34" w:rsidRDefault="00BC5D34">
      <w:pPr>
        <w:pStyle w:val="Heading2"/>
        <w:rPr>
          <w:color w:val="auto"/>
        </w:rPr>
      </w:pPr>
    </w:p>
    <w:p w14:paraId="0634D632" w14:textId="3CB2A0A7" w:rsidR="00E6795C" w:rsidRPr="00A3683E" w:rsidRDefault="00C260B5">
      <w:pPr>
        <w:pStyle w:val="Heading2"/>
        <w:rPr>
          <w:color w:val="auto"/>
        </w:rPr>
      </w:pPr>
      <w:r w:rsidRPr="00A3683E">
        <w:rPr>
          <w:color w:val="auto"/>
        </w:rPr>
        <w:t>PESTLE Analysis</w:t>
      </w:r>
    </w:p>
    <w:tbl>
      <w:tblPr>
        <w:tblW w:w="0" w:type="auto"/>
        <w:tblLook w:val="04A0" w:firstRow="1" w:lastRow="0" w:firstColumn="1" w:lastColumn="0" w:noHBand="0" w:noVBand="1"/>
      </w:tblPr>
      <w:tblGrid>
        <w:gridCol w:w="4320"/>
        <w:gridCol w:w="4320"/>
      </w:tblGrid>
      <w:tr w:rsidR="00E6795C" w14:paraId="39F16CB1" w14:textId="77777777">
        <w:tc>
          <w:tcPr>
            <w:tcW w:w="4320" w:type="dxa"/>
          </w:tcPr>
          <w:p w14:paraId="3409F676" w14:textId="77777777" w:rsidR="00E6795C" w:rsidRDefault="00C260B5">
            <w:r>
              <w:t>Factor</w:t>
            </w:r>
          </w:p>
        </w:tc>
        <w:tc>
          <w:tcPr>
            <w:tcW w:w="4320" w:type="dxa"/>
          </w:tcPr>
          <w:p w14:paraId="7D40CC7A" w14:textId="77777777" w:rsidR="00E6795C" w:rsidRDefault="00C260B5">
            <w:r>
              <w:t>Impact on Tesco</w:t>
            </w:r>
          </w:p>
        </w:tc>
      </w:tr>
      <w:tr w:rsidR="00E6795C" w14:paraId="185D0879" w14:textId="77777777">
        <w:tc>
          <w:tcPr>
            <w:tcW w:w="4320" w:type="dxa"/>
          </w:tcPr>
          <w:p w14:paraId="7DE38C40" w14:textId="77777777" w:rsidR="00E6795C" w:rsidRDefault="00C260B5">
            <w:r>
              <w:t>Political</w:t>
            </w:r>
          </w:p>
        </w:tc>
        <w:tc>
          <w:tcPr>
            <w:tcW w:w="4320" w:type="dxa"/>
          </w:tcPr>
          <w:p w14:paraId="1D887E2B" w14:textId="1FBEF9C1" w:rsidR="00E6795C" w:rsidRDefault="00C260B5">
            <w:r>
              <w:t xml:space="preserve">Political factors significantly affect Tesco’s operations due to its dependence on international supply chains and compliance with UK government regulations. Brexit has altered trading relationships with the European Union, resulting in increased customs procedures, transport delays, and administrative costs (Dhingra et al., 2017). In addition, government intervention in food pricing and policies such as minimum wage legislation </w:t>
            </w:r>
            <w:r w:rsidR="00A3683E">
              <w:t>has</w:t>
            </w:r>
            <w:r>
              <w:t xml:space="preserve"> increased </w:t>
            </w:r>
            <w:proofErr w:type="spellStart"/>
            <w:r w:rsidR="00A3683E">
              <w:t>labour</w:t>
            </w:r>
            <w:proofErr w:type="spellEnd"/>
            <w:r>
              <w:t xml:space="preserve"> and operational expenses, placing pressure on profit margins (CMA, 2023).</w:t>
            </w:r>
          </w:p>
        </w:tc>
      </w:tr>
      <w:tr w:rsidR="00E6795C" w14:paraId="661F2A92" w14:textId="77777777">
        <w:tc>
          <w:tcPr>
            <w:tcW w:w="4320" w:type="dxa"/>
          </w:tcPr>
          <w:p w14:paraId="441ABD0F" w14:textId="77777777" w:rsidR="00E6795C" w:rsidRDefault="00C260B5">
            <w:r>
              <w:t>Economic</w:t>
            </w:r>
          </w:p>
        </w:tc>
        <w:tc>
          <w:tcPr>
            <w:tcW w:w="4320" w:type="dxa"/>
          </w:tcPr>
          <w:p w14:paraId="50D3BDA4" w14:textId="77777777" w:rsidR="00E6795C" w:rsidRDefault="00C260B5">
            <w:r>
              <w:t>Economic conditions in the UK continue to influence consumer spending behaviour and Tesco’s pricing strategies. High inflation, rising energy costs, and stagnant wage growth have reduced household disposable income, encouraging greater price sensitivity among consumers (ONS, 2024). As a result, Tesco has expanded its value and own-brand ranges to maintain market share. Exchange rate volatility also affects import costs, particularly for fresh produce sourced from the European Union, which can lead to fluctuations in retail prices (Porter, 2008).</w:t>
            </w:r>
          </w:p>
        </w:tc>
      </w:tr>
      <w:tr w:rsidR="00E6795C" w14:paraId="13AD8A3D" w14:textId="77777777">
        <w:tc>
          <w:tcPr>
            <w:tcW w:w="4320" w:type="dxa"/>
          </w:tcPr>
          <w:p w14:paraId="54B115C1" w14:textId="77777777" w:rsidR="00E6795C" w:rsidRDefault="00C260B5">
            <w:r>
              <w:t>Social</w:t>
            </w:r>
          </w:p>
        </w:tc>
        <w:tc>
          <w:tcPr>
            <w:tcW w:w="4320" w:type="dxa"/>
          </w:tcPr>
          <w:p w14:paraId="289C6A7A" w14:textId="77777777" w:rsidR="00E6795C" w:rsidRDefault="00C260B5">
            <w:r>
              <w:t xml:space="preserve">Social and demographic trends have altered consumer expectations within the grocery sector. There is increasing demand for convenience foods, online shopping services, and healthier product </w:t>
            </w:r>
            <w:r>
              <w:lastRenderedPageBreak/>
              <w:t>options (Kotler et al., 2022). Furthermore, ethical consumerism has grown in importance, with customers placing greater emphasis on corporate social responsibility and sustainable business practices. Tesco’s initiatives to reduce food waste and support community food banks enhance its corporate image and contribute to stronger customer loyalty (Carroll, 2016).</w:t>
            </w:r>
          </w:p>
        </w:tc>
      </w:tr>
      <w:tr w:rsidR="00E6795C" w14:paraId="2578123F" w14:textId="77777777">
        <w:tc>
          <w:tcPr>
            <w:tcW w:w="4320" w:type="dxa"/>
          </w:tcPr>
          <w:p w14:paraId="039CF751" w14:textId="77777777" w:rsidR="00E6795C" w:rsidRDefault="00C260B5">
            <w:r>
              <w:lastRenderedPageBreak/>
              <w:t>Technological</w:t>
            </w:r>
          </w:p>
        </w:tc>
        <w:tc>
          <w:tcPr>
            <w:tcW w:w="4320" w:type="dxa"/>
          </w:tcPr>
          <w:p w14:paraId="37C897E6" w14:textId="77777777" w:rsidR="00E6795C" w:rsidRDefault="00C260B5">
            <w:r>
              <w:t>Technological developments play a central role in Tesco’s operational efficiency and marketing strategy. The Clubcard loyalty scheme allows the company to collect and analyse customer data in order to personalise promotions and improve inventory management. Investment in automation, artificial intelligence, and digital platforms has enhanced supply chain efficiency and customer service quality (Laudon and Traver, 2023). However, increased reliance on digital systems also exposes Tesco to cybersecurity risks, which may undermine consumer trust if data breaches occur.</w:t>
            </w:r>
          </w:p>
        </w:tc>
      </w:tr>
      <w:tr w:rsidR="00E6795C" w14:paraId="486AAACF" w14:textId="77777777">
        <w:tc>
          <w:tcPr>
            <w:tcW w:w="4320" w:type="dxa"/>
          </w:tcPr>
          <w:p w14:paraId="0A60BD80" w14:textId="77777777" w:rsidR="00E6795C" w:rsidRDefault="00C260B5">
            <w:r>
              <w:t>Legal</w:t>
            </w:r>
          </w:p>
        </w:tc>
        <w:tc>
          <w:tcPr>
            <w:tcW w:w="4320" w:type="dxa"/>
          </w:tcPr>
          <w:p w14:paraId="3C529D55" w14:textId="77777777" w:rsidR="00E6795C" w:rsidRDefault="00C260B5">
            <w:r>
              <w:t xml:space="preserve">Tesco operates in a highly regulated environment and must comply with numerous legal requirements relating to food safety, employment law, and data protection. The General Data Protection Regulation (GDPR) governs how customer data is collected and stored, making compliance essential for maintaining public trust. In addition, the Competition and Markets Authority monitors pricing behaviour to prevent abuse of market power and ensure fair </w:t>
            </w:r>
            <w:r>
              <w:lastRenderedPageBreak/>
              <w:t>competition within the retail sector (CMA, 2023).</w:t>
            </w:r>
          </w:p>
        </w:tc>
      </w:tr>
      <w:tr w:rsidR="00E6795C" w14:paraId="39D07834" w14:textId="77777777">
        <w:tc>
          <w:tcPr>
            <w:tcW w:w="4320" w:type="dxa"/>
          </w:tcPr>
          <w:p w14:paraId="3F279460" w14:textId="77777777" w:rsidR="00E6795C" w:rsidRDefault="00C260B5">
            <w:r>
              <w:lastRenderedPageBreak/>
              <w:t>Environmental</w:t>
            </w:r>
          </w:p>
        </w:tc>
        <w:tc>
          <w:tcPr>
            <w:tcW w:w="4320" w:type="dxa"/>
          </w:tcPr>
          <w:p w14:paraId="6C740429" w14:textId="77777777" w:rsidR="00E6795C" w:rsidRDefault="00C260B5">
            <w:r>
              <w:t>Environmental factors have become increasingly significant due to the effects of climate change on agricultural production and rising consumer expectations regarding sustainability. Tesco has committed to achieving net-zero carbon emissions by 2050 and reducing plastic packaging across its product ranges (Tesco, 2024). These initiatives strengthen Tesco’s reputation as a socially responsible retailer but also increase operational costs, creating a strategic challenge between environmental responsibility and cost efficiency (Elkington, 1997).</w:t>
            </w:r>
          </w:p>
        </w:tc>
      </w:tr>
    </w:tbl>
    <w:p w14:paraId="0DA03E88" w14:textId="77777777" w:rsidR="00E6795C" w:rsidRPr="00A3683E" w:rsidRDefault="00C260B5">
      <w:pPr>
        <w:pStyle w:val="Heading2"/>
        <w:rPr>
          <w:color w:val="auto"/>
        </w:rPr>
      </w:pPr>
      <w:r w:rsidRPr="00A3683E">
        <w:rPr>
          <w:color w:val="auto"/>
        </w:rPr>
        <w:t>SWOT Analysis</w:t>
      </w:r>
    </w:p>
    <w:tbl>
      <w:tblPr>
        <w:tblW w:w="0" w:type="auto"/>
        <w:tblLook w:val="04A0" w:firstRow="1" w:lastRow="0" w:firstColumn="1" w:lastColumn="0" w:noHBand="0" w:noVBand="1"/>
      </w:tblPr>
      <w:tblGrid>
        <w:gridCol w:w="4320"/>
        <w:gridCol w:w="4320"/>
      </w:tblGrid>
      <w:tr w:rsidR="00E6795C" w14:paraId="6B09081E" w14:textId="77777777">
        <w:tc>
          <w:tcPr>
            <w:tcW w:w="4320" w:type="dxa"/>
          </w:tcPr>
          <w:p w14:paraId="578BA080" w14:textId="77777777" w:rsidR="00E6795C" w:rsidRDefault="00C260B5">
            <w:r>
              <w:t>Category</w:t>
            </w:r>
          </w:p>
        </w:tc>
        <w:tc>
          <w:tcPr>
            <w:tcW w:w="4320" w:type="dxa"/>
          </w:tcPr>
          <w:p w14:paraId="22993813" w14:textId="77777777" w:rsidR="00E6795C" w:rsidRDefault="00C260B5">
            <w:r>
              <w:t>Key Issues</w:t>
            </w:r>
          </w:p>
        </w:tc>
      </w:tr>
      <w:tr w:rsidR="00E6795C" w14:paraId="4CECCA16" w14:textId="77777777">
        <w:tc>
          <w:tcPr>
            <w:tcW w:w="4320" w:type="dxa"/>
          </w:tcPr>
          <w:p w14:paraId="54895139" w14:textId="77777777" w:rsidR="00E6795C" w:rsidRDefault="00C260B5">
            <w:r>
              <w:t>Strengths</w:t>
            </w:r>
          </w:p>
        </w:tc>
        <w:tc>
          <w:tcPr>
            <w:tcW w:w="4320" w:type="dxa"/>
          </w:tcPr>
          <w:p w14:paraId="32FDC7F5" w14:textId="77777777" w:rsidR="00E6795C" w:rsidRDefault="00C260B5">
            <w:r>
              <w:t>Tesco benefits from strong brand recognition, a wide national store network, and significant economies of scale. Its advanced data analytics capability through the Clubcard scheme enables targeted marketing and improved customer retention. These resources provide a competitive advantage that is difficult for smaller rivals to replicate (Porter, 2008; Barney, 1991).</w:t>
            </w:r>
          </w:p>
        </w:tc>
      </w:tr>
      <w:tr w:rsidR="00E6795C" w14:paraId="27F006C4" w14:textId="77777777">
        <w:tc>
          <w:tcPr>
            <w:tcW w:w="4320" w:type="dxa"/>
          </w:tcPr>
          <w:p w14:paraId="33117DCB" w14:textId="77777777" w:rsidR="00E6795C" w:rsidRDefault="00C260B5">
            <w:r>
              <w:t>Weaknesses</w:t>
            </w:r>
          </w:p>
        </w:tc>
        <w:tc>
          <w:tcPr>
            <w:tcW w:w="4320" w:type="dxa"/>
          </w:tcPr>
          <w:p w14:paraId="41139961" w14:textId="77777777" w:rsidR="00E6795C" w:rsidRDefault="00C260B5">
            <w:r>
              <w:t xml:space="preserve">A key weakness for Tesco is its high operating cost base, particularly in relation to labour, logistics, and energy expenses. The company is also heavily dependent on the UK market, which increases its exposure to domestic economic conditions and regulatory changes. Past accounting scandals have </w:t>
            </w:r>
            <w:r>
              <w:lastRenderedPageBreak/>
              <w:t>further weakened stakeholder trust and damaged the organisation’s reputation (Johnson et al., 2023).</w:t>
            </w:r>
          </w:p>
        </w:tc>
      </w:tr>
      <w:tr w:rsidR="00E6795C" w14:paraId="06961BBD" w14:textId="77777777">
        <w:tc>
          <w:tcPr>
            <w:tcW w:w="4320" w:type="dxa"/>
          </w:tcPr>
          <w:p w14:paraId="3E404F97" w14:textId="77777777" w:rsidR="00E6795C" w:rsidRDefault="00C260B5">
            <w:r>
              <w:lastRenderedPageBreak/>
              <w:t>Opportunities</w:t>
            </w:r>
          </w:p>
        </w:tc>
        <w:tc>
          <w:tcPr>
            <w:tcW w:w="4320" w:type="dxa"/>
          </w:tcPr>
          <w:p w14:paraId="443A2B26" w14:textId="77777777" w:rsidR="00E6795C" w:rsidRDefault="00C260B5">
            <w:r>
              <w:t>Opportunities exist through continued growth in online grocery services and the expansion of digital technologies such as artificial intelligence for demand forecasting and supply chain optimisation. In addition, rising consumer interest in environmentally friendly and ethically sourced products presents an opportunity for Tesco to differentiate itself from competitors through sustainability initiatives (Elkington, 1997).</w:t>
            </w:r>
          </w:p>
        </w:tc>
      </w:tr>
      <w:tr w:rsidR="00E6795C" w14:paraId="1A19A07A" w14:textId="77777777">
        <w:tc>
          <w:tcPr>
            <w:tcW w:w="4320" w:type="dxa"/>
          </w:tcPr>
          <w:p w14:paraId="47B2C759" w14:textId="77777777" w:rsidR="00E6795C" w:rsidRDefault="00C260B5">
            <w:r>
              <w:t>Threats</w:t>
            </w:r>
          </w:p>
        </w:tc>
        <w:tc>
          <w:tcPr>
            <w:tcW w:w="4320" w:type="dxa"/>
          </w:tcPr>
          <w:p w14:paraId="3096892F" w14:textId="77777777" w:rsidR="00E6795C" w:rsidRDefault="00C260B5">
            <w:r>
              <w:t>Tesco faces significant threats from intense competition within the UK grocery market, particularly from discount retailers such as Aldi and Lidl, which compete aggressively on price. Rising supplier costs, regulatory pressures, and potential supply chain disruptions also threaten profitability. Cybersecurity risks further pose a threat to consumer confidence and operational continuity (Porter, 2008; CMA, 2023).</w:t>
            </w:r>
          </w:p>
        </w:tc>
      </w:tr>
    </w:tbl>
    <w:p w14:paraId="642E17F9" w14:textId="77777777" w:rsidR="00E6795C" w:rsidRPr="00A3683E" w:rsidRDefault="00C260B5">
      <w:pPr>
        <w:pStyle w:val="Heading2"/>
        <w:rPr>
          <w:color w:val="auto"/>
        </w:rPr>
      </w:pPr>
      <w:r w:rsidRPr="00A3683E">
        <w:rPr>
          <w:color w:val="auto"/>
        </w:rPr>
        <w:t>Critical Analysis and Evaluation</w:t>
      </w:r>
    </w:p>
    <w:p w14:paraId="575A9960" w14:textId="77777777" w:rsidR="00E6795C" w:rsidRDefault="00C260B5">
      <w:r>
        <w:t>The combined findings of the PESTLE and SWOT analyses demonstrate that Tesco operates within a highly competitive and volatile external environment. Political and legal pressures restrict operational flexibility, while economic uncertainty intensifies price competition across the grocery sector. According to Porter’s Five Forces framework, high buyer power and intense rivalry reduce industry profitability and require Tesco to maintain cost efficiency while sustaining differentiation strategies (Porter, 2008).</w:t>
      </w:r>
      <w:r>
        <w:br/>
      </w:r>
      <w:r>
        <w:br/>
        <w:t xml:space="preserve">From a resource-based view, Tesco’s data analytics capability and large-scale distribution network represent valuable, rare, and difficult-to-imitate resources that support competitive advantage (Barney, 1991). Stakeholder theory also highlights the importance of balancing the interests of customers, employees, suppliers, and regulators in order to </w:t>
      </w:r>
      <w:r>
        <w:lastRenderedPageBreak/>
        <w:t>maintain organisational legitimacy and long-term performance (Freeman, 2010). Social and environmental pressures increasingly influence strategic decision-making, requiring Tesco to balance low-price strategies with ethical and sustainable business practices.</w:t>
      </w:r>
    </w:p>
    <w:p w14:paraId="49BAE39F" w14:textId="77777777" w:rsidR="00E6795C" w:rsidRPr="00A3683E" w:rsidRDefault="00C260B5">
      <w:pPr>
        <w:pStyle w:val="Heading2"/>
        <w:rPr>
          <w:color w:val="auto"/>
        </w:rPr>
      </w:pPr>
      <w:r w:rsidRPr="00A3683E">
        <w:rPr>
          <w:color w:val="auto"/>
        </w:rPr>
        <w:t>Conclusion and Recommendations</w:t>
      </w:r>
    </w:p>
    <w:p w14:paraId="21BB2C3F" w14:textId="77777777" w:rsidR="00E6795C" w:rsidRDefault="00C260B5">
      <w:r>
        <w:t>This situational analysis identified key political, economic, social, technological, legal, and environmental factors shaping Tesco’s strategic environment. Internally, strong brand equity and data-driven capabilities support competitive positioning, while high operating costs and market dependence present ongoing challenges. Recommendations include increasing investment in digital innovation, strengthening sustainable sourcing practices, and expanding value-based product ranges to meet changing consumer needs. Situational analysis is essential in strategic planning as it enables organisations to anticipate external threats, identify growth opportunities, and align internal resources with environmental conditions to achieve long-term success (Johnson et al., 2023).</w:t>
      </w:r>
    </w:p>
    <w:p w14:paraId="249D2C6E" w14:textId="77777777" w:rsidR="00E6795C" w:rsidRPr="00A3683E" w:rsidRDefault="00C260B5">
      <w:pPr>
        <w:pStyle w:val="Heading2"/>
        <w:rPr>
          <w:color w:val="auto"/>
        </w:rPr>
      </w:pPr>
      <w:r w:rsidRPr="00A3683E">
        <w:rPr>
          <w:color w:val="auto"/>
        </w:rPr>
        <w:t>References</w:t>
      </w:r>
    </w:p>
    <w:p w14:paraId="3CBE2CA3" w14:textId="77777777" w:rsidR="00E6795C" w:rsidRDefault="00C260B5">
      <w:r>
        <w:t>Barney, J. (1991) ‘Firm resources and sustained competitive advantage’, Journal of Management, 17(1), pp. 99–120.</w:t>
      </w:r>
      <w:r>
        <w:br/>
        <w:t>Carroll, A.B. (2016) ‘Carroll’s pyramid of CSR: taking another look’, International Journal of Corporate Social Responsibility, 1(3).</w:t>
      </w:r>
      <w:r>
        <w:br/>
        <w:t>Competition and Markets Authority (2023) Retail market investigation report. London: CMA.</w:t>
      </w:r>
      <w:r>
        <w:br/>
        <w:t>Dhingra, S., Ottaviano, G., Sampson, T. and Van Reenen, J. (2017) ‘The impact of Brexit on foreign investment’, CEP Brexit Analysis.</w:t>
      </w:r>
      <w:r>
        <w:br/>
        <w:t>Elkington, J. (1997) Cannibals with forks: the triple bottom line of 21st century business. Oxford: Capstone.</w:t>
      </w:r>
      <w:r>
        <w:br/>
        <w:t>Freeman, R.E. (2010) Strategic management: a stakeholder approach. Cambridge: Cambridge University Press.</w:t>
      </w:r>
      <w:r>
        <w:br/>
        <w:t>Johnson, G., Scholes, K. and Whittington, R. (2023) Exploring strategy. 13th edn. Harlow: Pearson.</w:t>
      </w:r>
      <w:r>
        <w:br/>
        <w:t>Kotler, P., Keller, K.L., Ancarani, F. and Costabile, M. (2022) Marketing management. 16th edn. Harlow: Pearson.</w:t>
      </w:r>
      <w:r>
        <w:br/>
        <w:t>Laudon, K.C. and Traver, C.G. (2023) E-commerce: business, technology, society. 17th edn. Harlow: Pearson.</w:t>
      </w:r>
      <w:r>
        <w:br/>
        <w:t>Office for National Statistics (2024) UK consumer price inflation. London: ONS.</w:t>
      </w:r>
      <w:r>
        <w:br/>
        <w:t>Porter, M.E. (2008) ‘The five competitive forces that shape strategy’, Harvard Business Review, 86(1), pp. 78–93.</w:t>
      </w:r>
      <w:r>
        <w:br/>
        <w:t>Statista (2024) UK grocery market share. Hamburg: Statista.</w:t>
      </w:r>
      <w:r>
        <w:br/>
        <w:t>Tesco PLC (2024) Annual report and financial statements 2024. London: Tesco PLC.</w:t>
      </w:r>
    </w:p>
    <w:sectPr w:rsidR="00E6795C" w:rsidSect="00E4358F">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2865877">
    <w:abstractNumId w:val="8"/>
  </w:num>
  <w:num w:numId="2" w16cid:durableId="513807493">
    <w:abstractNumId w:val="6"/>
  </w:num>
  <w:num w:numId="3" w16cid:durableId="1028943404">
    <w:abstractNumId w:val="5"/>
  </w:num>
  <w:num w:numId="4" w16cid:durableId="293945343">
    <w:abstractNumId w:val="4"/>
  </w:num>
  <w:num w:numId="5" w16cid:durableId="1611356390">
    <w:abstractNumId w:val="7"/>
  </w:num>
  <w:num w:numId="6" w16cid:durableId="1420561959">
    <w:abstractNumId w:val="3"/>
  </w:num>
  <w:num w:numId="7" w16cid:durableId="1102186171">
    <w:abstractNumId w:val="2"/>
  </w:num>
  <w:num w:numId="8" w16cid:durableId="1045372277">
    <w:abstractNumId w:val="1"/>
  </w:num>
  <w:num w:numId="9" w16cid:durableId="2014454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518D"/>
    <w:rsid w:val="0006063C"/>
    <w:rsid w:val="0015074B"/>
    <w:rsid w:val="0029639D"/>
    <w:rsid w:val="00326F90"/>
    <w:rsid w:val="00501F5A"/>
    <w:rsid w:val="006C2020"/>
    <w:rsid w:val="006C5B94"/>
    <w:rsid w:val="00A3683E"/>
    <w:rsid w:val="00AA1D8D"/>
    <w:rsid w:val="00B47730"/>
    <w:rsid w:val="00BC2BCB"/>
    <w:rsid w:val="00BC5D34"/>
    <w:rsid w:val="00C260B5"/>
    <w:rsid w:val="00C3250A"/>
    <w:rsid w:val="00CB0664"/>
    <w:rsid w:val="00E4358F"/>
    <w:rsid w:val="00E6795C"/>
    <w:rsid w:val="00E70246"/>
    <w:rsid w:val="00EB2E61"/>
    <w:rsid w:val="00FC46A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1D4B0A"/>
  <w14:defaultImageDpi w14:val="300"/>
  <w15:docId w15:val="{1F7C816C-1330-4E0E-A301-BA22610A7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E435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1271</Words>
  <Characters>8363</Characters>
  <Application>Microsoft Office Word</Application>
  <DocSecurity>0</DocSecurity>
  <Lines>235</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9593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mohammed imran</cp:lastModifiedBy>
  <cp:revision>3</cp:revision>
  <dcterms:created xsi:type="dcterms:W3CDTF">2026-02-22T14:08:00Z</dcterms:created>
  <dcterms:modified xsi:type="dcterms:W3CDTF">2026-02-22T14:08:00Z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457a4b4a-cc95-4cdf-8576-4d3172645801</vt:lpwstr>
  </property>
</Properties>
</file>