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8D74B2" w14:textId="5A2CBFA4" w:rsidR="00D91AEA" w:rsidRDefault="00DD323E" w:rsidP="008C309F">
      <w:pPr>
        <w:spacing w:line="480" w:lineRule="auto"/>
        <w:jc w:val="center"/>
        <w:rPr>
          <w:u w:val="single"/>
        </w:rPr>
      </w:pPr>
      <w:r>
        <w:rPr>
          <w:u w:val="single"/>
        </w:rPr>
        <w:t>James Forder HPHI5009: Portfolio 1 (William of Poitiers)</w:t>
      </w:r>
    </w:p>
    <w:p w14:paraId="75EE86E3" w14:textId="77777777" w:rsidR="00C55BE3" w:rsidRDefault="00C55BE3" w:rsidP="008C309F">
      <w:pPr>
        <w:spacing w:line="480" w:lineRule="auto"/>
        <w:jc w:val="center"/>
        <w:rPr>
          <w:u w:val="single"/>
        </w:rPr>
      </w:pPr>
    </w:p>
    <w:p w14:paraId="54B9F1D4" w14:textId="74D2F755" w:rsidR="00DD323E" w:rsidRDefault="00DD323E" w:rsidP="008C309F">
      <w:pPr>
        <w:spacing w:line="480" w:lineRule="auto"/>
      </w:pPr>
      <w:r>
        <w:t xml:space="preserve">The </w:t>
      </w:r>
      <w:proofErr w:type="spellStart"/>
      <w:r w:rsidRPr="00DD323E">
        <w:rPr>
          <w:i/>
        </w:rPr>
        <w:t>Gesta</w:t>
      </w:r>
      <w:proofErr w:type="spellEnd"/>
      <w:r w:rsidRPr="00DD323E">
        <w:rPr>
          <w:i/>
        </w:rPr>
        <w:t xml:space="preserve"> </w:t>
      </w:r>
      <w:proofErr w:type="spellStart"/>
      <w:r w:rsidRPr="00DD323E">
        <w:rPr>
          <w:i/>
        </w:rPr>
        <w:t>Willelmi</w:t>
      </w:r>
      <w:proofErr w:type="spellEnd"/>
      <w:r w:rsidRPr="00DD323E">
        <w:rPr>
          <w:i/>
        </w:rPr>
        <w:t xml:space="preserve"> </w:t>
      </w:r>
      <w:proofErr w:type="spellStart"/>
      <w:r w:rsidRPr="00DD323E">
        <w:rPr>
          <w:i/>
        </w:rPr>
        <w:t>ducis</w:t>
      </w:r>
      <w:proofErr w:type="spellEnd"/>
      <w:r w:rsidRPr="00DD323E">
        <w:rPr>
          <w:i/>
        </w:rPr>
        <w:t xml:space="preserve"> </w:t>
      </w:r>
      <w:proofErr w:type="spellStart"/>
      <w:r w:rsidRPr="00DD323E">
        <w:rPr>
          <w:i/>
        </w:rPr>
        <w:t>Normannorum</w:t>
      </w:r>
      <w:proofErr w:type="spellEnd"/>
      <w:r w:rsidRPr="00DD323E">
        <w:rPr>
          <w:i/>
        </w:rPr>
        <w:t xml:space="preserve"> et </w:t>
      </w:r>
      <w:proofErr w:type="spellStart"/>
      <w:r w:rsidRPr="00DD323E">
        <w:rPr>
          <w:i/>
        </w:rPr>
        <w:t>regis</w:t>
      </w:r>
      <w:proofErr w:type="spellEnd"/>
      <w:r w:rsidRPr="00DD323E">
        <w:rPr>
          <w:i/>
        </w:rPr>
        <w:t xml:space="preserve"> </w:t>
      </w:r>
      <w:proofErr w:type="spellStart"/>
      <w:r w:rsidRPr="00DD323E">
        <w:rPr>
          <w:i/>
        </w:rPr>
        <w:t>Anglorum</w:t>
      </w:r>
      <w:proofErr w:type="spellEnd"/>
      <w:r>
        <w:rPr>
          <w:i/>
        </w:rPr>
        <w:t xml:space="preserve"> </w:t>
      </w:r>
      <w:r>
        <w:t>is a panegyric to William the Conqueror, aimed at giving the motivations and justifications for the Norman invasion of England.</w:t>
      </w:r>
      <w:r>
        <w:rPr>
          <w:rStyle w:val="FootnoteReference"/>
        </w:rPr>
        <w:footnoteReference w:id="1"/>
      </w:r>
      <w:r>
        <w:t xml:space="preserve"> The passage describes a</w:t>
      </w:r>
      <w:r w:rsidR="00225B8E">
        <w:t xml:space="preserve">n oath taken by Harold Godwinson in 1064, </w:t>
      </w:r>
      <w:r w:rsidR="00D02834">
        <w:t>supporting</w:t>
      </w:r>
      <w:r w:rsidR="00225B8E">
        <w:t xml:space="preserve"> William’s claim to the throne. </w:t>
      </w:r>
      <w:r w:rsidR="00DC328B">
        <w:t>The events described were used by William to receive papal support, portraying Harold as a ‘perjurer’ who usurped the throne promised to William by both Edward the Confessor and Harold himself.</w:t>
      </w:r>
      <w:r w:rsidR="00DC328B">
        <w:rPr>
          <w:rStyle w:val="FootnoteReference"/>
        </w:rPr>
        <w:footnoteReference w:id="2"/>
      </w:r>
      <w:r w:rsidR="00DC328B">
        <w:t xml:space="preserve"> However, the legitimacy of such an account i</w:t>
      </w:r>
      <w:r w:rsidR="00125199">
        <w:t>s</w:t>
      </w:r>
      <w:r w:rsidR="00DC328B">
        <w:t xml:space="preserve"> held into question by the nature through which the oath was given. </w:t>
      </w:r>
    </w:p>
    <w:p w14:paraId="03B13DC9" w14:textId="5523C324" w:rsidR="00DC328B" w:rsidRDefault="00DC328B" w:rsidP="008C309F">
      <w:pPr>
        <w:spacing w:line="480" w:lineRule="auto"/>
      </w:pPr>
      <w:r>
        <w:t xml:space="preserve">The passage begins by describing </w:t>
      </w:r>
      <w:r w:rsidR="00C97E14">
        <w:t>how William had already been appointed as Edward’s heir, perhaps referring to a visit from William to England in 1051 mentioned in the Anglo-Saxon Chronicle.</w:t>
      </w:r>
      <w:r w:rsidR="00C97E14">
        <w:rPr>
          <w:rStyle w:val="FootnoteReference"/>
        </w:rPr>
        <w:footnoteReference w:id="3"/>
      </w:r>
      <w:r w:rsidR="005949C4">
        <w:t xml:space="preserve"> The sending of Harold is therefore presented as merely formally confirming a pre-existing agreement to prevent dissent among the rest of England. This reference to dissent may have </w:t>
      </w:r>
      <w:r w:rsidR="00F95F81">
        <w:t>resulted from</w:t>
      </w:r>
      <w:r w:rsidR="00C55BE3">
        <w:t xml:space="preserve"> the author’s</w:t>
      </w:r>
      <w:r w:rsidR="00F95F81">
        <w:t xml:space="preserve"> </w:t>
      </w:r>
      <w:r w:rsidR="005949C4">
        <w:t xml:space="preserve">hindsight, rather than being on the mind of Edward at the time. </w:t>
      </w:r>
      <w:proofErr w:type="spellStart"/>
      <w:r w:rsidR="005949C4">
        <w:t>Neveaux</w:t>
      </w:r>
      <w:proofErr w:type="spellEnd"/>
      <w:r w:rsidR="005949C4">
        <w:t xml:space="preserve"> also gives this supposed event as evidence that William had ‘unquestionably’ been promised the throne </w:t>
      </w:r>
      <w:r w:rsidR="00F95F81">
        <w:t>by Edward.</w:t>
      </w:r>
      <w:r w:rsidR="00F95F81">
        <w:rPr>
          <w:rStyle w:val="FootnoteReference"/>
        </w:rPr>
        <w:footnoteReference w:id="4"/>
      </w:r>
      <w:r w:rsidR="005949C4">
        <w:t xml:space="preserve"> </w:t>
      </w:r>
      <w:r w:rsidR="00F95F81">
        <w:t>However, it is</w:t>
      </w:r>
      <w:r w:rsidR="005949C4">
        <w:t xml:space="preserve"> unlikely that such an agreement would have been made previously, as the Anglo-Saxon custom for succession was vot</w:t>
      </w:r>
      <w:r w:rsidR="00AD0810">
        <w:t>ing</w:t>
      </w:r>
      <w:r w:rsidR="005949C4">
        <w:t xml:space="preserve"> by the </w:t>
      </w:r>
      <w:proofErr w:type="spellStart"/>
      <w:r w:rsidR="005949C4">
        <w:t>Wit</w:t>
      </w:r>
      <w:r w:rsidR="006D2088">
        <w:t>e</w:t>
      </w:r>
      <w:r w:rsidR="005949C4">
        <w:t>nagamot</w:t>
      </w:r>
      <w:proofErr w:type="spellEnd"/>
      <w:r w:rsidR="005949C4">
        <w:t>, rather than select</w:t>
      </w:r>
      <w:r w:rsidR="006D2088">
        <w:t>ion</w:t>
      </w:r>
      <w:r w:rsidR="005949C4">
        <w:t xml:space="preserve"> by the king. Whether o</w:t>
      </w:r>
      <w:r w:rsidR="006D2088">
        <w:t>r</w:t>
      </w:r>
      <w:r w:rsidR="005949C4">
        <w:t xml:space="preserve"> not William of Poitiers was aware of such customs is unclear, but this section was likely included to further emphasise the seriousness of the later oath.</w:t>
      </w:r>
    </w:p>
    <w:p w14:paraId="5E9A7695" w14:textId="2D39BA56" w:rsidR="006E3184" w:rsidRDefault="00F95F81" w:rsidP="008C309F">
      <w:pPr>
        <w:spacing w:line="480" w:lineRule="auto"/>
      </w:pPr>
      <w:r>
        <w:lastRenderedPageBreak/>
        <w:t xml:space="preserve">The next episode of the text describes Harold’s capture by Guy of Ponthieu and their subsequent release at the request of William. This section is particularly important regarding the voluntary or coerced nature of the oath. Mason suggests that William was holding Harold </w:t>
      </w:r>
      <w:r w:rsidR="002C08F9">
        <w:t>hostage</w:t>
      </w:r>
      <w:r>
        <w:t>, with the succession to the throne as well as the safety of Harold, his men</w:t>
      </w:r>
      <w:r w:rsidR="002C08F9">
        <w:t>,</w:t>
      </w:r>
      <w:r>
        <w:t xml:space="preserve"> and </w:t>
      </w:r>
      <w:proofErr w:type="spellStart"/>
      <w:r w:rsidR="001E57A1">
        <w:t>Wulfnorth</w:t>
      </w:r>
      <w:proofErr w:type="spellEnd"/>
      <w:r w:rsidR="001E57A1">
        <w:t xml:space="preserve"> and </w:t>
      </w:r>
      <w:proofErr w:type="spellStart"/>
      <w:r w:rsidR="001E57A1">
        <w:t>Hakorn</w:t>
      </w:r>
      <w:proofErr w:type="spellEnd"/>
      <w:r>
        <w:t xml:space="preserve"> the </w:t>
      </w:r>
      <w:r w:rsidR="002C08F9">
        <w:t>‘</w:t>
      </w:r>
      <w:r>
        <w:t>ransom</w:t>
      </w:r>
      <w:r w:rsidR="002C08F9">
        <w:t>’</w:t>
      </w:r>
      <w:r>
        <w:t xml:space="preserve">, </w:t>
      </w:r>
      <w:r w:rsidR="006D2088">
        <w:t>performing</w:t>
      </w:r>
      <w:r>
        <w:t xml:space="preserve"> the oath under duress</w:t>
      </w:r>
      <w:r w:rsidR="002C08F9">
        <w:t>,</w:t>
      </w:r>
      <w:r>
        <w:t xml:space="preserve"> therefore invalid.</w:t>
      </w:r>
      <w:r>
        <w:rPr>
          <w:rStyle w:val="FootnoteReference"/>
        </w:rPr>
        <w:footnoteReference w:id="5"/>
      </w:r>
      <w:r w:rsidR="001E57A1">
        <w:t xml:space="preserve"> </w:t>
      </w:r>
      <w:proofErr w:type="spellStart"/>
      <w:r w:rsidR="001E57A1">
        <w:t>Stenton</w:t>
      </w:r>
      <w:proofErr w:type="spellEnd"/>
      <w:r w:rsidR="001E57A1">
        <w:t xml:space="preserve"> gives this as </w:t>
      </w:r>
      <w:r w:rsidR="006D2088">
        <w:t>an</w:t>
      </w:r>
      <w:r w:rsidR="001E57A1">
        <w:t xml:space="preserve"> explanation for hi</w:t>
      </w:r>
      <w:r w:rsidR="006D2088">
        <w:t>m</w:t>
      </w:r>
      <w:r w:rsidR="001E57A1">
        <w:t xml:space="preserve"> making the oath, referring to it as the ‘easiest way out of a difficult situation’.</w:t>
      </w:r>
      <w:r w:rsidR="001E57A1">
        <w:rPr>
          <w:rStyle w:val="FootnoteReference"/>
        </w:rPr>
        <w:footnoteReference w:id="6"/>
      </w:r>
      <w:r w:rsidR="001E57A1">
        <w:t xml:space="preserve"> The hasty nature of William’s dispatch of the embassy does indicate that William may have seen Harold’s difficult situation as a potential opportunistic move to either eliminate, or give reason to eliminate a rival to the throne, Edward’s upbringing in Normandy makes it difficult to completely rule out the possibility that the mission to Normandy was genuine. </w:t>
      </w:r>
      <w:r w:rsidR="006E3184">
        <w:t>Therefore, rather than William sensing an opportunity to take the throne against the odds, it may be that he aimed to gain the support of the Anglo-Saxon nobility by forming an alliance with its most prominent family</w:t>
      </w:r>
      <w:r w:rsidR="002C08F9">
        <w:t>;</w:t>
      </w:r>
      <w:r w:rsidR="006E3184">
        <w:t xml:space="preserve"> Harold’s kidnap by Guy was a barrier to such a move. Rather than an opportunistic move to eliminate his rivals,</w:t>
      </w:r>
      <w:r w:rsidR="0070138D">
        <w:t xml:space="preserve"> as Walker puts forth,</w:t>
      </w:r>
      <w:r w:rsidR="0070138D">
        <w:rPr>
          <w:rStyle w:val="FootnoteReference"/>
        </w:rPr>
        <w:footnoteReference w:id="7"/>
      </w:r>
      <w:r w:rsidR="006E3184">
        <w:t xml:space="preserve"> this episode suggests an overly zealous count getting in the way of William’s attempts to build his claim. </w:t>
      </w:r>
      <w:r w:rsidR="00851062">
        <w:t xml:space="preserve">However, the release of only one of the two hostages </w:t>
      </w:r>
      <w:r w:rsidR="002C08F9">
        <w:t>suggests</w:t>
      </w:r>
      <w:r w:rsidR="00851062">
        <w:t xml:space="preserve"> that the possibility of betrayal may have been on William’s mind, possibly using the remaining hostage as a ransom for Harold’s loyalty. </w:t>
      </w:r>
      <w:r w:rsidR="006E3184">
        <w:t>Overall, although it does suggest the oath was taken by Harold under duress, it does not suggest that William considered such a move to be against a rival, but rather to prevent the loss of a potential ally, or ‘mediator’ as the translation puts it.</w:t>
      </w:r>
    </w:p>
    <w:p w14:paraId="06444568" w14:textId="6B6BB7C5" w:rsidR="005949C4" w:rsidRDefault="006E3184" w:rsidP="008C309F">
      <w:pPr>
        <w:spacing w:line="480" w:lineRule="auto"/>
      </w:pPr>
      <w:r>
        <w:t xml:space="preserve"> The account of the oath itself is the only contemporary account of such an event</w:t>
      </w:r>
      <w:r w:rsidR="00E266AE">
        <w:t>,</w:t>
      </w:r>
      <w:r w:rsidR="00E266AE">
        <w:rPr>
          <w:rStyle w:val="FootnoteReference"/>
        </w:rPr>
        <w:footnoteReference w:id="8"/>
      </w:r>
      <w:r w:rsidR="00E266AE">
        <w:t xml:space="preserve"> the text claiming to have based its account on witnesses. However, the actual identity of such witnesses is not clarified, so assessing the legitimacy of such a claim is impossible. The agreement to act of William’s agent in the court of Edward is particularly interesting</w:t>
      </w:r>
      <w:r w:rsidR="0070138D">
        <w:t>, as it lines up Harold to be the second-in-</w:t>
      </w:r>
      <w:r w:rsidR="0070138D">
        <w:lastRenderedPageBreak/>
        <w:t xml:space="preserve">command to William, as he was to Edward. This would have kept Harold in a very powerful position, beneficial to him, and would have given William the support of the most powerful nobleman in England, </w:t>
      </w:r>
      <w:r w:rsidR="002C08F9">
        <w:t>with</w:t>
      </w:r>
      <w:r w:rsidR="0070138D">
        <w:t xml:space="preserve"> powers of patronage should Harold have stuck to the oath. Also, as </w:t>
      </w:r>
      <w:proofErr w:type="spellStart"/>
      <w:r w:rsidR="0070138D">
        <w:t>Stenton</w:t>
      </w:r>
      <w:proofErr w:type="spellEnd"/>
      <w:r w:rsidR="0070138D">
        <w:t xml:space="preserve"> points out, Harold may not have considered himself powerful or popular enough to consider taking the throne for himself at this point, instead </w:t>
      </w:r>
      <w:r w:rsidR="007E2D2B">
        <w:t>taking</w:t>
      </w:r>
      <w:r w:rsidR="0070138D">
        <w:t xml:space="preserve"> the side of the most powerful contender for the throne to protect himself from the </w:t>
      </w:r>
      <w:r w:rsidR="007E2D2B">
        <w:t>Norwegian threat</w:t>
      </w:r>
      <w:r w:rsidR="0070138D">
        <w:t>.</w:t>
      </w:r>
      <w:r w:rsidR="0070138D">
        <w:rPr>
          <w:rStyle w:val="FootnoteReference"/>
        </w:rPr>
        <w:footnoteReference w:id="9"/>
      </w:r>
      <w:r w:rsidR="00C22C4D">
        <w:t xml:space="preserve"> Therefore, rather than William being an opportunist, the terms of the oath suggest that it was in fact Harold </w:t>
      </w:r>
      <w:r w:rsidR="007E2D2B">
        <w:t>that</w:t>
      </w:r>
      <w:r w:rsidR="00C22C4D">
        <w:t xml:space="preserve"> acted opportunistically</w:t>
      </w:r>
      <w:r w:rsidR="00FA379B">
        <w:t>, taking a risk by losing an already powerful position, but gaining a more powerful one through circumstance</w:t>
      </w:r>
      <w:r w:rsidR="007E2D2B">
        <w:t xml:space="preserve"> when his popularity was confirmed</w:t>
      </w:r>
      <w:r w:rsidR="00FA379B">
        <w:t>. Overall, the oath gave Harold a position with which he could stick to the agreement and retain a position of power and influence if William was chosen as king, but the difficult circumstances of such an oath gave him an excuse to break away if his position was strong enough.</w:t>
      </w:r>
    </w:p>
    <w:p w14:paraId="5D03F09D" w14:textId="762A5F2B" w:rsidR="00FA379B" w:rsidRDefault="00FA379B" w:rsidP="008C309F">
      <w:pPr>
        <w:spacing w:line="480" w:lineRule="auto"/>
      </w:pPr>
      <w:r>
        <w:t>There are however, some problems with the account of the oath. For example, it mentions an agreement to hand over a castle at Dover to William as a garrison, despite there being no castles in England, ex</w:t>
      </w:r>
      <w:r w:rsidR="007E2D2B">
        <w:t>cept from</w:t>
      </w:r>
      <w:r>
        <w:t xml:space="preserve"> in Herefordshire.</w:t>
      </w:r>
      <w:r>
        <w:rPr>
          <w:rStyle w:val="FootnoteReference"/>
        </w:rPr>
        <w:footnoteReference w:id="10"/>
      </w:r>
      <w:r>
        <w:t xml:space="preserve"> </w:t>
      </w:r>
      <w:r w:rsidR="00EF5A45">
        <w:t>Although this could be a translation error</w:t>
      </w:r>
      <w:r w:rsidR="00F86EF0">
        <w:t xml:space="preserve">, it may be William of Poitiers attempting to increase the authority of his account by adding further details unrelated to the promise of giving William the throne. This could either mean that the sections of </w:t>
      </w:r>
      <w:r w:rsidR="00B74D28">
        <w:t>the oath are genuine, but the section on the castles is a fabrication, or that the entire account is fabricated, as Hindley appears to imply.</w:t>
      </w:r>
      <w:r w:rsidR="00B74D28">
        <w:rPr>
          <w:rStyle w:val="FootnoteReference"/>
        </w:rPr>
        <w:footnoteReference w:id="11"/>
      </w:r>
      <w:r w:rsidR="001C4E18">
        <w:t xml:space="preserve"> </w:t>
      </w:r>
      <w:r w:rsidR="003F476D">
        <w:t>The</w:t>
      </w:r>
      <w:r w:rsidR="00851062">
        <w:t>re is also some confusion regarding the chronology of the oath relative to the campaign in Brittany, with William of Poitiers placing the oath first, whereas the Bayeux Tapestry places the campaign first.</w:t>
      </w:r>
      <w:r w:rsidR="00851062">
        <w:rPr>
          <w:rStyle w:val="FootnoteReference"/>
        </w:rPr>
        <w:footnoteReference w:id="12"/>
      </w:r>
      <w:r w:rsidR="00851062">
        <w:t xml:space="preserve"> The location of the oath is also placed in different locations by different accounts, such as the Bayeux Tapestry placing it in Bayeux, William of Poitiers </w:t>
      </w:r>
      <w:r w:rsidR="00851062">
        <w:lastRenderedPageBreak/>
        <w:t xml:space="preserve">in </w:t>
      </w:r>
      <w:proofErr w:type="spellStart"/>
      <w:r w:rsidR="00851062">
        <w:t>Boneville</w:t>
      </w:r>
      <w:proofErr w:type="spellEnd"/>
      <w:r w:rsidR="00851062">
        <w:t>-Sur-</w:t>
      </w:r>
      <w:proofErr w:type="spellStart"/>
      <w:r w:rsidR="00851062">
        <w:t>Touques</w:t>
      </w:r>
      <w:proofErr w:type="spellEnd"/>
      <w:r w:rsidR="00851062">
        <w:t xml:space="preserve"> and </w:t>
      </w:r>
      <w:proofErr w:type="spellStart"/>
      <w:r w:rsidR="00851062">
        <w:t>Orderic</w:t>
      </w:r>
      <w:proofErr w:type="spellEnd"/>
      <w:r w:rsidR="00851062">
        <w:t xml:space="preserve"> Vitalis</w:t>
      </w:r>
      <w:r w:rsidR="002C6D66">
        <w:t xml:space="preserve"> in Rouen</w:t>
      </w:r>
      <w:r w:rsidR="00851062">
        <w:t>.</w:t>
      </w:r>
      <w:r w:rsidR="00851062">
        <w:rPr>
          <w:rStyle w:val="FootnoteReference"/>
        </w:rPr>
        <w:footnoteReference w:id="13"/>
      </w:r>
      <w:r w:rsidR="00534B92">
        <w:t xml:space="preserve"> The confusion about the details regarding the oath does imply a slightly dubious nature to such details, </w:t>
      </w:r>
      <w:r w:rsidR="00E66232">
        <w:t>and the lack of mention of such an</w:t>
      </w:r>
      <w:r w:rsidR="00534B92">
        <w:t xml:space="preserve"> </w:t>
      </w:r>
      <w:r w:rsidR="00E66232">
        <w:t>occurrence in the Anglo-Saxon Chronicles may throw some doubt into the equation for whether the oath took place as described, but it is not enough to reject the events entirely.</w:t>
      </w:r>
    </w:p>
    <w:p w14:paraId="38B881E6" w14:textId="111EA48C" w:rsidR="00E66232" w:rsidRDefault="00E96080" w:rsidP="008C309F">
      <w:pPr>
        <w:spacing w:line="480" w:lineRule="auto"/>
      </w:pPr>
      <w:r>
        <w:t xml:space="preserve">Davis also makes the point that William of Poitiers frequently compares William the Conqueror to Julius Caesar and his campaigns in Gaul, drawing parallels between the two to show that </w:t>
      </w:r>
      <w:r w:rsidR="00BC41AB">
        <w:t xml:space="preserve">the conquest of England was ‘just and inevitable’, perhaps emulating the Roman concept of </w:t>
      </w:r>
      <w:proofErr w:type="spellStart"/>
      <w:r w:rsidR="00BC41AB">
        <w:rPr>
          <w:i/>
        </w:rPr>
        <w:t>Cassus</w:t>
      </w:r>
      <w:proofErr w:type="spellEnd"/>
      <w:r w:rsidR="00BC41AB">
        <w:rPr>
          <w:i/>
        </w:rPr>
        <w:t xml:space="preserve"> Bel</w:t>
      </w:r>
      <w:r w:rsidR="00155C4B">
        <w:rPr>
          <w:i/>
        </w:rPr>
        <w:t>l</w:t>
      </w:r>
      <w:r w:rsidR="00BC41AB">
        <w:rPr>
          <w:i/>
        </w:rPr>
        <w:t>i.</w:t>
      </w:r>
      <w:r w:rsidR="00BC41AB">
        <w:rPr>
          <w:rStyle w:val="FootnoteReference"/>
          <w:i/>
        </w:rPr>
        <w:footnoteReference w:id="14"/>
      </w:r>
      <w:r w:rsidR="00BC41AB">
        <w:rPr>
          <w:i/>
        </w:rPr>
        <w:t xml:space="preserve"> </w:t>
      </w:r>
      <w:r w:rsidR="00BC41AB">
        <w:t xml:space="preserve">The idea of justifying war through the making or breaking of oaths or treaties </w:t>
      </w:r>
      <w:r w:rsidR="00103331">
        <w:t>was</w:t>
      </w:r>
      <w:r w:rsidR="00BC41AB">
        <w:t xml:space="preserve"> common in </w:t>
      </w:r>
      <w:r w:rsidR="00374991">
        <w:t>classical</w:t>
      </w:r>
      <w:r w:rsidR="00BC41AB">
        <w:t xml:space="preserve"> historical literature. For example, Caesar’s justification for war against the Suebi through </w:t>
      </w:r>
      <w:proofErr w:type="spellStart"/>
      <w:r w:rsidR="00BC41AB">
        <w:t>Ariovistus</w:t>
      </w:r>
      <w:proofErr w:type="spellEnd"/>
      <w:r w:rsidR="00BC41AB">
        <w:t>’ violation of his oath to Rome,</w:t>
      </w:r>
      <w:r w:rsidR="00BC41AB">
        <w:rPr>
          <w:rStyle w:val="FootnoteReference"/>
        </w:rPr>
        <w:footnoteReference w:id="15"/>
      </w:r>
      <w:r w:rsidR="00BC41AB">
        <w:t xml:space="preserve"> or </w:t>
      </w:r>
      <w:proofErr w:type="spellStart"/>
      <w:r w:rsidR="00BC41AB">
        <w:t>Cathage’s</w:t>
      </w:r>
      <w:proofErr w:type="spellEnd"/>
      <w:r w:rsidR="00BC41AB">
        <w:t xml:space="preserve"> violation of the Ebro treaty starting the Second Punic War.</w:t>
      </w:r>
      <w:r w:rsidR="00BC41AB">
        <w:rPr>
          <w:rStyle w:val="FootnoteReference"/>
        </w:rPr>
        <w:footnoteReference w:id="16"/>
      </w:r>
      <w:r w:rsidR="00BC41AB">
        <w:t xml:space="preserve"> These allusions to classical </w:t>
      </w:r>
      <w:r w:rsidR="0023789C">
        <w:t>wars</w:t>
      </w:r>
      <w:r w:rsidR="00BC41AB">
        <w:t xml:space="preserve"> firstly give comparisons to </w:t>
      </w:r>
      <w:r w:rsidR="0023789C">
        <w:t>conflicts started by similar circumstances, justifying the conquest of England</w:t>
      </w:r>
      <w:r w:rsidR="00103331">
        <w:t xml:space="preserve"> through</w:t>
      </w:r>
      <w:r w:rsidR="0023789C">
        <w:t xml:space="preserve"> historical precedent, but the comparisons to Caesar also portray William the Conqueror as a figure who achieved the conquest of an area Caesar failed at twice,</w:t>
      </w:r>
      <w:r w:rsidR="0023789C">
        <w:rPr>
          <w:rStyle w:val="FootnoteReference"/>
        </w:rPr>
        <w:footnoteReference w:id="17"/>
      </w:r>
      <w:r w:rsidR="0023789C">
        <w:t xml:space="preserve"> showing William to be Caesar’s superior. </w:t>
      </w:r>
      <w:r w:rsidR="00B413CD">
        <w:t>It also shows Harold as a Vercingetorix or Hannibal-</w:t>
      </w:r>
      <w:proofErr w:type="spellStart"/>
      <w:r w:rsidR="00B413CD">
        <w:t>esque</w:t>
      </w:r>
      <w:proofErr w:type="spellEnd"/>
      <w:r w:rsidR="00B413CD">
        <w:t xml:space="preserve"> figure, </w:t>
      </w:r>
      <w:r w:rsidR="00103331">
        <w:t>who</w:t>
      </w:r>
      <w:r w:rsidR="00B413CD">
        <w:t xml:space="preserve"> unlike such figures was defeated in one battle. This furthers the ideas of both Harold as a perjurer and William as a great military figure.</w:t>
      </w:r>
    </w:p>
    <w:p w14:paraId="19A8E34D" w14:textId="56780160" w:rsidR="00B413CD" w:rsidRDefault="00B413CD" w:rsidP="008C309F">
      <w:pPr>
        <w:spacing w:line="480" w:lineRule="auto"/>
      </w:pPr>
      <w:r>
        <w:t>Overall, the passage is a good example of the ways in which the Norman conquest of England was justified as a war against a traitor, drawing parallels to historical</w:t>
      </w:r>
      <w:r w:rsidR="00881309">
        <w:t xml:space="preserve"> precedents from antiquity to enhance Harold and William’s reputations, and to enhance the significance of the conquest</w:t>
      </w:r>
      <w:r w:rsidR="00103331">
        <w:t xml:space="preserve">. </w:t>
      </w:r>
      <w:r w:rsidR="007C5E3C">
        <w:t xml:space="preserve">The conclusion that can be met from this passage is that William saw Harold as a potential ally in gaining the support of the Anglo-Saxon nobility to strengthen his claim to the English throne, while also giving him a justification for war in the event of Harold’s betrayal. For Harold, it gave him multiple </w:t>
      </w:r>
      <w:r w:rsidR="007C5E3C">
        <w:lastRenderedPageBreak/>
        <w:t>options for maintaining or expanding his power, with a position in William’s inner circle should William be more popular, and a way to invalidate the oath should Harold himself be more popular. In short, it is both a justification for the conquest of England and an example of the political manoeuvring that occurred in the lead up.</w:t>
      </w:r>
    </w:p>
    <w:p w14:paraId="3B32E832" w14:textId="77777777" w:rsidR="00881309" w:rsidRPr="00BC41AB" w:rsidRDefault="00881309" w:rsidP="008C309F">
      <w:pPr>
        <w:spacing w:line="480" w:lineRule="auto"/>
      </w:pPr>
    </w:p>
    <w:p w14:paraId="1C9301BC" w14:textId="4509927A" w:rsidR="00225B8E" w:rsidRDefault="006D2088" w:rsidP="008C309F">
      <w:pPr>
        <w:spacing w:line="480" w:lineRule="auto"/>
        <w:rPr>
          <w:b/>
        </w:rPr>
      </w:pPr>
      <w:r>
        <w:rPr>
          <w:b/>
        </w:rPr>
        <w:t>Word Count: 1375 words</w:t>
      </w:r>
    </w:p>
    <w:p w14:paraId="1B45251E" w14:textId="46ADBEB9" w:rsidR="00FF2DAC" w:rsidRDefault="00FF2DAC" w:rsidP="008C309F">
      <w:pPr>
        <w:spacing w:line="480" w:lineRule="auto"/>
        <w:rPr>
          <w:b/>
        </w:rPr>
      </w:pPr>
    </w:p>
    <w:p w14:paraId="127A9C59" w14:textId="04CCAD58" w:rsidR="00FF2DAC" w:rsidRDefault="00FF2DAC" w:rsidP="008C309F">
      <w:pPr>
        <w:spacing w:line="480" w:lineRule="auto"/>
        <w:rPr>
          <w:b/>
        </w:rPr>
      </w:pPr>
    </w:p>
    <w:p w14:paraId="72C26A9D" w14:textId="77777777" w:rsidR="008C309F" w:rsidRDefault="008C309F" w:rsidP="008C309F">
      <w:pPr>
        <w:spacing w:line="480" w:lineRule="auto"/>
        <w:rPr>
          <w:b/>
          <w:u w:val="single"/>
        </w:rPr>
      </w:pPr>
    </w:p>
    <w:p w14:paraId="19E51696" w14:textId="77777777" w:rsidR="008C309F" w:rsidRDefault="008C309F" w:rsidP="008C309F">
      <w:pPr>
        <w:spacing w:line="480" w:lineRule="auto"/>
        <w:rPr>
          <w:b/>
          <w:u w:val="single"/>
        </w:rPr>
      </w:pPr>
    </w:p>
    <w:p w14:paraId="10AC704B" w14:textId="77777777" w:rsidR="008C309F" w:rsidRDefault="008C309F" w:rsidP="008C309F">
      <w:pPr>
        <w:spacing w:line="480" w:lineRule="auto"/>
        <w:rPr>
          <w:b/>
          <w:u w:val="single"/>
        </w:rPr>
      </w:pPr>
    </w:p>
    <w:p w14:paraId="783537DD" w14:textId="77777777" w:rsidR="008C309F" w:rsidRDefault="008C309F" w:rsidP="008C309F">
      <w:pPr>
        <w:spacing w:line="480" w:lineRule="auto"/>
        <w:rPr>
          <w:b/>
          <w:u w:val="single"/>
        </w:rPr>
      </w:pPr>
    </w:p>
    <w:p w14:paraId="08D9F506" w14:textId="77777777" w:rsidR="008C309F" w:rsidRDefault="008C309F" w:rsidP="008C309F">
      <w:pPr>
        <w:spacing w:line="480" w:lineRule="auto"/>
        <w:rPr>
          <w:b/>
          <w:u w:val="single"/>
        </w:rPr>
      </w:pPr>
    </w:p>
    <w:p w14:paraId="1C9B0786" w14:textId="77777777" w:rsidR="008C309F" w:rsidRDefault="008C309F" w:rsidP="008C309F">
      <w:pPr>
        <w:spacing w:line="480" w:lineRule="auto"/>
        <w:rPr>
          <w:b/>
          <w:u w:val="single"/>
        </w:rPr>
      </w:pPr>
    </w:p>
    <w:p w14:paraId="78A2BF46" w14:textId="77777777" w:rsidR="008C309F" w:rsidRDefault="008C309F" w:rsidP="008C309F">
      <w:pPr>
        <w:spacing w:line="480" w:lineRule="auto"/>
        <w:rPr>
          <w:b/>
          <w:u w:val="single"/>
        </w:rPr>
      </w:pPr>
    </w:p>
    <w:p w14:paraId="4FB027F8" w14:textId="77777777" w:rsidR="008C309F" w:rsidRDefault="008C309F" w:rsidP="008C309F">
      <w:pPr>
        <w:spacing w:line="480" w:lineRule="auto"/>
        <w:rPr>
          <w:b/>
          <w:u w:val="single"/>
        </w:rPr>
      </w:pPr>
    </w:p>
    <w:p w14:paraId="2354110E" w14:textId="77777777" w:rsidR="008C309F" w:rsidRDefault="008C309F" w:rsidP="008C309F">
      <w:pPr>
        <w:spacing w:line="480" w:lineRule="auto"/>
        <w:rPr>
          <w:b/>
          <w:u w:val="single"/>
        </w:rPr>
      </w:pPr>
    </w:p>
    <w:p w14:paraId="1FA36C1D" w14:textId="77777777" w:rsidR="008C309F" w:rsidRDefault="008C309F" w:rsidP="008C309F">
      <w:pPr>
        <w:spacing w:line="480" w:lineRule="auto"/>
        <w:rPr>
          <w:b/>
          <w:u w:val="single"/>
        </w:rPr>
      </w:pPr>
    </w:p>
    <w:p w14:paraId="0DBB829B" w14:textId="77777777" w:rsidR="008C309F" w:rsidRDefault="008C309F" w:rsidP="008C309F">
      <w:pPr>
        <w:spacing w:line="480" w:lineRule="auto"/>
        <w:rPr>
          <w:b/>
          <w:u w:val="single"/>
        </w:rPr>
      </w:pPr>
    </w:p>
    <w:p w14:paraId="016B1DC4" w14:textId="77777777" w:rsidR="008C309F" w:rsidRDefault="008C309F" w:rsidP="008C309F">
      <w:pPr>
        <w:spacing w:line="480" w:lineRule="auto"/>
        <w:rPr>
          <w:b/>
          <w:u w:val="single"/>
        </w:rPr>
      </w:pPr>
    </w:p>
    <w:p w14:paraId="0AF4C707" w14:textId="77777777" w:rsidR="008C309F" w:rsidRDefault="008C309F" w:rsidP="008C309F">
      <w:pPr>
        <w:spacing w:line="480" w:lineRule="auto"/>
        <w:rPr>
          <w:b/>
          <w:u w:val="single"/>
        </w:rPr>
      </w:pPr>
    </w:p>
    <w:p w14:paraId="44B9E627" w14:textId="5E7E27CF" w:rsidR="008C309F" w:rsidRDefault="008C309F" w:rsidP="008C309F">
      <w:pPr>
        <w:spacing w:line="480" w:lineRule="auto"/>
        <w:rPr>
          <w:b/>
          <w:u w:val="single"/>
        </w:rPr>
      </w:pPr>
      <w:r>
        <w:rPr>
          <w:b/>
          <w:u w:val="single"/>
        </w:rPr>
        <w:lastRenderedPageBreak/>
        <w:t>Bibliography</w:t>
      </w:r>
    </w:p>
    <w:p w14:paraId="3B22C67C" w14:textId="6B84122B" w:rsidR="00FF2DAC" w:rsidRDefault="00FF2DAC" w:rsidP="008C309F">
      <w:pPr>
        <w:spacing w:line="480" w:lineRule="auto"/>
        <w:rPr>
          <w:b/>
          <w:u w:val="single"/>
        </w:rPr>
      </w:pPr>
      <w:r>
        <w:rPr>
          <w:b/>
          <w:u w:val="single"/>
        </w:rPr>
        <w:t>Primary Sources</w:t>
      </w:r>
    </w:p>
    <w:p w14:paraId="3AAF2389" w14:textId="0804B42C" w:rsidR="00197A96" w:rsidRDefault="00197A96" w:rsidP="008C309F">
      <w:pPr>
        <w:spacing w:line="480" w:lineRule="auto"/>
      </w:pPr>
      <w:r>
        <w:t xml:space="preserve">‘Bayeux Tapestry’, </w:t>
      </w:r>
      <w:r>
        <w:rPr>
          <w:i/>
        </w:rPr>
        <w:t>Anglo-Saxon Archaeology</w:t>
      </w:r>
      <w:r>
        <w:t xml:space="preserve"> [Online] Available at </w:t>
      </w:r>
      <w:hyperlink r:id="rId6" w:history="1">
        <w:r w:rsidRPr="0015380F">
          <w:rPr>
            <w:rStyle w:val="Hyperlink"/>
          </w:rPr>
          <w:t>http://anglosaxon.archeurope.info/index.php?page=scene-01</w:t>
        </w:r>
      </w:hyperlink>
      <w:r>
        <w:t xml:space="preserve"> (Accessed: Nov 2 2018).</w:t>
      </w:r>
    </w:p>
    <w:p w14:paraId="270AFE70" w14:textId="41E2F3C8" w:rsidR="00FF2DAC" w:rsidRDefault="00FF2DAC" w:rsidP="008C309F">
      <w:pPr>
        <w:spacing w:line="480" w:lineRule="auto"/>
      </w:pPr>
      <w:r>
        <w:t xml:space="preserve">Caesar, </w:t>
      </w:r>
      <w:r>
        <w:rPr>
          <w:i/>
        </w:rPr>
        <w:t xml:space="preserve">The Conquest of Gaul, </w:t>
      </w:r>
      <w:r>
        <w:t xml:space="preserve">translated by S. A. </w:t>
      </w:r>
      <w:proofErr w:type="spellStart"/>
      <w:r>
        <w:t>Handford</w:t>
      </w:r>
      <w:proofErr w:type="spellEnd"/>
      <w:r>
        <w:t xml:space="preserve"> (London: Penguin, 1982).</w:t>
      </w:r>
    </w:p>
    <w:p w14:paraId="68BB08B4" w14:textId="49200A97" w:rsidR="00EB41B4" w:rsidRPr="00EB41B4" w:rsidRDefault="00EB41B4" w:rsidP="008C309F">
      <w:pPr>
        <w:spacing w:line="480" w:lineRule="auto"/>
      </w:pPr>
      <w:proofErr w:type="spellStart"/>
      <w:r>
        <w:t>Orderic</w:t>
      </w:r>
      <w:proofErr w:type="spellEnd"/>
      <w:r>
        <w:t xml:space="preserve"> Vitalis, </w:t>
      </w:r>
      <w:r>
        <w:rPr>
          <w:i/>
        </w:rPr>
        <w:t xml:space="preserve">Ecclesiastical History of England and Normandy, </w:t>
      </w:r>
      <w:r>
        <w:t>translated by Thomas Forester (London: Henry G. Bohn, 1852)</w:t>
      </w:r>
      <w:bookmarkStart w:id="0" w:name="_GoBack"/>
      <w:bookmarkEnd w:id="0"/>
    </w:p>
    <w:p w14:paraId="3D815A9C" w14:textId="634E423B" w:rsidR="00EB41B4" w:rsidRDefault="00EB41B4" w:rsidP="008C309F">
      <w:pPr>
        <w:spacing w:line="480" w:lineRule="auto"/>
      </w:pPr>
      <w:r>
        <w:t xml:space="preserve">Polybius, </w:t>
      </w:r>
      <w:r>
        <w:rPr>
          <w:i/>
        </w:rPr>
        <w:t xml:space="preserve">The Histories, </w:t>
      </w:r>
      <w:r>
        <w:t>translated by Robin Waterfield (Oxford: Oxford University Press, 2010).</w:t>
      </w:r>
    </w:p>
    <w:p w14:paraId="4C4FCB31" w14:textId="25161879" w:rsidR="00E44641" w:rsidRPr="00E44641" w:rsidRDefault="00E44641" w:rsidP="008C309F">
      <w:pPr>
        <w:spacing w:line="480" w:lineRule="auto"/>
      </w:pPr>
      <w:r>
        <w:rPr>
          <w:i/>
        </w:rPr>
        <w:t xml:space="preserve">The Anglo-Saxon Chronicles, </w:t>
      </w:r>
      <w:r>
        <w:t>translated by Michael Swanton (London: Phoenix Press, 2000).</w:t>
      </w:r>
    </w:p>
    <w:p w14:paraId="5FEEE6FE" w14:textId="0943918B" w:rsidR="00197A96" w:rsidRDefault="00197A96" w:rsidP="008C309F">
      <w:pPr>
        <w:spacing w:line="480" w:lineRule="auto"/>
      </w:pPr>
      <w:r>
        <w:t xml:space="preserve">William of Poitiers, </w:t>
      </w:r>
      <w:proofErr w:type="spellStart"/>
      <w:r>
        <w:rPr>
          <w:i/>
        </w:rPr>
        <w:t>Gesta</w:t>
      </w:r>
      <w:proofErr w:type="spellEnd"/>
      <w:r>
        <w:rPr>
          <w:i/>
        </w:rPr>
        <w:t xml:space="preserve"> </w:t>
      </w:r>
      <w:proofErr w:type="spellStart"/>
      <w:r>
        <w:rPr>
          <w:i/>
        </w:rPr>
        <w:t>Guillemi</w:t>
      </w:r>
      <w:proofErr w:type="spellEnd"/>
      <w:r>
        <w:rPr>
          <w:i/>
        </w:rPr>
        <w:t xml:space="preserve">: The Deeds of William, </w:t>
      </w:r>
      <w:r>
        <w:t>translated by Marjorie Chibnall (Oxford: Oxford University Press, 1998).</w:t>
      </w:r>
    </w:p>
    <w:p w14:paraId="0033319B" w14:textId="4702ABF3" w:rsidR="006E5375" w:rsidRDefault="006E5375" w:rsidP="008C309F">
      <w:pPr>
        <w:spacing w:line="480" w:lineRule="auto"/>
      </w:pPr>
    </w:p>
    <w:p w14:paraId="4C8B5C4D" w14:textId="21F20778" w:rsidR="006E5375" w:rsidRDefault="006E5375" w:rsidP="008C309F">
      <w:pPr>
        <w:spacing w:line="480" w:lineRule="auto"/>
        <w:rPr>
          <w:b/>
          <w:u w:val="single"/>
        </w:rPr>
      </w:pPr>
      <w:r>
        <w:rPr>
          <w:b/>
          <w:u w:val="single"/>
        </w:rPr>
        <w:t>Modern Scholarship</w:t>
      </w:r>
    </w:p>
    <w:p w14:paraId="5D155963" w14:textId="18AC7180" w:rsidR="006E5375" w:rsidRDefault="00F44509" w:rsidP="008C309F">
      <w:pPr>
        <w:spacing w:line="480" w:lineRule="auto"/>
      </w:pPr>
      <w:r>
        <w:t xml:space="preserve">Brown, R. A., </w:t>
      </w:r>
      <w:r>
        <w:rPr>
          <w:i/>
        </w:rPr>
        <w:t xml:space="preserve">The Normans, </w:t>
      </w:r>
      <w:r>
        <w:t xml:space="preserve">New </w:t>
      </w:r>
      <w:proofErr w:type="spellStart"/>
      <w:r>
        <w:t>edn</w:t>
      </w:r>
      <w:proofErr w:type="spellEnd"/>
      <w:r>
        <w:t>. (Woodbridge: The Boydell Press, 1994).</w:t>
      </w:r>
    </w:p>
    <w:p w14:paraId="2A8B03F5" w14:textId="6553C8C3" w:rsidR="00F44509" w:rsidRDefault="00F44509" w:rsidP="008C309F">
      <w:pPr>
        <w:spacing w:line="480" w:lineRule="auto"/>
      </w:pPr>
      <w:r>
        <w:t xml:space="preserve">Davis, R. H. C., ‘William of Poitiers and his History of William the Conqueror’, </w:t>
      </w:r>
      <w:r>
        <w:rPr>
          <w:i/>
        </w:rPr>
        <w:t xml:space="preserve">The Writing of History in the Middle Ages: Essays Presented to Richard William Southern, </w:t>
      </w:r>
      <w:r>
        <w:t>ed. R. H. C. Davis and M. Wallace-</w:t>
      </w:r>
      <w:proofErr w:type="spellStart"/>
      <w:r>
        <w:t>Hadrill</w:t>
      </w:r>
      <w:proofErr w:type="spellEnd"/>
      <w:r>
        <w:t xml:space="preserve"> (Oxford: Clarendon Press, 1981), p.p. 71-100.</w:t>
      </w:r>
    </w:p>
    <w:p w14:paraId="5A49D175" w14:textId="62FD271D" w:rsidR="00E40E39" w:rsidRDefault="00E40E39" w:rsidP="008C309F">
      <w:pPr>
        <w:spacing w:line="480" w:lineRule="auto"/>
      </w:pPr>
      <w:r>
        <w:t xml:space="preserve">Hindley, G., </w:t>
      </w:r>
      <w:r>
        <w:rPr>
          <w:i/>
        </w:rPr>
        <w:t xml:space="preserve">A Brief History of the Anglo-Saxons: The Beginnings of the English Nation </w:t>
      </w:r>
      <w:r>
        <w:t>(London: Robinson, 2006).</w:t>
      </w:r>
    </w:p>
    <w:p w14:paraId="24D28144" w14:textId="742066D6" w:rsidR="00E40E39" w:rsidRDefault="00E40E39" w:rsidP="008C309F">
      <w:pPr>
        <w:spacing w:line="480" w:lineRule="auto"/>
      </w:pPr>
      <w:r>
        <w:t xml:space="preserve">Mason, E., </w:t>
      </w:r>
      <w:r>
        <w:rPr>
          <w:i/>
        </w:rPr>
        <w:t xml:space="preserve">The House of </w:t>
      </w:r>
      <w:proofErr w:type="spellStart"/>
      <w:r>
        <w:rPr>
          <w:i/>
        </w:rPr>
        <w:t>Godwine</w:t>
      </w:r>
      <w:proofErr w:type="spellEnd"/>
      <w:r>
        <w:rPr>
          <w:i/>
        </w:rPr>
        <w:t xml:space="preserve">: The History of a Dynasty </w:t>
      </w:r>
      <w:r>
        <w:t xml:space="preserve">(London, New York: </w:t>
      </w:r>
      <w:proofErr w:type="spellStart"/>
      <w:r>
        <w:t>Hambledon</w:t>
      </w:r>
      <w:proofErr w:type="spellEnd"/>
      <w:r>
        <w:t xml:space="preserve"> &amp; London, 2004).</w:t>
      </w:r>
    </w:p>
    <w:p w14:paraId="1A160D97" w14:textId="3A103B0E" w:rsidR="00E40E39" w:rsidRDefault="00E40E39" w:rsidP="008C309F">
      <w:pPr>
        <w:spacing w:line="480" w:lineRule="auto"/>
      </w:pPr>
      <w:proofErr w:type="spellStart"/>
      <w:r>
        <w:lastRenderedPageBreak/>
        <w:t>Neveaux</w:t>
      </w:r>
      <w:proofErr w:type="spellEnd"/>
      <w:r>
        <w:t xml:space="preserve">, F., </w:t>
      </w:r>
      <w:r w:rsidR="001C08DA">
        <w:rPr>
          <w:i/>
        </w:rPr>
        <w:t xml:space="preserve">A Brief History of the Normans: The Conquests that Changed the Face of Europe, </w:t>
      </w:r>
      <w:r w:rsidR="001C08DA">
        <w:t>translated by Howard Curtis (London: Robinson, 2006).</w:t>
      </w:r>
    </w:p>
    <w:p w14:paraId="1BB64ED2" w14:textId="484F2F8D" w:rsidR="001C08DA" w:rsidRDefault="001C08DA" w:rsidP="008C309F">
      <w:pPr>
        <w:spacing w:line="480" w:lineRule="auto"/>
      </w:pPr>
      <w:proofErr w:type="spellStart"/>
      <w:r>
        <w:t>Stenton</w:t>
      </w:r>
      <w:proofErr w:type="spellEnd"/>
      <w:r>
        <w:t xml:space="preserve">, F., </w:t>
      </w:r>
      <w:r>
        <w:rPr>
          <w:i/>
        </w:rPr>
        <w:t xml:space="preserve">Anglo Saxon England, </w:t>
      </w:r>
      <w:r>
        <w:t xml:space="preserve">Third </w:t>
      </w:r>
      <w:proofErr w:type="spellStart"/>
      <w:r>
        <w:t>edn</w:t>
      </w:r>
      <w:proofErr w:type="spellEnd"/>
      <w:r>
        <w:t>. (Oxford: Oxford University Press, 1971).</w:t>
      </w:r>
    </w:p>
    <w:p w14:paraId="20E00991" w14:textId="42C4834B" w:rsidR="001C08DA" w:rsidRPr="001C08DA" w:rsidRDefault="001C08DA" w:rsidP="008C309F">
      <w:pPr>
        <w:spacing w:line="480" w:lineRule="auto"/>
      </w:pPr>
      <w:r>
        <w:t xml:space="preserve">Walker, I. W., </w:t>
      </w:r>
      <w:r>
        <w:rPr>
          <w:i/>
        </w:rPr>
        <w:t xml:space="preserve">Harold: The Last Anglo-Saxon King </w:t>
      </w:r>
      <w:r>
        <w:t>(</w:t>
      </w:r>
      <w:proofErr w:type="spellStart"/>
      <w:r>
        <w:t>Thrupp</w:t>
      </w:r>
      <w:proofErr w:type="spellEnd"/>
      <w:r>
        <w:t>: Sutton Publishing Ltd., 1991).</w:t>
      </w:r>
    </w:p>
    <w:p w14:paraId="7A0241B6" w14:textId="77777777" w:rsidR="00EB41B4" w:rsidRPr="00EB41B4" w:rsidRDefault="00EB41B4" w:rsidP="008C309F">
      <w:pPr>
        <w:spacing w:line="480" w:lineRule="auto"/>
      </w:pPr>
    </w:p>
    <w:sectPr w:rsidR="00EB41B4" w:rsidRPr="00EB41B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3E0F9A" w14:textId="77777777" w:rsidR="005C5EC4" w:rsidRDefault="005C5EC4" w:rsidP="00DD323E">
      <w:pPr>
        <w:spacing w:after="0" w:line="240" w:lineRule="auto"/>
      </w:pPr>
      <w:r>
        <w:separator/>
      </w:r>
    </w:p>
  </w:endnote>
  <w:endnote w:type="continuationSeparator" w:id="0">
    <w:p w14:paraId="1BD21A27" w14:textId="77777777" w:rsidR="005C5EC4" w:rsidRDefault="005C5EC4" w:rsidP="00DD32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3A07FB" w14:textId="77777777" w:rsidR="005C5EC4" w:rsidRDefault="005C5EC4" w:rsidP="00DD323E">
      <w:pPr>
        <w:spacing w:after="0" w:line="240" w:lineRule="auto"/>
      </w:pPr>
      <w:r>
        <w:separator/>
      </w:r>
    </w:p>
  </w:footnote>
  <w:footnote w:type="continuationSeparator" w:id="0">
    <w:p w14:paraId="07AB0A2B" w14:textId="77777777" w:rsidR="005C5EC4" w:rsidRDefault="005C5EC4" w:rsidP="00DD323E">
      <w:pPr>
        <w:spacing w:after="0" w:line="240" w:lineRule="auto"/>
      </w:pPr>
      <w:r>
        <w:continuationSeparator/>
      </w:r>
    </w:p>
  </w:footnote>
  <w:footnote w:id="1">
    <w:p w14:paraId="321D5C0A" w14:textId="2BA3C97E" w:rsidR="00DD323E" w:rsidRPr="00225B8E" w:rsidRDefault="00DD323E">
      <w:pPr>
        <w:pStyle w:val="FootnoteText"/>
      </w:pPr>
      <w:r>
        <w:rPr>
          <w:rStyle w:val="FootnoteReference"/>
        </w:rPr>
        <w:footnoteRef/>
      </w:r>
      <w:r>
        <w:t xml:space="preserve"> R.H.C. Davis, ‘William of Poitiers and his History of William the Conqueror’, in </w:t>
      </w:r>
      <w:r>
        <w:rPr>
          <w:i/>
        </w:rPr>
        <w:t>The Writing of History in the Middle Ages: Essays Presented to Richard William Southern,</w:t>
      </w:r>
      <w:r>
        <w:t xml:space="preserve"> ed. R.H.C. Davis, M. Wallace-</w:t>
      </w:r>
      <w:proofErr w:type="spellStart"/>
      <w:r>
        <w:t>Hadrill</w:t>
      </w:r>
      <w:proofErr w:type="spellEnd"/>
      <w:r>
        <w:t xml:space="preserve"> (Oxford: Clarendon Press, 1981)</w:t>
      </w:r>
      <w:r w:rsidR="00DC328B">
        <w:t>, p. 72</w:t>
      </w:r>
      <w:r>
        <w:t xml:space="preserve">; </w:t>
      </w:r>
      <w:r w:rsidR="00225B8E">
        <w:t xml:space="preserve">Emma Mason, </w:t>
      </w:r>
      <w:r w:rsidR="00225B8E">
        <w:rPr>
          <w:i/>
        </w:rPr>
        <w:t xml:space="preserve">The House of </w:t>
      </w:r>
      <w:proofErr w:type="spellStart"/>
      <w:r w:rsidR="00225B8E">
        <w:rPr>
          <w:i/>
        </w:rPr>
        <w:t>Godwine</w:t>
      </w:r>
      <w:proofErr w:type="spellEnd"/>
      <w:r w:rsidR="00225B8E">
        <w:rPr>
          <w:i/>
        </w:rPr>
        <w:t xml:space="preserve">: The History of a Dynasty </w:t>
      </w:r>
      <w:r w:rsidR="00225B8E">
        <w:t xml:space="preserve">(London, New York: </w:t>
      </w:r>
      <w:proofErr w:type="spellStart"/>
      <w:r w:rsidR="00225B8E">
        <w:t>Hambledon</w:t>
      </w:r>
      <w:proofErr w:type="spellEnd"/>
      <w:r w:rsidR="00225B8E">
        <w:t xml:space="preserve"> &amp; London, 2004)</w:t>
      </w:r>
      <w:r w:rsidR="00DC328B">
        <w:t>, p. 113</w:t>
      </w:r>
      <w:r w:rsidR="00225B8E">
        <w:t>.</w:t>
      </w:r>
    </w:p>
  </w:footnote>
  <w:footnote w:id="2">
    <w:p w14:paraId="4F9C5146" w14:textId="2C1AD76C" w:rsidR="00DC328B" w:rsidRPr="00DC328B" w:rsidRDefault="00DC328B">
      <w:pPr>
        <w:pStyle w:val="FootnoteText"/>
      </w:pPr>
      <w:r>
        <w:rPr>
          <w:rStyle w:val="FootnoteReference"/>
        </w:rPr>
        <w:footnoteRef/>
      </w:r>
      <w:r>
        <w:t xml:space="preserve"> Mason, </w:t>
      </w:r>
      <w:r>
        <w:rPr>
          <w:i/>
        </w:rPr>
        <w:t xml:space="preserve">House of </w:t>
      </w:r>
      <w:proofErr w:type="spellStart"/>
      <w:r>
        <w:rPr>
          <w:i/>
        </w:rPr>
        <w:t>Godwine</w:t>
      </w:r>
      <w:proofErr w:type="spellEnd"/>
      <w:r>
        <w:rPr>
          <w:i/>
        </w:rPr>
        <w:t xml:space="preserve">, </w:t>
      </w:r>
      <w:r>
        <w:t xml:space="preserve">p. 114; Ian W. Walker, </w:t>
      </w:r>
      <w:r>
        <w:rPr>
          <w:i/>
        </w:rPr>
        <w:t xml:space="preserve">The Last Anglo-Saxon King </w:t>
      </w:r>
      <w:r>
        <w:t>(</w:t>
      </w:r>
      <w:proofErr w:type="spellStart"/>
      <w:r>
        <w:t>Thrupp</w:t>
      </w:r>
      <w:proofErr w:type="spellEnd"/>
      <w:r>
        <w:t xml:space="preserve">: Sutton Publishing Ltd, 1991), p. 101; Davis, </w:t>
      </w:r>
      <w:r>
        <w:rPr>
          <w:i/>
        </w:rPr>
        <w:t xml:space="preserve">William of Poitiers, </w:t>
      </w:r>
      <w:r>
        <w:t>p. 74.</w:t>
      </w:r>
    </w:p>
  </w:footnote>
  <w:footnote w:id="3">
    <w:p w14:paraId="172C2D35" w14:textId="10D2F95E" w:rsidR="00C97E14" w:rsidRPr="00C97E14" w:rsidRDefault="00C97E14">
      <w:pPr>
        <w:pStyle w:val="FootnoteText"/>
      </w:pPr>
      <w:r>
        <w:rPr>
          <w:rStyle w:val="FootnoteReference"/>
        </w:rPr>
        <w:footnoteRef/>
      </w:r>
      <w:r>
        <w:t xml:space="preserve"> </w:t>
      </w:r>
      <w:r>
        <w:rPr>
          <w:i/>
        </w:rPr>
        <w:t xml:space="preserve">Anglo-Saxon Chronicles D: 1051, </w:t>
      </w:r>
      <w:r>
        <w:t xml:space="preserve">in </w:t>
      </w:r>
      <w:r>
        <w:rPr>
          <w:i/>
        </w:rPr>
        <w:t xml:space="preserve">The Anglo-Saxon Chronicles, </w:t>
      </w:r>
      <w:r>
        <w:t>translated by Michael Swanton (London: Phoenix Press, 2000), p.</w:t>
      </w:r>
      <w:r w:rsidR="005949C4">
        <w:t xml:space="preserve"> 176.</w:t>
      </w:r>
    </w:p>
  </w:footnote>
  <w:footnote w:id="4">
    <w:p w14:paraId="1B1A7A4E" w14:textId="5814571B" w:rsidR="00F95F81" w:rsidRPr="00F95F81" w:rsidRDefault="00F95F81">
      <w:pPr>
        <w:pStyle w:val="FootnoteText"/>
      </w:pPr>
      <w:r>
        <w:rPr>
          <w:rStyle w:val="FootnoteReference"/>
        </w:rPr>
        <w:footnoteRef/>
      </w:r>
      <w:r>
        <w:t xml:space="preserve"> Francois </w:t>
      </w:r>
      <w:proofErr w:type="spellStart"/>
      <w:r>
        <w:t>Neveaux</w:t>
      </w:r>
      <w:proofErr w:type="spellEnd"/>
      <w:r>
        <w:t xml:space="preserve">, </w:t>
      </w:r>
      <w:r>
        <w:rPr>
          <w:i/>
        </w:rPr>
        <w:t xml:space="preserve">A Brief History of the Normans: The Conquests that Changed the Face of Europe, </w:t>
      </w:r>
      <w:r>
        <w:t>translated by Howard Curtis</w:t>
      </w:r>
      <w:r>
        <w:rPr>
          <w:i/>
        </w:rPr>
        <w:t xml:space="preserve"> </w:t>
      </w:r>
      <w:r>
        <w:t>(London: Robinson, 2006), p. 132.</w:t>
      </w:r>
    </w:p>
  </w:footnote>
  <w:footnote w:id="5">
    <w:p w14:paraId="4AA0AB70" w14:textId="5536DB80" w:rsidR="00F95F81" w:rsidRPr="00F95F81" w:rsidRDefault="00F95F81">
      <w:pPr>
        <w:pStyle w:val="FootnoteText"/>
      </w:pPr>
      <w:r>
        <w:rPr>
          <w:rStyle w:val="FootnoteReference"/>
        </w:rPr>
        <w:footnoteRef/>
      </w:r>
      <w:r>
        <w:t xml:space="preserve"> Mason, </w:t>
      </w:r>
      <w:r>
        <w:rPr>
          <w:i/>
        </w:rPr>
        <w:t xml:space="preserve">House of </w:t>
      </w:r>
      <w:proofErr w:type="spellStart"/>
      <w:r>
        <w:rPr>
          <w:i/>
        </w:rPr>
        <w:t>Godwine</w:t>
      </w:r>
      <w:proofErr w:type="spellEnd"/>
      <w:r>
        <w:rPr>
          <w:i/>
        </w:rPr>
        <w:t xml:space="preserve">, </w:t>
      </w:r>
      <w:r>
        <w:t>p. 114.</w:t>
      </w:r>
    </w:p>
  </w:footnote>
  <w:footnote w:id="6">
    <w:p w14:paraId="25E77484" w14:textId="75E662E4" w:rsidR="001E57A1" w:rsidRPr="001E57A1" w:rsidRDefault="001E57A1">
      <w:pPr>
        <w:pStyle w:val="FootnoteText"/>
      </w:pPr>
      <w:r>
        <w:rPr>
          <w:rStyle w:val="FootnoteReference"/>
        </w:rPr>
        <w:footnoteRef/>
      </w:r>
      <w:r>
        <w:t xml:space="preserve"> Sir Frank </w:t>
      </w:r>
      <w:proofErr w:type="spellStart"/>
      <w:r>
        <w:t>Stenton</w:t>
      </w:r>
      <w:proofErr w:type="spellEnd"/>
      <w:r>
        <w:t xml:space="preserve">, </w:t>
      </w:r>
      <w:r>
        <w:rPr>
          <w:i/>
        </w:rPr>
        <w:t xml:space="preserve">Anglo-Saxon England, </w:t>
      </w:r>
      <w:r>
        <w:t>Third Edition (Oxford: Oxford University Press, 1971), p. 578.</w:t>
      </w:r>
    </w:p>
  </w:footnote>
  <w:footnote w:id="7">
    <w:p w14:paraId="26ADE526" w14:textId="34F5CDB0" w:rsidR="0070138D" w:rsidRPr="0070138D" w:rsidRDefault="0070138D">
      <w:pPr>
        <w:pStyle w:val="FootnoteText"/>
      </w:pPr>
      <w:r>
        <w:rPr>
          <w:rStyle w:val="FootnoteReference"/>
        </w:rPr>
        <w:footnoteRef/>
      </w:r>
      <w:r>
        <w:t xml:space="preserve"> Walker, </w:t>
      </w:r>
      <w:r>
        <w:rPr>
          <w:i/>
        </w:rPr>
        <w:t xml:space="preserve">Harold, </w:t>
      </w:r>
      <w:r>
        <w:t>p. 101.</w:t>
      </w:r>
    </w:p>
  </w:footnote>
  <w:footnote w:id="8">
    <w:p w14:paraId="360B96EF" w14:textId="6DE97A5E" w:rsidR="00E266AE" w:rsidRPr="00E266AE" w:rsidRDefault="00E266AE">
      <w:pPr>
        <w:pStyle w:val="FootnoteText"/>
      </w:pPr>
      <w:r>
        <w:rPr>
          <w:rStyle w:val="FootnoteReference"/>
        </w:rPr>
        <w:footnoteRef/>
      </w:r>
      <w:r>
        <w:t xml:space="preserve"> R. Allen Brown, </w:t>
      </w:r>
      <w:r>
        <w:rPr>
          <w:i/>
        </w:rPr>
        <w:t xml:space="preserve">The Normans, </w:t>
      </w:r>
      <w:r>
        <w:t>New Edition (Wo</w:t>
      </w:r>
      <w:r w:rsidR="00B74D28">
        <w:t>o</w:t>
      </w:r>
      <w:r>
        <w:t>dbridge: The Boydell Press, 1994), p. 71.</w:t>
      </w:r>
    </w:p>
  </w:footnote>
  <w:footnote w:id="9">
    <w:p w14:paraId="70D59A62" w14:textId="1C97976D" w:rsidR="0070138D" w:rsidRPr="0070138D" w:rsidRDefault="0070138D">
      <w:pPr>
        <w:pStyle w:val="FootnoteText"/>
      </w:pPr>
      <w:r>
        <w:rPr>
          <w:rStyle w:val="FootnoteReference"/>
        </w:rPr>
        <w:footnoteRef/>
      </w:r>
      <w:r>
        <w:t xml:space="preserve"> </w:t>
      </w:r>
      <w:proofErr w:type="spellStart"/>
      <w:r>
        <w:t>Stenton</w:t>
      </w:r>
      <w:proofErr w:type="spellEnd"/>
      <w:r>
        <w:t xml:space="preserve">, </w:t>
      </w:r>
      <w:r>
        <w:rPr>
          <w:i/>
        </w:rPr>
        <w:t xml:space="preserve">Anglo-Saxon England, </w:t>
      </w:r>
      <w:r>
        <w:t>p.578.</w:t>
      </w:r>
    </w:p>
  </w:footnote>
  <w:footnote w:id="10">
    <w:p w14:paraId="6265DD66" w14:textId="72838696" w:rsidR="00FA379B" w:rsidRPr="00FA379B" w:rsidRDefault="00FA379B">
      <w:pPr>
        <w:pStyle w:val="FootnoteText"/>
      </w:pPr>
      <w:r>
        <w:rPr>
          <w:rStyle w:val="FootnoteReference"/>
        </w:rPr>
        <w:footnoteRef/>
      </w:r>
      <w:r>
        <w:t xml:space="preserve"> Walker, </w:t>
      </w:r>
      <w:r>
        <w:rPr>
          <w:i/>
        </w:rPr>
        <w:t xml:space="preserve">Harold, </w:t>
      </w:r>
      <w:r>
        <w:t>p. 100.</w:t>
      </w:r>
    </w:p>
  </w:footnote>
  <w:footnote w:id="11">
    <w:p w14:paraId="6F5FFAAA" w14:textId="0417871D" w:rsidR="00B74D28" w:rsidRPr="00B74D28" w:rsidRDefault="00B74D28">
      <w:pPr>
        <w:pStyle w:val="FootnoteText"/>
      </w:pPr>
      <w:r>
        <w:rPr>
          <w:rStyle w:val="FootnoteReference"/>
        </w:rPr>
        <w:footnoteRef/>
      </w:r>
      <w:r>
        <w:t xml:space="preserve"> Geoffrey Hindley, </w:t>
      </w:r>
      <w:r>
        <w:rPr>
          <w:i/>
        </w:rPr>
        <w:t xml:space="preserve">A Brief History of the Anglo-Saxons: The Beginnings of the English Nation </w:t>
      </w:r>
      <w:r>
        <w:t>(London: Robinson, 2006), p. 332.</w:t>
      </w:r>
    </w:p>
  </w:footnote>
  <w:footnote w:id="12">
    <w:p w14:paraId="2A6DCBD1" w14:textId="6CA32A92" w:rsidR="00851062" w:rsidRDefault="00851062">
      <w:pPr>
        <w:pStyle w:val="FootnoteText"/>
      </w:pPr>
      <w:r>
        <w:rPr>
          <w:rStyle w:val="FootnoteReference"/>
        </w:rPr>
        <w:footnoteRef/>
      </w:r>
      <w:r>
        <w:t xml:space="preserve"> Bayeux Tapestry, scenes 21-30.</w:t>
      </w:r>
    </w:p>
  </w:footnote>
  <w:footnote w:id="13">
    <w:p w14:paraId="11AA08D2" w14:textId="1B5712DE" w:rsidR="00851062" w:rsidRPr="00A0701B" w:rsidRDefault="00851062">
      <w:pPr>
        <w:pStyle w:val="FootnoteText"/>
      </w:pPr>
      <w:r>
        <w:rPr>
          <w:rStyle w:val="FootnoteReference"/>
        </w:rPr>
        <w:footnoteRef/>
      </w:r>
      <w:r>
        <w:t xml:space="preserve"> </w:t>
      </w:r>
      <w:r w:rsidR="00A0701B">
        <w:t xml:space="preserve">Bayeux Tapestry, scene 29; </w:t>
      </w:r>
      <w:proofErr w:type="spellStart"/>
      <w:r w:rsidR="00A0701B">
        <w:t>Orderic</w:t>
      </w:r>
      <w:proofErr w:type="spellEnd"/>
      <w:r w:rsidR="00A0701B">
        <w:t xml:space="preserve"> Vitalis, </w:t>
      </w:r>
      <w:r w:rsidR="00A0701B">
        <w:rPr>
          <w:i/>
        </w:rPr>
        <w:t xml:space="preserve">Ecclesiastical History, </w:t>
      </w:r>
      <w:r w:rsidR="00A0701B">
        <w:t xml:space="preserve">book 3, </w:t>
      </w:r>
      <w:proofErr w:type="spellStart"/>
      <w:r w:rsidR="00A0701B">
        <w:t>ch.</w:t>
      </w:r>
      <w:proofErr w:type="spellEnd"/>
      <w:r w:rsidR="00A0701B">
        <w:t xml:space="preserve"> 11.</w:t>
      </w:r>
    </w:p>
  </w:footnote>
  <w:footnote w:id="14">
    <w:p w14:paraId="23F96483" w14:textId="355F61D1" w:rsidR="00BC41AB" w:rsidRPr="00BC41AB" w:rsidRDefault="00BC41AB">
      <w:pPr>
        <w:pStyle w:val="FootnoteText"/>
      </w:pPr>
      <w:r>
        <w:rPr>
          <w:rStyle w:val="FootnoteReference"/>
        </w:rPr>
        <w:footnoteRef/>
      </w:r>
      <w:r>
        <w:t xml:space="preserve"> Davis, </w:t>
      </w:r>
      <w:r>
        <w:rPr>
          <w:i/>
        </w:rPr>
        <w:t xml:space="preserve">William of Poitiers, </w:t>
      </w:r>
      <w:r>
        <w:t>p.p. 72-4.</w:t>
      </w:r>
    </w:p>
  </w:footnote>
  <w:footnote w:id="15">
    <w:p w14:paraId="1917E648" w14:textId="449593C5" w:rsidR="00BC41AB" w:rsidRPr="00BC41AB" w:rsidRDefault="00BC41AB">
      <w:pPr>
        <w:pStyle w:val="FootnoteText"/>
      </w:pPr>
      <w:r>
        <w:rPr>
          <w:rStyle w:val="FootnoteReference"/>
        </w:rPr>
        <w:footnoteRef/>
      </w:r>
      <w:r>
        <w:t xml:space="preserve"> </w:t>
      </w:r>
      <w:proofErr w:type="spellStart"/>
      <w:r>
        <w:t>Caes</w:t>
      </w:r>
      <w:proofErr w:type="spellEnd"/>
      <w:r>
        <w:t xml:space="preserve">. </w:t>
      </w:r>
      <w:proofErr w:type="spellStart"/>
      <w:r>
        <w:rPr>
          <w:i/>
        </w:rPr>
        <w:t>BGall</w:t>
      </w:r>
      <w:proofErr w:type="spellEnd"/>
      <w:r>
        <w:rPr>
          <w:i/>
        </w:rPr>
        <w:t xml:space="preserve">. </w:t>
      </w:r>
      <w:r>
        <w:t>1.31-53.</w:t>
      </w:r>
    </w:p>
  </w:footnote>
  <w:footnote w:id="16">
    <w:p w14:paraId="773CA72C" w14:textId="4A5F8823" w:rsidR="00BC41AB" w:rsidRDefault="00BC41AB">
      <w:pPr>
        <w:pStyle w:val="FootnoteText"/>
      </w:pPr>
      <w:r>
        <w:rPr>
          <w:rStyle w:val="FootnoteReference"/>
        </w:rPr>
        <w:footnoteRef/>
      </w:r>
      <w:r>
        <w:t xml:space="preserve"> </w:t>
      </w:r>
      <w:proofErr w:type="spellStart"/>
      <w:r>
        <w:t>Plb</w:t>
      </w:r>
      <w:proofErr w:type="spellEnd"/>
      <w:r>
        <w:t>. 3.15-21.</w:t>
      </w:r>
    </w:p>
  </w:footnote>
  <w:footnote w:id="17">
    <w:p w14:paraId="2118EE99" w14:textId="1A777B40" w:rsidR="0023789C" w:rsidRDefault="0023789C">
      <w:pPr>
        <w:pStyle w:val="FootnoteText"/>
      </w:pPr>
      <w:r>
        <w:rPr>
          <w:rStyle w:val="FootnoteReference"/>
        </w:rPr>
        <w:footnoteRef/>
      </w:r>
      <w:r>
        <w:t xml:space="preserve"> </w:t>
      </w:r>
      <w:proofErr w:type="spellStart"/>
      <w:r>
        <w:t>Caes</w:t>
      </w:r>
      <w:proofErr w:type="spellEnd"/>
      <w:r>
        <w:t xml:space="preserve">. </w:t>
      </w:r>
      <w:proofErr w:type="spellStart"/>
      <w:r>
        <w:t>BGall</w:t>
      </w:r>
      <w:proofErr w:type="spellEnd"/>
      <w:r>
        <w:t>. 4.20-38; 5.1-23.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323E"/>
    <w:rsid w:val="00103331"/>
    <w:rsid w:val="00125199"/>
    <w:rsid w:val="00155C4B"/>
    <w:rsid w:val="00197A96"/>
    <w:rsid w:val="001C08DA"/>
    <w:rsid w:val="001C4E18"/>
    <w:rsid w:val="001E57A1"/>
    <w:rsid w:val="00225B8E"/>
    <w:rsid w:val="0023789C"/>
    <w:rsid w:val="002C08F9"/>
    <w:rsid w:val="002C6D66"/>
    <w:rsid w:val="002D0B82"/>
    <w:rsid w:val="00374991"/>
    <w:rsid w:val="003F476D"/>
    <w:rsid w:val="00534B92"/>
    <w:rsid w:val="005949C4"/>
    <w:rsid w:val="005C5EC4"/>
    <w:rsid w:val="006D2088"/>
    <w:rsid w:val="006E3184"/>
    <w:rsid w:val="006E5375"/>
    <w:rsid w:val="0070138D"/>
    <w:rsid w:val="007C5E3C"/>
    <w:rsid w:val="007E2D2B"/>
    <w:rsid w:val="00851062"/>
    <w:rsid w:val="00860198"/>
    <w:rsid w:val="008704D0"/>
    <w:rsid w:val="00881309"/>
    <w:rsid w:val="008C309F"/>
    <w:rsid w:val="00A0701B"/>
    <w:rsid w:val="00A73D38"/>
    <w:rsid w:val="00AD0810"/>
    <w:rsid w:val="00B0111B"/>
    <w:rsid w:val="00B413CD"/>
    <w:rsid w:val="00B74D28"/>
    <w:rsid w:val="00BC41AB"/>
    <w:rsid w:val="00C22C4D"/>
    <w:rsid w:val="00C35D03"/>
    <w:rsid w:val="00C55BE3"/>
    <w:rsid w:val="00C84BE5"/>
    <w:rsid w:val="00C97E14"/>
    <w:rsid w:val="00CA4D75"/>
    <w:rsid w:val="00D02834"/>
    <w:rsid w:val="00D72984"/>
    <w:rsid w:val="00DC328B"/>
    <w:rsid w:val="00DD323E"/>
    <w:rsid w:val="00E266AE"/>
    <w:rsid w:val="00E40E39"/>
    <w:rsid w:val="00E44641"/>
    <w:rsid w:val="00E66232"/>
    <w:rsid w:val="00E96080"/>
    <w:rsid w:val="00EB41B4"/>
    <w:rsid w:val="00ED3F98"/>
    <w:rsid w:val="00EF5A45"/>
    <w:rsid w:val="00F44509"/>
    <w:rsid w:val="00F86EF0"/>
    <w:rsid w:val="00F95F81"/>
    <w:rsid w:val="00FA379B"/>
    <w:rsid w:val="00FF2D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B0269D"/>
  <w15:chartTrackingRefBased/>
  <w15:docId w15:val="{32E60FBF-A72A-43DD-8957-9D4E9F5651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D323E"/>
    <w:rPr>
      <w:rFonts w:asciiTheme="minorHAnsi" w:hAnsiTheme="minorHAnsi"/>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D323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D323E"/>
    <w:rPr>
      <w:rFonts w:asciiTheme="minorHAnsi" w:hAnsiTheme="minorHAnsi"/>
      <w:sz w:val="20"/>
      <w:szCs w:val="20"/>
    </w:rPr>
  </w:style>
  <w:style w:type="character" w:styleId="FootnoteReference">
    <w:name w:val="footnote reference"/>
    <w:basedOn w:val="DefaultParagraphFont"/>
    <w:uiPriority w:val="99"/>
    <w:semiHidden/>
    <w:unhideWhenUsed/>
    <w:rsid w:val="00DD323E"/>
    <w:rPr>
      <w:vertAlign w:val="superscript"/>
    </w:rPr>
  </w:style>
  <w:style w:type="character" w:styleId="Hyperlink">
    <w:name w:val="Hyperlink"/>
    <w:basedOn w:val="DefaultParagraphFont"/>
    <w:uiPriority w:val="99"/>
    <w:unhideWhenUsed/>
    <w:rsid w:val="00197A96"/>
    <w:rPr>
      <w:color w:val="0563C1" w:themeColor="hyperlink"/>
      <w:u w:val="single"/>
    </w:rPr>
  </w:style>
  <w:style w:type="character" w:styleId="UnresolvedMention">
    <w:name w:val="Unresolved Mention"/>
    <w:basedOn w:val="DefaultParagraphFont"/>
    <w:uiPriority w:val="99"/>
    <w:semiHidden/>
    <w:unhideWhenUsed/>
    <w:rsid w:val="00197A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anglosaxon.archeurope.info/index.php?page=scene-01"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298</TotalTime>
  <Pages>7</Pages>
  <Words>1606</Words>
  <Characters>8497</Characters>
  <Application>Microsoft Office Word</Application>
  <DocSecurity>0</DocSecurity>
  <Lines>149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dc:creator>
  <cp:keywords/>
  <dc:description/>
  <cp:lastModifiedBy>James</cp:lastModifiedBy>
  <cp:revision>30</cp:revision>
  <dcterms:created xsi:type="dcterms:W3CDTF">2018-11-02T16:30:00Z</dcterms:created>
  <dcterms:modified xsi:type="dcterms:W3CDTF">2018-11-02T21:37:00Z</dcterms:modified>
</cp:coreProperties>
</file>