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52C912" w14:textId="77777777" w:rsidR="00E9074D" w:rsidRDefault="00E9074D">
      <w:pPr>
        <w:rPr>
          <w:noProof/>
        </w:rPr>
      </w:pPr>
    </w:p>
    <w:p w14:paraId="6399FDC5" w14:textId="77777777" w:rsidR="00E9074D" w:rsidRDefault="00E9074D">
      <w:pPr>
        <w:rPr>
          <w:noProof/>
        </w:rPr>
      </w:pPr>
    </w:p>
    <w:p w14:paraId="6B962094" w14:textId="77777777" w:rsidR="00E9074D" w:rsidRDefault="00E9074D">
      <w:pPr>
        <w:rPr>
          <w:noProof/>
        </w:rPr>
      </w:pPr>
    </w:p>
    <w:p w14:paraId="5C0CECF3" w14:textId="77777777" w:rsidR="00E9074D" w:rsidRDefault="00E9074D">
      <w:pPr>
        <w:rPr>
          <w:noProof/>
        </w:rPr>
      </w:pPr>
    </w:p>
    <w:p w14:paraId="30E34B66" w14:textId="77777777" w:rsidR="00E9074D" w:rsidRDefault="00E9074D">
      <w:pPr>
        <w:rPr>
          <w:noProof/>
        </w:rPr>
      </w:pPr>
    </w:p>
    <w:p w14:paraId="4587F40A" w14:textId="77777777" w:rsidR="00E9074D" w:rsidRDefault="00E9074D">
      <w:pPr>
        <w:rPr>
          <w:noProof/>
        </w:rPr>
      </w:pPr>
    </w:p>
    <w:p w14:paraId="33F57C56" w14:textId="77777777" w:rsidR="00E9074D" w:rsidRDefault="00E9074D" w:rsidP="00E9074D">
      <w:pPr>
        <w:jc w:val="center"/>
        <w:rPr>
          <w:rFonts w:ascii="Arial" w:hAnsi="Arial" w:cs="Arial"/>
          <w:sz w:val="24"/>
          <w:szCs w:val="24"/>
        </w:rPr>
      </w:pPr>
      <w:r>
        <w:rPr>
          <w:noProof/>
        </w:rPr>
        <w:drawing>
          <wp:inline distT="0" distB="0" distL="0" distR="0" wp14:anchorId="6698ACAA" wp14:editId="0A24EE9F">
            <wp:extent cx="3381375" cy="1437640"/>
            <wp:effectExtent l="0" t="0" r="9525" b="0"/>
            <wp:docPr id="1" name="Picture 1" descr="University of Wales, Trinity Saint David Jobs - Apply Online at jobs.ac.uk"/>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Jobs - Apply Online at jobs.ac.uk"/>
                    <pic:cNvPicPr/>
                  </pic:nvPicPr>
                  <pic:blipFill rotWithShape="1">
                    <a:blip r:embed="rId6" cstate="print">
                      <a:extLst>
                        <a:ext uri="{28A0092B-C50C-407E-A947-70E740481C1C}">
                          <a14:useLocalDpi xmlns:a14="http://schemas.microsoft.com/office/drawing/2010/main" val="0"/>
                        </a:ext>
                      </a:extLst>
                    </a:blip>
                    <a:srcRect t="5671" b="9287"/>
                    <a:stretch/>
                  </pic:blipFill>
                  <pic:spPr bwMode="auto">
                    <a:xfrm>
                      <a:off x="0" y="0"/>
                      <a:ext cx="3381375" cy="1437640"/>
                    </a:xfrm>
                    <a:prstGeom prst="rect">
                      <a:avLst/>
                    </a:prstGeom>
                    <a:noFill/>
                    <a:ln>
                      <a:noFill/>
                    </a:ln>
                    <a:extLst>
                      <a:ext uri="{53640926-AAD7-44D8-BBD7-CCE9431645EC}">
                        <a14:shadowObscured xmlns:a14="http://schemas.microsoft.com/office/drawing/2010/main"/>
                      </a:ext>
                    </a:extLst>
                  </pic:spPr>
                </pic:pic>
              </a:graphicData>
            </a:graphic>
          </wp:inline>
        </w:drawing>
      </w:r>
    </w:p>
    <w:tbl>
      <w:tblPr>
        <w:tblStyle w:val="TableGrid"/>
        <w:tblW w:w="9519" w:type="dxa"/>
        <w:tblInd w:w="-147" w:type="dxa"/>
        <w:tblLook w:val="04A0" w:firstRow="1" w:lastRow="0" w:firstColumn="1" w:lastColumn="0" w:noHBand="0" w:noVBand="1"/>
      </w:tblPr>
      <w:tblGrid>
        <w:gridCol w:w="3119"/>
        <w:gridCol w:w="6400"/>
      </w:tblGrid>
      <w:tr w:rsidR="00E9074D" w14:paraId="33E9A743" w14:textId="77777777" w:rsidTr="00F26B4F">
        <w:trPr>
          <w:trHeight w:val="639"/>
        </w:trPr>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6BAFBB71" w14:textId="77777777" w:rsidR="00E9074D" w:rsidRDefault="00E9074D" w:rsidP="00F26B4F">
            <w:pPr>
              <w:spacing w:after="255"/>
              <w:contextualSpacing/>
              <w:jc w:val="both"/>
              <w:rPr>
                <w:rFonts w:ascii="Arial" w:hAnsi="Arial" w:cs="Arial"/>
                <w:b/>
                <w:bCs/>
                <w:sz w:val="24"/>
                <w:szCs w:val="24"/>
              </w:rPr>
            </w:pPr>
            <w:r>
              <w:rPr>
                <w:rFonts w:ascii="Arial" w:hAnsi="Arial" w:cs="Arial"/>
                <w:b/>
                <w:bCs/>
                <w:sz w:val="24"/>
                <w:szCs w:val="24"/>
              </w:rPr>
              <w:t>Title of Assignment</w:t>
            </w:r>
            <w:r>
              <w:rPr>
                <w:rFonts w:ascii="Arial" w:hAnsi="Arial" w:cs="Arial"/>
                <w:bCs/>
                <w:sz w:val="24"/>
                <w:szCs w:val="24"/>
              </w:rPr>
              <w:t>:</w:t>
            </w:r>
          </w:p>
        </w:tc>
        <w:tc>
          <w:tcPr>
            <w:tcW w:w="640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4FB6D3D6" w14:textId="68D93EE9" w:rsidR="00E9074D" w:rsidRPr="0048045A" w:rsidRDefault="00204431" w:rsidP="00F26B4F">
            <w:pPr>
              <w:spacing w:after="255"/>
              <w:contextualSpacing/>
              <w:jc w:val="both"/>
              <w:rPr>
                <w:rFonts w:ascii="Arial" w:hAnsi="Arial" w:cs="Arial"/>
                <w:bCs/>
                <w:sz w:val="24"/>
                <w:szCs w:val="24"/>
              </w:rPr>
            </w:pPr>
            <w:r>
              <w:rPr>
                <w:rFonts w:ascii="Arial" w:hAnsi="Arial" w:cs="Arial"/>
                <w:bCs/>
                <w:sz w:val="24"/>
                <w:szCs w:val="24"/>
              </w:rPr>
              <w:t>Data Analysis Report – Part 1</w:t>
            </w:r>
          </w:p>
        </w:tc>
      </w:tr>
      <w:tr w:rsidR="00E9074D" w14:paraId="2F56F87A" w14:textId="77777777" w:rsidTr="00F26B4F">
        <w:trPr>
          <w:trHeight w:val="639"/>
        </w:trPr>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25C28C1C" w14:textId="77777777" w:rsidR="00E9074D" w:rsidRDefault="00E9074D" w:rsidP="00F26B4F">
            <w:pPr>
              <w:spacing w:after="255"/>
              <w:contextualSpacing/>
              <w:jc w:val="both"/>
              <w:rPr>
                <w:rFonts w:ascii="Arial" w:hAnsi="Arial" w:cs="Arial"/>
                <w:b/>
                <w:bCs/>
                <w:sz w:val="24"/>
                <w:szCs w:val="24"/>
              </w:rPr>
            </w:pPr>
            <w:r>
              <w:rPr>
                <w:rFonts w:ascii="Arial" w:hAnsi="Arial" w:cs="Arial"/>
                <w:b/>
                <w:bCs/>
                <w:sz w:val="24"/>
                <w:szCs w:val="24"/>
              </w:rPr>
              <w:t>Programme name:</w:t>
            </w:r>
          </w:p>
        </w:tc>
        <w:tc>
          <w:tcPr>
            <w:tcW w:w="640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3385CEB0" w14:textId="77777777" w:rsidR="00E9074D" w:rsidRDefault="00E9074D" w:rsidP="00F26B4F">
            <w:pPr>
              <w:spacing w:after="255"/>
              <w:contextualSpacing/>
              <w:jc w:val="both"/>
              <w:rPr>
                <w:rFonts w:ascii="Arial" w:hAnsi="Arial" w:cs="Arial"/>
                <w:bCs/>
                <w:sz w:val="24"/>
                <w:szCs w:val="24"/>
              </w:rPr>
            </w:pPr>
            <w:r>
              <w:rPr>
                <w:rFonts w:ascii="Arial" w:hAnsi="Arial" w:cs="Arial"/>
                <w:bCs/>
                <w:sz w:val="24"/>
                <w:szCs w:val="24"/>
              </w:rPr>
              <w:t>MSc Digital Transformation for the Health and Care Professions</w:t>
            </w:r>
          </w:p>
        </w:tc>
      </w:tr>
      <w:tr w:rsidR="00E9074D" w14:paraId="1A83936E" w14:textId="77777777" w:rsidTr="00F26B4F">
        <w:trPr>
          <w:trHeight w:val="639"/>
        </w:trPr>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36871F30" w14:textId="77777777" w:rsidR="00E9074D" w:rsidRDefault="00E9074D" w:rsidP="00F26B4F">
            <w:pPr>
              <w:spacing w:after="255"/>
              <w:contextualSpacing/>
              <w:jc w:val="both"/>
              <w:rPr>
                <w:rFonts w:ascii="Arial" w:hAnsi="Arial" w:cs="Arial"/>
                <w:b/>
                <w:bCs/>
                <w:sz w:val="24"/>
                <w:szCs w:val="24"/>
              </w:rPr>
            </w:pPr>
            <w:r>
              <w:rPr>
                <w:rFonts w:ascii="Arial" w:hAnsi="Arial" w:cs="Arial"/>
                <w:b/>
                <w:bCs/>
                <w:sz w:val="24"/>
                <w:szCs w:val="24"/>
              </w:rPr>
              <w:t>Academic year:</w:t>
            </w:r>
          </w:p>
        </w:tc>
        <w:tc>
          <w:tcPr>
            <w:tcW w:w="640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78C4371F" w14:textId="77777777" w:rsidR="00E9074D" w:rsidRDefault="00E9074D" w:rsidP="00F26B4F">
            <w:pPr>
              <w:spacing w:after="255"/>
              <w:contextualSpacing/>
              <w:jc w:val="both"/>
              <w:rPr>
                <w:rFonts w:ascii="Arial" w:hAnsi="Arial" w:cs="Arial"/>
                <w:b/>
                <w:bCs/>
                <w:sz w:val="24"/>
                <w:szCs w:val="24"/>
              </w:rPr>
            </w:pPr>
            <w:r>
              <w:rPr>
                <w:rFonts w:ascii="Arial" w:hAnsi="Arial" w:cs="Arial"/>
                <w:bCs/>
                <w:sz w:val="24"/>
                <w:szCs w:val="24"/>
              </w:rPr>
              <w:t>2025/26</w:t>
            </w:r>
          </w:p>
        </w:tc>
      </w:tr>
      <w:tr w:rsidR="00E9074D" w14:paraId="36993C89" w14:textId="77777777" w:rsidTr="00F26B4F">
        <w:trPr>
          <w:trHeight w:val="639"/>
        </w:trPr>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44BB9D7B" w14:textId="77777777" w:rsidR="00E9074D" w:rsidRDefault="00E9074D" w:rsidP="00F26B4F">
            <w:pPr>
              <w:spacing w:after="255"/>
              <w:contextualSpacing/>
              <w:jc w:val="both"/>
              <w:rPr>
                <w:rFonts w:ascii="Arial" w:hAnsi="Arial" w:cs="Arial"/>
                <w:b/>
                <w:bCs/>
                <w:sz w:val="24"/>
                <w:szCs w:val="24"/>
              </w:rPr>
            </w:pPr>
            <w:r>
              <w:rPr>
                <w:rFonts w:ascii="Arial" w:hAnsi="Arial" w:cs="Arial"/>
                <w:b/>
                <w:bCs/>
                <w:sz w:val="24"/>
                <w:szCs w:val="24"/>
              </w:rPr>
              <w:t>Module name and code:</w:t>
            </w:r>
          </w:p>
        </w:tc>
        <w:tc>
          <w:tcPr>
            <w:tcW w:w="640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6C954C33" w14:textId="50A101A8" w:rsidR="00E9074D" w:rsidRDefault="00E9074D" w:rsidP="00F26B4F">
            <w:pPr>
              <w:spacing w:after="255"/>
              <w:contextualSpacing/>
              <w:jc w:val="both"/>
              <w:rPr>
                <w:rFonts w:ascii="Arial" w:hAnsi="Arial" w:cs="Arial"/>
                <w:sz w:val="24"/>
                <w:szCs w:val="24"/>
              </w:rPr>
            </w:pPr>
            <w:r>
              <w:rPr>
                <w:rFonts w:ascii="Arial" w:hAnsi="Arial" w:cs="Arial"/>
                <w:sz w:val="24"/>
                <w:szCs w:val="24"/>
              </w:rPr>
              <w:t>Data Analysis (BMDS70</w:t>
            </w:r>
            <w:r w:rsidR="00204431">
              <w:rPr>
                <w:rFonts w:ascii="Arial" w:hAnsi="Arial" w:cs="Arial"/>
                <w:sz w:val="24"/>
                <w:szCs w:val="24"/>
              </w:rPr>
              <w:t>10</w:t>
            </w:r>
            <w:r>
              <w:rPr>
                <w:rFonts w:ascii="Arial" w:hAnsi="Arial" w:cs="Arial"/>
                <w:sz w:val="24"/>
                <w:szCs w:val="24"/>
              </w:rPr>
              <w:t>)</w:t>
            </w:r>
          </w:p>
        </w:tc>
      </w:tr>
      <w:tr w:rsidR="00E9074D" w14:paraId="757375C9" w14:textId="77777777" w:rsidTr="00F26B4F">
        <w:trPr>
          <w:trHeight w:val="639"/>
        </w:trPr>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2FB41EED" w14:textId="77777777" w:rsidR="00E9074D" w:rsidRDefault="00E9074D" w:rsidP="00F26B4F">
            <w:pPr>
              <w:spacing w:after="255"/>
              <w:contextualSpacing/>
              <w:jc w:val="both"/>
              <w:rPr>
                <w:rFonts w:ascii="Arial" w:hAnsi="Arial" w:cs="Arial"/>
                <w:b/>
                <w:bCs/>
                <w:sz w:val="24"/>
                <w:szCs w:val="24"/>
              </w:rPr>
            </w:pPr>
            <w:r>
              <w:rPr>
                <w:rFonts w:ascii="Arial" w:hAnsi="Arial" w:cs="Arial"/>
                <w:b/>
                <w:bCs/>
                <w:sz w:val="24"/>
                <w:szCs w:val="24"/>
              </w:rPr>
              <w:t>Student ID:</w:t>
            </w:r>
          </w:p>
        </w:tc>
        <w:tc>
          <w:tcPr>
            <w:tcW w:w="640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2C1324B1" w14:textId="77777777" w:rsidR="00E9074D" w:rsidRDefault="00E9074D" w:rsidP="00F26B4F">
            <w:pPr>
              <w:spacing w:after="255"/>
              <w:contextualSpacing/>
              <w:jc w:val="both"/>
              <w:rPr>
                <w:rFonts w:ascii="Arial" w:hAnsi="Arial" w:cs="Arial"/>
                <w:sz w:val="24"/>
                <w:szCs w:val="24"/>
              </w:rPr>
            </w:pPr>
            <w:r>
              <w:rPr>
                <w:rFonts w:ascii="Arial" w:hAnsi="Arial" w:cs="Arial"/>
                <w:sz w:val="24"/>
                <w:szCs w:val="24"/>
              </w:rPr>
              <w:t>2409981</w:t>
            </w:r>
          </w:p>
        </w:tc>
      </w:tr>
      <w:tr w:rsidR="00E9074D" w14:paraId="066584C5" w14:textId="77777777" w:rsidTr="00F26B4F">
        <w:trPr>
          <w:trHeight w:val="639"/>
        </w:trPr>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697A97E7" w14:textId="77777777" w:rsidR="00E9074D" w:rsidRDefault="00E9074D" w:rsidP="00F26B4F">
            <w:pPr>
              <w:spacing w:after="255"/>
              <w:contextualSpacing/>
              <w:jc w:val="both"/>
              <w:rPr>
                <w:rFonts w:ascii="Arial" w:hAnsi="Arial" w:cs="Arial"/>
                <w:bCs/>
                <w:sz w:val="24"/>
                <w:szCs w:val="24"/>
              </w:rPr>
            </w:pPr>
            <w:r>
              <w:rPr>
                <w:rFonts w:ascii="Arial" w:hAnsi="Arial" w:cs="Arial"/>
                <w:b/>
                <w:bCs/>
                <w:sz w:val="24"/>
                <w:szCs w:val="24"/>
              </w:rPr>
              <w:t>Total word count</w:t>
            </w:r>
            <w:r>
              <w:rPr>
                <w:rFonts w:ascii="Arial" w:hAnsi="Arial" w:cs="Arial"/>
                <w:bCs/>
                <w:sz w:val="24"/>
                <w:szCs w:val="24"/>
              </w:rPr>
              <w:t>:</w:t>
            </w:r>
          </w:p>
        </w:tc>
        <w:tc>
          <w:tcPr>
            <w:tcW w:w="640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1F226ABD" w14:textId="71FB3AE6" w:rsidR="00E9074D" w:rsidRDefault="00AA66C3" w:rsidP="00F26B4F">
            <w:pPr>
              <w:spacing w:after="255"/>
              <w:contextualSpacing/>
              <w:jc w:val="both"/>
              <w:rPr>
                <w:rFonts w:ascii="Arial" w:hAnsi="Arial" w:cs="Arial"/>
                <w:sz w:val="24"/>
                <w:szCs w:val="24"/>
              </w:rPr>
            </w:pPr>
            <w:r>
              <w:rPr>
                <w:rFonts w:ascii="Arial" w:hAnsi="Arial" w:cs="Arial"/>
                <w:sz w:val="24"/>
                <w:szCs w:val="24"/>
              </w:rPr>
              <w:t>1164</w:t>
            </w:r>
          </w:p>
        </w:tc>
      </w:tr>
      <w:tr w:rsidR="00E9074D" w14:paraId="0CF3232A" w14:textId="77777777" w:rsidTr="00F26B4F">
        <w:trPr>
          <w:trHeight w:val="639"/>
        </w:trPr>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7FA31E34" w14:textId="77777777" w:rsidR="00E9074D" w:rsidRDefault="00E9074D" w:rsidP="00F26B4F">
            <w:pPr>
              <w:spacing w:after="255"/>
              <w:contextualSpacing/>
              <w:jc w:val="both"/>
            </w:pPr>
            <w:r w:rsidRPr="00806579">
              <w:rPr>
                <w:rFonts w:ascii="Arial" w:hAnsi="Arial" w:cs="Arial"/>
                <w:b/>
                <w:bCs/>
                <w:sz w:val="24"/>
                <w:szCs w:val="24"/>
              </w:rPr>
              <w:t>Date of submission:</w:t>
            </w:r>
          </w:p>
        </w:tc>
        <w:tc>
          <w:tcPr>
            <w:tcW w:w="640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2FCAAA47" w14:textId="24A1DC23" w:rsidR="00E9074D" w:rsidRPr="0048045A" w:rsidRDefault="00AA66C3" w:rsidP="00F26B4F">
            <w:pPr>
              <w:rPr>
                <w:rFonts w:ascii="Arial" w:hAnsi="Arial" w:cs="Arial"/>
              </w:rPr>
            </w:pPr>
            <w:r>
              <w:rPr>
                <w:rFonts w:ascii="Arial" w:hAnsi="Arial" w:cs="Arial"/>
              </w:rPr>
              <w:t>01/05/2026</w:t>
            </w:r>
          </w:p>
        </w:tc>
      </w:tr>
    </w:tbl>
    <w:p w14:paraId="11F82D72" w14:textId="77777777" w:rsidR="00E9074D" w:rsidRDefault="00E9074D">
      <w:pPr>
        <w:rPr>
          <w:noProof/>
        </w:rPr>
      </w:pPr>
    </w:p>
    <w:p w14:paraId="487FFC9B" w14:textId="77777777" w:rsidR="00E9074D" w:rsidRDefault="00E9074D">
      <w:pPr>
        <w:rPr>
          <w:noProof/>
        </w:rPr>
      </w:pPr>
    </w:p>
    <w:p w14:paraId="3D363FEE" w14:textId="77777777" w:rsidR="00E9074D" w:rsidRDefault="00E9074D">
      <w:pPr>
        <w:rPr>
          <w:noProof/>
        </w:rPr>
      </w:pPr>
    </w:p>
    <w:p w14:paraId="4A42DF7A" w14:textId="77777777" w:rsidR="00E9074D" w:rsidRDefault="00E9074D">
      <w:pPr>
        <w:rPr>
          <w:noProof/>
        </w:rPr>
      </w:pPr>
    </w:p>
    <w:p w14:paraId="2059412D" w14:textId="77777777" w:rsidR="00E9074D" w:rsidRDefault="00E9074D">
      <w:pPr>
        <w:rPr>
          <w:noProof/>
        </w:rPr>
      </w:pPr>
    </w:p>
    <w:p w14:paraId="1F8F0C42" w14:textId="77777777" w:rsidR="00E9074D" w:rsidRDefault="00E9074D">
      <w:pPr>
        <w:rPr>
          <w:noProof/>
        </w:rPr>
      </w:pPr>
    </w:p>
    <w:p w14:paraId="2733B4EC" w14:textId="77777777" w:rsidR="00E9074D" w:rsidRDefault="00E9074D">
      <w:pPr>
        <w:rPr>
          <w:noProof/>
        </w:rPr>
      </w:pPr>
    </w:p>
    <w:p w14:paraId="21889545" w14:textId="77777777" w:rsidR="000058E7" w:rsidRDefault="000058E7" w:rsidP="00A1526E">
      <w:pPr>
        <w:spacing w:after="0" w:line="360" w:lineRule="auto"/>
        <w:rPr>
          <w:noProof/>
        </w:rPr>
      </w:pPr>
    </w:p>
    <w:p w14:paraId="36847F47" w14:textId="77777777" w:rsidR="000058E7" w:rsidRDefault="000058E7" w:rsidP="00A1526E">
      <w:pPr>
        <w:spacing w:after="0" w:line="360" w:lineRule="auto"/>
        <w:rPr>
          <w:noProof/>
        </w:rPr>
      </w:pPr>
    </w:p>
    <w:p w14:paraId="3BA426F1" w14:textId="2376C0D2" w:rsidR="00A1526E" w:rsidRPr="00A1526E" w:rsidRDefault="00A1526E" w:rsidP="00A1526E">
      <w:pPr>
        <w:spacing w:after="0" w:line="360" w:lineRule="auto"/>
        <w:rPr>
          <w:rFonts w:ascii="Arial" w:eastAsia="Times New Roman" w:hAnsi="Arial" w:cs="Arial"/>
          <w:sz w:val="24"/>
          <w:szCs w:val="24"/>
          <w:lang w:eastAsia="en-GB"/>
        </w:rPr>
      </w:pPr>
    </w:p>
    <w:p w14:paraId="0B5C3D0A" w14:textId="6C9E60C0" w:rsidR="00EC4F77" w:rsidRPr="00EC4F77" w:rsidRDefault="00443415" w:rsidP="00EC4F77">
      <w:pPr>
        <w:pStyle w:val="Heading1"/>
        <w:rPr>
          <w:rFonts w:ascii="Arial" w:eastAsia="Times New Roman" w:hAnsi="Arial" w:cs="Arial"/>
          <w:b/>
          <w:bCs/>
          <w:color w:val="auto"/>
          <w:sz w:val="24"/>
          <w:szCs w:val="24"/>
          <w:lang w:eastAsia="en-GB"/>
        </w:rPr>
      </w:pPr>
      <w:r w:rsidRPr="00443415">
        <w:rPr>
          <w:rFonts w:ascii="Arial" w:eastAsia="Times New Roman" w:hAnsi="Arial" w:cs="Arial"/>
          <w:b/>
          <w:bCs/>
          <w:color w:val="auto"/>
          <w:sz w:val="24"/>
          <w:szCs w:val="24"/>
          <w:lang w:eastAsia="en-GB"/>
        </w:rPr>
        <w:lastRenderedPageBreak/>
        <w:t xml:space="preserve">Distribution of </w:t>
      </w:r>
      <w:r>
        <w:rPr>
          <w:rFonts w:ascii="Arial" w:eastAsia="Times New Roman" w:hAnsi="Arial" w:cs="Arial"/>
          <w:b/>
          <w:bCs/>
          <w:color w:val="auto"/>
          <w:sz w:val="24"/>
          <w:szCs w:val="24"/>
          <w:lang w:eastAsia="en-GB"/>
        </w:rPr>
        <w:t>D</w:t>
      </w:r>
      <w:r w:rsidRPr="00443415">
        <w:rPr>
          <w:rFonts w:ascii="Arial" w:eastAsia="Times New Roman" w:hAnsi="Arial" w:cs="Arial"/>
          <w:b/>
          <w:bCs/>
          <w:color w:val="auto"/>
          <w:sz w:val="24"/>
          <w:szCs w:val="24"/>
          <w:lang w:eastAsia="en-GB"/>
        </w:rPr>
        <w:t xml:space="preserve">isease </w:t>
      </w:r>
      <w:r>
        <w:rPr>
          <w:rFonts w:ascii="Arial" w:eastAsia="Times New Roman" w:hAnsi="Arial" w:cs="Arial"/>
          <w:b/>
          <w:bCs/>
          <w:color w:val="auto"/>
          <w:sz w:val="24"/>
          <w:szCs w:val="24"/>
          <w:lang w:eastAsia="en-GB"/>
        </w:rPr>
        <w:t>I</w:t>
      </w:r>
      <w:r w:rsidRPr="00443415">
        <w:rPr>
          <w:rFonts w:ascii="Arial" w:eastAsia="Times New Roman" w:hAnsi="Arial" w:cs="Arial"/>
          <w:b/>
          <w:bCs/>
          <w:color w:val="auto"/>
          <w:sz w:val="24"/>
          <w:szCs w:val="24"/>
          <w:lang w:eastAsia="en-GB"/>
        </w:rPr>
        <w:t>ncidence in Wales</w:t>
      </w:r>
    </w:p>
    <w:p w14:paraId="1C609389" w14:textId="2469B9ED" w:rsidR="00B61AB4" w:rsidRPr="00B61AB4" w:rsidRDefault="00B61AB4" w:rsidP="00B61AB4">
      <w:pPr>
        <w:spacing w:after="0" w:line="360" w:lineRule="auto"/>
        <w:rPr>
          <w:rFonts w:ascii="Arial" w:eastAsia="Times New Roman" w:hAnsi="Arial" w:cs="Arial"/>
          <w:sz w:val="24"/>
          <w:szCs w:val="24"/>
          <w:lang w:eastAsia="en-GB"/>
        </w:rPr>
      </w:pPr>
      <w:r w:rsidRPr="00B61AB4">
        <w:rPr>
          <w:rFonts w:ascii="Arial" w:eastAsia="Times New Roman" w:hAnsi="Arial" w:cs="Arial"/>
          <w:sz w:val="24"/>
          <w:szCs w:val="24"/>
          <w:lang w:eastAsia="en-GB"/>
        </w:rPr>
        <w:t>This report draws on two datasets extracted from Public Health Wales and analysed using IBM SPSS Statistics, providing Upper Super Output Area (USOA)</w:t>
      </w:r>
      <w:r w:rsidRPr="00B61AB4">
        <w:rPr>
          <w:rFonts w:ascii="Arial" w:eastAsia="Times New Roman" w:hAnsi="Arial" w:cs="Arial"/>
          <w:sz w:val="24"/>
          <w:szCs w:val="24"/>
          <w:lang w:eastAsia="en-GB"/>
        </w:rPr>
        <w:noBreakHyphen/>
        <w:t>level estimates for a range of health indicators. Th</w:t>
      </w:r>
      <w:r>
        <w:rPr>
          <w:rFonts w:ascii="Arial" w:eastAsia="Times New Roman" w:hAnsi="Arial" w:cs="Arial"/>
          <w:sz w:val="24"/>
          <w:szCs w:val="24"/>
          <w:lang w:eastAsia="en-GB"/>
        </w:rPr>
        <w:t>is</w:t>
      </w:r>
      <w:r w:rsidRPr="00B61AB4">
        <w:rPr>
          <w:rFonts w:ascii="Arial" w:eastAsia="Times New Roman" w:hAnsi="Arial" w:cs="Arial"/>
          <w:sz w:val="24"/>
          <w:szCs w:val="24"/>
          <w:lang w:eastAsia="en-GB"/>
        </w:rPr>
        <w:t xml:space="preserve"> data allow</w:t>
      </w:r>
      <w:r>
        <w:rPr>
          <w:rFonts w:ascii="Arial" w:eastAsia="Times New Roman" w:hAnsi="Arial" w:cs="Arial"/>
          <w:sz w:val="24"/>
          <w:szCs w:val="24"/>
          <w:lang w:eastAsia="en-GB"/>
        </w:rPr>
        <w:t>s</w:t>
      </w:r>
      <w:r w:rsidRPr="00B61AB4">
        <w:rPr>
          <w:rFonts w:ascii="Arial" w:eastAsia="Times New Roman" w:hAnsi="Arial" w:cs="Arial"/>
          <w:sz w:val="24"/>
          <w:szCs w:val="24"/>
          <w:lang w:eastAsia="en-GB"/>
        </w:rPr>
        <w:t xml:space="preserve"> for the exploration of geographic variation in health outcomes across Wales and offer</w:t>
      </w:r>
      <w:r w:rsidR="00A15D86">
        <w:rPr>
          <w:rFonts w:ascii="Arial" w:eastAsia="Times New Roman" w:hAnsi="Arial" w:cs="Arial"/>
          <w:sz w:val="24"/>
          <w:szCs w:val="24"/>
          <w:lang w:eastAsia="en-GB"/>
        </w:rPr>
        <w:t>s</w:t>
      </w:r>
      <w:r w:rsidRPr="00B61AB4">
        <w:rPr>
          <w:rFonts w:ascii="Arial" w:eastAsia="Times New Roman" w:hAnsi="Arial" w:cs="Arial"/>
          <w:sz w:val="24"/>
          <w:szCs w:val="24"/>
          <w:lang w:eastAsia="en-GB"/>
        </w:rPr>
        <w:t xml:space="preserve"> insight into how patterns of disease, health behaviours and wider determinants differ between communities. The following sections present descriptive statistics and a forest plot to illustrate these patterns, before considering the broader contextual factors that may contribute to the </w:t>
      </w:r>
      <w:r>
        <w:rPr>
          <w:rFonts w:ascii="Arial" w:eastAsia="Times New Roman" w:hAnsi="Arial" w:cs="Arial"/>
          <w:sz w:val="24"/>
          <w:szCs w:val="24"/>
          <w:lang w:eastAsia="en-GB"/>
        </w:rPr>
        <w:t>findings</w:t>
      </w:r>
      <w:r w:rsidRPr="00B61AB4">
        <w:rPr>
          <w:rFonts w:ascii="Arial" w:eastAsia="Times New Roman" w:hAnsi="Arial" w:cs="Arial"/>
          <w:sz w:val="24"/>
          <w:szCs w:val="24"/>
          <w:lang w:eastAsia="en-GB"/>
        </w:rPr>
        <w:t>.</w:t>
      </w:r>
    </w:p>
    <w:p w14:paraId="58EB1A37" w14:textId="77777777" w:rsidR="00B61AB4" w:rsidRDefault="00B61AB4" w:rsidP="00A1526E">
      <w:pPr>
        <w:spacing w:after="0" w:line="360" w:lineRule="auto"/>
        <w:rPr>
          <w:rFonts w:ascii="Arial" w:eastAsia="Times New Roman" w:hAnsi="Arial" w:cs="Arial"/>
          <w:b/>
          <w:bCs/>
          <w:sz w:val="24"/>
          <w:szCs w:val="24"/>
          <w:lang w:eastAsia="en-GB"/>
        </w:rPr>
      </w:pPr>
    </w:p>
    <w:p w14:paraId="1DD006E4" w14:textId="4024A56D" w:rsidR="00A1526E" w:rsidRPr="00443415" w:rsidRDefault="00A1526E" w:rsidP="00443415">
      <w:pPr>
        <w:pStyle w:val="Heading2"/>
        <w:rPr>
          <w:rFonts w:ascii="Arial" w:eastAsia="Times New Roman" w:hAnsi="Arial" w:cs="Arial"/>
          <w:b/>
          <w:bCs/>
          <w:color w:val="auto"/>
          <w:sz w:val="24"/>
          <w:szCs w:val="24"/>
          <w:lang w:eastAsia="en-GB"/>
        </w:rPr>
      </w:pPr>
      <w:r w:rsidRPr="00443415">
        <w:rPr>
          <w:rFonts w:ascii="Arial" w:eastAsia="Times New Roman" w:hAnsi="Arial" w:cs="Arial"/>
          <w:b/>
          <w:bCs/>
          <w:color w:val="auto"/>
          <w:sz w:val="24"/>
          <w:szCs w:val="24"/>
          <w:lang w:eastAsia="en-GB"/>
        </w:rPr>
        <w:t>Descriptive Statistics Table – Data file 1</w:t>
      </w:r>
    </w:p>
    <w:p w14:paraId="2B3B1F38" w14:textId="08A66DFA" w:rsidR="006D1DC5" w:rsidRPr="00A1526E" w:rsidRDefault="002B2289" w:rsidP="00A1526E">
      <w:pPr>
        <w:spacing w:line="360" w:lineRule="auto"/>
        <w:rPr>
          <w:rFonts w:ascii="Arial" w:hAnsi="Arial" w:cs="Arial"/>
          <w:i/>
          <w:iCs/>
          <w:noProof/>
          <w:sz w:val="24"/>
          <w:szCs w:val="24"/>
        </w:rPr>
      </w:pPr>
      <w:r w:rsidRPr="00A1526E">
        <w:rPr>
          <w:rFonts w:ascii="Arial" w:hAnsi="Arial" w:cs="Arial"/>
          <w:i/>
          <w:iCs/>
          <w:noProof/>
          <w:sz w:val="24"/>
          <w:szCs w:val="24"/>
        </w:rPr>
        <w:t>Table 1. Overview of disease incidence variation across Wales, adapted from</w:t>
      </w:r>
      <w:r w:rsidR="00A60C35" w:rsidRPr="00A1526E">
        <w:rPr>
          <w:rFonts w:ascii="Arial" w:hAnsi="Arial" w:cs="Arial"/>
          <w:i/>
          <w:iCs/>
          <w:noProof/>
          <w:sz w:val="24"/>
          <w:szCs w:val="24"/>
        </w:rPr>
        <w:t xml:space="preserve"> </w:t>
      </w:r>
      <w:sdt>
        <w:sdtPr>
          <w:rPr>
            <w:rFonts w:ascii="Arial" w:hAnsi="Arial" w:cs="Arial"/>
            <w:i/>
            <w:iCs/>
            <w:noProof/>
            <w:color w:val="000000"/>
            <w:sz w:val="24"/>
            <w:szCs w:val="24"/>
          </w:rPr>
          <w:tag w:val="MENDELEY_CITATION_v3_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"/>
          <w:id w:val="1002550254"/>
          <w:placeholder>
            <w:docPart w:val="DefaultPlaceholder_-1854013440"/>
          </w:placeholder>
        </w:sdtPr>
        <w:sdtEndPr/>
        <w:sdtContent>
          <w:r w:rsidR="00B21073" w:rsidRPr="00B21073">
            <w:rPr>
              <w:rFonts w:ascii="Arial" w:hAnsi="Arial" w:cs="Arial"/>
              <w:i/>
              <w:iCs/>
              <w:noProof/>
              <w:color w:val="000000"/>
              <w:sz w:val="24"/>
              <w:szCs w:val="24"/>
            </w:rPr>
            <w:t>(Public Health Wales Observatory, 2012)</w:t>
          </w:r>
        </w:sdtContent>
      </w:sdt>
    </w:p>
    <w:p w14:paraId="72EAA528" w14:textId="4AE1404A" w:rsidR="00BD64E9" w:rsidRPr="00A1526E" w:rsidRDefault="00BD64E9" w:rsidP="00443415">
      <w:pPr>
        <w:spacing w:line="360" w:lineRule="auto"/>
        <w:rPr>
          <w:rFonts w:ascii="Arial" w:hAnsi="Arial" w:cs="Arial"/>
          <w:noProof/>
          <w:sz w:val="24"/>
          <w:szCs w:val="24"/>
        </w:rPr>
      </w:pPr>
      <w:r w:rsidRPr="00A1526E">
        <w:rPr>
          <w:rFonts w:ascii="Arial" w:hAnsi="Arial" w:cs="Arial"/>
          <w:noProof/>
          <w:sz w:val="24"/>
          <w:szCs w:val="24"/>
        </w:rPr>
        <w:drawing>
          <wp:inline distT="0" distB="0" distL="0" distR="0" wp14:anchorId="3E6C3957" wp14:editId="53AC40BC">
            <wp:extent cx="5440294" cy="2219325"/>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440294" cy="2219325"/>
                    </a:xfrm>
                    <a:prstGeom prst="rect">
                      <a:avLst/>
                    </a:prstGeom>
                  </pic:spPr>
                </pic:pic>
              </a:graphicData>
            </a:graphic>
          </wp:inline>
        </w:drawing>
      </w:r>
    </w:p>
    <w:p w14:paraId="4BFA5327" w14:textId="5D54DCE7" w:rsidR="00443415" w:rsidRPr="00A1526E" w:rsidRDefault="002C118D" w:rsidP="00A1526E">
      <w:pPr>
        <w:spacing w:line="360" w:lineRule="auto"/>
        <w:rPr>
          <w:rFonts w:ascii="Arial" w:hAnsi="Arial" w:cs="Arial"/>
          <w:noProof/>
          <w:sz w:val="24"/>
          <w:szCs w:val="24"/>
        </w:rPr>
      </w:pPr>
      <w:r w:rsidRPr="00A1526E">
        <w:rPr>
          <w:rFonts w:ascii="Arial" w:hAnsi="Arial" w:cs="Arial"/>
          <w:noProof/>
          <w:sz w:val="24"/>
          <w:szCs w:val="24"/>
        </w:rPr>
        <w:t>The des</w:t>
      </w:r>
      <w:r w:rsidR="00A60C35" w:rsidRPr="00A1526E">
        <w:rPr>
          <w:rFonts w:ascii="Arial" w:hAnsi="Arial" w:cs="Arial"/>
          <w:noProof/>
          <w:sz w:val="24"/>
          <w:szCs w:val="24"/>
        </w:rPr>
        <w:t>c</w:t>
      </w:r>
      <w:r w:rsidRPr="00A1526E">
        <w:rPr>
          <w:rFonts w:ascii="Arial" w:hAnsi="Arial" w:cs="Arial"/>
          <w:noProof/>
          <w:sz w:val="24"/>
          <w:szCs w:val="24"/>
        </w:rPr>
        <w:t>riptive statistics</w:t>
      </w:r>
      <w:r w:rsidR="00B21073">
        <w:rPr>
          <w:rFonts w:ascii="Arial" w:hAnsi="Arial" w:cs="Arial"/>
          <w:noProof/>
          <w:sz w:val="24"/>
          <w:szCs w:val="24"/>
        </w:rPr>
        <w:t xml:space="preserve"> in</w:t>
      </w:r>
      <w:r w:rsidRPr="00A1526E">
        <w:rPr>
          <w:rFonts w:ascii="Arial" w:hAnsi="Arial" w:cs="Arial"/>
          <w:noProof/>
          <w:sz w:val="24"/>
          <w:szCs w:val="24"/>
        </w:rPr>
        <w:t xml:space="preserve"> table</w:t>
      </w:r>
      <w:r w:rsidR="00B21073">
        <w:rPr>
          <w:rFonts w:ascii="Arial" w:hAnsi="Arial" w:cs="Arial"/>
          <w:noProof/>
          <w:sz w:val="24"/>
          <w:szCs w:val="24"/>
        </w:rPr>
        <w:t xml:space="preserve"> 1</w:t>
      </w:r>
      <w:r w:rsidRPr="00A1526E">
        <w:rPr>
          <w:rFonts w:ascii="Arial" w:hAnsi="Arial" w:cs="Arial"/>
          <w:noProof/>
          <w:sz w:val="24"/>
          <w:szCs w:val="24"/>
        </w:rPr>
        <w:t xml:space="preserve"> summarises the health indicators recorded across 94</w:t>
      </w:r>
      <w:r w:rsidR="000B2C5E" w:rsidRPr="00A1526E">
        <w:rPr>
          <w:rFonts w:ascii="Arial" w:hAnsi="Arial" w:cs="Arial"/>
          <w:noProof/>
          <w:sz w:val="24"/>
          <w:szCs w:val="24"/>
        </w:rPr>
        <w:t xml:space="preserve"> Welsh</w:t>
      </w:r>
      <w:r w:rsidRPr="00A1526E">
        <w:rPr>
          <w:rFonts w:ascii="Arial" w:hAnsi="Arial" w:cs="Arial"/>
          <w:noProof/>
          <w:sz w:val="24"/>
          <w:szCs w:val="24"/>
        </w:rPr>
        <w:t xml:space="preserve"> Upper Super Output Areas (USOA</w:t>
      </w:r>
      <w:r w:rsidR="00A60C35" w:rsidRPr="00A1526E">
        <w:rPr>
          <w:rFonts w:ascii="Arial" w:hAnsi="Arial" w:cs="Arial"/>
          <w:noProof/>
          <w:sz w:val="24"/>
          <w:szCs w:val="24"/>
        </w:rPr>
        <w:t>s</w:t>
      </w:r>
      <w:r w:rsidRPr="00A1526E">
        <w:rPr>
          <w:rFonts w:ascii="Arial" w:hAnsi="Arial" w:cs="Arial"/>
          <w:noProof/>
          <w:sz w:val="24"/>
          <w:szCs w:val="24"/>
        </w:rPr>
        <w:t>)</w:t>
      </w:r>
      <w:r w:rsidR="00B21073">
        <w:rPr>
          <w:rFonts w:ascii="Arial" w:hAnsi="Arial" w:cs="Arial"/>
          <w:noProof/>
          <w:sz w:val="24"/>
          <w:szCs w:val="24"/>
        </w:rPr>
        <w:t xml:space="preserve"> </w:t>
      </w:r>
      <w:sdt>
        <w:sdtPr>
          <w:rPr>
            <w:rFonts w:ascii="Arial" w:hAnsi="Arial" w:cs="Arial"/>
            <w:noProof/>
            <w:color w:val="000000"/>
            <w:sz w:val="24"/>
            <w:szCs w:val="24"/>
          </w:rPr>
          <w:tag w:val="MENDELEY_CITATION_v3_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"/>
          <w:id w:val="179090388"/>
          <w:placeholder>
            <w:docPart w:val="DefaultPlaceholder_-1854013440"/>
          </w:placeholder>
        </w:sdtPr>
        <w:sdtEndPr/>
        <w:sdtContent>
          <w:r w:rsidR="00B21073" w:rsidRPr="00B21073">
            <w:rPr>
              <w:rFonts w:ascii="Arial" w:hAnsi="Arial" w:cs="Arial"/>
              <w:noProof/>
              <w:color w:val="000000"/>
              <w:sz w:val="24"/>
              <w:szCs w:val="24"/>
            </w:rPr>
            <w:t>(Public Health Wales Observatory, 2012)</w:t>
          </w:r>
        </w:sdtContent>
      </w:sdt>
      <w:r w:rsidRPr="00A1526E">
        <w:rPr>
          <w:rFonts w:ascii="Arial" w:hAnsi="Arial" w:cs="Arial"/>
          <w:noProof/>
          <w:sz w:val="24"/>
          <w:szCs w:val="24"/>
        </w:rPr>
        <w:t xml:space="preserve">. Each row represents a health related </w:t>
      </w:r>
      <w:r w:rsidR="000B2C5E" w:rsidRPr="00A1526E">
        <w:rPr>
          <w:rFonts w:ascii="Arial" w:hAnsi="Arial" w:cs="Arial"/>
          <w:noProof/>
          <w:sz w:val="24"/>
          <w:szCs w:val="24"/>
        </w:rPr>
        <w:t xml:space="preserve">condition or </w:t>
      </w:r>
      <w:r w:rsidRPr="00A1526E">
        <w:rPr>
          <w:rFonts w:ascii="Arial" w:hAnsi="Arial" w:cs="Arial"/>
          <w:noProof/>
          <w:sz w:val="24"/>
          <w:szCs w:val="24"/>
        </w:rPr>
        <w:t>variable, and the column ‘N’ indicates</w:t>
      </w:r>
      <w:r w:rsidR="000B2C5E" w:rsidRPr="00A1526E">
        <w:rPr>
          <w:rFonts w:ascii="Arial" w:hAnsi="Arial" w:cs="Arial"/>
          <w:noProof/>
          <w:sz w:val="24"/>
          <w:szCs w:val="24"/>
        </w:rPr>
        <w:t xml:space="preserve"> that data was available for all measures across the 94 USOA</w:t>
      </w:r>
      <w:r w:rsidR="00A60C35" w:rsidRPr="00A1526E">
        <w:rPr>
          <w:rFonts w:ascii="Arial" w:hAnsi="Arial" w:cs="Arial"/>
          <w:noProof/>
          <w:sz w:val="24"/>
          <w:szCs w:val="24"/>
        </w:rPr>
        <w:t>s</w:t>
      </w:r>
      <w:r w:rsidR="00177ACC">
        <w:rPr>
          <w:rFonts w:ascii="Arial" w:hAnsi="Arial" w:cs="Arial"/>
          <w:noProof/>
          <w:sz w:val="24"/>
          <w:szCs w:val="24"/>
        </w:rPr>
        <w:t xml:space="preserve">. </w:t>
      </w:r>
      <w:r w:rsidR="000B2C5E" w:rsidRPr="00A1526E">
        <w:rPr>
          <w:rFonts w:ascii="Arial" w:hAnsi="Arial" w:cs="Arial"/>
          <w:noProof/>
          <w:sz w:val="24"/>
          <w:szCs w:val="24"/>
        </w:rPr>
        <w:t xml:space="preserve">Standard statistical metrics have been used to describe how each indicator is distributed across </w:t>
      </w:r>
      <w:r w:rsidR="00A60C35" w:rsidRPr="00A1526E">
        <w:rPr>
          <w:rFonts w:ascii="Arial" w:hAnsi="Arial" w:cs="Arial"/>
          <w:noProof/>
          <w:sz w:val="24"/>
          <w:szCs w:val="24"/>
        </w:rPr>
        <w:t>the local authorities in Wales</w:t>
      </w:r>
      <w:r w:rsidR="000B2C5E" w:rsidRPr="00A1526E">
        <w:rPr>
          <w:rFonts w:ascii="Arial" w:hAnsi="Arial" w:cs="Arial"/>
          <w:noProof/>
          <w:sz w:val="24"/>
          <w:szCs w:val="24"/>
        </w:rPr>
        <w:t>, as well as highlighting where variation is</w:t>
      </w:r>
      <w:r w:rsidR="00A60C35" w:rsidRPr="00A1526E">
        <w:rPr>
          <w:rFonts w:ascii="Arial" w:hAnsi="Arial" w:cs="Arial"/>
          <w:noProof/>
          <w:sz w:val="24"/>
          <w:szCs w:val="24"/>
        </w:rPr>
        <w:t xml:space="preserve"> at its</w:t>
      </w:r>
      <w:r w:rsidR="000B2C5E" w:rsidRPr="00A1526E">
        <w:rPr>
          <w:rFonts w:ascii="Arial" w:hAnsi="Arial" w:cs="Arial"/>
          <w:noProof/>
          <w:sz w:val="24"/>
          <w:szCs w:val="24"/>
        </w:rPr>
        <w:t xml:space="preserve"> greatest</w:t>
      </w:r>
      <w:r w:rsidR="00DB13E5" w:rsidRPr="00A1526E">
        <w:rPr>
          <w:rFonts w:ascii="Arial" w:hAnsi="Arial" w:cs="Arial"/>
          <w:noProof/>
          <w:sz w:val="24"/>
          <w:szCs w:val="24"/>
        </w:rPr>
        <w:t xml:space="preserve"> (Table 2).</w:t>
      </w:r>
    </w:p>
    <w:p w14:paraId="53491581" w14:textId="77777777" w:rsidR="00AA66C3" w:rsidRDefault="00AA66C3">
      <w:pPr>
        <w:rPr>
          <w:rFonts w:ascii="Arial" w:hAnsi="Arial" w:cs="Arial"/>
          <w:i/>
          <w:iCs/>
          <w:noProof/>
          <w:sz w:val="24"/>
          <w:szCs w:val="24"/>
        </w:rPr>
      </w:pPr>
      <w:r>
        <w:rPr>
          <w:rFonts w:ascii="Arial" w:hAnsi="Arial" w:cs="Arial"/>
          <w:i/>
          <w:iCs/>
          <w:noProof/>
          <w:sz w:val="24"/>
          <w:szCs w:val="24"/>
        </w:rPr>
        <w:br w:type="page"/>
      </w:r>
    </w:p>
    <w:p w14:paraId="6A3DC56D" w14:textId="501BBDB1" w:rsidR="00DB13E5" w:rsidRPr="00A1526E" w:rsidRDefault="00DB13E5" w:rsidP="00A1526E">
      <w:pPr>
        <w:spacing w:line="360" w:lineRule="auto"/>
        <w:rPr>
          <w:rFonts w:ascii="Arial" w:hAnsi="Arial" w:cs="Arial"/>
          <w:i/>
          <w:iCs/>
          <w:noProof/>
          <w:sz w:val="24"/>
          <w:szCs w:val="24"/>
        </w:rPr>
      </w:pPr>
      <w:r w:rsidRPr="00A1526E">
        <w:rPr>
          <w:rFonts w:ascii="Arial" w:hAnsi="Arial" w:cs="Arial"/>
          <w:i/>
          <w:iCs/>
          <w:noProof/>
          <w:sz w:val="24"/>
          <w:szCs w:val="24"/>
        </w:rPr>
        <w:lastRenderedPageBreak/>
        <w:t>Table 2. Description of metrics used in Descriptive Statistics table</w:t>
      </w:r>
    </w:p>
    <w:tbl>
      <w:tblPr>
        <w:tblStyle w:val="TableGrid"/>
        <w:tblW w:w="0" w:type="auto"/>
        <w:tblLook w:val="04A0" w:firstRow="1" w:lastRow="0" w:firstColumn="1" w:lastColumn="0" w:noHBand="0" w:noVBand="1"/>
      </w:tblPr>
      <w:tblGrid>
        <w:gridCol w:w="3397"/>
        <w:gridCol w:w="5619"/>
      </w:tblGrid>
      <w:tr w:rsidR="00B64461" w:rsidRPr="00A1526E" w14:paraId="13E87110" w14:textId="77777777" w:rsidTr="00B64461">
        <w:tc>
          <w:tcPr>
            <w:tcW w:w="3397" w:type="dxa"/>
            <w:shd w:val="clear" w:color="auto" w:fill="D9D9D9" w:themeFill="background1" w:themeFillShade="D9"/>
          </w:tcPr>
          <w:p w14:paraId="65876E9A" w14:textId="685499FB" w:rsidR="00B64461" w:rsidRPr="00A1526E" w:rsidRDefault="00B64461" w:rsidP="00A1526E">
            <w:pPr>
              <w:spacing w:line="360" w:lineRule="auto"/>
              <w:rPr>
                <w:rFonts w:ascii="Arial" w:hAnsi="Arial" w:cs="Arial"/>
                <w:b/>
                <w:bCs/>
                <w:noProof/>
                <w:sz w:val="24"/>
                <w:szCs w:val="24"/>
              </w:rPr>
            </w:pPr>
            <w:r w:rsidRPr="00A1526E">
              <w:rPr>
                <w:rFonts w:ascii="Arial" w:hAnsi="Arial" w:cs="Arial"/>
                <w:b/>
                <w:bCs/>
                <w:noProof/>
                <w:sz w:val="24"/>
                <w:szCs w:val="24"/>
              </w:rPr>
              <w:t>Metric</w:t>
            </w:r>
          </w:p>
        </w:tc>
        <w:tc>
          <w:tcPr>
            <w:tcW w:w="5619" w:type="dxa"/>
            <w:shd w:val="clear" w:color="auto" w:fill="D9D9D9" w:themeFill="background1" w:themeFillShade="D9"/>
          </w:tcPr>
          <w:p w14:paraId="17AAF0E6" w14:textId="4C7F6438" w:rsidR="00B64461" w:rsidRPr="00A1526E" w:rsidRDefault="00B64461" w:rsidP="00A1526E">
            <w:pPr>
              <w:spacing w:line="360" w:lineRule="auto"/>
              <w:rPr>
                <w:rFonts w:ascii="Arial" w:hAnsi="Arial" w:cs="Arial"/>
                <w:b/>
                <w:bCs/>
                <w:noProof/>
                <w:sz w:val="24"/>
                <w:szCs w:val="24"/>
              </w:rPr>
            </w:pPr>
            <w:r w:rsidRPr="00A1526E">
              <w:rPr>
                <w:rFonts w:ascii="Arial" w:hAnsi="Arial" w:cs="Arial"/>
                <w:b/>
                <w:bCs/>
                <w:noProof/>
                <w:sz w:val="24"/>
                <w:szCs w:val="24"/>
              </w:rPr>
              <w:t>Description</w:t>
            </w:r>
          </w:p>
        </w:tc>
      </w:tr>
      <w:tr w:rsidR="00B64461" w:rsidRPr="00A1526E" w14:paraId="28104D88" w14:textId="4DD58E51" w:rsidTr="00B64461">
        <w:tc>
          <w:tcPr>
            <w:tcW w:w="3397" w:type="dxa"/>
          </w:tcPr>
          <w:p w14:paraId="2CADF156" w14:textId="0CBED138" w:rsidR="00B64461" w:rsidRPr="00A1526E" w:rsidRDefault="00B64461" w:rsidP="00A1526E">
            <w:pPr>
              <w:spacing w:line="360" w:lineRule="auto"/>
              <w:rPr>
                <w:rFonts w:ascii="Arial" w:hAnsi="Arial" w:cs="Arial"/>
                <w:noProof/>
                <w:sz w:val="24"/>
                <w:szCs w:val="24"/>
              </w:rPr>
            </w:pPr>
            <w:r w:rsidRPr="00A1526E">
              <w:rPr>
                <w:rFonts w:ascii="Arial" w:hAnsi="Arial" w:cs="Arial"/>
                <w:noProof/>
                <w:sz w:val="24"/>
                <w:szCs w:val="24"/>
              </w:rPr>
              <w:t>Minimum and Maximum</w:t>
            </w:r>
          </w:p>
        </w:tc>
        <w:tc>
          <w:tcPr>
            <w:tcW w:w="5619" w:type="dxa"/>
          </w:tcPr>
          <w:p w14:paraId="14C19D62" w14:textId="3A4E8A03" w:rsidR="00B64461" w:rsidRPr="00A1526E" w:rsidRDefault="00B64461" w:rsidP="00A1526E">
            <w:pPr>
              <w:spacing w:line="360" w:lineRule="auto"/>
              <w:rPr>
                <w:rFonts w:ascii="Arial" w:hAnsi="Arial" w:cs="Arial"/>
                <w:noProof/>
                <w:sz w:val="24"/>
                <w:szCs w:val="24"/>
              </w:rPr>
            </w:pPr>
            <w:r w:rsidRPr="00A1526E">
              <w:rPr>
                <w:rFonts w:ascii="Arial" w:hAnsi="Arial" w:cs="Arial"/>
                <w:noProof/>
                <w:sz w:val="24"/>
                <w:szCs w:val="24"/>
              </w:rPr>
              <w:t>Shows the range of recorded prevalence across USOAs, helping to identify the lowest and highest areas</w:t>
            </w:r>
          </w:p>
        </w:tc>
      </w:tr>
      <w:tr w:rsidR="00B64461" w:rsidRPr="00A1526E" w14:paraId="50A23F55" w14:textId="62BF77EA" w:rsidTr="00B64461">
        <w:tc>
          <w:tcPr>
            <w:tcW w:w="3397" w:type="dxa"/>
          </w:tcPr>
          <w:p w14:paraId="147B135B" w14:textId="0C29CE1E" w:rsidR="00B64461" w:rsidRPr="00A1526E" w:rsidRDefault="00B64461" w:rsidP="00A1526E">
            <w:pPr>
              <w:spacing w:line="360" w:lineRule="auto"/>
              <w:rPr>
                <w:rFonts w:ascii="Arial" w:hAnsi="Arial" w:cs="Arial"/>
                <w:noProof/>
                <w:sz w:val="24"/>
                <w:szCs w:val="24"/>
              </w:rPr>
            </w:pPr>
            <w:r w:rsidRPr="00A1526E">
              <w:rPr>
                <w:rFonts w:ascii="Arial" w:hAnsi="Arial" w:cs="Arial"/>
                <w:noProof/>
                <w:sz w:val="24"/>
                <w:szCs w:val="24"/>
              </w:rPr>
              <w:t>Mean</w:t>
            </w:r>
          </w:p>
        </w:tc>
        <w:tc>
          <w:tcPr>
            <w:tcW w:w="5619" w:type="dxa"/>
          </w:tcPr>
          <w:p w14:paraId="66683881" w14:textId="7B32F1FA" w:rsidR="00B64461" w:rsidRPr="00A1526E" w:rsidRDefault="00B64461" w:rsidP="00A1526E">
            <w:pPr>
              <w:spacing w:line="360" w:lineRule="auto"/>
              <w:rPr>
                <w:rFonts w:ascii="Arial" w:hAnsi="Arial" w:cs="Arial"/>
                <w:noProof/>
                <w:sz w:val="24"/>
                <w:szCs w:val="24"/>
              </w:rPr>
            </w:pPr>
            <w:r w:rsidRPr="00A1526E">
              <w:rPr>
                <w:rFonts w:ascii="Arial" w:hAnsi="Arial" w:cs="Arial"/>
                <w:noProof/>
                <w:sz w:val="24"/>
                <w:szCs w:val="24"/>
              </w:rPr>
              <w:t>Provides the average prevelance across all USOAs</w:t>
            </w:r>
          </w:p>
        </w:tc>
      </w:tr>
      <w:tr w:rsidR="00B64461" w:rsidRPr="00A1526E" w14:paraId="5975EFD1" w14:textId="474C874D" w:rsidTr="00B64461">
        <w:tc>
          <w:tcPr>
            <w:tcW w:w="3397" w:type="dxa"/>
          </w:tcPr>
          <w:p w14:paraId="7B647F56" w14:textId="15BE1DB9" w:rsidR="00B64461" w:rsidRPr="00A1526E" w:rsidRDefault="00B64461" w:rsidP="00A1526E">
            <w:pPr>
              <w:spacing w:line="360" w:lineRule="auto"/>
              <w:rPr>
                <w:rFonts w:ascii="Arial" w:hAnsi="Arial" w:cs="Arial"/>
                <w:noProof/>
                <w:sz w:val="24"/>
                <w:szCs w:val="24"/>
              </w:rPr>
            </w:pPr>
            <w:r w:rsidRPr="00A1526E">
              <w:rPr>
                <w:rFonts w:ascii="Arial" w:hAnsi="Arial" w:cs="Arial"/>
                <w:noProof/>
                <w:sz w:val="24"/>
                <w:szCs w:val="24"/>
              </w:rPr>
              <w:t>Standard Deviation (Std. Deviation)</w:t>
            </w:r>
          </w:p>
        </w:tc>
        <w:tc>
          <w:tcPr>
            <w:tcW w:w="5619" w:type="dxa"/>
          </w:tcPr>
          <w:p w14:paraId="5DEF7807" w14:textId="1BBEFD4C" w:rsidR="00B64461" w:rsidRPr="00A1526E" w:rsidRDefault="00B64461" w:rsidP="00A1526E">
            <w:pPr>
              <w:spacing w:line="360" w:lineRule="auto"/>
              <w:rPr>
                <w:rFonts w:ascii="Arial" w:hAnsi="Arial" w:cs="Arial"/>
                <w:noProof/>
                <w:sz w:val="24"/>
                <w:szCs w:val="24"/>
              </w:rPr>
            </w:pPr>
            <w:r w:rsidRPr="00A1526E">
              <w:rPr>
                <w:rFonts w:ascii="Arial" w:hAnsi="Arial" w:cs="Arial"/>
                <w:noProof/>
                <w:sz w:val="24"/>
                <w:szCs w:val="24"/>
              </w:rPr>
              <w:t>Reflects how much variation there is between areas</w:t>
            </w:r>
          </w:p>
        </w:tc>
      </w:tr>
    </w:tbl>
    <w:p w14:paraId="56330EA8" w14:textId="77777777" w:rsidR="00DB13E5" w:rsidRPr="00A1526E" w:rsidRDefault="00DB13E5" w:rsidP="00A1526E">
      <w:pPr>
        <w:spacing w:line="360" w:lineRule="auto"/>
        <w:rPr>
          <w:rFonts w:ascii="Arial" w:hAnsi="Arial" w:cs="Arial"/>
          <w:noProof/>
          <w:sz w:val="24"/>
          <w:szCs w:val="24"/>
        </w:rPr>
      </w:pPr>
    </w:p>
    <w:p w14:paraId="54EAE410" w14:textId="0DAC6C96" w:rsidR="004C495C" w:rsidRPr="00A1526E" w:rsidRDefault="003B6A66" w:rsidP="00A1526E">
      <w:pPr>
        <w:spacing w:line="360" w:lineRule="auto"/>
        <w:rPr>
          <w:rFonts w:ascii="Arial" w:eastAsia="Times New Roman" w:hAnsi="Arial" w:cs="Arial"/>
          <w:sz w:val="24"/>
          <w:szCs w:val="24"/>
          <w:lang w:eastAsia="en-GB"/>
        </w:rPr>
      </w:pPr>
      <w:r w:rsidRPr="00A1526E">
        <w:rPr>
          <w:rFonts w:ascii="Arial" w:hAnsi="Arial" w:cs="Arial"/>
          <w:noProof/>
          <w:sz w:val="24"/>
          <w:szCs w:val="24"/>
        </w:rPr>
        <w:t>The most widespread health issue across USOAs is</w:t>
      </w:r>
      <w:r w:rsidR="00861388" w:rsidRPr="00A1526E">
        <w:rPr>
          <w:rFonts w:ascii="Arial" w:hAnsi="Arial" w:cs="Arial"/>
          <w:noProof/>
          <w:sz w:val="24"/>
          <w:szCs w:val="24"/>
        </w:rPr>
        <w:t xml:space="preserve"> </w:t>
      </w:r>
      <w:r w:rsidR="007A7386" w:rsidRPr="00A1526E">
        <w:rPr>
          <w:rFonts w:ascii="Arial" w:hAnsi="Arial" w:cs="Arial"/>
          <w:noProof/>
          <w:sz w:val="24"/>
          <w:szCs w:val="24"/>
        </w:rPr>
        <w:t>the</w:t>
      </w:r>
      <w:r w:rsidR="00B21073">
        <w:rPr>
          <w:rFonts w:ascii="Arial" w:hAnsi="Arial" w:cs="Arial"/>
          <w:noProof/>
          <w:sz w:val="24"/>
          <w:szCs w:val="24"/>
        </w:rPr>
        <w:t xml:space="preserve"> overweight/obese</w:t>
      </w:r>
      <w:r w:rsidR="007A7386" w:rsidRPr="00A1526E">
        <w:rPr>
          <w:rFonts w:ascii="Arial" w:hAnsi="Arial" w:cs="Arial"/>
          <w:noProof/>
          <w:sz w:val="24"/>
          <w:szCs w:val="24"/>
        </w:rPr>
        <w:t xml:space="preserve"> </w:t>
      </w:r>
      <w:r w:rsidR="00B21073">
        <w:rPr>
          <w:rFonts w:ascii="Arial" w:hAnsi="Arial" w:cs="Arial"/>
          <w:noProof/>
          <w:sz w:val="24"/>
          <w:szCs w:val="24"/>
        </w:rPr>
        <w:t>(</w:t>
      </w:r>
      <w:r w:rsidR="007B5A40" w:rsidRPr="00A1526E">
        <w:rPr>
          <w:rFonts w:ascii="Arial" w:hAnsi="Arial" w:cs="Arial"/>
          <w:noProof/>
          <w:sz w:val="24"/>
          <w:szCs w:val="24"/>
        </w:rPr>
        <w:t>bmi_overweight_or_obese</w:t>
      </w:r>
      <w:r w:rsidR="00B21073">
        <w:rPr>
          <w:rFonts w:ascii="Arial" w:hAnsi="Arial" w:cs="Arial"/>
          <w:noProof/>
          <w:sz w:val="24"/>
          <w:szCs w:val="24"/>
        </w:rPr>
        <w:t>)</w:t>
      </w:r>
      <w:r w:rsidR="007B5A40" w:rsidRPr="00A1526E">
        <w:rPr>
          <w:rFonts w:ascii="Arial" w:hAnsi="Arial" w:cs="Arial"/>
          <w:noProof/>
          <w:sz w:val="24"/>
          <w:szCs w:val="24"/>
        </w:rPr>
        <w:t xml:space="preserve"> classification</w:t>
      </w:r>
      <w:r w:rsidRPr="00A1526E">
        <w:rPr>
          <w:rFonts w:ascii="Arial" w:hAnsi="Arial" w:cs="Arial"/>
          <w:noProof/>
          <w:sz w:val="24"/>
          <w:szCs w:val="24"/>
        </w:rPr>
        <w:t xml:space="preserve">, with a </w:t>
      </w:r>
      <w:r w:rsidR="004E1EDF" w:rsidRPr="00A1526E">
        <w:rPr>
          <w:rFonts w:ascii="Arial" w:hAnsi="Arial" w:cs="Arial"/>
          <w:noProof/>
          <w:sz w:val="24"/>
          <w:szCs w:val="24"/>
        </w:rPr>
        <w:t>mean</w:t>
      </w:r>
      <w:r w:rsidRPr="00A1526E">
        <w:rPr>
          <w:rFonts w:ascii="Arial" w:hAnsi="Arial" w:cs="Arial"/>
          <w:noProof/>
          <w:sz w:val="24"/>
          <w:szCs w:val="24"/>
        </w:rPr>
        <w:t xml:space="preserve"> prevalence of 55.81. This aligns with national patterns, where excess weight is one of the most common health risk factors</w:t>
      </w:r>
      <w:r w:rsidR="007B5A40" w:rsidRPr="00A1526E">
        <w:rPr>
          <w:rFonts w:ascii="Arial" w:hAnsi="Arial" w:cs="Arial"/>
          <w:noProof/>
          <w:sz w:val="24"/>
          <w:szCs w:val="24"/>
        </w:rPr>
        <w:t>, impacting 1 in every 4 adults</w:t>
      </w:r>
      <w:r w:rsidR="00B6751C" w:rsidRPr="00A1526E">
        <w:rPr>
          <w:rFonts w:ascii="Arial" w:hAnsi="Arial" w:cs="Arial"/>
          <w:noProof/>
          <w:sz w:val="24"/>
          <w:szCs w:val="24"/>
        </w:rPr>
        <w:t xml:space="preserve"> across the UK</w:t>
      </w:r>
      <w:r w:rsidR="007B5A40" w:rsidRPr="00A1526E">
        <w:rPr>
          <w:rFonts w:ascii="Arial" w:hAnsi="Arial" w:cs="Arial"/>
          <w:noProof/>
          <w:sz w:val="24"/>
          <w:szCs w:val="24"/>
        </w:rPr>
        <w:t xml:space="preserve"> </w:t>
      </w:r>
      <w:sdt>
        <w:sdtPr>
          <w:rPr>
            <w:rFonts w:ascii="Arial" w:hAnsi="Arial" w:cs="Arial"/>
            <w:noProof/>
            <w:color w:val="000000"/>
            <w:sz w:val="24"/>
            <w:szCs w:val="24"/>
          </w:rPr>
          <w:tag w:val="MENDELEY_CITATION_v3_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"/>
          <w:id w:val="1831483713"/>
          <w:placeholder>
            <w:docPart w:val="DefaultPlaceholder_-1854013440"/>
          </w:placeholder>
        </w:sdtPr>
        <w:sdtEndPr/>
        <w:sdtContent>
          <w:r w:rsidR="00B21073" w:rsidRPr="00B21073">
            <w:rPr>
              <w:rFonts w:ascii="Arial" w:hAnsi="Arial" w:cs="Arial"/>
              <w:noProof/>
              <w:color w:val="000000"/>
              <w:sz w:val="24"/>
              <w:szCs w:val="24"/>
            </w:rPr>
            <w:t>(NHS, 2023)</w:t>
          </w:r>
        </w:sdtContent>
      </w:sdt>
      <w:r w:rsidRPr="00A1526E">
        <w:rPr>
          <w:rFonts w:ascii="Arial" w:hAnsi="Arial" w:cs="Arial"/>
          <w:noProof/>
          <w:sz w:val="24"/>
          <w:szCs w:val="24"/>
        </w:rPr>
        <w:t xml:space="preserve">. </w:t>
      </w:r>
      <w:r w:rsidR="007B5A40" w:rsidRPr="00A1526E">
        <w:rPr>
          <w:rFonts w:ascii="Arial" w:hAnsi="Arial" w:cs="Arial"/>
          <w:noProof/>
          <w:sz w:val="24"/>
          <w:szCs w:val="24"/>
        </w:rPr>
        <w:t>T</w:t>
      </w:r>
      <w:r w:rsidRPr="00A1526E">
        <w:rPr>
          <w:rFonts w:ascii="Arial" w:hAnsi="Arial" w:cs="Arial"/>
          <w:noProof/>
          <w:sz w:val="24"/>
          <w:szCs w:val="24"/>
        </w:rPr>
        <w:t>he standard deviation</w:t>
      </w:r>
      <w:r w:rsidR="00B21073">
        <w:rPr>
          <w:rFonts w:ascii="Arial" w:hAnsi="Arial" w:cs="Arial"/>
          <w:noProof/>
          <w:sz w:val="24"/>
          <w:szCs w:val="24"/>
        </w:rPr>
        <w:t xml:space="preserve"> (Std Deviation)</w:t>
      </w:r>
      <w:r w:rsidRPr="00A1526E">
        <w:rPr>
          <w:rFonts w:ascii="Arial" w:hAnsi="Arial" w:cs="Arial"/>
          <w:noProof/>
          <w:sz w:val="24"/>
          <w:szCs w:val="24"/>
        </w:rPr>
        <w:t xml:space="preserve"> is</w:t>
      </w:r>
      <w:r w:rsidR="007B5A40" w:rsidRPr="00A1526E">
        <w:rPr>
          <w:rFonts w:ascii="Arial" w:hAnsi="Arial" w:cs="Arial"/>
          <w:noProof/>
          <w:sz w:val="24"/>
          <w:szCs w:val="24"/>
        </w:rPr>
        <w:t xml:space="preserve"> also</w:t>
      </w:r>
      <w:r w:rsidRPr="00A1526E">
        <w:rPr>
          <w:rFonts w:ascii="Arial" w:hAnsi="Arial" w:cs="Arial"/>
          <w:noProof/>
          <w:sz w:val="24"/>
          <w:szCs w:val="24"/>
        </w:rPr>
        <w:t xml:space="preserve"> relatively modest </w:t>
      </w:r>
      <w:r w:rsidR="007B5A40" w:rsidRPr="00A1526E">
        <w:rPr>
          <w:rFonts w:ascii="Arial" w:hAnsi="Arial" w:cs="Arial"/>
          <w:noProof/>
          <w:sz w:val="24"/>
          <w:szCs w:val="24"/>
        </w:rPr>
        <w:t>at</w:t>
      </w:r>
      <w:r w:rsidRPr="00A1526E">
        <w:rPr>
          <w:rFonts w:ascii="Arial" w:hAnsi="Arial" w:cs="Arial"/>
          <w:noProof/>
          <w:sz w:val="24"/>
          <w:szCs w:val="24"/>
        </w:rPr>
        <w:t xml:space="preserve"> 3.95</w:t>
      </w:r>
      <w:r w:rsidR="007B5A40" w:rsidRPr="00A1526E">
        <w:rPr>
          <w:rFonts w:ascii="Arial" w:hAnsi="Arial" w:cs="Arial"/>
          <w:noProof/>
          <w:sz w:val="24"/>
          <w:szCs w:val="24"/>
        </w:rPr>
        <w:t>2</w:t>
      </w:r>
      <w:r w:rsidRPr="00A1526E">
        <w:rPr>
          <w:rFonts w:ascii="Arial" w:hAnsi="Arial" w:cs="Arial"/>
          <w:noProof/>
          <w:sz w:val="24"/>
          <w:szCs w:val="24"/>
        </w:rPr>
        <w:t xml:space="preserve">, suggesting that </w:t>
      </w:r>
      <w:r w:rsidR="007B5A40" w:rsidRPr="00A1526E">
        <w:rPr>
          <w:rFonts w:ascii="Arial" w:hAnsi="Arial" w:cs="Arial"/>
          <w:noProof/>
          <w:sz w:val="24"/>
          <w:szCs w:val="24"/>
        </w:rPr>
        <w:t>these clinical conditions</w:t>
      </w:r>
      <w:r w:rsidRPr="00A1526E">
        <w:rPr>
          <w:rFonts w:ascii="Arial" w:hAnsi="Arial" w:cs="Arial"/>
          <w:noProof/>
          <w:sz w:val="24"/>
          <w:szCs w:val="24"/>
        </w:rPr>
        <w:t xml:space="preserve"> </w:t>
      </w:r>
      <w:r w:rsidR="007B5A40" w:rsidRPr="00A1526E">
        <w:rPr>
          <w:rFonts w:ascii="Arial" w:hAnsi="Arial" w:cs="Arial"/>
          <w:noProof/>
          <w:sz w:val="24"/>
          <w:szCs w:val="24"/>
        </w:rPr>
        <w:t>are</w:t>
      </w:r>
      <w:r w:rsidRPr="00A1526E">
        <w:rPr>
          <w:rFonts w:ascii="Arial" w:hAnsi="Arial" w:cs="Arial"/>
          <w:noProof/>
          <w:sz w:val="24"/>
          <w:szCs w:val="24"/>
        </w:rPr>
        <w:t xml:space="preserve"> consistently common across USOAs, rather than concentrated in a small number of areas.</w:t>
      </w:r>
      <w:r w:rsidR="004C4FD8" w:rsidRPr="00A1526E">
        <w:rPr>
          <w:rFonts w:ascii="Arial" w:hAnsi="Arial" w:cs="Arial"/>
          <w:noProof/>
          <w:sz w:val="24"/>
          <w:szCs w:val="24"/>
        </w:rPr>
        <w:t xml:space="preserve"> </w:t>
      </w:r>
      <w:r w:rsidR="004C495C" w:rsidRPr="00A1526E">
        <w:rPr>
          <w:rFonts w:ascii="Arial" w:eastAsia="Times New Roman" w:hAnsi="Arial" w:cs="Arial"/>
          <w:sz w:val="24"/>
          <w:szCs w:val="24"/>
          <w:lang w:eastAsia="en-GB"/>
        </w:rPr>
        <w:t>The pattern observed across USOAs also reflects the way behavioural risk factors and long</w:t>
      </w:r>
      <w:r w:rsidR="004C495C" w:rsidRPr="00A1526E">
        <w:rPr>
          <w:rFonts w:ascii="Arial" w:eastAsia="Times New Roman" w:hAnsi="Arial" w:cs="Arial"/>
          <w:sz w:val="24"/>
          <w:szCs w:val="24"/>
          <w:lang w:eastAsia="en-GB"/>
        </w:rPr>
        <w:noBreakHyphen/>
        <w:t>term health conditions interact. High levels of overweight and obesity are closely linked to the burden of diabetes, with obesity recognised as the principal risk factor for type 2 diabetes</w:t>
      </w:r>
      <w:r w:rsidR="002F6E64" w:rsidRPr="00A1526E">
        <w:rPr>
          <w:rFonts w:ascii="Arial" w:eastAsia="Times New Roman" w:hAnsi="Arial" w:cs="Arial"/>
          <w:sz w:val="24"/>
          <w:szCs w:val="24"/>
          <w:lang w:eastAsia="en-GB"/>
        </w:rPr>
        <w:t xml:space="preserve"> </w:t>
      </w:r>
      <w:sdt>
        <w:sdtPr>
          <w:rPr>
            <w:rFonts w:ascii="Arial" w:eastAsia="Times New Roman" w:hAnsi="Arial" w:cs="Arial"/>
            <w:color w:val="000000"/>
            <w:sz w:val="24"/>
            <w:szCs w:val="24"/>
            <w:lang w:eastAsia="en-GB"/>
          </w:rPr>
          <w:tag w:val="MENDELEY_CITATION_v3_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"/>
          <w:id w:val="134528712"/>
          <w:placeholder>
            <w:docPart w:val="DefaultPlaceholder_-1854013440"/>
          </w:placeholder>
        </w:sdtPr>
        <w:sdtEndPr/>
        <w:sdtContent>
          <w:r w:rsidR="00B21073" w:rsidRPr="00B21073">
            <w:rPr>
              <w:rFonts w:ascii="Arial" w:eastAsia="Times New Roman" w:hAnsi="Arial" w:cs="Arial"/>
              <w:color w:val="000000"/>
              <w:sz w:val="24"/>
              <w:szCs w:val="24"/>
              <w:lang w:eastAsia="en-GB"/>
            </w:rPr>
            <w:t>(Public Health England, 2014)</w:t>
          </w:r>
        </w:sdtContent>
      </w:sdt>
      <w:r w:rsidR="002F6E64" w:rsidRPr="00A1526E">
        <w:rPr>
          <w:rFonts w:ascii="Arial" w:eastAsia="Times New Roman" w:hAnsi="Arial" w:cs="Arial"/>
          <w:color w:val="000000"/>
          <w:sz w:val="24"/>
          <w:szCs w:val="24"/>
          <w:lang w:eastAsia="en-GB"/>
        </w:rPr>
        <w:t>.</w:t>
      </w:r>
    </w:p>
    <w:p w14:paraId="27A0E4BC" w14:textId="7537D613" w:rsidR="004C495C" w:rsidRPr="00A1526E" w:rsidRDefault="007B5A40" w:rsidP="00A1526E">
      <w:pPr>
        <w:spacing w:line="360" w:lineRule="auto"/>
        <w:rPr>
          <w:rFonts w:ascii="Arial" w:eastAsia="Times New Roman" w:hAnsi="Arial" w:cs="Arial"/>
          <w:sz w:val="24"/>
          <w:szCs w:val="24"/>
          <w:lang w:eastAsia="en-GB"/>
        </w:rPr>
      </w:pPr>
      <w:r w:rsidRPr="00A1526E">
        <w:rPr>
          <w:rFonts w:ascii="Arial" w:hAnsi="Arial" w:cs="Arial"/>
          <w:noProof/>
          <w:sz w:val="24"/>
          <w:szCs w:val="24"/>
        </w:rPr>
        <w:t xml:space="preserve">Smoking also shows a </w:t>
      </w:r>
      <w:r w:rsidR="003B6A66" w:rsidRPr="00A1526E">
        <w:rPr>
          <w:rFonts w:ascii="Arial" w:hAnsi="Arial" w:cs="Arial"/>
          <w:noProof/>
          <w:sz w:val="24"/>
          <w:szCs w:val="24"/>
        </w:rPr>
        <w:t>relatively high mean of 25.37,</w:t>
      </w:r>
      <w:r w:rsidRPr="00A1526E">
        <w:rPr>
          <w:rFonts w:ascii="Arial" w:hAnsi="Arial" w:cs="Arial"/>
          <w:noProof/>
          <w:sz w:val="24"/>
          <w:szCs w:val="24"/>
        </w:rPr>
        <w:t xml:space="preserve"> </w:t>
      </w:r>
      <w:r w:rsidR="003B6A66" w:rsidRPr="00A1526E">
        <w:rPr>
          <w:rFonts w:ascii="Arial" w:hAnsi="Arial" w:cs="Arial"/>
          <w:noProof/>
          <w:sz w:val="24"/>
          <w:szCs w:val="24"/>
        </w:rPr>
        <w:t xml:space="preserve">indicating that around one in four adults report being </w:t>
      </w:r>
      <w:r w:rsidRPr="00A1526E">
        <w:rPr>
          <w:rFonts w:ascii="Arial" w:hAnsi="Arial" w:cs="Arial"/>
          <w:noProof/>
          <w:sz w:val="24"/>
          <w:szCs w:val="24"/>
        </w:rPr>
        <w:t xml:space="preserve">a </w:t>
      </w:r>
      <w:r w:rsidR="003B6A66" w:rsidRPr="00A1526E">
        <w:rPr>
          <w:rFonts w:ascii="Arial" w:hAnsi="Arial" w:cs="Arial"/>
          <w:noProof/>
          <w:sz w:val="24"/>
          <w:szCs w:val="24"/>
        </w:rPr>
        <w:t>smoker. The wider standard deviation</w:t>
      </w:r>
      <w:r w:rsidRPr="00A1526E">
        <w:rPr>
          <w:rFonts w:ascii="Arial" w:hAnsi="Arial" w:cs="Arial"/>
          <w:noProof/>
          <w:sz w:val="24"/>
          <w:szCs w:val="24"/>
        </w:rPr>
        <w:t xml:space="preserve"> of</w:t>
      </w:r>
      <w:r w:rsidR="003B6A66" w:rsidRPr="00A1526E">
        <w:rPr>
          <w:rFonts w:ascii="Arial" w:hAnsi="Arial" w:cs="Arial"/>
          <w:noProof/>
          <w:sz w:val="24"/>
          <w:szCs w:val="24"/>
        </w:rPr>
        <w:t xml:space="preserve"> 4.2</w:t>
      </w:r>
      <w:r w:rsidRPr="00A1526E">
        <w:rPr>
          <w:rFonts w:ascii="Arial" w:hAnsi="Arial" w:cs="Arial"/>
          <w:noProof/>
          <w:sz w:val="24"/>
          <w:szCs w:val="24"/>
        </w:rPr>
        <w:t>07</w:t>
      </w:r>
      <w:r w:rsidR="003B6A66" w:rsidRPr="00A1526E">
        <w:rPr>
          <w:rFonts w:ascii="Arial" w:hAnsi="Arial" w:cs="Arial"/>
          <w:noProof/>
          <w:sz w:val="24"/>
          <w:szCs w:val="24"/>
        </w:rPr>
        <w:t xml:space="preserve"> and range </w:t>
      </w:r>
      <w:r w:rsidRPr="00A1526E">
        <w:rPr>
          <w:rFonts w:ascii="Arial" w:hAnsi="Arial" w:cs="Arial"/>
          <w:noProof/>
          <w:sz w:val="24"/>
          <w:szCs w:val="24"/>
        </w:rPr>
        <w:t xml:space="preserve">of </w:t>
      </w:r>
      <w:r w:rsidR="003B6A66" w:rsidRPr="00A1526E">
        <w:rPr>
          <w:rFonts w:ascii="Arial" w:hAnsi="Arial" w:cs="Arial"/>
          <w:noProof/>
          <w:sz w:val="24"/>
          <w:szCs w:val="24"/>
        </w:rPr>
        <w:t>14</w:t>
      </w:r>
      <w:r w:rsidRPr="00A1526E">
        <w:rPr>
          <w:rFonts w:ascii="Arial" w:hAnsi="Arial" w:cs="Arial"/>
          <w:noProof/>
          <w:sz w:val="24"/>
          <w:szCs w:val="24"/>
        </w:rPr>
        <w:t>-</w:t>
      </w:r>
      <w:r w:rsidR="003B6A66" w:rsidRPr="00A1526E">
        <w:rPr>
          <w:rFonts w:ascii="Arial" w:hAnsi="Arial" w:cs="Arial"/>
          <w:noProof/>
          <w:sz w:val="24"/>
          <w:szCs w:val="24"/>
        </w:rPr>
        <w:t>36 suggest greater</w:t>
      </w:r>
      <w:r w:rsidR="00902F8D" w:rsidRPr="00A1526E">
        <w:rPr>
          <w:rFonts w:ascii="Arial" w:hAnsi="Arial" w:cs="Arial"/>
          <w:noProof/>
          <w:sz w:val="24"/>
          <w:szCs w:val="24"/>
        </w:rPr>
        <w:t xml:space="preserve"> variability</w:t>
      </w:r>
      <w:r w:rsidR="003B6A66" w:rsidRPr="00A1526E">
        <w:rPr>
          <w:rFonts w:ascii="Arial" w:hAnsi="Arial" w:cs="Arial"/>
          <w:noProof/>
          <w:sz w:val="24"/>
          <w:szCs w:val="24"/>
        </w:rPr>
        <w:t xml:space="preserve"> between</w:t>
      </w:r>
      <w:r w:rsidR="00902F8D" w:rsidRPr="00A1526E">
        <w:rPr>
          <w:rFonts w:ascii="Arial" w:hAnsi="Arial" w:cs="Arial"/>
          <w:noProof/>
          <w:sz w:val="24"/>
          <w:szCs w:val="24"/>
        </w:rPr>
        <w:t xml:space="preserve"> </w:t>
      </w:r>
      <w:r w:rsidR="003B6A66" w:rsidRPr="00A1526E">
        <w:rPr>
          <w:rFonts w:ascii="Arial" w:hAnsi="Arial" w:cs="Arial"/>
          <w:noProof/>
          <w:sz w:val="24"/>
          <w:szCs w:val="24"/>
        </w:rPr>
        <w:t>area</w:t>
      </w:r>
      <w:r w:rsidR="00902F8D" w:rsidRPr="00A1526E">
        <w:rPr>
          <w:rFonts w:ascii="Arial" w:hAnsi="Arial" w:cs="Arial"/>
          <w:noProof/>
          <w:sz w:val="24"/>
          <w:szCs w:val="24"/>
        </w:rPr>
        <w:t>s</w:t>
      </w:r>
      <w:r w:rsidR="003B6A66" w:rsidRPr="00A1526E">
        <w:rPr>
          <w:rFonts w:ascii="Arial" w:hAnsi="Arial" w:cs="Arial"/>
          <w:noProof/>
          <w:sz w:val="24"/>
          <w:szCs w:val="24"/>
        </w:rPr>
        <w:t xml:space="preserve">, meaning that while smoking is widespread overall, certain USOAs have substantially higher or lower smoking prevalence than others. This reflects known patterns where smoking </w:t>
      </w:r>
      <w:r w:rsidR="00902F8D" w:rsidRPr="00A1526E">
        <w:rPr>
          <w:rFonts w:ascii="Arial" w:hAnsi="Arial" w:cs="Arial"/>
          <w:noProof/>
          <w:sz w:val="24"/>
          <w:szCs w:val="24"/>
        </w:rPr>
        <w:t xml:space="preserve">prevalence is statistically higher in </w:t>
      </w:r>
      <w:r w:rsidR="003B6A66" w:rsidRPr="00A1526E">
        <w:rPr>
          <w:rFonts w:ascii="Arial" w:hAnsi="Arial" w:cs="Arial"/>
          <w:noProof/>
          <w:sz w:val="24"/>
          <w:szCs w:val="24"/>
        </w:rPr>
        <w:t>more deprived communities</w:t>
      </w:r>
      <w:r w:rsidR="00902F8D" w:rsidRPr="00A1526E">
        <w:rPr>
          <w:rFonts w:ascii="Arial" w:hAnsi="Arial" w:cs="Arial"/>
          <w:noProof/>
          <w:sz w:val="24"/>
          <w:szCs w:val="24"/>
        </w:rPr>
        <w:t xml:space="preserve"> </w:t>
      </w:r>
      <w:sdt>
        <w:sdtPr>
          <w:rPr>
            <w:rFonts w:ascii="Arial" w:hAnsi="Arial" w:cs="Arial"/>
            <w:noProof/>
            <w:color w:val="000000"/>
            <w:sz w:val="24"/>
            <w:szCs w:val="24"/>
          </w:rPr>
          <w:tag w:val="MENDELEY_CITATION_v3_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"/>
          <w:id w:val="1829940519"/>
          <w:placeholder>
            <w:docPart w:val="DefaultPlaceholder_-1854013440"/>
          </w:placeholder>
        </w:sdtPr>
        <w:sdtEndPr/>
        <w:sdtContent>
          <w:r w:rsidR="00B21073" w:rsidRPr="00B21073">
            <w:rPr>
              <w:rFonts w:ascii="Arial" w:hAnsi="Arial" w:cs="Arial"/>
              <w:noProof/>
              <w:color w:val="000000"/>
              <w:sz w:val="24"/>
              <w:szCs w:val="24"/>
            </w:rPr>
            <w:t>(Office for National Statistics, 2023)</w:t>
          </w:r>
        </w:sdtContent>
      </w:sdt>
      <w:r w:rsidR="002F13F2" w:rsidRPr="00A1526E">
        <w:rPr>
          <w:rFonts w:ascii="Arial" w:hAnsi="Arial" w:cs="Arial"/>
          <w:noProof/>
          <w:color w:val="000000"/>
          <w:sz w:val="24"/>
          <w:szCs w:val="24"/>
        </w:rPr>
        <w:t>.</w:t>
      </w:r>
      <w:r w:rsidR="004C495C" w:rsidRPr="00A1526E">
        <w:rPr>
          <w:rFonts w:ascii="Arial" w:hAnsi="Arial" w:cs="Arial"/>
          <w:noProof/>
          <w:color w:val="000000"/>
          <w:sz w:val="24"/>
          <w:szCs w:val="24"/>
        </w:rPr>
        <w:t xml:space="preserve"> </w:t>
      </w:r>
      <w:r w:rsidR="004C495C" w:rsidRPr="00A1526E">
        <w:rPr>
          <w:rFonts w:ascii="Arial" w:eastAsia="Times New Roman" w:hAnsi="Arial" w:cs="Arial"/>
          <w:sz w:val="24"/>
          <w:szCs w:val="24"/>
          <w:lang w:eastAsia="en-GB"/>
        </w:rPr>
        <w:t>Similar</w:t>
      </w:r>
      <w:r w:rsidR="00177ACC">
        <w:rPr>
          <w:rFonts w:ascii="Arial" w:eastAsia="Times New Roman" w:hAnsi="Arial" w:cs="Arial"/>
          <w:sz w:val="24"/>
          <w:szCs w:val="24"/>
          <w:lang w:eastAsia="en-GB"/>
        </w:rPr>
        <w:t xml:space="preserve"> to that of diabetes and obesity</w:t>
      </w:r>
      <w:r w:rsidR="004C495C" w:rsidRPr="00A1526E">
        <w:rPr>
          <w:rFonts w:ascii="Arial" w:eastAsia="Times New Roman" w:hAnsi="Arial" w:cs="Arial"/>
          <w:sz w:val="24"/>
          <w:szCs w:val="24"/>
          <w:lang w:eastAsia="en-GB"/>
        </w:rPr>
        <w:t xml:space="preserve">, the geographic variation seen in smoking prevalence aligns with variation in respiratory illness, as smoking remains a dominant contributor to chronic respiratory disease and exacerbates existing conditions. These patterns demonstrate how behavioural and clinical indicators often </w:t>
      </w:r>
      <w:r w:rsidR="004C495C" w:rsidRPr="00A1526E">
        <w:rPr>
          <w:rFonts w:ascii="Arial" w:eastAsia="Times New Roman" w:hAnsi="Arial" w:cs="Arial"/>
          <w:sz w:val="24"/>
          <w:szCs w:val="24"/>
          <w:lang w:eastAsia="en-GB"/>
        </w:rPr>
        <w:lastRenderedPageBreak/>
        <w:t xml:space="preserve">work in tandem, clustering within communities and reinforcing underlying health inequalities </w:t>
      </w:r>
      <w:sdt>
        <w:sdtPr>
          <w:rPr>
            <w:rFonts w:ascii="Arial" w:eastAsia="Times New Roman" w:hAnsi="Arial" w:cs="Arial"/>
            <w:color w:val="000000"/>
            <w:sz w:val="24"/>
            <w:szCs w:val="24"/>
            <w:lang w:eastAsia="en-GB"/>
          </w:rPr>
          <w:tag w:val="MENDELEY_CITATION_v3_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"/>
          <w:id w:val="1388921898"/>
          <w:placeholder>
            <w:docPart w:val="DefaultPlaceholder_-1854013440"/>
          </w:placeholder>
        </w:sdtPr>
        <w:sdtEndPr/>
        <w:sdtContent>
          <w:r w:rsidR="00B21073" w:rsidRPr="00B21073">
            <w:rPr>
              <w:rFonts w:ascii="Arial" w:eastAsia="Times New Roman" w:hAnsi="Arial" w:cs="Arial"/>
              <w:color w:val="000000"/>
              <w:sz w:val="24"/>
              <w:szCs w:val="24"/>
              <w:lang w:eastAsia="en-GB"/>
            </w:rPr>
            <w:t>(Williams et al., 2022)</w:t>
          </w:r>
        </w:sdtContent>
      </w:sdt>
      <w:r w:rsidR="005D2A1F" w:rsidRPr="00A1526E">
        <w:rPr>
          <w:rFonts w:ascii="Arial" w:eastAsia="Times New Roman" w:hAnsi="Arial" w:cs="Arial"/>
          <w:color w:val="000000"/>
          <w:sz w:val="24"/>
          <w:szCs w:val="24"/>
          <w:lang w:eastAsia="en-GB"/>
        </w:rPr>
        <w:t>.</w:t>
      </w:r>
    </w:p>
    <w:p w14:paraId="57430675" w14:textId="1308B5B1" w:rsidR="00227E6C" w:rsidRDefault="00D52BD1" w:rsidP="00A1526E">
      <w:pPr>
        <w:spacing w:line="360" w:lineRule="auto"/>
        <w:rPr>
          <w:rFonts w:ascii="Arial" w:hAnsi="Arial" w:cs="Arial"/>
          <w:noProof/>
          <w:color w:val="000000"/>
          <w:sz w:val="24"/>
          <w:szCs w:val="24"/>
        </w:rPr>
      </w:pPr>
      <w:r w:rsidRPr="00A1526E">
        <w:rPr>
          <w:rFonts w:ascii="Arial" w:hAnsi="Arial" w:cs="Arial"/>
          <w:noProof/>
          <w:sz w:val="24"/>
          <w:szCs w:val="24"/>
        </w:rPr>
        <w:t>Self</w:t>
      </w:r>
      <w:r w:rsidRPr="00A1526E">
        <w:rPr>
          <w:rFonts w:ascii="Arial" w:hAnsi="Arial" w:cs="Arial"/>
          <w:noProof/>
          <w:sz w:val="24"/>
          <w:szCs w:val="24"/>
        </w:rPr>
        <w:noBreakHyphen/>
        <w:t xml:space="preserve">reported poor or fair health shows one of the highest levels of variability in the dataset. With a mean of 21.47, range of 14-34, and a standard deviation of 5.054, this indicator </w:t>
      </w:r>
      <w:r w:rsidR="00E41901" w:rsidRPr="00A1526E">
        <w:rPr>
          <w:rFonts w:ascii="Arial" w:hAnsi="Arial" w:cs="Arial"/>
          <w:noProof/>
          <w:sz w:val="24"/>
          <w:szCs w:val="24"/>
        </w:rPr>
        <w:t>reveals</w:t>
      </w:r>
      <w:r w:rsidRPr="00A1526E">
        <w:rPr>
          <w:rFonts w:ascii="Arial" w:hAnsi="Arial" w:cs="Arial"/>
          <w:noProof/>
          <w:sz w:val="24"/>
          <w:szCs w:val="24"/>
        </w:rPr>
        <w:t xml:space="preserve"> substantial geographic inequality. Self</w:t>
      </w:r>
      <w:r w:rsidRPr="00A1526E">
        <w:rPr>
          <w:rFonts w:ascii="Arial" w:hAnsi="Arial" w:cs="Arial"/>
          <w:noProof/>
          <w:sz w:val="24"/>
          <w:szCs w:val="24"/>
        </w:rPr>
        <w:noBreakHyphen/>
        <w:t>rated health reflects a combination of physical, mental, and social wellbeing</w:t>
      </w:r>
      <w:r w:rsidR="004E1EDF" w:rsidRPr="00A1526E">
        <w:rPr>
          <w:rFonts w:ascii="Arial" w:hAnsi="Arial" w:cs="Arial"/>
          <w:noProof/>
          <w:sz w:val="24"/>
          <w:szCs w:val="24"/>
        </w:rPr>
        <w:t xml:space="preserve"> and t</w:t>
      </w:r>
      <w:r w:rsidRPr="00A1526E">
        <w:rPr>
          <w:rFonts w:ascii="Arial" w:hAnsi="Arial" w:cs="Arial"/>
          <w:noProof/>
          <w:sz w:val="24"/>
          <w:szCs w:val="24"/>
        </w:rPr>
        <w:t>he wide variation between USOAs likely corresponds to differences in deprivation, long</w:t>
      </w:r>
      <w:r w:rsidRPr="00A1526E">
        <w:rPr>
          <w:rFonts w:ascii="Arial" w:hAnsi="Arial" w:cs="Arial"/>
          <w:noProof/>
          <w:sz w:val="24"/>
          <w:szCs w:val="24"/>
        </w:rPr>
        <w:noBreakHyphen/>
        <w:t>term illness burden, environmental conditions, and access to health and social care</w:t>
      </w:r>
      <w:r w:rsidR="004E1EDF" w:rsidRPr="00A1526E">
        <w:rPr>
          <w:rFonts w:ascii="Arial" w:hAnsi="Arial" w:cs="Arial"/>
          <w:noProof/>
          <w:sz w:val="24"/>
          <w:szCs w:val="24"/>
        </w:rPr>
        <w:t xml:space="preserve"> </w:t>
      </w:r>
      <w:sdt>
        <w:sdtPr>
          <w:rPr>
            <w:rFonts w:ascii="Arial" w:hAnsi="Arial" w:cs="Arial"/>
            <w:noProof/>
            <w:color w:val="000000"/>
            <w:sz w:val="24"/>
            <w:szCs w:val="24"/>
          </w:rPr>
          <w:tag w:val="MENDELEY_CITATION_v3_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"/>
          <w:id w:val="-961887541"/>
          <w:placeholder>
            <w:docPart w:val="DefaultPlaceholder_-1854013440"/>
          </w:placeholder>
        </w:sdtPr>
        <w:sdtEndPr/>
        <w:sdtContent>
          <w:r w:rsidR="00B21073" w:rsidRPr="00B21073">
            <w:rPr>
              <w:rFonts w:ascii="Arial" w:hAnsi="Arial" w:cs="Arial"/>
              <w:noProof/>
              <w:color w:val="000000"/>
              <w:sz w:val="24"/>
              <w:szCs w:val="24"/>
            </w:rPr>
            <w:t>(Zhang et al., 2013)</w:t>
          </w:r>
        </w:sdtContent>
      </w:sdt>
      <w:r w:rsidRPr="00A1526E">
        <w:rPr>
          <w:rFonts w:ascii="Arial" w:hAnsi="Arial" w:cs="Arial"/>
          <w:noProof/>
          <w:sz w:val="24"/>
          <w:szCs w:val="24"/>
        </w:rPr>
        <w:t>.</w:t>
      </w:r>
      <w:r w:rsidR="00E41901" w:rsidRPr="00A1526E">
        <w:rPr>
          <w:rFonts w:ascii="Arial" w:hAnsi="Arial" w:cs="Arial"/>
          <w:noProof/>
          <w:sz w:val="24"/>
          <w:szCs w:val="24"/>
        </w:rPr>
        <w:t xml:space="preserve"> It is </w:t>
      </w:r>
      <w:r w:rsidR="004E1EDF" w:rsidRPr="00A1526E">
        <w:rPr>
          <w:rFonts w:ascii="Arial" w:hAnsi="Arial" w:cs="Arial"/>
          <w:noProof/>
          <w:sz w:val="24"/>
          <w:szCs w:val="24"/>
        </w:rPr>
        <w:t xml:space="preserve">also </w:t>
      </w:r>
      <w:r w:rsidR="00E41901" w:rsidRPr="00A1526E">
        <w:rPr>
          <w:rFonts w:ascii="Arial" w:hAnsi="Arial" w:cs="Arial"/>
          <w:noProof/>
          <w:sz w:val="24"/>
          <w:szCs w:val="24"/>
        </w:rPr>
        <w:t xml:space="preserve">important to consider that </w:t>
      </w:r>
      <w:r w:rsidR="004E1EDF" w:rsidRPr="00A1526E">
        <w:rPr>
          <w:rFonts w:ascii="Arial" w:hAnsi="Arial" w:cs="Arial"/>
          <w:noProof/>
          <w:sz w:val="24"/>
          <w:szCs w:val="24"/>
        </w:rPr>
        <w:t xml:space="preserve">whilst </w:t>
      </w:r>
      <w:r w:rsidR="00E41901" w:rsidRPr="00A1526E">
        <w:rPr>
          <w:rFonts w:ascii="Arial" w:hAnsi="Arial" w:cs="Arial"/>
          <w:noProof/>
          <w:sz w:val="24"/>
          <w:szCs w:val="24"/>
        </w:rPr>
        <w:t>self-rated health</w:t>
      </w:r>
      <w:r w:rsidR="004E1EDF" w:rsidRPr="00A1526E">
        <w:rPr>
          <w:rFonts w:ascii="Arial" w:hAnsi="Arial" w:cs="Arial"/>
          <w:noProof/>
          <w:sz w:val="24"/>
          <w:szCs w:val="24"/>
        </w:rPr>
        <w:t xml:space="preserve"> can be a powerful summary measure of overall wellbeing, it is</w:t>
      </w:r>
      <w:r w:rsidR="00E41901" w:rsidRPr="00A1526E">
        <w:rPr>
          <w:rFonts w:ascii="Arial" w:hAnsi="Arial" w:cs="Arial"/>
          <w:noProof/>
          <w:sz w:val="24"/>
          <w:szCs w:val="24"/>
        </w:rPr>
        <w:t xml:space="preserve"> inherently subjective and should be interpreted with caution </w:t>
      </w:r>
      <w:sdt>
        <w:sdtPr>
          <w:rPr>
            <w:rFonts w:ascii="Arial" w:hAnsi="Arial" w:cs="Arial"/>
            <w:noProof/>
            <w:color w:val="000000"/>
            <w:sz w:val="24"/>
            <w:szCs w:val="24"/>
          </w:rPr>
          <w:tag w:val="MENDELEY_CITATION_v3_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"/>
          <w:id w:val="1558979274"/>
          <w:placeholder>
            <w:docPart w:val="DefaultPlaceholder_-1854013440"/>
          </w:placeholder>
        </w:sdtPr>
        <w:sdtEndPr/>
        <w:sdtContent>
          <w:r w:rsidR="00B21073" w:rsidRPr="00B21073">
            <w:rPr>
              <w:rFonts w:ascii="Arial" w:hAnsi="Arial" w:cs="Arial"/>
              <w:noProof/>
              <w:color w:val="000000"/>
              <w:sz w:val="24"/>
              <w:szCs w:val="24"/>
            </w:rPr>
            <w:t>(Bombak, 2013)</w:t>
          </w:r>
        </w:sdtContent>
      </w:sdt>
      <w:r w:rsidR="00E41901" w:rsidRPr="00A1526E">
        <w:rPr>
          <w:rFonts w:ascii="Arial" w:hAnsi="Arial" w:cs="Arial"/>
          <w:noProof/>
          <w:color w:val="000000"/>
          <w:sz w:val="24"/>
          <w:szCs w:val="24"/>
        </w:rPr>
        <w:t>.</w:t>
      </w:r>
    </w:p>
    <w:p w14:paraId="15A9A2EC" w14:textId="2279FD65" w:rsidR="006D7C86" w:rsidRDefault="006D7C86" w:rsidP="00A1526E">
      <w:pPr>
        <w:spacing w:line="360" w:lineRule="auto"/>
        <w:rPr>
          <w:rFonts w:ascii="Arial" w:hAnsi="Arial" w:cs="Arial"/>
          <w:noProof/>
          <w:color w:val="000000"/>
          <w:sz w:val="24"/>
          <w:szCs w:val="24"/>
        </w:rPr>
      </w:pPr>
      <w:r>
        <w:rPr>
          <w:rFonts w:ascii="Arial" w:hAnsi="Arial" w:cs="Arial"/>
          <w:noProof/>
          <w:color w:val="000000"/>
          <w:sz w:val="24"/>
          <w:szCs w:val="24"/>
        </w:rPr>
        <w:object w:dxaOrig="3001" w:dyaOrig="811" w14:anchorId="58F274F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49.6pt;height:40.2pt" o:ole="">
            <v:imagedata r:id="rId8" o:title=""/>
          </v:shape>
          <o:OLEObject Type="Embed" ProgID="Package" ShapeID="_x0000_i1025" DrawAspect="Content" ObjectID="_1839180123" r:id="rId9"/>
        </w:object>
      </w:r>
    </w:p>
    <w:p w14:paraId="5C2D9112" w14:textId="5B23376E" w:rsidR="00350F71" w:rsidRPr="00350F71" w:rsidRDefault="00A1526E" w:rsidP="00350F71">
      <w:pPr>
        <w:pStyle w:val="Heading2"/>
        <w:rPr>
          <w:rFonts w:ascii="Arial" w:hAnsi="Arial" w:cs="Arial"/>
          <w:b/>
          <w:bCs/>
          <w:noProof/>
          <w:color w:val="auto"/>
          <w:sz w:val="24"/>
          <w:szCs w:val="24"/>
        </w:rPr>
      </w:pPr>
      <w:r w:rsidRPr="00443415">
        <w:rPr>
          <w:rFonts w:ascii="Arial" w:hAnsi="Arial" w:cs="Arial"/>
          <w:b/>
          <w:bCs/>
          <w:noProof/>
          <w:color w:val="auto"/>
          <w:sz w:val="24"/>
          <w:szCs w:val="24"/>
        </w:rPr>
        <w:t xml:space="preserve">Forest </w:t>
      </w:r>
      <w:r w:rsidR="00443415" w:rsidRPr="00443415">
        <w:rPr>
          <w:rFonts w:ascii="Arial" w:hAnsi="Arial" w:cs="Arial"/>
          <w:b/>
          <w:bCs/>
          <w:noProof/>
          <w:color w:val="auto"/>
          <w:sz w:val="24"/>
          <w:szCs w:val="24"/>
        </w:rPr>
        <w:t>p</w:t>
      </w:r>
      <w:r w:rsidRPr="00443415">
        <w:rPr>
          <w:rFonts w:ascii="Arial" w:hAnsi="Arial" w:cs="Arial"/>
          <w:b/>
          <w:bCs/>
          <w:noProof/>
          <w:color w:val="auto"/>
          <w:sz w:val="24"/>
          <w:szCs w:val="24"/>
        </w:rPr>
        <w:t>lot</w:t>
      </w:r>
      <w:r w:rsidR="00443415" w:rsidRPr="00443415">
        <w:rPr>
          <w:rFonts w:ascii="Arial" w:hAnsi="Arial" w:cs="Arial"/>
          <w:b/>
          <w:bCs/>
          <w:noProof/>
          <w:color w:val="auto"/>
          <w:sz w:val="24"/>
          <w:szCs w:val="24"/>
        </w:rPr>
        <w:t xml:space="preserve"> graph</w:t>
      </w:r>
      <w:r w:rsidRPr="00443415">
        <w:rPr>
          <w:rFonts w:ascii="Arial" w:hAnsi="Arial" w:cs="Arial"/>
          <w:b/>
          <w:bCs/>
          <w:noProof/>
          <w:color w:val="auto"/>
          <w:sz w:val="24"/>
          <w:szCs w:val="24"/>
        </w:rPr>
        <w:t xml:space="preserve"> – Data file 2</w:t>
      </w:r>
    </w:p>
    <w:p w14:paraId="64657C22" w14:textId="68A34176" w:rsidR="00A15D86" w:rsidRDefault="00A15D86" w:rsidP="00A15D86">
      <w:pPr>
        <w:spacing w:line="360" w:lineRule="auto"/>
        <w:rPr>
          <w:rFonts w:ascii="Arial" w:hAnsi="Arial" w:cs="Arial"/>
          <w:sz w:val="24"/>
          <w:szCs w:val="24"/>
        </w:rPr>
      </w:pPr>
      <w:r w:rsidRPr="00A1526E">
        <w:rPr>
          <w:rFonts w:ascii="Arial" w:hAnsi="Arial" w:cs="Arial"/>
          <w:noProof/>
        </w:rPr>
        <w:drawing>
          <wp:anchor distT="0" distB="0" distL="114300" distR="114300" simplePos="0" relativeHeight="251658240" behindDoc="1" locked="0" layoutInCell="1" allowOverlap="1" wp14:anchorId="092BA690" wp14:editId="429F7478">
            <wp:simplePos x="0" y="0"/>
            <wp:positionH relativeFrom="margin">
              <wp:align>center</wp:align>
            </wp:positionH>
            <wp:positionV relativeFrom="page">
              <wp:posOffset>5431878</wp:posOffset>
            </wp:positionV>
            <wp:extent cx="6334125" cy="3623945"/>
            <wp:effectExtent l="0" t="0" r="9525" b="0"/>
            <wp:wrapTight wrapText="bothSides">
              <wp:wrapPolygon edited="0">
                <wp:start x="0" y="0"/>
                <wp:lineTo x="0" y="21460"/>
                <wp:lineTo x="21568" y="21460"/>
                <wp:lineTo x="2156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r="15049"/>
                    <a:stretch/>
                  </pic:blipFill>
                  <pic:spPr bwMode="auto">
                    <a:xfrm>
                      <a:off x="0" y="0"/>
                      <a:ext cx="6334125" cy="36239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345A2" w:rsidRPr="00A1526E">
        <w:rPr>
          <w:rFonts w:ascii="Arial" w:hAnsi="Arial" w:cs="Arial"/>
          <w:sz w:val="24"/>
          <w:szCs w:val="24"/>
        </w:rPr>
        <w:t xml:space="preserve">To complement the data in Table 1, a forest plot was produced to visualise the disease incidence of respiratory illness across the 94 USOAs in Wales. </w:t>
      </w:r>
    </w:p>
    <w:p w14:paraId="19F3F50C" w14:textId="513CDCAC" w:rsidR="00A15D86" w:rsidRPr="00A15D86" w:rsidRDefault="00A15D86" w:rsidP="00A15D86">
      <w:pPr>
        <w:spacing w:line="360" w:lineRule="auto"/>
        <w:rPr>
          <w:rFonts w:ascii="Arial" w:hAnsi="Arial" w:cs="Arial"/>
          <w:sz w:val="24"/>
          <w:szCs w:val="24"/>
        </w:rPr>
      </w:pPr>
      <w:r>
        <w:rPr>
          <w:rFonts w:ascii="Arial" w:hAnsi="Arial" w:cs="Arial"/>
          <w:i/>
          <w:iCs/>
        </w:rPr>
        <w:br/>
      </w:r>
      <w:r w:rsidRPr="0047442C">
        <w:rPr>
          <w:rFonts w:ascii="Arial" w:hAnsi="Arial" w:cs="Arial"/>
          <w:i/>
          <w:iCs/>
          <w:sz w:val="24"/>
          <w:szCs w:val="24"/>
        </w:rPr>
        <w:t xml:space="preserve">Fig.1 – Forest plot of respiratory illness prevalence across USOAs </w:t>
      </w:r>
      <w:sdt>
        <w:sdtPr>
          <w:rPr>
            <w:rFonts w:ascii="Arial" w:hAnsi="Arial" w:cs="Arial"/>
            <w:i/>
            <w:iCs/>
            <w:color w:val="000000"/>
            <w:sz w:val="24"/>
            <w:szCs w:val="24"/>
          </w:rPr>
          <w:tag w:val="MENDELEY_CITATION_v3_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"/>
          <w:id w:val="778297528"/>
          <w:placeholder>
            <w:docPart w:val="1C4D2DD0C4FF4427914343DB193FE1E3"/>
          </w:placeholder>
        </w:sdtPr>
        <w:sdtContent>
          <w:r w:rsidRPr="0047442C">
            <w:rPr>
              <w:rFonts w:ascii="Arial" w:hAnsi="Arial" w:cs="Arial"/>
              <w:i/>
              <w:iCs/>
              <w:color w:val="000000"/>
              <w:sz w:val="24"/>
              <w:szCs w:val="24"/>
            </w:rPr>
            <w:t>(Public Health Wales Observatory, 2012)</w:t>
          </w:r>
        </w:sdtContent>
      </w:sdt>
    </w:p>
    <w:p w14:paraId="397B3E5B" w14:textId="36D45067" w:rsidR="007C0701" w:rsidRPr="00B21073" w:rsidRDefault="00A15D86" w:rsidP="00B21073">
      <w:pPr>
        <w:spacing w:line="360" w:lineRule="auto"/>
        <w:rPr>
          <w:rFonts w:ascii="Arial" w:hAnsi="Arial" w:cs="Arial"/>
          <w:sz w:val="24"/>
          <w:szCs w:val="24"/>
        </w:rPr>
      </w:pPr>
      <w:r>
        <w:rPr>
          <w:rFonts w:ascii="Arial" w:hAnsi="Arial" w:cs="Arial"/>
          <w:sz w:val="24"/>
          <w:szCs w:val="24"/>
        </w:rPr>
        <w:br w:type="page"/>
      </w:r>
      <w:r w:rsidRPr="00A1526E">
        <w:rPr>
          <w:rFonts w:ascii="Arial" w:hAnsi="Arial" w:cs="Arial"/>
          <w:sz w:val="24"/>
          <w:szCs w:val="24"/>
        </w:rPr>
        <w:lastRenderedPageBreak/>
        <w:t>Whilst the descriptive table summarises the overall distribution numerically, the forest plot provides a clearer picture of how individual areas compare with the All</w:t>
      </w:r>
      <w:r w:rsidRPr="00A1526E">
        <w:rPr>
          <w:rFonts w:ascii="Arial" w:hAnsi="Arial" w:cs="Arial"/>
          <w:sz w:val="24"/>
          <w:szCs w:val="24"/>
        </w:rPr>
        <w:noBreakHyphen/>
        <w:t>Wales mean</w:t>
      </w:r>
      <w:r>
        <w:rPr>
          <w:rFonts w:ascii="Arial" w:hAnsi="Arial" w:cs="Arial"/>
          <w:sz w:val="24"/>
          <w:szCs w:val="24"/>
        </w:rPr>
        <w:t xml:space="preserve"> (14)</w:t>
      </w:r>
      <w:r w:rsidRPr="00A1526E">
        <w:rPr>
          <w:rFonts w:ascii="Arial" w:hAnsi="Arial" w:cs="Arial"/>
          <w:sz w:val="24"/>
          <w:szCs w:val="24"/>
        </w:rPr>
        <w:t xml:space="preserve"> and with each other. Each point represents a single USOA, with horizontal lines showing the associated confidence intervals. The vertical reference line indicates the </w:t>
      </w:r>
      <w:r w:rsidR="007345A2" w:rsidRPr="00A1526E">
        <w:rPr>
          <w:rFonts w:ascii="Arial" w:hAnsi="Arial" w:cs="Arial"/>
          <w:sz w:val="24"/>
          <w:szCs w:val="24"/>
        </w:rPr>
        <w:t>Welsh average, enabling quick identification of areas where respiratory illness is statistically higher or lower than expected.</w:t>
      </w:r>
    </w:p>
    <w:p w14:paraId="5E0F0D69" w14:textId="0B5DD7D5" w:rsidR="00C50F4A" w:rsidRPr="00A1526E" w:rsidRDefault="00C50F4A" w:rsidP="00A1526E">
      <w:pPr>
        <w:pStyle w:val="NormalWeb"/>
        <w:spacing w:line="360" w:lineRule="auto"/>
        <w:rPr>
          <w:rFonts w:ascii="Arial" w:hAnsi="Arial" w:cs="Arial"/>
        </w:rPr>
      </w:pPr>
      <w:r w:rsidRPr="00A1526E">
        <w:rPr>
          <w:rFonts w:ascii="Arial" w:hAnsi="Arial" w:cs="Arial"/>
        </w:rPr>
        <w:t xml:space="preserve">A confidence interval (CI) provides a range of values within which the true population estimate is likely to fall. In the forest plot, each USOA has a point estimate for respiratory illness prevalence, accompanied by a horizontal line representing its confidence interval. A narrower interval usually </w:t>
      </w:r>
      <w:r w:rsidR="00177ACC">
        <w:rPr>
          <w:rFonts w:ascii="Arial" w:hAnsi="Arial" w:cs="Arial"/>
        </w:rPr>
        <w:t>indicates</w:t>
      </w:r>
      <w:r w:rsidRPr="00A1526E">
        <w:rPr>
          <w:rFonts w:ascii="Arial" w:hAnsi="Arial" w:cs="Arial"/>
        </w:rPr>
        <w:t xml:space="preserve"> a larger sample size or more stable underlying data</w:t>
      </w:r>
      <w:r w:rsidR="00177ACC">
        <w:rPr>
          <w:rFonts w:ascii="Arial" w:hAnsi="Arial" w:cs="Arial"/>
        </w:rPr>
        <w:t>, whilst</w:t>
      </w:r>
      <w:r w:rsidRPr="00A1526E">
        <w:rPr>
          <w:rFonts w:ascii="Arial" w:hAnsi="Arial" w:cs="Arial"/>
        </w:rPr>
        <w:t xml:space="preserve"> </w:t>
      </w:r>
      <w:r w:rsidR="00177ACC">
        <w:rPr>
          <w:rFonts w:ascii="Arial" w:hAnsi="Arial" w:cs="Arial"/>
        </w:rPr>
        <w:t>w</w:t>
      </w:r>
      <w:r w:rsidRPr="00A1526E">
        <w:rPr>
          <w:rFonts w:ascii="Arial" w:hAnsi="Arial" w:cs="Arial"/>
        </w:rPr>
        <w:t>ider intervals suggest greater uncertainty, often due to smaller populations or more varia</w:t>
      </w:r>
      <w:r w:rsidR="00177ACC">
        <w:rPr>
          <w:rFonts w:ascii="Arial" w:hAnsi="Arial" w:cs="Arial"/>
        </w:rPr>
        <w:t>tion in results</w:t>
      </w:r>
      <w:r w:rsidRPr="00A1526E">
        <w:rPr>
          <w:rFonts w:ascii="Arial" w:hAnsi="Arial" w:cs="Arial"/>
        </w:rPr>
        <w:t>. Interpreting CIs is essential because they help</w:t>
      </w:r>
      <w:r w:rsidR="005D0357">
        <w:rPr>
          <w:rFonts w:ascii="Arial" w:hAnsi="Arial" w:cs="Arial"/>
        </w:rPr>
        <w:t xml:space="preserve"> to identify trends and</w:t>
      </w:r>
      <w:r w:rsidRPr="00A1526E">
        <w:rPr>
          <w:rFonts w:ascii="Arial" w:hAnsi="Arial" w:cs="Arial"/>
        </w:rPr>
        <w:t xml:space="preserve"> determine whether differences between areas are likely to be meaningful or simply due to sampling variability</w:t>
      </w:r>
      <w:r w:rsidR="005D0357">
        <w:rPr>
          <w:rFonts w:ascii="Arial" w:hAnsi="Arial" w:cs="Arial"/>
        </w:rPr>
        <w:t xml:space="preserve"> </w:t>
      </w:r>
      <w:sdt>
        <w:sdtPr>
          <w:rPr>
            <w:rFonts w:ascii="Arial" w:hAnsi="Arial" w:cs="Arial"/>
            <w:color w:val="000000"/>
          </w:rPr>
          <w:tag w:val="MENDELEY_CITATION_v3_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"/>
          <w:id w:val="-191695037"/>
          <w:placeholder>
            <w:docPart w:val="DefaultPlaceholder_-1854013440"/>
          </w:placeholder>
        </w:sdtPr>
        <w:sdtEndPr/>
        <w:sdtContent>
          <w:r w:rsidR="00B21073" w:rsidRPr="00B21073">
            <w:rPr>
              <w:rFonts w:ascii="Arial" w:hAnsi="Arial" w:cs="Arial"/>
              <w:color w:val="000000"/>
            </w:rPr>
            <w:t>(</w:t>
          </w:r>
          <w:proofErr w:type="spellStart"/>
          <w:r w:rsidR="00B21073" w:rsidRPr="00B21073">
            <w:rPr>
              <w:rFonts w:ascii="Arial" w:hAnsi="Arial" w:cs="Arial"/>
              <w:color w:val="000000"/>
            </w:rPr>
            <w:t>Fernainy</w:t>
          </w:r>
          <w:proofErr w:type="spellEnd"/>
          <w:r w:rsidR="00B21073" w:rsidRPr="00B21073">
            <w:rPr>
              <w:rFonts w:ascii="Arial" w:hAnsi="Arial" w:cs="Arial"/>
              <w:color w:val="000000"/>
            </w:rPr>
            <w:t xml:space="preserve"> &amp; </w:t>
          </w:r>
          <w:proofErr w:type="spellStart"/>
          <w:r w:rsidR="00B21073" w:rsidRPr="00B21073">
            <w:rPr>
              <w:rFonts w:ascii="Arial" w:hAnsi="Arial" w:cs="Arial"/>
              <w:color w:val="000000"/>
            </w:rPr>
            <w:t>Sourial</w:t>
          </w:r>
          <w:proofErr w:type="spellEnd"/>
          <w:r w:rsidR="00B21073" w:rsidRPr="00B21073">
            <w:rPr>
              <w:rFonts w:ascii="Arial" w:hAnsi="Arial" w:cs="Arial"/>
              <w:color w:val="000000"/>
            </w:rPr>
            <w:t>, 2022)</w:t>
          </w:r>
        </w:sdtContent>
      </w:sdt>
      <w:r w:rsidRPr="00A1526E">
        <w:rPr>
          <w:rFonts w:ascii="Arial" w:hAnsi="Arial" w:cs="Arial"/>
        </w:rPr>
        <w:t>.</w:t>
      </w:r>
    </w:p>
    <w:p w14:paraId="5AF0121B" w14:textId="68CFF329" w:rsidR="00C50F4A" w:rsidRDefault="00C50F4A" w:rsidP="00A1526E">
      <w:pPr>
        <w:pStyle w:val="NormalWeb"/>
        <w:spacing w:line="360" w:lineRule="auto"/>
        <w:rPr>
          <w:rFonts w:ascii="Arial" w:hAnsi="Arial" w:cs="Arial"/>
        </w:rPr>
      </w:pPr>
      <w:r w:rsidRPr="00A1526E">
        <w:rPr>
          <w:rFonts w:ascii="Arial" w:hAnsi="Arial" w:cs="Arial"/>
        </w:rPr>
        <w:t>The forest plot illustrates notable variation in respiratory illness prevalence across USOAs. While many areas cluster around the All</w:t>
      </w:r>
      <w:r w:rsidRPr="00A1526E">
        <w:rPr>
          <w:rFonts w:ascii="Arial" w:hAnsi="Arial" w:cs="Arial"/>
        </w:rPr>
        <w:noBreakHyphen/>
        <w:t xml:space="preserve">Wales average, several stand out with confidence intervals that sit clearly to the right of the </w:t>
      </w:r>
      <w:r w:rsidR="00B21073">
        <w:rPr>
          <w:rFonts w:ascii="Arial" w:hAnsi="Arial" w:cs="Arial"/>
        </w:rPr>
        <w:t>reference line (All Wales average)</w:t>
      </w:r>
      <w:r w:rsidRPr="00A1526E">
        <w:rPr>
          <w:rFonts w:ascii="Arial" w:hAnsi="Arial" w:cs="Arial"/>
        </w:rPr>
        <w:t xml:space="preserve">, indicating significantly higher levels of respiratory illness. These areas represent potential hotspots </w:t>
      </w:r>
      <w:proofErr w:type="gramStart"/>
      <w:r w:rsidRPr="00A1526E">
        <w:rPr>
          <w:rFonts w:ascii="Arial" w:hAnsi="Arial" w:cs="Arial"/>
        </w:rPr>
        <w:t>where</w:t>
      </w:r>
      <w:proofErr w:type="gramEnd"/>
      <w:r w:rsidRPr="00A1526E">
        <w:rPr>
          <w:rFonts w:ascii="Arial" w:hAnsi="Arial" w:cs="Arial"/>
        </w:rPr>
        <w:t xml:space="preserve"> environmental exposures, smoking prevalence, housing quality, or other structural determinants may be contributing to a greater local burden</w:t>
      </w:r>
      <w:r w:rsidR="00DB4BA0">
        <w:rPr>
          <w:rFonts w:ascii="Arial" w:hAnsi="Arial" w:cs="Arial"/>
        </w:rPr>
        <w:t xml:space="preserve"> </w:t>
      </w:r>
      <w:sdt>
        <w:sdtPr>
          <w:rPr>
            <w:rFonts w:ascii="Arial" w:hAnsi="Arial" w:cs="Arial"/>
            <w:color w:val="000000"/>
          </w:rPr>
          <w:tag w:val="MENDELEY_CITATION_v3_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"/>
          <w:id w:val="629665681"/>
          <w:placeholder>
            <w:docPart w:val="DefaultPlaceholder_-1854013440"/>
          </w:placeholder>
        </w:sdtPr>
        <w:sdtEndPr/>
        <w:sdtContent>
          <w:r w:rsidR="00B21073" w:rsidRPr="00B21073">
            <w:rPr>
              <w:rFonts w:ascii="Arial" w:hAnsi="Arial" w:cs="Arial"/>
              <w:color w:val="000000"/>
            </w:rPr>
            <w:t>(Horton et al., 2023)</w:t>
          </w:r>
        </w:sdtContent>
      </w:sdt>
      <w:r w:rsidRPr="00A1526E">
        <w:rPr>
          <w:rFonts w:ascii="Arial" w:hAnsi="Arial" w:cs="Arial"/>
        </w:rPr>
        <w:t>. Conversely, a smaller number of USOAs fall entirely to the left of the reference line, suggesting significantly lower prevalence than the national average. The variation in the width of the intervals also highlights differences in data precision</w:t>
      </w:r>
      <w:r w:rsidR="008176CC">
        <w:rPr>
          <w:rFonts w:ascii="Arial" w:hAnsi="Arial" w:cs="Arial"/>
        </w:rPr>
        <w:t>.</w:t>
      </w:r>
      <w:r w:rsidR="00A00133">
        <w:rPr>
          <w:rFonts w:ascii="Arial" w:hAnsi="Arial" w:cs="Arial"/>
        </w:rPr>
        <w:t xml:space="preserve"> </w:t>
      </w:r>
      <w:r w:rsidR="00A00133" w:rsidRPr="00A00133">
        <w:rPr>
          <w:rFonts w:ascii="Arial" w:hAnsi="Arial" w:cs="Arial"/>
        </w:rPr>
        <w:t>For example, USOAs with larger populations such as 3000027 and 3000079 show narrow, stable confidence intervals (9.5</w:t>
      </w:r>
      <w:r w:rsidR="00A00133">
        <w:rPr>
          <w:rFonts w:ascii="Arial" w:hAnsi="Arial" w:cs="Arial"/>
        </w:rPr>
        <w:t>-</w:t>
      </w:r>
      <w:r w:rsidR="00A00133" w:rsidRPr="00A00133">
        <w:rPr>
          <w:rFonts w:ascii="Arial" w:hAnsi="Arial" w:cs="Arial"/>
        </w:rPr>
        <w:t>12.5), whereas smalle</w:t>
      </w:r>
      <w:r w:rsidR="00A52DFB">
        <w:rPr>
          <w:rFonts w:ascii="Arial" w:hAnsi="Arial" w:cs="Arial"/>
        </w:rPr>
        <w:t xml:space="preserve">r </w:t>
      </w:r>
      <w:r w:rsidR="00A00133" w:rsidRPr="00A00133">
        <w:rPr>
          <w:rFonts w:ascii="Arial" w:hAnsi="Arial" w:cs="Arial"/>
        </w:rPr>
        <w:t>population USOAs such as 3000042 and 3000086 display much wider intervals (9.5</w:t>
      </w:r>
      <w:r w:rsidR="00A52DFB">
        <w:rPr>
          <w:rFonts w:ascii="Arial" w:hAnsi="Arial" w:cs="Arial"/>
        </w:rPr>
        <w:t>-</w:t>
      </w:r>
      <w:r w:rsidR="00A00133" w:rsidRPr="00A00133">
        <w:rPr>
          <w:rFonts w:ascii="Arial" w:hAnsi="Arial" w:cs="Arial"/>
        </w:rPr>
        <w:t>16.5 and 9.5</w:t>
      </w:r>
      <w:r w:rsidR="00A52DFB">
        <w:rPr>
          <w:rFonts w:ascii="Arial" w:hAnsi="Arial" w:cs="Arial"/>
        </w:rPr>
        <w:t>-</w:t>
      </w:r>
      <w:r w:rsidR="00A00133" w:rsidRPr="00A00133">
        <w:rPr>
          <w:rFonts w:ascii="Arial" w:hAnsi="Arial" w:cs="Arial"/>
        </w:rPr>
        <w:t>14.5</w:t>
      </w:r>
      <w:r w:rsidR="00A00133">
        <w:rPr>
          <w:rFonts w:ascii="Arial" w:hAnsi="Arial" w:cs="Arial"/>
        </w:rPr>
        <w:t xml:space="preserve"> respectively</w:t>
      </w:r>
      <w:r w:rsidR="00A00133" w:rsidRPr="00A00133">
        <w:rPr>
          <w:rFonts w:ascii="Arial" w:hAnsi="Arial" w:cs="Arial"/>
        </w:rPr>
        <w:t>)</w:t>
      </w:r>
      <w:r w:rsidR="00A00133">
        <w:rPr>
          <w:rFonts w:ascii="Arial" w:hAnsi="Arial" w:cs="Arial"/>
        </w:rPr>
        <w:t xml:space="preserve">. </w:t>
      </w:r>
      <w:r w:rsidRPr="00A1526E">
        <w:rPr>
          <w:rFonts w:ascii="Arial" w:hAnsi="Arial" w:cs="Arial"/>
        </w:rPr>
        <w:t>Overall, the plot reinforces the descriptive statistics by demonstrating that respiratory illness is not evenly distributed across Wales, with a subset of communities experiencing a disproportionate burden relative to the national level.</w:t>
      </w:r>
    </w:p>
    <w:p w14:paraId="0CB05699" w14:textId="07F7B34E" w:rsidR="006D7C86" w:rsidRDefault="006D7C86" w:rsidP="00A1526E">
      <w:pPr>
        <w:pStyle w:val="NormalWeb"/>
        <w:spacing w:line="360" w:lineRule="auto"/>
        <w:rPr>
          <w:rFonts w:ascii="Arial" w:hAnsi="Arial" w:cs="Arial"/>
        </w:rPr>
      </w:pPr>
      <w:r>
        <w:rPr>
          <w:rFonts w:ascii="Arial" w:hAnsi="Arial" w:cs="Arial"/>
        </w:rPr>
        <w:object w:dxaOrig="1455" w:dyaOrig="811" w14:anchorId="44A668F0">
          <v:shape id="_x0000_i1026" type="#_x0000_t75" style="width:72.95pt;height:40.2pt" o:ole="">
            <v:imagedata r:id="rId11" o:title=""/>
          </v:shape>
          <o:OLEObject Type="Embed" ProgID="Package" ShapeID="_x0000_i1026" DrawAspect="Content" ObjectID="_1839180124" r:id="rId12"/>
        </w:object>
      </w:r>
    </w:p>
    <w:p w14:paraId="0D0A557A" w14:textId="72BD44D8" w:rsidR="008B0355" w:rsidRPr="00350F71" w:rsidRDefault="008B0355" w:rsidP="00350F71">
      <w:pPr>
        <w:pStyle w:val="Heading2"/>
        <w:rPr>
          <w:rFonts w:ascii="Arial" w:hAnsi="Arial" w:cs="Arial"/>
          <w:b/>
          <w:bCs/>
          <w:color w:val="auto"/>
          <w:sz w:val="24"/>
          <w:szCs w:val="24"/>
        </w:rPr>
      </w:pPr>
      <w:r w:rsidRPr="00350F71">
        <w:rPr>
          <w:rFonts w:ascii="Arial" w:hAnsi="Arial" w:cs="Arial"/>
          <w:b/>
          <w:bCs/>
          <w:color w:val="auto"/>
          <w:sz w:val="24"/>
          <w:szCs w:val="24"/>
        </w:rPr>
        <w:t>Consideration</w:t>
      </w:r>
      <w:r w:rsidR="00D359AC" w:rsidRPr="00350F71">
        <w:rPr>
          <w:rFonts w:ascii="Arial" w:hAnsi="Arial" w:cs="Arial"/>
          <w:b/>
          <w:bCs/>
          <w:color w:val="auto"/>
          <w:sz w:val="24"/>
          <w:szCs w:val="24"/>
        </w:rPr>
        <w:t>s for</w:t>
      </w:r>
      <w:r w:rsidRPr="00350F71">
        <w:rPr>
          <w:rFonts w:ascii="Arial" w:hAnsi="Arial" w:cs="Arial"/>
          <w:b/>
          <w:bCs/>
          <w:color w:val="auto"/>
          <w:sz w:val="24"/>
          <w:szCs w:val="24"/>
        </w:rPr>
        <w:t xml:space="preserve"> expand</w:t>
      </w:r>
      <w:r w:rsidR="00D359AC" w:rsidRPr="00350F71">
        <w:rPr>
          <w:rFonts w:ascii="Arial" w:hAnsi="Arial" w:cs="Arial"/>
          <w:b/>
          <w:bCs/>
          <w:color w:val="auto"/>
          <w:sz w:val="24"/>
          <w:szCs w:val="24"/>
        </w:rPr>
        <w:t>ing</w:t>
      </w:r>
      <w:r w:rsidRPr="00350F71">
        <w:rPr>
          <w:rFonts w:ascii="Arial" w:hAnsi="Arial" w:cs="Arial"/>
          <w:b/>
          <w:bCs/>
          <w:color w:val="auto"/>
          <w:sz w:val="24"/>
          <w:szCs w:val="24"/>
        </w:rPr>
        <w:t xml:space="preserve"> analysis</w:t>
      </w:r>
    </w:p>
    <w:p w14:paraId="156EEABD" w14:textId="1B2C199A" w:rsidR="0043787C" w:rsidRDefault="00D94255" w:rsidP="0043787C">
      <w:pPr>
        <w:pStyle w:val="NormalWeb"/>
        <w:spacing w:line="360" w:lineRule="auto"/>
        <w:rPr>
          <w:rFonts w:ascii="Arial" w:hAnsi="Arial" w:cs="Arial"/>
        </w:rPr>
      </w:pPr>
      <w:r w:rsidRPr="00D94255">
        <w:rPr>
          <w:rFonts w:ascii="Arial" w:hAnsi="Arial" w:cs="Arial"/>
        </w:rPr>
        <w:t>To explore underlying patterns and correlations in population health beyond the descriptive indicators provided in the Public Health Wales extract, additional datasets capturing the wider social determinants of health would be required. A key resource for this is the Welsh Index of Multiple Deprivation (WIMD)</w:t>
      </w:r>
      <w:r w:rsidR="00B21073">
        <w:rPr>
          <w:rFonts w:ascii="Arial" w:hAnsi="Arial" w:cs="Arial"/>
        </w:rPr>
        <w:t xml:space="preserve"> </w:t>
      </w:r>
      <w:sdt>
        <w:sdtPr>
          <w:rPr>
            <w:rFonts w:ascii="Arial" w:hAnsi="Arial" w:cs="Arial"/>
            <w:color w:val="000000"/>
          </w:rPr>
          <w:tag w:val="MENDELEY_CITATION_v3_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"/>
          <w:id w:val="-1553069286"/>
          <w:placeholder>
            <w:docPart w:val="DefaultPlaceholder_-1854013440"/>
          </w:placeholder>
        </w:sdtPr>
        <w:sdtEndPr/>
        <w:sdtContent>
          <w:r w:rsidR="00B21073" w:rsidRPr="00B21073">
            <w:rPr>
              <w:rFonts w:ascii="Arial" w:hAnsi="Arial" w:cs="Arial"/>
              <w:color w:val="000000"/>
            </w:rPr>
            <w:t>(Welsh Government, 2025)</w:t>
          </w:r>
        </w:sdtContent>
      </w:sdt>
      <w:r w:rsidRPr="00D94255">
        <w:rPr>
          <w:rFonts w:ascii="Arial" w:hAnsi="Arial" w:cs="Arial"/>
        </w:rPr>
        <w:t>, which provides granular, area</w:t>
      </w:r>
      <w:r w:rsidRPr="00D94255">
        <w:rPr>
          <w:rFonts w:ascii="Arial" w:hAnsi="Arial" w:cs="Arial"/>
        </w:rPr>
        <w:noBreakHyphen/>
        <w:t>level measures of deprivation across domains such as income, employment, education, health, housing, physical environment, and access to services. Analysing health indicators alongside WIMD scores would enable a more holistic assessment of the socioeconomic and structural factors shaping geographic variation in disease burden across Welsh USOAs</w:t>
      </w:r>
      <w:r w:rsidR="00D359AC">
        <w:rPr>
          <w:rFonts w:ascii="Arial" w:hAnsi="Arial" w:cs="Arial"/>
        </w:rPr>
        <w:t xml:space="preserve"> </w:t>
      </w:r>
      <w:sdt>
        <w:sdtPr>
          <w:rPr>
            <w:rFonts w:ascii="Arial" w:hAnsi="Arial" w:cs="Arial"/>
            <w:color w:val="000000"/>
          </w:rPr>
          <w:tag w:val="MENDELEY_CITATION_v3_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"/>
          <w:id w:val="-212039750"/>
          <w:placeholder>
            <w:docPart w:val="DefaultPlaceholder_-1854013440"/>
          </w:placeholder>
        </w:sdtPr>
        <w:sdtEndPr/>
        <w:sdtContent>
          <w:r w:rsidR="00B21073" w:rsidRPr="00B21073">
            <w:rPr>
              <w:rFonts w:ascii="Arial" w:hAnsi="Arial" w:cs="Arial"/>
              <w:color w:val="000000"/>
            </w:rPr>
            <w:t>(Welsh Government, 2025)</w:t>
          </w:r>
        </w:sdtContent>
      </w:sdt>
      <w:r w:rsidR="00D359AC">
        <w:rPr>
          <w:rFonts w:ascii="Arial" w:hAnsi="Arial" w:cs="Arial"/>
        </w:rPr>
        <w:t xml:space="preserve">. </w:t>
      </w:r>
      <w:r w:rsidR="0043787C">
        <w:rPr>
          <w:rFonts w:ascii="Arial" w:hAnsi="Arial" w:cs="Arial"/>
        </w:rPr>
        <w:t>T</w:t>
      </w:r>
      <w:r w:rsidR="0043787C" w:rsidRPr="0043787C">
        <w:rPr>
          <w:rFonts w:ascii="Arial" w:hAnsi="Arial" w:cs="Arial"/>
        </w:rPr>
        <w:t xml:space="preserve">he health indicators used in this analysis are reported at USOA level, </w:t>
      </w:r>
      <w:r w:rsidR="0043787C">
        <w:rPr>
          <w:rFonts w:ascii="Arial" w:hAnsi="Arial" w:cs="Arial"/>
        </w:rPr>
        <w:t xml:space="preserve">whilst </w:t>
      </w:r>
      <w:r w:rsidR="0043787C" w:rsidRPr="0043787C">
        <w:rPr>
          <w:rFonts w:ascii="Arial" w:hAnsi="Arial" w:cs="Arial"/>
        </w:rPr>
        <w:t>the WIMD is constructed at the smaller Lower Layer Super Output Area (LSOA) level. This means that linking USOA</w:t>
      </w:r>
      <w:r w:rsidR="0043787C">
        <w:rPr>
          <w:rFonts w:ascii="Arial" w:hAnsi="Arial" w:cs="Arial"/>
        </w:rPr>
        <w:t xml:space="preserve"> </w:t>
      </w:r>
      <w:r w:rsidR="0043787C" w:rsidRPr="0043787C">
        <w:rPr>
          <w:rFonts w:ascii="Arial" w:hAnsi="Arial" w:cs="Arial"/>
        </w:rPr>
        <w:t>level health outcomes with LSOA</w:t>
      </w:r>
      <w:r w:rsidR="0043787C" w:rsidRPr="0043787C">
        <w:rPr>
          <w:rFonts w:ascii="Arial" w:hAnsi="Arial" w:cs="Arial"/>
        </w:rPr>
        <w:noBreakHyphen/>
        <w:t>based deprivation scores would allow for a more ‘drilled</w:t>
      </w:r>
      <w:r w:rsidR="0043787C" w:rsidRPr="0043787C">
        <w:rPr>
          <w:rFonts w:ascii="Arial" w:hAnsi="Arial" w:cs="Arial"/>
        </w:rPr>
        <w:noBreakHyphen/>
        <w:t>down’ examination of local socioeconomic conditions.</w:t>
      </w:r>
      <w:r w:rsidR="0043787C">
        <w:rPr>
          <w:rFonts w:ascii="Arial" w:hAnsi="Arial" w:cs="Arial"/>
        </w:rPr>
        <w:t xml:space="preserve"> This will allow for a greater </w:t>
      </w:r>
      <w:r w:rsidR="0043787C" w:rsidRPr="0043787C">
        <w:rPr>
          <w:rFonts w:ascii="Arial" w:hAnsi="Arial" w:cs="Arial"/>
        </w:rPr>
        <w:t>understanding of the underlying deprivation patterns within each area, enabling more sensitive analysis of how social determinants cluster and contribute to the observed variation in population health.</w:t>
      </w:r>
    </w:p>
    <w:p w14:paraId="13867A80" w14:textId="34AE152B" w:rsidR="00DB4BA0" w:rsidRDefault="00DB4BA0" w:rsidP="0043787C">
      <w:pPr>
        <w:pStyle w:val="NormalWeb"/>
        <w:spacing w:line="360" w:lineRule="auto"/>
        <w:rPr>
          <w:rFonts w:ascii="Arial" w:hAnsi="Arial" w:cs="Arial"/>
        </w:rPr>
      </w:pPr>
      <w:r w:rsidRPr="00D33918">
        <w:rPr>
          <w:rFonts w:ascii="Arial" w:hAnsi="Arial" w:cs="Arial"/>
        </w:rPr>
        <w:t>I confirm that this is my own original work and does not include text created by a generative artificial intelligence tool.</w:t>
      </w:r>
    </w:p>
    <w:p w14:paraId="5C508F70" w14:textId="77777777" w:rsidR="00DB4BA0" w:rsidRPr="00DB4BA0" w:rsidRDefault="00DB4BA0" w:rsidP="00DB4BA0">
      <w:pPr>
        <w:spacing w:line="360" w:lineRule="auto"/>
        <w:contextualSpacing/>
        <w:jc w:val="both"/>
        <w:rPr>
          <w:rFonts w:ascii="Arial" w:hAnsi="Arial" w:cs="Arial"/>
          <w:sz w:val="24"/>
          <w:szCs w:val="24"/>
        </w:rPr>
      </w:pPr>
    </w:p>
    <w:p w14:paraId="6FDA7DAB" w14:textId="77777777" w:rsidR="00AA66C3" w:rsidRDefault="00AA66C3">
      <w:pPr>
        <w:rPr>
          <w:rFonts w:ascii="Arial" w:hAnsi="Arial" w:cs="Arial"/>
          <w:b/>
          <w:bCs/>
          <w:sz w:val="24"/>
          <w:szCs w:val="24"/>
        </w:rPr>
      </w:pPr>
      <w:r>
        <w:rPr>
          <w:rFonts w:ascii="Arial" w:hAnsi="Arial" w:cs="Arial"/>
          <w:b/>
          <w:bCs/>
          <w:sz w:val="24"/>
          <w:szCs w:val="24"/>
        </w:rPr>
        <w:br w:type="page"/>
      </w:r>
    </w:p>
    <w:p w14:paraId="1A2EEF96" w14:textId="6976063F" w:rsidR="00B6751C" w:rsidRPr="00350F71" w:rsidRDefault="00B6751C" w:rsidP="00350F71">
      <w:pPr>
        <w:pStyle w:val="Heading2"/>
        <w:spacing w:line="360" w:lineRule="auto"/>
        <w:rPr>
          <w:rFonts w:ascii="Arial" w:hAnsi="Arial" w:cs="Arial"/>
          <w:b/>
          <w:bCs/>
          <w:color w:val="auto"/>
          <w:sz w:val="24"/>
          <w:szCs w:val="24"/>
        </w:rPr>
      </w:pPr>
      <w:r w:rsidRPr="00350F71">
        <w:rPr>
          <w:rFonts w:ascii="Arial" w:hAnsi="Arial" w:cs="Arial"/>
          <w:b/>
          <w:bCs/>
          <w:color w:val="auto"/>
          <w:sz w:val="24"/>
          <w:szCs w:val="24"/>
        </w:rPr>
        <w:lastRenderedPageBreak/>
        <w:t>References</w:t>
      </w:r>
    </w:p>
    <w:sdt>
      <w:sdtPr>
        <w:rPr>
          <w:rFonts w:ascii="Arial" w:hAnsi="Arial" w:cs="Arial"/>
          <w:color w:val="000000"/>
          <w:sz w:val="24"/>
        </w:rPr>
        <w:tag w:val="MENDELEY_BIBLIOGRAPHY"/>
        <w:id w:val="-1320645262"/>
        <w:placeholder>
          <w:docPart w:val="DefaultPlaceholder_-1854013440"/>
        </w:placeholder>
      </w:sdtPr>
      <w:sdtEndPr>
        <w:rPr>
          <w:szCs w:val="24"/>
        </w:rPr>
      </w:sdtEndPr>
      <w:sdtContent>
        <w:p w14:paraId="70643B55" w14:textId="77777777" w:rsidR="00B21073" w:rsidRPr="00B21073" w:rsidRDefault="00B21073">
          <w:pPr>
            <w:autoSpaceDE w:val="0"/>
            <w:autoSpaceDN w:val="0"/>
            <w:ind w:hanging="480"/>
            <w:divId w:val="1397971175"/>
            <w:rPr>
              <w:rFonts w:ascii="Arial" w:eastAsia="Times New Roman" w:hAnsi="Arial" w:cs="Arial"/>
              <w:color w:val="000000"/>
              <w:sz w:val="24"/>
              <w:szCs w:val="24"/>
            </w:rPr>
          </w:pPr>
          <w:proofErr w:type="spellStart"/>
          <w:r w:rsidRPr="00B21073">
            <w:rPr>
              <w:rFonts w:ascii="Arial" w:eastAsia="Times New Roman" w:hAnsi="Arial" w:cs="Arial"/>
              <w:color w:val="000000"/>
              <w:sz w:val="24"/>
            </w:rPr>
            <w:t>Bombak</w:t>
          </w:r>
          <w:proofErr w:type="spellEnd"/>
          <w:r w:rsidRPr="00B21073">
            <w:rPr>
              <w:rFonts w:ascii="Arial" w:eastAsia="Times New Roman" w:hAnsi="Arial" w:cs="Arial"/>
              <w:color w:val="000000"/>
              <w:sz w:val="24"/>
            </w:rPr>
            <w:t xml:space="preserve">, A. E. (2013). Self-rated health and public health: a critical perspective. </w:t>
          </w:r>
          <w:r w:rsidRPr="00B21073">
            <w:rPr>
              <w:rFonts w:ascii="Arial" w:eastAsia="Times New Roman" w:hAnsi="Arial" w:cs="Arial"/>
              <w:i/>
              <w:iCs/>
              <w:color w:val="000000"/>
              <w:sz w:val="24"/>
            </w:rPr>
            <w:t>Frontiers in Public Health</w:t>
          </w:r>
          <w:r w:rsidRPr="00B21073">
            <w:rPr>
              <w:rFonts w:ascii="Arial" w:eastAsia="Times New Roman" w:hAnsi="Arial" w:cs="Arial"/>
              <w:color w:val="000000"/>
              <w:sz w:val="24"/>
            </w:rPr>
            <w:t xml:space="preserve">, </w:t>
          </w:r>
          <w:r w:rsidRPr="00B21073">
            <w:rPr>
              <w:rFonts w:ascii="Arial" w:eastAsia="Times New Roman" w:hAnsi="Arial" w:cs="Arial"/>
              <w:i/>
              <w:iCs/>
              <w:color w:val="000000"/>
              <w:sz w:val="24"/>
            </w:rPr>
            <w:t>1</w:t>
          </w:r>
          <w:r w:rsidRPr="00B21073">
            <w:rPr>
              <w:rFonts w:ascii="Arial" w:eastAsia="Times New Roman" w:hAnsi="Arial" w:cs="Arial"/>
              <w:color w:val="000000"/>
              <w:sz w:val="24"/>
            </w:rPr>
            <w:t>, 15. https://doi.org/10.3389/fpubh.2013.00015</w:t>
          </w:r>
        </w:p>
        <w:p w14:paraId="504510CF" w14:textId="77777777" w:rsidR="00B21073" w:rsidRPr="00B21073" w:rsidRDefault="00B21073">
          <w:pPr>
            <w:autoSpaceDE w:val="0"/>
            <w:autoSpaceDN w:val="0"/>
            <w:ind w:hanging="480"/>
            <w:divId w:val="1048913188"/>
            <w:rPr>
              <w:rFonts w:ascii="Arial" w:eastAsia="Times New Roman" w:hAnsi="Arial" w:cs="Arial"/>
              <w:color w:val="000000"/>
              <w:sz w:val="24"/>
            </w:rPr>
          </w:pPr>
          <w:proofErr w:type="spellStart"/>
          <w:r w:rsidRPr="00B21073">
            <w:rPr>
              <w:rFonts w:ascii="Arial" w:eastAsia="Times New Roman" w:hAnsi="Arial" w:cs="Arial"/>
              <w:color w:val="000000"/>
              <w:sz w:val="24"/>
            </w:rPr>
            <w:t>Fernainy</w:t>
          </w:r>
          <w:proofErr w:type="spellEnd"/>
          <w:r w:rsidRPr="00B21073">
            <w:rPr>
              <w:rFonts w:ascii="Arial" w:eastAsia="Times New Roman" w:hAnsi="Arial" w:cs="Arial"/>
              <w:color w:val="000000"/>
              <w:sz w:val="24"/>
            </w:rPr>
            <w:t xml:space="preserve">, P., &amp; </w:t>
          </w:r>
          <w:proofErr w:type="spellStart"/>
          <w:r w:rsidRPr="00B21073">
            <w:rPr>
              <w:rFonts w:ascii="Arial" w:eastAsia="Times New Roman" w:hAnsi="Arial" w:cs="Arial"/>
              <w:color w:val="000000"/>
              <w:sz w:val="24"/>
            </w:rPr>
            <w:t>Sourial</w:t>
          </w:r>
          <w:proofErr w:type="spellEnd"/>
          <w:r w:rsidRPr="00B21073">
            <w:rPr>
              <w:rFonts w:ascii="Arial" w:eastAsia="Times New Roman" w:hAnsi="Arial" w:cs="Arial"/>
              <w:color w:val="000000"/>
              <w:sz w:val="24"/>
            </w:rPr>
            <w:t xml:space="preserve">, N. (2022). Leveraging confidence intervals to inform the clinical significance of interventions. </w:t>
          </w:r>
          <w:r w:rsidRPr="00B21073">
            <w:rPr>
              <w:rFonts w:ascii="Arial" w:eastAsia="Times New Roman" w:hAnsi="Arial" w:cs="Arial"/>
              <w:i/>
              <w:iCs/>
              <w:color w:val="000000"/>
              <w:sz w:val="24"/>
            </w:rPr>
            <w:t>Family Practice</w:t>
          </w:r>
          <w:r w:rsidRPr="00B21073">
            <w:rPr>
              <w:rFonts w:ascii="Arial" w:eastAsia="Times New Roman" w:hAnsi="Arial" w:cs="Arial"/>
              <w:color w:val="000000"/>
              <w:sz w:val="24"/>
            </w:rPr>
            <w:t xml:space="preserve">, </w:t>
          </w:r>
          <w:r w:rsidRPr="00B21073">
            <w:rPr>
              <w:rFonts w:ascii="Arial" w:eastAsia="Times New Roman" w:hAnsi="Arial" w:cs="Arial"/>
              <w:i/>
              <w:iCs/>
              <w:color w:val="000000"/>
              <w:sz w:val="24"/>
            </w:rPr>
            <w:t>39</w:t>
          </w:r>
          <w:r w:rsidRPr="00B21073">
            <w:rPr>
              <w:rFonts w:ascii="Arial" w:eastAsia="Times New Roman" w:hAnsi="Arial" w:cs="Arial"/>
              <w:color w:val="000000"/>
              <w:sz w:val="24"/>
            </w:rPr>
            <w:t>(6), 1196–1198. https://doi.org/10.1093/fampra/cmac065</w:t>
          </w:r>
        </w:p>
        <w:p w14:paraId="04A2A274" w14:textId="77777777" w:rsidR="00B21073" w:rsidRPr="00B21073" w:rsidRDefault="00B21073">
          <w:pPr>
            <w:autoSpaceDE w:val="0"/>
            <w:autoSpaceDN w:val="0"/>
            <w:ind w:hanging="480"/>
            <w:divId w:val="1756703449"/>
            <w:rPr>
              <w:rFonts w:ascii="Arial" w:eastAsia="Times New Roman" w:hAnsi="Arial" w:cs="Arial"/>
              <w:color w:val="000000"/>
              <w:sz w:val="24"/>
            </w:rPr>
          </w:pPr>
          <w:r w:rsidRPr="00B21073">
            <w:rPr>
              <w:rFonts w:ascii="Arial" w:eastAsia="Times New Roman" w:hAnsi="Arial" w:cs="Arial"/>
              <w:color w:val="000000"/>
              <w:sz w:val="24"/>
            </w:rPr>
            <w:t xml:space="preserve">Horton, A., Jones, S. J., &amp; Brunt, H. (2023). Air pollution and public health vulnerabilities, susceptibilities and inequalities in Wales, UK. </w:t>
          </w:r>
          <w:r w:rsidRPr="00B21073">
            <w:rPr>
              <w:rFonts w:ascii="Arial" w:eastAsia="Times New Roman" w:hAnsi="Arial" w:cs="Arial"/>
              <w:i/>
              <w:iCs/>
              <w:color w:val="000000"/>
              <w:sz w:val="24"/>
            </w:rPr>
            <w:t>Journal of Public Health (Oxford, England)</w:t>
          </w:r>
          <w:r w:rsidRPr="00B21073">
            <w:rPr>
              <w:rFonts w:ascii="Arial" w:eastAsia="Times New Roman" w:hAnsi="Arial" w:cs="Arial"/>
              <w:color w:val="000000"/>
              <w:sz w:val="24"/>
            </w:rPr>
            <w:t xml:space="preserve">, </w:t>
          </w:r>
          <w:r w:rsidRPr="00B21073">
            <w:rPr>
              <w:rFonts w:ascii="Arial" w:eastAsia="Times New Roman" w:hAnsi="Arial" w:cs="Arial"/>
              <w:i/>
              <w:iCs/>
              <w:color w:val="000000"/>
              <w:sz w:val="24"/>
            </w:rPr>
            <w:t>45</w:t>
          </w:r>
          <w:r w:rsidRPr="00B21073">
            <w:rPr>
              <w:rFonts w:ascii="Arial" w:eastAsia="Times New Roman" w:hAnsi="Arial" w:cs="Arial"/>
              <w:color w:val="000000"/>
              <w:sz w:val="24"/>
            </w:rPr>
            <w:t>(2), 432–441. https://doi.org/10.1093/pubmed/fdac083</w:t>
          </w:r>
        </w:p>
        <w:p w14:paraId="6E3EFA07" w14:textId="77777777" w:rsidR="00B21073" w:rsidRPr="00B21073" w:rsidRDefault="00B21073">
          <w:pPr>
            <w:autoSpaceDE w:val="0"/>
            <w:autoSpaceDN w:val="0"/>
            <w:ind w:hanging="480"/>
            <w:divId w:val="1276788630"/>
            <w:rPr>
              <w:rFonts w:ascii="Arial" w:eastAsia="Times New Roman" w:hAnsi="Arial" w:cs="Arial"/>
              <w:color w:val="000000"/>
              <w:sz w:val="24"/>
            </w:rPr>
          </w:pPr>
          <w:r w:rsidRPr="00B21073">
            <w:rPr>
              <w:rFonts w:ascii="Arial" w:eastAsia="Times New Roman" w:hAnsi="Arial" w:cs="Arial"/>
              <w:color w:val="000000"/>
              <w:sz w:val="24"/>
            </w:rPr>
            <w:t xml:space="preserve">NHS. (2023, November 10). </w:t>
          </w:r>
          <w:r w:rsidRPr="00B21073">
            <w:rPr>
              <w:rFonts w:ascii="Arial" w:eastAsia="Times New Roman" w:hAnsi="Arial" w:cs="Arial"/>
              <w:i/>
              <w:iCs/>
              <w:color w:val="000000"/>
              <w:sz w:val="24"/>
            </w:rPr>
            <w:t>Obesity</w:t>
          </w:r>
          <w:r w:rsidRPr="00B21073">
            <w:rPr>
              <w:rFonts w:ascii="Arial" w:eastAsia="Times New Roman" w:hAnsi="Arial" w:cs="Arial"/>
              <w:color w:val="000000"/>
              <w:sz w:val="24"/>
            </w:rPr>
            <w:t>. https://www.nhs.uk/conditions/obesity/</w:t>
          </w:r>
        </w:p>
        <w:p w14:paraId="010AE019" w14:textId="77777777" w:rsidR="00B21073" w:rsidRPr="00B21073" w:rsidRDefault="00B21073">
          <w:pPr>
            <w:autoSpaceDE w:val="0"/>
            <w:autoSpaceDN w:val="0"/>
            <w:ind w:hanging="480"/>
            <w:divId w:val="73747742"/>
            <w:rPr>
              <w:rFonts w:ascii="Arial" w:eastAsia="Times New Roman" w:hAnsi="Arial" w:cs="Arial"/>
              <w:color w:val="000000"/>
              <w:sz w:val="24"/>
            </w:rPr>
          </w:pPr>
          <w:r w:rsidRPr="00B21073">
            <w:rPr>
              <w:rFonts w:ascii="Arial" w:eastAsia="Times New Roman" w:hAnsi="Arial" w:cs="Arial"/>
              <w:color w:val="000000"/>
              <w:sz w:val="24"/>
            </w:rPr>
            <w:t xml:space="preserve">Office for National Statistics. (2023). </w:t>
          </w:r>
          <w:r w:rsidRPr="00B21073">
            <w:rPr>
              <w:rFonts w:ascii="Arial" w:eastAsia="Times New Roman" w:hAnsi="Arial" w:cs="Arial"/>
              <w:i/>
              <w:iCs/>
              <w:color w:val="000000"/>
              <w:sz w:val="24"/>
            </w:rPr>
            <w:t>Deprivation and the impact on smoking prevalence, England and Wales: 2017 to 2021</w:t>
          </w:r>
          <w:r w:rsidRPr="00B21073">
            <w:rPr>
              <w:rFonts w:ascii="Arial" w:eastAsia="Times New Roman" w:hAnsi="Arial" w:cs="Arial"/>
              <w:color w:val="000000"/>
              <w:sz w:val="24"/>
            </w:rPr>
            <w:t>. https://www.ons.gov.uk/peoplepopulationandcommunity/healthandsocialcare/drugusealcoholandsmoking/bulletins/deprivationandtheimpactonsmokingprevalenceenglandandwales/2017to2021</w:t>
          </w:r>
        </w:p>
        <w:p w14:paraId="1943D4CF" w14:textId="77777777" w:rsidR="00B21073" w:rsidRPr="00B21073" w:rsidRDefault="00B21073">
          <w:pPr>
            <w:autoSpaceDE w:val="0"/>
            <w:autoSpaceDN w:val="0"/>
            <w:ind w:hanging="480"/>
            <w:divId w:val="695275207"/>
            <w:rPr>
              <w:rFonts w:ascii="Arial" w:eastAsia="Times New Roman" w:hAnsi="Arial" w:cs="Arial"/>
              <w:color w:val="000000"/>
              <w:sz w:val="24"/>
            </w:rPr>
          </w:pPr>
          <w:r w:rsidRPr="00B21073">
            <w:rPr>
              <w:rFonts w:ascii="Arial" w:eastAsia="Times New Roman" w:hAnsi="Arial" w:cs="Arial"/>
              <w:color w:val="000000"/>
              <w:sz w:val="24"/>
            </w:rPr>
            <w:t xml:space="preserve">Public Health England. (2014). </w:t>
          </w:r>
          <w:r w:rsidRPr="00B21073">
            <w:rPr>
              <w:rFonts w:ascii="Arial" w:eastAsia="Times New Roman" w:hAnsi="Arial" w:cs="Arial"/>
              <w:i/>
              <w:iCs/>
              <w:color w:val="000000"/>
              <w:sz w:val="24"/>
            </w:rPr>
            <w:t xml:space="preserve">Adult obesity and type 2 </w:t>
          </w:r>
          <w:proofErr w:type="gramStart"/>
          <w:r w:rsidRPr="00B21073">
            <w:rPr>
              <w:rFonts w:ascii="Arial" w:eastAsia="Times New Roman" w:hAnsi="Arial" w:cs="Arial"/>
              <w:i/>
              <w:iCs/>
              <w:color w:val="000000"/>
              <w:sz w:val="24"/>
            </w:rPr>
            <w:t xml:space="preserve">diabetes </w:t>
          </w:r>
          <w:r w:rsidRPr="00B21073">
            <w:rPr>
              <w:rFonts w:ascii="Arial" w:eastAsia="Times New Roman" w:hAnsi="Arial" w:cs="Arial"/>
              <w:color w:val="000000"/>
              <w:sz w:val="24"/>
            </w:rPr>
            <w:t>.</w:t>
          </w:r>
          <w:proofErr w:type="gramEnd"/>
          <w:r w:rsidRPr="00B21073">
            <w:rPr>
              <w:rFonts w:ascii="Arial" w:eastAsia="Times New Roman" w:hAnsi="Arial" w:cs="Arial"/>
              <w:color w:val="000000"/>
              <w:sz w:val="24"/>
            </w:rPr>
            <w:t xml:space="preserve"> https://assets.publishing.service.gov.uk/media/5a7f069140f0b6230268d059/Adult_obesity_and_type_2_diabetes_.pdf</w:t>
          </w:r>
        </w:p>
        <w:p w14:paraId="5A47C5BE" w14:textId="77777777" w:rsidR="00B21073" w:rsidRPr="00B21073" w:rsidRDefault="00B21073">
          <w:pPr>
            <w:autoSpaceDE w:val="0"/>
            <w:autoSpaceDN w:val="0"/>
            <w:ind w:hanging="480"/>
            <w:divId w:val="1902205575"/>
            <w:rPr>
              <w:rFonts w:ascii="Arial" w:eastAsia="Times New Roman" w:hAnsi="Arial" w:cs="Arial"/>
              <w:color w:val="000000"/>
              <w:sz w:val="24"/>
            </w:rPr>
          </w:pPr>
          <w:r w:rsidRPr="00B21073">
            <w:rPr>
              <w:rFonts w:ascii="Arial" w:eastAsia="Times New Roman" w:hAnsi="Arial" w:cs="Arial"/>
              <w:color w:val="000000"/>
              <w:sz w:val="24"/>
            </w:rPr>
            <w:t xml:space="preserve">Public Health Wales Observatory. (2012). </w:t>
          </w:r>
          <w:r w:rsidRPr="00B21073">
            <w:rPr>
              <w:rFonts w:ascii="Arial" w:eastAsia="Times New Roman" w:hAnsi="Arial" w:cs="Arial"/>
              <w:i/>
              <w:iCs/>
              <w:color w:val="000000"/>
              <w:sz w:val="24"/>
            </w:rPr>
            <w:t xml:space="preserve">Sub-local </w:t>
          </w:r>
          <w:proofErr w:type="gramStart"/>
          <w:r w:rsidRPr="00B21073">
            <w:rPr>
              <w:rFonts w:ascii="Arial" w:eastAsia="Times New Roman" w:hAnsi="Arial" w:cs="Arial"/>
              <w:i/>
              <w:iCs/>
              <w:color w:val="000000"/>
              <w:sz w:val="24"/>
            </w:rPr>
            <w:t>authority  analysis</w:t>
          </w:r>
          <w:proofErr w:type="gramEnd"/>
          <w:r w:rsidRPr="00B21073">
            <w:rPr>
              <w:rFonts w:ascii="Arial" w:eastAsia="Times New Roman" w:hAnsi="Arial" w:cs="Arial"/>
              <w:i/>
              <w:iCs/>
              <w:color w:val="000000"/>
              <w:sz w:val="24"/>
            </w:rPr>
            <w:t xml:space="preserve"> of the  Welsh Health  Survey</w:t>
          </w:r>
          <w:r w:rsidRPr="00B21073">
            <w:rPr>
              <w:rFonts w:ascii="Arial" w:eastAsia="Times New Roman" w:hAnsi="Arial" w:cs="Arial"/>
              <w:color w:val="000000"/>
              <w:sz w:val="24"/>
            </w:rPr>
            <w:t>. https://phw.nhs.wales/services-and-teams/observatory/data-and-analysis/publication-documents/sub-local-authority-analysis-of-the-welsh-health-survey/whs-usoa-analysis-report-v1-eng-pdf/</w:t>
          </w:r>
        </w:p>
        <w:p w14:paraId="0E79E660" w14:textId="77777777" w:rsidR="00B21073" w:rsidRPr="00B21073" w:rsidRDefault="00B21073">
          <w:pPr>
            <w:autoSpaceDE w:val="0"/>
            <w:autoSpaceDN w:val="0"/>
            <w:ind w:hanging="480"/>
            <w:divId w:val="126094578"/>
            <w:rPr>
              <w:rFonts w:ascii="Arial" w:eastAsia="Times New Roman" w:hAnsi="Arial" w:cs="Arial"/>
              <w:color w:val="000000"/>
              <w:sz w:val="24"/>
            </w:rPr>
          </w:pPr>
          <w:r w:rsidRPr="00B21073">
            <w:rPr>
              <w:rFonts w:ascii="Arial" w:eastAsia="Times New Roman" w:hAnsi="Arial" w:cs="Arial"/>
              <w:color w:val="000000"/>
              <w:sz w:val="24"/>
            </w:rPr>
            <w:t xml:space="preserve">Welsh Government. (2025). </w:t>
          </w:r>
          <w:r w:rsidRPr="00B21073">
            <w:rPr>
              <w:rFonts w:ascii="Arial" w:eastAsia="Times New Roman" w:hAnsi="Arial" w:cs="Arial"/>
              <w:i/>
              <w:iCs/>
              <w:color w:val="000000"/>
              <w:sz w:val="24"/>
            </w:rPr>
            <w:t>Welsh Index of Multiple Deprivation 2025</w:t>
          </w:r>
          <w:r w:rsidRPr="00B21073">
            <w:rPr>
              <w:rFonts w:ascii="Arial" w:eastAsia="Times New Roman" w:hAnsi="Arial" w:cs="Arial"/>
              <w:color w:val="000000"/>
              <w:sz w:val="24"/>
            </w:rPr>
            <w:t>. https://www.gov.wales/welsh-index-multiple-deprivation-2025-series</w:t>
          </w:r>
        </w:p>
        <w:p w14:paraId="7587B2A9" w14:textId="77777777" w:rsidR="00B21073" w:rsidRPr="00B21073" w:rsidRDefault="00B21073">
          <w:pPr>
            <w:autoSpaceDE w:val="0"/>
            <w:autoSpaceDN w:val="0"/>
            <w:ind w:hanging="480"/>
            <w:divId w:val="775640726"/>
            <w:rPr>
              <w:rFonts w:ascii="Arial" w:eastAsia="Times New Roman" w:hAnsi="Arial" w:cs="Arial"/>
              <w:color w:val="000000"/>
              <w:sz w:val="24"/>
            </w:rPr>
          </w:pPr>
          <w:r w:rsidRPr="00B21073">
            <w:rPr>
              <w:rFonts w:ascii="Arial" w:eastAsia="Times New Roman" w:hAnsi="Arial" w:cs="Arial"/>
              <w:color w:val="000000"/>
              <w:sz w:val="24"/>
            </w:rPr>
            <w:t xml:space="preserve">Williams, P. J., </w:t>
          </w:r>
          <w:proofErr w:type="spellStart"/>
          <w:r w:rsidRPr="00B21073">
            <w:rPr>
              <w:rFonts w:ascii="Arial" w:eastAsia="Times New Roman" w:hAnsi="Arial" w:cs="Arial"/>
              <w:color w:val="000000"/>
              <w:sz w:val="24"/>
            </w:rPr>
            <w:t>Cumella</w:t>
          </w:r>
          <w:proofErr w:type="spellEnd"/>
          <w:r w:rsidRPr="00B21073">
            <w:rPr>
              <w:rFonts w:ascii="Arial" w:eastAsia="Times New Roman" w:hAnsi="Arial" w:cs="Arial"/>
              <w:color w:val="000000"/>
              <w:sz w:val="24"/>
            </w:rPr>
            <w:t xml:space="preserve">, A., Philip, K. E. J., Laverty, A. A., &amp; Hopkinson, N. S. (2022). Smoking and socioeconomic factors linked to acute exacerbations of COPD: analysis from an Asthma + Lung UK survey. </w:t>
          </w:r>
          <w:r w:rsidRPr="00B21073">
            <w:rPr>
              <w:rFonts w:ascii="Arial" w:eastAsia="Times New Roman" w:hAnsi="Arial" w:cs="Arial"/>
              <w:i/>
              <w:iCs/>
              <w:color w:val="000000"/>
              <w:sz w:val="24"/>
            </w:rPr>
            <w:t>BMJ Open Respiratory Research</w:t>
          </w:r>
          <w:r w:rsidRPr="00B21073">
            <w:rPr>
              <w:rFonts w:ascii="Arial" w:eastAsia="Times New Roman" w:hAnsi="Arial" w:cs="Arial"/>
              <w:color w:val="000000"/>
              <w:sz w:val="24"/>
            </w:rPr>
            <w:t xml:space="preserve">, </w:t>
          </w:r>
          <w:r w:rsidRPr="00B21073">
            <w:rPr>
              <w:rFonts w:ascii="Arial" w:eastAsia="Times New Roman" w:hAnsi="Arial" w:cs="Arial"/>
              <w:i/>
              <w:iCs/>
              <w:color w:val="000000"/>
              <w:sz w:val="24"/>
            </w:rPr>
            <w:t>9</w:t>
          </w:r>
          <w:r w:rsidRPr="00B21073">
            <w:rPr>
              <w:rFonts w:ascii="Arial" w:eastAsia="Times New Roman" w:hAnsi="Arial" w:cs="Arial"/>
              <w:color w:val="000000"/>
              <w:sz w:val="24"/>
            </w:rPr>
            <w:t>(1), e001290. https://doi.org/10.1136/bmjresp-2022-001290</w:t>
          </w:r>
        </w:p>
        <w:p w14:paraId="71DDE9AA" w14:textId="77777777" w:rsidR="00B21073" w:rsidRPr="00B21073" w:rsidRDefault="00B21073">
          <w:pPr>
            <w:autoSpaceDE w:val="0"/>
            <w:autoSpaceDN w:val="0"/>
            <w:ind w:hanging="480"/>
            <w:divId w:val="1423137239"/>
            <w:rPr>
              <w:rFonts w:ascii="Arial" w:eastAsia="Times New Roman" w:hAnsi="Arial" w:cs="Arial"/>
              <w:color w:val="000000"/>
              <w:sz w:val="24"/>
            </w:rPr>
          </w:pPr>
          <w:r w:rsidRPr="00B21073">
            <w:rPr>
              <w:rFonts w:ascii="Arial" w:eastAsia="Times New Roman" w:hAnsi="Arial" w:cs="Arial"/>
              <w:color w:val="000000"/>
              <w:sz w:val="24"/>
            </w:rPr>
            <w:t xml:space="preserve">Zhang, X., Cook, P. A., </w:t>
          </w:r>
          <w:proofErr w:type="spellStart"/>
          <w:r w:rsidRPr="00B21073">
            <w:rPr>
              <w:rFonts w:ascii="Arial" w:eastAsia="Times New Roman" w:hAnsi="Arial" w:cs="Arial"/>
              <w:color w:val="000000"/>
              <w:sz w:val="24"/>
            </w:rPr>
            <w:t>Lisboa</w:t>
          </w:r>
          <w:proofErr w:type="spellEnd"/>
          <w:r w:rsidRPr="00B21073">
            <w:rPr>
              <w:rFonts w:ascii="Arial" w:eastAsia="Times New Roman" w:hAnsi="Arial" w:cs="Arial"/>
              <w:color w:val="000000"/>
              <w:sz w:val="24"/>
            </w:rPr>
            <w:t xml:space="preserve">, P. J., </w:t>
          </w:r>
          <w:proofErr w:type="spellStart"/>
          <w:r w:rsidRPr="00B21073">
            <w:rPr>
              <w:rFonts w:ascii="Arial" w:eastAsia="Times New Roman" w:hAnsi="Arial" w:cs="Arial"/>
              <w:color w:val="000000"/>
              <w:sz w:val="24"/>
            </w:rPr>
            <w:t>Jarman</w:t>
          </w:r>
          <w:proofErr w:type="spellEnd"/>
          <w:r w:rsidRPr="00B21073">
            <w:rPr>
              <w:rFonts w:ascii="Arial" w:eastAsia="Times New Roman" w:hAnsi="Arial" w:cs="Arial"/>
              <w:color w:val="000000"/>
              <w:sz w:val="24"/>
            </w:rPr>
            <w:t xml:space="preserve">, I. H., &amp; Bellis, M. A. (2013). The effects of deprivation and relative deprivation on self-reported morbidity in England: an area-level ecological study. </w:t>
          </w:r>
          <w:r w:rsidRPr="00B21073">
            <w:rPr>
              <w:rFonts w:ascii="Arial" w:eastAsia="Times New Roman" w:hAnsi="Arial" w:cs="Arial"/>
              <w:i/>
              <w:iCs/>
              <w:color w:val="000000"/>
              <w:sz w:val="24"/>
            </w:rPr>
            <w:t>International Journal of Health Geographics</w:t>
          </w:r>
          <w:r w:rsidRPr="00B21073">
            <w:rPr>
              <w:rFonts w:ascii="Arial" w:eastAsia="Times New Roman" w:hAnsi="Arial" w:cs="Arial"/>
              <w:color w:val="000000"/>
              <w:sz w:val="24"/>
            </w:rPr>
            <w:t xml:space="preserve">, </w:t>
          </w:r>
          <w:r w:rsidRPr="00B21073">
            <w:rPr>
              <w:rFonts w:ascii="Arial" w:eastAsia="Times New Roman" w:hAnsi="Arial" w:cs="Arial"/>
              <w:i/>
              <w:iCs/>
              <w:color w:val="000000"/>
              <w:sz w:val="24"/>
            </w:rPr>
            <w:t>12</w:t>
          </w:r>
          <w:r w:rsidRPr="00B21073">
            <w:rPr>
              <w:rFonts w:ascii="Arial" w:eastAsia="Times New Roman" w:hAnsi="Arial" w:cs="Arial"/>
              <w:color w:val="000000"/>
              <w:sz w:val="24"/>
            </w:rPr>
            <w:t>(1), 5. https://doi.org/10.1186/1476-072X-12-5</w:t>
          </w:r>
        </w:p>
        <w:p w14:paraId="2FEFD394" w14:textId="3F2865D6" w:rsidR="00101A35" w:rsidRPr="006D7C86" w:rsidRDefault="00B21073" w:rsidP="006D7C86">
          <w:pPr>
            <w:spacing w:line="360" w:lineRule="auto"/>
            <w:rPr>
              <w:rFonts w:ascii="Arial" w:hAnsi="Arial" w:cs="Arial"/>
              <w:color w:val="000000"/>
              <w:sz w:val="24"/>
              <w:szCs w:val="24"/>
            </w:rPr>
          </w:pPr>
          <w:r w:rsidRPr="00B21073">
            <w:rPr>
              <w:rFonts w:ascii="Arial" w:eastAsia="Times New Roman" w:hAnsi="Arial" w:cs="Arial"/>
              <w:color w:val="000000"/>
              <w:sz w:val="24"/>
            </w:rPr>
            <w:t> </w:t>
          </w:r>
        </w:p>
      </w:sdtContent>
    </w:sdt>
    <w:sectPr w:rsidR="00101A35" w:rsidRPr="006D7C86" w:rsidSect="002F1A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8B6058"/>
    <w:multiLevelType w:val="multilevel"/>
    <w:tmpl w:val="C7C6A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DA678BD"/>
    <w:multiLevelType w:val="multilevel"/>
    <w:tmpl w:val="8A24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DB7BB4"/>
    <w:multiLevelType w:val="multilevel"/>
    <w:tmpl w:val="049C5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38E"/>
    <w:rsid w:val="000002F3"/>
    <w:rsid w:val="000058E7"/>
    <w:rsid w:val="000228A8"/>
    <w:rsid w:val="000B2C5E"/>
    <w:rsid w:val="000C16B8"/>
    <w:rsid w:val="000D32FB"/>
    <w:rsid w:val="00101A35"/>
    <w:rsid w:val="00177ACC"/>
    <w:rsid w:val="00184DA9"/>
    <w:rsid w:val="00191E68"/>
    <w:rsid w:val="001E2D29"/>
    <w:rsid w:val="00204431"/>
    <w:rsid w:val="00227E6C"/>
    <w:rsid w:val="002B2289"/>
    <w:rsid w:val="002C118D"/>
    <w:rsid w:val="002F13F2"/>
    <w:rsid w:val="002F1A56"/>
    <w:rsid w:val="002F6E64"/>
    <w:rsid w:val="00350F71"/>
    <w:rsid w:val="00363097"/>
    <w:rsid w:val="00366778"/>
    <w:rsid w:val="003B6A66"/>
    <w:rsid w:val="003D07B5"/>
    <w:rsid w:val="00435493"/>
    <w:rsid w:val="0043787C"/>
    <w:rsid w:val="00443415"/>
    <w:rsid w:val="0047442C"/>
    <w:rsid w:val="004C495C"/>
    <w:rsid w:val="004C4FD8"/>
    <w:rsid w:val="004E1EDF"/>
    <w:rsid w:val="005319CE"/>
    <w:rsid w:val="005D0357"/>
    <w:rsid w:val="005D2A1F"/>
    <w:rsid w:val="0062201E"/>
    <w:rsid w:val="00637E6D"/>
    <w:rsid w:val="00651A4B"/>
    <w:rsid w:val="006D1DC5"/>
    <w:rsid w:val="006D7C86"/>
    <w:rsid w:val="006F270C"/>
    <w:rsid w:val="00704EF0"/>
    <w:rsid w:val="007345A2"/>
    <w:rsid w:val="0074631C"/>
    <w:rsid w:val="007A7386"/>
    <w:rsid w:val="007B5A40"/>
    <w:rsid w:val="007C0701"/>
    <w:rsid w:val="007C4AA6"/>
    <w:rsid w:val="007D18F8"/>
    <w:rsid w:val="008176CC"/>
    <w:rsid w:val="00861388"/>
    <w:rsid w:val="008A0616"/>
    <w:rsid w:val="008B0355"/>
    <w:rsid w:val="008B7B3A"/>
    <w:rsid w:val="00902F8D"/>
    <w:rsid w:val="00917D0C"/>
    <w:rsid w:val="00937B46"/>
    <w:rsid w:val="00981C23"/>
    <w:rsid w:val="00991C80"/>
    <w:rsid w:val="009E4E21"/>
    <w:rsid w:val="00A00133"/>
    <w:rsid w:val="00A111AB"/>
    <w:rsid w:val="00A1526E"/>
    <w:rsid w:val="00A15D86"/>
    <w:rsid w:val="00A44D5A"/>
    <w:rsid w:val="00A52DFB"/>
    <w:rsid w:val="00A60C35"/>
    <w:rsid w:val="00AA66C3"/>
    <w:rsid w:val="00AD2A5E"/>
    <w:rsid w:val="00B21073"/>
    <w:rsid w:val="00B61AB4"/>
    <w:rsid w:val="00B64461"/>
    <w:rsid w:val="00B6751C"/>
    <w:rsid w:val="00BB5B94"/>
    <w:rsid w:val="00BD64E9"/>
    <w:rsid w:val="00BF1159"/>
    <w:rsid w:val="00C50F4A"/>
    <w:rsid w:val="00C62963"/>
    <w:rsid w:val="00C9438E"/>
    <w:rsid w:val="00CC1195"/>
    <w:rsid w:val="00D039DE"/>
    <w:rsid w:val="00D32A66"/>
    <w:rsid w:val="00D359AC"/>
    <w:rsid w:val="00D52BD1"/>
    <w:rsid w:val="00D7012F"/>
    <w:rsid w:val="00D76EBD"/>
    <w:rsid w:val="00D94255"/>
    <w:rsid w:val="00DB13E5"/>
    <w:rsid w:val="00DB4BA0"/>
    <w:rsid w:val="00DC6B83"/>
    <w:rsid w:val="00DF13A8"/>
    <w:rsid w:val="00E41901"/>
    <w:rsid w:val="00E52C1D"/>
    <w:rsid w:val="00E764F0"/>
    <w:rsid w:val="00E9074D"/>
    <w:rsid w:val="00EC4F77"/>
    <w:rsid w:val="00F26B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F0012"/>
  <w15:chartTrackingRefBased/>
  <w15:docId w15:val="{3E13FC6C-0554-4F42-AF08-0C2001C9EA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341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341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644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184DA9"/>
    <w:rPr>
      <w:color w:val="808080"/>
    </w:rPr>
  </w:style>
  <w:style w:type="paragraph" w:styleId="NormalWeb">
    <w:name w:val="Normal (Web)"/>
    <w:basedOn w:val="Normal"/>
    <w:uiPriority w:val="99"/>
    <w:unhideWhenUsed/>
    <w:rsid w:val="00C50F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44341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43415"/>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633618">
      <w:bodyDiv w:val="1"/>
      <w:marLeft w:val="0"/>
      <w:marRight w:val="0"/>
      <w:marTop w:val="0"/>
      <w:marBottom w:val="0"/>
      <w:divBdr>
        <w:top w:val="none" w:sz="0" w:space="0" w:color="auto"/>
        <w:left w:val="none" w:sz="0" w:space="0" w:color="auto"/>
        <w:bottom w:val="none" w:sz="0" w:space="0" w:color="auto"/>
        <w:right w:val="none" w:sz="0" w:space="0" w:color="auto"/>
      </w:divBdr>
      <w:divsChild>
        <w:div w:id="360328552">
          <w:marLeft w:val="0"/>
          <w:marRight w:val="0"/>
          <w:marTop w:val="0"/>
          <w:marBottom w:val="0"/>
          <w:divBdr>
            <w:top w:val="none" w:sz="0" w:space="0" w:color="auto"/>
            <w:left w:val="none" w:sz="0" w:space="0" w:color="auto"/>
            <w:bottom w:val="none" w:sz="0" w:space="0" w:color="auto"/>
            <w:right w:val="none" w:sz="0" w:space="0" w:color="auto"/>
          </w:divBdr>
        </w:div>
      </w:divsChild>
    </w:div>
    <w:div w:id="119036790">
      <w:bodyDiv w:val="1"/>
      <w:marLeft w:val="0"/>
      <w:marRight w:val="0"/>
      <w:marTop w:val="0"/>
      <w:marBottom w:val="0"/>
      <w:divBdr>
        <w:top w:val="none" w:sz="0" w:space="0" w:color="auto"/>
        <w:left w:val="none" w:sz="0" w:space="0" w:color="auto"/>
        <w:bottom w:val="none" w:sz="0" w:space="0" w:color="auto"/>
        <w:right w:val="none" w:sz="0" w:space="0" w:color="auto"/>
      </w:divBdr>
      <w:divsChild>
        <w:div w:id="1186019142">
          <w:marLeft w:val="0"/>
          <w:marRight w:val="0"/>
          <w:marTop w:val="0"/>
          <w:marBottom w:val="0"/>
          <w:divBdr>
            <w:top w:val="none" w:sz="0" w:space="0" w:color="auto"/>
            <w:left w:val="none" w:sz="0" w:space="0" w:color="auto"/>
            <w:bottom w:val="none" w:sz="0" w:space="0" w:color="auto"/>
            <w:right w:val="none" w:sz="0" w:space="0" w:color="auto"/>
          </w:divBdr>
        </w:div>
      </w:divsChild>
    </w:div>
    <w:div w:id="223756061">
      <w:bodyDiv w:val="1"/>
      <w:marLeft w:val="0"/>
      <w:marRight w:val="0"/>
      <w:marTop w:val="0"/>
      <w:marBottom w:val="0"/>
      <w:divBdr>
        <w:top w:val="none" w:sz="0" w:space="0" w:color="auto"/>
        <w:left w:val="none" w:sz="0" w:space="0" w:color="auto"/>
        <w:bottom w:val="none" w:sz="0" w:space="0" w:color="auto"/>
        <w:right w:val="none" w:sz="0" w:space="0" w:color="auto"/>
      </w:divBdr>
      <w:divsChild>
        <w:div w:id="1024021777">
          <w:marLeft w:val="0"/>
          <w:marRight w:val="0"/>
          <w:marTop w:val="0"/>
          <w:marBottom w:val="0"/>
          <w:divBdr>
            <w:top w:val="none" w:sz="0" w:space="0" w:color="auto"/>
            <w:left w:val="none" w:sz="0" w:space="0" w:color="auto"/>
            <w:bottom w:val="none" w:sz="0" w:space="0" w:color="auto"/>
            <w:right w:val="none" w:sz="0" w:space="0" w:color="auto"/>
          </w:divBdr>
        </w:div>
      </w:divsChild>
    </w:div>
    <w:div w:id="228419614">
      <w:bodyDiv w:val="1"/>
      <w:marLeft w:val="0"/>
      <w:marRight w:val="0"/>
      <w:marTop w:val="0"/>
      <w:marBottom w:val="0"/>
      <w:divBdr>
        <w:top w:val="none" w:sz="0" w:space="0" w:color="auto"/>
        <w:left w:val="none" w:sz="0" w:space="0" w:color="auto"/>
        <w:bottom w:val="none" w:sz="0" w:space="0" w:color="auto"/>
        <w:right w:val="none" w:sz="0" w:space="0" w:color="auto"/>
      </w:divBdr>
      <w:divsChild>
        <w:div w:id="886793096">
          <w:marLeft w:val="0"/>
          <w:marRight w:val="0"/>
          <w:marTop w:val="0"/>
          <w:marBottom w:val="0"/>
          <w:divBdr>
            <w:top w:val="none" w:sz="0" w:space="0" w:color="auto"/>
            <w:left w:val="none" w:sz="0" w:space="0" w:color="auto"/>
            <w:bottom w:val="none" w:sz="0" w:space="0" w:color="auto"/>
            <w:right w:val="none" w:sz="0" w:space="0" w:color="auto"/>
          </w:divBdr>
        </w:div>
      </w:divsChild>
    </w:div>
    <w:div w:id="291253048">
      <w:bodyDiv w:val="1"/>
      <w:marLeft w:val="0"/>
      <w:marRight w:val="0"/>
      <w:marTop w:val="0"/>
      <w:marBottom w:val="0"/>
      <w:divBdr>
        <w:top w:val="none" w:sz="0" w:space="0" w:color="auto"/>
        <w:left w:val="none" w:sz="0" w:space="0" w:color="auto"/>
        <w:bottom w:val="none" w:sz="0" w:space="0" w:color="auto"/>
        <w:right w:val="none" w:sz="0" w:space="0" w:color="auto"/>
      </w:divBdr>
      <w:divsChild>
        <w:div w:id="990449442">
          <w:marLeft w:val="0"/>
          <w:marRight w:val="0"/>
          <w:marTop w:val="0"/>
          <w:marBottom w:val="0"/>
          <w:divBdr>
            <w:top w:val="none" w:sz="0" w:space="0" w:color="auto"/>
            <w:left w:val="none" w:sz="0" w:space="0" w:color="auto"/>
            <w:bottom w:val="none" w:sz="0" w:space="0" w:color="auto"/>
            <w:right w:val="none" w:sz="0" w:space="0" w:color="auto"/>
          </w:divBdr>
        </w:div>
      </w:divsChild>
    </w:div>
    <w:div w:id="311444917">
      <w:bodyDiv w:val="1"/>
      <w:marLeft w:val="0"/>
      <w:marRight w:val="0"/>
      <w:marTop w:val="0"/>
      <w:marBottom w:val="0"/>
      <w:divBdr>
        <w:top w:val="none" w:sz="0" w:space="0" w:color="auto"/>
        <w:left w:val="none" w:sz="0" w:space="0" w:color="auto"/>
        <w:bottom w:val="none" w:sz="0" w:space="0" w:color="auto"/>
        <w:right w:val="none" w:sz="0" w:space="0" w:color="auto"/>
      </w:divBdr>
    </w:div>
    <w:div w:id="474495181">
      <w:bodyDiv w:val="1"/>
      <w:marLeft w:val="0"/>
      <w:marRight w:val="0"/>
      <w:marTop w:val="0"/>
      <w:marBottom w:val="0"/>
      <w:divBdr>
        <w:top w:val="none" w:sz="0" w:space="0" w:color="auto"/>
        <w:left w:val="none" w:sz="0" w:space="0" w:color="auto"/>
        <w:bottom w:val="none" w:sz="0" w:space="0" w:color="auto"/>
        <w:right w:val="none" w:sz="0" w:space="0" w:color="auto"/>
      </w:divBdr>
    </w:div>
    <w:div w:id="493840378">
      <w:bodyDiv w:val="1"/>
      <w:marLeft w:val="0"/>
      <w:marRight w:val="0"/>
      <w:marTop w:val="0"/>
      <w:marBottom w:val="0"/>
      <w:divBdr>
        <w:top w:val="none" w:sz="0" w:space="0" w:color="auto"/>
        <w:left w:val="none" w:sz="0" w:space="0" w:color="auto"/>
        <w:bottom w:val="none" w:sz="0" w:space="0" w:color="auto"/>
        <w:right w:val="none" w:sz="0" w:space="0" w:color="auto"/>
      </w:divBdr>
      <w:divsChild>
        <w:div w:id="1397971175">
          <w:marLeft w:val="480"/>
          <w:marRight w:val="0"/>
          <w:marTop w:val="0"/>
          <w:marBottom w:val="0"/>
          <w:divBdr>
            <w:top w:val="none" w:sz="0" w:space="0" w:color="auto"/>
            <w:left w:val="none" w:sz="0" w:space="0" w:color="auto"/>
            <w:bottom w:val="none" w:sz="0" w:space="0" w:color="auto"/>
            <w:right w:val="none" w:sz="0" w:space="0" w:color="auto"/>
          </w:divBdr>
        </w:div>
        <w:div w:id="1048913188">
          <w:marLeft w:val="480"/>
          <w:marRight w:val="0"/>
          <w:marTop w:val="0"/>
          <w:marBottom w:val="0"/>
          <w:divBdr>
            <w:top w:val="none" w:sz="0" w:space="0" w:color="auto"/>
            <w:left w:val="none" w:sz="0" w:space="0" w:color="auto"/>
            <w:bottom w:val="none" w:sz="0" w:space="0" w:color="auto"/>
            <w:right w:val="none" w:sz="0" w:space="0" w:color="auto"/>
          </w:divBdr>
        </w:div>
        <w:div w:id="1756703449">
          <w:marLeft w:val="480"/>
          <w:marRight w:val="0"/>
          <w:marTop w:val="0"/>
          <w:marBottom w:val="0"/>
          <w:divBdr>
            <w:top w:val="none" w:sz="0" w:space="0" w:color="auto"/>
            <w:left w:val="none" w:sz="0" w:space="0" w:color="auto"/>
            <w:bottom w:val="none" w:sz="0" w:space="0" w:color="auto"/>
            <w:right w:val="none" w:sz="0" w:space="0" w:color="auto"/>
          </w:divBdr>
        </w:div>
        <w:div w:id="1276788630">
          <w:marLeft w:val="480"/>
          <w:marRight w:val="0"/>
          <w:marTop w:val="0"/>
          <w:marBottom w:val="0"/>
          <w:divBdr>
            <w:top w:val="none" w:sz="0" w:space="0" w:color="auto"/>
            <w:left w:val="none" w:sz="0" w:space="0" w:color="auto"/>
            <w:bottom w:val="none" w:sz="0" w:space="0" w:color="auto"/>
            <w:right w:val="none" w:sz="0" w:space="0" w:color="auto"/>
          </w:divBdr>
        </w:div>
        <w:div w:id="73747742">
          <w:marLeft w:val="480"/>
          <w:marRight w:val="0"/>
          <w:marTop w:val="0"/>
          <w:marBottom w:val="0"/>
          <w:divBdr>
            <w:top w:val="none" w:sz="0" w:space="0" w:color="auto"/>
            <w:left w:val="none" w:sz="0" w:space="0" w:color="auto"/>
            <w:bottom w:val="none" w:sz="0" w:space="0" w:color="auto"/>
            <w:right w:val="none" w:sz="0" w:space="0" w:color="auto"/>
          </w:divBdr>
        </w:div>
        <w:div w:id="695275207">
          <w:marLeft w:val="480"/>
          <w:marRight w:val="0"/>
          <w:marTop w:val="0"/>
          <w:marBottom w:val="0"/>
          <w:divBdr>
            <w:top w:val="none" w:sz="0" w:space="0" w:color="auto"/>
            <w:left w:val="none" w:sz="0" w:space="0" w:color="auto"/>
            <w:bottom w:val="none" w:sz="0" w:space="0" w:color="auto"/>
            <w:right w:val="none" w:sz="0" w:space="0" w:color="auto"/>
          </w:divBdr>
        </w:div>
        <w:div w:id="1902205575">
          <w:marLeft w:val="480"/>
          <w:marRight w:val="0"/>
          <w:marTop w:val="0"/>
          <w:marBottom w:val="0"/>
          <w:divBdr>
            <w:top w:val="none" w:sz="0" w:space="0" w:color="auto"/>
            <w:left w:val="none" w:sz="0" w:space="0" w:color="auto"/>
            <w:bottom w:val="none" w:sz="0" w:space="0" w:color="auto"/>
            <w:right w:val="none" w:sz="0" w:space="0" w:color="auto"/>
          </w:divBdr>
        </w:div>
        <w:div w:id="126094578">
          <w:marLeft w:val="480"/>
          <w:marRight w:val="0"/>
          <w:marTop w:val="0"/>
          <w:marBottom w:val="0"/>
          <w:divBdr>
            <w:top w:val="none" w:sz="0" w:space="0" w:color="auto"/>
            <w:left w:val="none" w:sz="0" w:space="0" w:color="auto"/>
            <w:bottom w:val="none" w:sz="0" w:space="0" w:color="auto"/>
            <w:right w:val="none" w:sz="0" w:space="0" w:color="auto"/>
          </w:divBdr>
        </w:div>
        <w:div w:id="775640726">
          <w:marLeft w:val="480"/>
          <w:marRight w:val="0"/>
          <w:marTop w:val="0"/>
          <w:marBottom w:val="0"/>
          <w:divBdr>
            <w:top w:val="none" w:sz="0" w:space="0" w:color="auto"/>
            <w:left w:val="none" w:sz="0" w:space="0" w:color="auto"/>
            <w:bottom w:val="none" w:sz="0" w:space="0" w:color="auto"/>
            <w:right w:val="none" w:sz="0" w:space="0" w:color="auto"/>
          </w:divBdr>
        </w:div>
        <w:div w:id="1423137239">
          <w:marLeft w:val="480"/>
          <w:marRight w:val="0"/>
          <w:marTop w:val="0"/>
          <w:marBottom w:val="0"/>
          <w:divBdr>
            <w:top w:val="none" w:sz="0" w:space="0" w:color="auto"/>
            <w:left w:val="none" w:sz="0" w:space="0" w:color="auto"/>
            <w:bottom w:val="none" w:sz="0" w:space="0" w:color="auto"/>
            <w:right w:val="none" w:sz="0" w:space="0" w:color="auto"/>
          </w:divBdr>
        </w:div>
      </w:divsChild>
    </w:div>
    <w:div w:id="540553484">
      <w:bodyDiv w:val="1"/>
      <w:marLeft w:val="0"/>
      <w:marRight w:val="0"/>
      <w:marTop w:val="0"/>
      <w:marBottom w:val="0"/>
      <w:divBdr>
        <w:top w:val="none" w:sz="0" w:space="0" w:color="auto"/>
        <w:left w:val="none" w:sz="0" w:space="0" w:color="auto"/>
        <w:bottom w:val="none" w:sz="0" w:space="0" w:color="auto"/>
        <w:right w:val="none" w:sz="0" w:space="0" w:color="auto"/>
      </w:divBdr>
      <w:divsChild>
        <w:div w:id="521674555">
          <w:marLeft w:val="0"/>
          <w:marRight w:val="0"/>
          <w:marTop w:val="0"/>
          <w:marBottom w:val="0"/>
          <w:divBdr>
            <w:top w:val="none" w:sz="0" w:space="0" w:color="auto"/>
            <w:left w:val="none" w:sz="0" w:space="0" w:color="auto"/>
            <w:bottom w:val="none" w:sz="0" w:space="0" w:color="auto"/>
            <w:right w:val="none" w:sz="0" w:space="0" w:color="auto"/>
          </w:divBdr>
        </w:div>
      </w:divsChild>
    </w:div>
    <w:div w:id="549537742">
      <w:bodyDiv w:val="1"/>
      <w:marLeft w:val="0"/>
      <w:marRight w:val="0"/>
      <w:marTop w:val="0"/>
      <w:marBottom w:val="0"/>
      <w:divBdr>
        <w:top w:val="none" w:sz="0" w:space="0" w:color="auto"/>
        <w:left w:val="none" w:sz="0" w:space="0" w:color="auto"/>
        <w:bottom w:val="none" w:sz="0" w:space="0" w:color="auto"/>
        <w:right w:val="none" w:sz="0" w:space="0" w:color="auto"/>
      </w:divBdr>
      <w:divsChild>
        <w:div w:id="7879211">
          <w:marLeft w:val="480"/>
          <w:marRight w:val="0"/>
          <w:marTop w:val="0"/>
          <w:marBottom w:val="0"/>
          <w:divBdr>
            <w:top w:val="none" w:sz="0" w:space="0" w:color="auto"/>
            <w:left w:val="none" w:sz="0" w:space="0" w:color="auto"/>
            <w:bottom w:val="none" w:sz="0" w:space="0" w:color="auto"/>
            <w:right w:val="none" w:sz="0" w:space="0" w:color="auto"/>
          </w:divBdr>
        </w:div>
        <w:div w:id="58552402">
          <w:marLeft w:val="480"/>
          <w:marRight w:val="0"/>
          <w:marTop w:val="0"/>
          <w:marBottom w:val="0"/>
          <w:divBdr>
            <w:top w:val="none" w:sz="0" w:space="0" w:color="auto"/>
            <w:left w:val="none" w:sz="0" w:space="0" w:color="auto"/>
            <w:bottom w:val="none" w:sz="0" w:space="0" w:color="auto"/>
            <w:right w:val="none" w:sz="0" w:space="0" w:color="auto"/>
          </w:divBdr>
        </w:div>
        <w:div w:id="465508293">
          <w:marLeft w:val="480"/>
          <w:marRight w:val="0"/>
          <w:marTop w:val="0"/>
          <w:marBottom w:val="0"/>
          <w:divBdr>
            <w:top w:val="none" w:sz="0" w:space="0" w:color="auto"/>
            <w:left w:val="none" w:sz="0" w:space="0" w:color="auto"/>
            <w:bottom w:val="none" w:sz="0" w:space="0" w:color="auto"/>
            <w:right w:val="none" w:sz="0" w:space="0" w:color="auto"/>
          </w:divBdr>
        </w:div>
        <w:div w:id="483133387">
          <w:marLeft w:val="480"/>
          <w:marRight w:val="0"/>
          <w:marTop w:val="0"/>
          <w:marBottom w:val="0"/>
          <w:divBdr>
            <w:top w:val="none" w:sz="0" w:space="0" w:color="auto"/>
            <w:left w:val="none" w:sz="0" w:space="0" w:color="auto"/>
            <w:bottom w:val="none" w:sz="0" w:space="0" w:color="auto"/>
            <w:right w:val="none" w:sz="0" w:space="0" w:color="auto"/>
          </w:divBdr>
        </w:div>
        <w:div w:id="706561230">
          <w:marLeft w:val="480"/>
          <w:marRight w:val="0"/>
          <w:marTop w:val="0"/>
          <w:marBottom w:val="0"/>
          <w:divBdr>
            <w:top w:val="none" w:sz="0" w:space="0" w:color="auto"/>
            <w:left w:val="none" w:sz="0" w:space="0" w:color="auto"/>
            <w:bottom w:val="none" w:sz="0" w:space="0" w:color="auto"/>
            <w:right w:val="none" w:sz="0" w:space="0" w:color="auto"/>
          </w:divBdr>
        </w:div>
        <w:div w:id="938029869">
          <w:marLeft w:val="480"/>
          <w:marRight w:val="0"/>
          <w:marTop w:val="0"/>
          <w:marBottom w:val="0"/>
          <w:divBdr>
            <w:top w:val="none" w:sz="0" w:space="0" w:color="auto"/>
            <w:left w:val="none" w:sz="0" w:space="0" w:color="auto"/>
            <w:bottom w:val="none" w:sz="0" w:space="0" w:color="auto"/>
            <w:right w:val="none" w:sz="0" w:space="0" w:color="auto"/>
          </w:divBdr>
        </w:div>
        <w:div w:id="1773940509">
          <w:marLeft w:val="480"/>
          <w:marRight w:val="0"/>
          <w:marTop w:val="0"/>
          <w:marBottom w:val="0"/>
          <w:divBdr>
            <w:top w:val="none" w:sz="0" w:space="0" w:color="auto"/>
            <w:left w:val="none" w:sz="0" w:space="0" w:color="auto"/>
            <w:bottom w:val="none" w:sz="0" w:space="0" w:color="auto"/>
            <w:right w:val="none" w:sz="0" w:space="0" w:color="auto"/>
          </w:divBdr>
        </w:div>
        <w:div w:id="1833595165">
          <w:marLeft w:val="480"/>
          <w:marRight w:val="0"/>
          <w:marTop w:val="0"/>
          <w:marBottom w:val="0"/>
          <w:divBdr>
            <w:top w:val="none" w:sz="0" w:space="0" w:color="auto"/>
            <w:left w:val="none" w:sz="0" w:space="0" w:color="auto"/>
            <w:bottom w:val="none" w:sz="0" w:space="0" w:color="auto"/>
            <w:right w:val="none" w:sz="0" w:space="0" w:color="auto"/>
          </w:divBdr>
        </w:div>
      </w:divsChild>
    </w:div>
    <w:div w:id="627586731">
      <w:bodyDiv w:val="1"/>
      <w:marLeft w:val="0"/>
      <w:marRight w:val="0"/>
      <w:marTop w:val="0"/>
      <w:marBottom w:val="0"/>
      <w:divBdr>
        <w:top w:val="none" w:sz="0" w:space="0" w:color="auto"/>
        <w:left w:val="none" w:sz="0" w:space="0" w:color="auto"/>
        <w:bottom w:val="none" w:sz="0" w:space="0" w:color="auto"/>
        <w:right w:val="none" w:sz="0" w:space="0" w:color="auto"/>
      </w:divBdr>
    </w:div>
    <w:div w:id="747771800">
      <w:bodyDiv w:val="1"/>
      <w:marLeft w:val="0"/>
      <w:marRight w:val="0"/>
      <w:marTop w:val="0"/>
      <w:marBottom w:val="0"/>
      <w:divBdr>
        <w:top w:val="none" w:sz="0" w:space="0" w:color="auto"/>
        <w:left w:val="none" w:sz="0" w:space="0" w:color="auto"/>
        <w:bottom w:val="none" w:sz="0" w:space="0" w:color="auto"/>
        <w:right w:val="none" w:sz="0" w:space="0" w:color="auto"/>
      </w:divBdr>
    </w:div>
    <w:div w:id="754282088">
      <w:bodyDiv w:val="1"/>
      <w:marLeft w:val="0"/>
      <w:marRight w:val="0"/>
      <w:marTop w:val="0"/>
      <w:marBottom w:val="0"/>
      <w:divBdr>
        <w:top w:val="none" w:sz="0" w:space="0" w:color="auto"/>
        <w:left w:val="none" w:sz="0" w:space="0" w:color="auto"/>
        <w:bottom w:val="none" w:sz="0" w:space="0" w:color="auto"/>
        <w:right w:val="none" w:sz="0" w:space="0" w:color="auto"/>
      </w:divBdr>
      <w:divsChild>
        <w:div w:id="718016084">
          <w:marLeft w:val="0"/>
          <w:marRight w:val="0"/>
          <w:marTop w:val="0"/>
          <w:marBottom w:val="0"/>
          <w:divBdr>
            <w:top w:val="none" w:sz="0" w:space="0" w:color="auto"/>
            <w:left w:val="none" w:sz="0" w:space="0" w:color="auto"/>
            <w:bottom w:val="none" w:sz="0" w:space="0" w:color="auto"/>
            <w:right w:val="none" w:sz="0" w:space="0" w:color="auto"/>
          </w:divBdr>
        </w:div>
      </w:divsChild>
    </w:div>
    <w:div w:id="852457035">
      <w:bodyDiv w:val="1"/>
      <w:marLeft w:val="0"/>
      <w:marRight w:val="0"/>
      <w:marTop w:val="0"/>
      <w:marBottom w:val="0"/>
      <w:divBdr>
        <w:top w:val="none" w:sz="0" w:space="0" w:color="auto"/>
        <w:left w:val="none" w:sz="0" w:space="0" w:color="auto"/>
        <w:bottom w:val="none" w:sz="0" w:space="0" w:color="auto"/>
        <w:right w:val="none" w:sz="0" w:space="0" w:color="auto"/>
      </w:divBdr>
    </w:div>
    <w:div w:id="885871272">
      <w:bodyDiv w:val="1"/>
      <w:marLeft w:val="0"/>
      <w:marRight w:val="0"/>
      <w:marTop w:val="0"/>
      <w:marBottom w:val="0"/>
      <w:divBdr>
        <w:top w:val="none" w:sz="0" w:space="0" w:color="auto"/>
        <w:left w:val="none" w:sz="0" w:space="0" w:color="auto"/>
        <w:bottom w:val="none" w:sz="0" w:space="0" w:color="auto"/>
        <w:right w:val="none" w:sz="0" w:space="0" w:color="auto"/>
      </w:divBdr>
    </w:div>
    <w:div w:id="899438118">
      <w:bodyDiv w:val="1"/>
      <w:marLeft w:val="0"/>
      <w:marRight w:val="0"/>
      <w:marTop w:val="0"/>
      <w:marBottom w:val="0"/>
      <w:divBdr>
        <w:top w:val="none" w:sz="0" w:space="0" w:color="auto"/>
        <w:left w:val="none" w:sz="0" w:space="0" w:color="auto"/>
        <w:bottom w:val="none" w:sz="0" w:space="0" w:color="auto"/>
        <w:right w:val="none" w:sz="0" w:space="0" w:color="auto"/>
      </w:divBdr>
      <w:divsChild>
        <w:div w:id="412045275">
          <w:marLeft w:val="0"/>
          <w:marRight w:val="0"/>
          <w:marTop w:val="0"/>
          <w:marBottom w:val="0"/>
          <w:divBdr>
            <w:top w:val="none" w:sz="0" w:space="0" w:color="auto"/>
            <w:left w:val="none" w:sz="0" w:space="0" w:color="auto"/>
            <w:bottom w:val="none" w:sz="0" w:space="0" w:color="auto"/>
            <w:right w:val="none" w:sz="0" w:space="0" w:color="auto"/>
          </w:divBdr>
        </w:div>
      </w:divsChild>
    </w:div>
    <w:div w:id="1013412581">
      <w:bodyDiv w:val="1"/>
      <w:marLeft w:val="0"/>
      <w:marRight w:val="0"/>
      <w:marTop w:val="0"/>
      <w:marBottom w:val="0"/>
      <w:divBdr>
        <w:top w:val="none" w:sz="0" w:space="0" w:color="auto"/>
        <w:left w:val="none" w:sz="0" w:space="0" w:color="auto"/>
        <w:bottom w:val="none" w:sz="0" w:space="0" w:color="auto"/>
        <w:right w:val="none" w:sz="0" w:space="0" w:color="auto"/>
      </w:divBdr>
      <w:divsChild>
        <w:div w:id="616447916">
          <w:marLeft w:val="0"/>
          <w:marRight w:val="0"/>
          <w:marTop w:val="0"/>
          <w:marBottom w:val="0"/>
          <w:divBdr>
            <w:top w:val="none" w:sz="0" w:space="0" w:color="auto"/>
            <w:left w:val="none" w:sz="0" w:space="0" w:color="auto"/>
            <w:bottom w:val="none" w:sz="0" w:space="0" w:color="auto"/>
            <w:right w:val="none" w:sz="0" w:space="0" w:color="auto"/>
          </w:divBdr>
        </w:div>
      </w:divsChild>
    </w:div>
    <w:div w:id="1073359808">
      <w:bodyDiv w:val="1"/>
      <w:marLeft w:val="0"/>
      <w:marRight w:val="0"/>
      <w:marTop w:val="0"/>
      <w:marBottom w:val="0"/>
      <w:divBdr>
        <w:top w:val="none" w:sz="0" w:space="0" w:color="auto"/>
        <w:left w:val="none" w:sz="0" w:space="0" w:color="auto"/>
        <w:bottom w:val="none" w:sz="0" w:space="0" w:color="auto"/>
        <w:right w:val="none" w:sz="0" w:space="0" w:color="auto"/>
      </w:divBdr>
      <w:divsChild>
        <w:div w:id="98725797">
          <w:marLeft w:val="0"/>
          <w:marRight w:val="0"/>
          <w:marTop w:val="0"/>
          <w:marBottom w:val="0"/>
          <w:divBdr>
            <w:top w:val="none" w:sz="0" w:space="0" w:color="auto"/>
            <w:left w:val="none" w:sz="0" w:space="0" w:color="auto"/>
            <w:bottom w:val="none" w:sz="0" w:space="0" w:color="auto"/>
            <w:right w:val="none" w:sz="0" w:space="0" w:color="auto"/>
          </w:divBdr>
        </w:div>
      </w:divsChild>
    </w:div>
    <w:div w:id="1109468279">
      <w:bodyDiv w:val="1"/>
      <w:marLeft w:val="0"/>
      <w:marRight w:val="0"/>
      <w:marTop w:val="0"/>
      <w:marBottom w:val="0"/>
      <w:divBdr>
        <w:top w:val="none" w:sz="0" w:space="0" w:color="auto"/>
        <w:left w:val="none" w:sz="0" w:space="0" w:color="auto"/>
        <w:bottom w:val="none" w:sz="0" w:space="0" w:color="auto"/>
        <w:right w:val="none" w:sz="0" w:space="0" w:color="auto"/>
      </w:divBdr>
      <w:divsChild>
        <w:div w:id="38163359">
          <w:marLeft w:val="480"/>
          <w:marRight w:val="0"/>
          <w:marTop w:val="0"/>
          <w:marBottom w:val="0"/>
          <w:divBdr>
            <w:top w:val="none" w:sz="0" w:space="0" w:color="auto"/>
            <w:left w:val="none" w:sz="0" w:space="0" w:color="auto"/>
            <w:bottom w:val="none" w:sz="0" w:space="0" w:color="auto"/>
            <w:right w:val="none" w:sz="0" w:space="0" w:color="auto"/>
          </w:divBdr>
        </w:div>
        <w:div w:id="44185004">
          <w:marLeft w:val="480"/>
          <w:marRight w:val="0"/>
          <w:marTop w:val="0"/>
          <w:marBottom w:val="0"/>
          <w:divBdr>
            <w:top w:val="none" w:sz="0" w:space="0" w:color="auto"/>
            <w:left w:val="none" w:sz="0" w:space="0" w:color="auto"/>
            <w:bottom w:val="none" w:sz="0" w:space="0" w:color="auto"/>
            <w:right w:val="none" w:sz="0" w:space="0" w:color="auto"/>
          </w:divBdr>
        </w:div>
        <w:div w:id="158234753">
          <w:marLeft w:val="480"/>
          <w:marRight w:val="0"/>
          <w:marTop w:val="0"/>
          <w:marBottom w:val="0"/>
          <w:divBdr>
            <w:top w:val="none" w:sz="0" w:space="0" w:color="auto"/>
            <w:left w:val="none" w:sz="0" w:space="0" w:color="auto"/>
            <w:bottom w:val="none" w:sz="0" w:space="0" w:color="auto"/>
            <w:right w:val="none" w:sz="0" w:space="0" w:color="auto"/>
          </w:divBdr>
        </w:div>
        <w:div w:id="281692562">
          <w:marLeft w:val="480"/>
          <w:marRight w:val="0"/>
          <w:marTop w:val="0"/>
          <w:marBottom w:val="0"/>
          <w:divBdr>
            <w:top w:val="none" w:sz="0" w:space="0" w:color="auto"/>
            <w:left w:val="none" w:sz="0" w:space="0" w:color="auto"/>
            <w:bottom w:val="none" w:sz="0" w:space="0" w:color="auto"/>
            <w:right w:val="none" w:sz="0" w:space="0" w:color="auto"/>
          </w:divBdr>
        </w:div>
        <w:div w:id="307133232">
          <w:marLeft w:val="480"/>
          <w:marRight w:val="0"/>
          <w:marTop w:val="0"/>
          <w:marBottom w:val="0"/>
          <w:divBdr>
            <w:top w:val="none" w:sz="0" w:space="0" w:color="auto"/>
            <w:left w:val="none" w:sz="0" w:space="0" w:color="auto"/>
            <w:bottom w:val="none" w:sz="0" w:space="0" w:color="auto"/>
            <w:right w:val="none" w:sz="0" w:space="0" w:color="auto"/>
          </w:divBdr>
        </w:div>
        <w:div w:id="335890237">
          <w:marLeft w:val="480"/>
          <w:marRight w:val="0"/>
          <w:marTop w:val="0"/>
          <w:marBottom w:val="0"/>
          <w:divBdr>
            <w:top w:val="none" w:sz="0" w:space="0" w:color="auto"/>
            <w:left w:val="none" w:sz="0" w:space="0" w:color="auto"/>
            <w:bottom w:val="none" w:sz="0" w:space="0" w:color="auto"/>
            <w:right w:val="none" w:sz="0" w:space="0" w:color="auto"/>
          </w:divBdr>
        </w:div>
        <w:div w:id="345520031">
          <w:marLeft w:val="480"/>
          <w:marRight w:val="0"/>
          <w:marTop w:val="0"/>
          <w:marBottom w:val="0"/>
          <w:divBdr>
            <w:top w:val="none" w:sz="0" w:space="0" w:color="auto"/>
            <w:left w:val="none" w:sz="0" w:space="0" w:color="auto"/>
            <w:bottom w:val="none" w:sz="0" w:space="0" w:color="auto"/>
            <w:right w:val="none" w:sz="0" w:space="0" w:color="auto"/>
          </w:divBdr>
        </w:div>
        <w:div w:id="611085600">
          <w:marLeft w:val="480"/>
          <w:marRight w:val="0"/>
          <w:marTop w:val="0"/>
          <w:marBottom w:val="0"/>
          <w:divBdr>
            <w:top w:val="none" w:sz="0" w:space="0" w:color="auto"/>
            <w:left w:val="none" w:sz="0" w:space="0" w:color="auto"/>
            <w:bottom w:val="none" w:sz="0" w:space="0" w:color="auto"/>
            <w:right w:val="none" w:sz="0" w:space="0" w:color="auto"/>
          </w:divBdr>
        </w:div>
        <w:div w:id="661932025">
          <w:marLeft w:val="480"/>
          <w:marRight w:val="0"/>
          <w:marTop w:val="0"/>
          <w:marBottom w:val="0"/>
          <w:divBdr>
            <w:top w:val="none" w:sz="0" w:space="0" w:color="auto"/>
            <w:left w:val="none" w:sz="0" w:space="0" w:color="auto"/>
            <w:bottom w:val="none" w:sz="0" w:space="0" w:color="auto"/>
            <w:right w:val="none" w:sz="0" w:space="0" w:color="auto"/>
          </w:divBdr>
        </w:div>
        <w:div w:id="1659528402">
          <w:marLeft w:val="480"/>
          <w:marRight w:val="0"/>
          <w:marTop w:val="0"/>
          <w:marBottom w:val="0"/>
          <w:divBdr>
            <w:top w:val="none" w:sz="0" w:space="0" w:color="auto"/>
            <w:left w:val="none" w:sz="0" w:space="0" w:color="auto"/>
            <w:bottom w:val="none" w:sz="0" w:space="0" w:color="auto"/>
            <w:right w:val="none" w:sz="0" w:space="0" w:color="auto"/>
          </w:divBdr>
        </w:div>
      </w:divsChild>
    </w:div>
    <w:div w:id="1120494366">
      <w:bodyDiv w:val="1"/>
      <w:marLeft w:val="0"/>
      <w:marRight w:val="0"/>
      <w:marTop w:val="0"/>
      <w:marBottom w:val="0"/>
      <w:divBdr>
        <w:top w:val="none" w:sz="0" w:space="0" w:color="auto"/>
        <w:left w:val="none" w:sz="0" w:space="0" w:color="auto"/>
        <w:bottom w:val="none" w:sz="0" w:space="0" w:color="auto"/>
        <w:right w:val="none" w:sz="0" w:space="0" w:color="auto"/>
      </w:divBdr>
    </w:div>
    <w:div w:id="1150947205">
      <w:bodyDiv w:val="1"/>
      <w:marLeft w:val="0"/>
      <w:marRight w:val="0"/>
      <w:marTop w:val="0"/>
      <w:marBottom w:val="0"/>
      <w:divBdr>
        <w:top w:val="none" w:sz="0" w:space="0" w:color="auto"/>
        <w:left w:val="none" w:sz="0" w:space="0" w:color="auto"/>
        <w:bottom w:val="none" w:sz="0" w:space="0" w:color="auto"/>
        <w:right w:val="none" w:sz="0" w:space="0" w:color="auto"/>
      </w:divBdr>
      <w:divsChild>
        <w:div w:id="1745030076">
          <w:marLeft w:val="0"/>
          <w:marRight w:val="0"/>
          <w:marTop w:val="0"/>
          <w:marBottom w:val="0"/>
          <w:divBdr>
            <w:top w:val="none" w:sz="0" w:space="0" w:color="auto"/>
            <w:left w:val="none" w:sz="0" w:space="0" w:color="auto"/>
            <w:bottom w:val="none" w:sz="0" w:space="0" w:color="auto"/>
            <w:right w:val="none" w:sz="0" w:space="0" w:color="auto"/>
          </w:divBdr>
        </w:div>
      </w:divsChild>
    </w:div>
    <w:div w:id="1156914388">
      <w:bodyDiv w:val="1"/>
      <w:marLeft w:val="0"/>
      <w:marRight w:val="0"/>
      <w:marTop w:val="0"/>
      <w:marBottom w:val="0"/>
      <w:divBdr>
        <w:top w:val="none" w:sz="0" w:space="0" w:color="auto"/>
        <w:left w:val="none" w:sz="0" w:space="0" w:color="auto"/>
        <w:bottom w:val="none" w:sz="0" w:space="0" w:color="auto"/>
        <w:right w:val="none" w:sz="0" w:space="0" w:color="auto"/>
      </w:divBdr>
      <w:divsChild>
        <w:div w:id="106970689">
          <w:marLeft w:val="480"/>
          <w:marRight w:val="0"/>
          <w:marTop w:val="0"/>
          <w:marBottom w:val="0"/>
          <w:divBdr>
            <w:top w:val="none" w:sz="0" w:space="0" w:color="auto"/>
            <w:left w:val="none" w:sz="0" w:space="0" w:color="auto"/>
            <w:bottom w:val="none" w:sz="0" w:space="0" w:color="auto"/>
            <w:right w:val="none" w:sz="0" w:space="0" w:color="auto"/>
          </w:divBdr>
        </w:div>
        <w:div w:id="395973648">
          <w:marLeft w:val="480"/>
          <w:marRight w:val="0"/>
          <w:marTop w:val="0"/>
          <w:marBottom w:val="0"/>
          <w:divBdr>
            <w:top w:val="none" w:sz="0" w:space="0" w:color="auto"/>
            <w:left w:val="none" w:sz="0" w:space="0" w:color="auto"/>
            <w:bottom w:val="none" w:sz="0" w:space="0" w:color="auto"/>
            <w:right w:val="none" w:sz="0" w:space="0" w:color="auto"/>
          </w:divBdr>
        </w:div>
        <w:div w:id="396511290">
          <w:marLeft w:val="480"/>
          <w:marRight w:val="0"/>
          <w:marTop w:val="0"/>
          <w:marBottom w:val="0"/>
          <w:divBdr>
            <w:top w:val="none" w:sz="0" w:space="0" w:color="auto"/>
            <w:left w:val="none" w:sz="0" w:space="0" w:color="auto"/>
            <w:bottom w:val="none" w:sz="0" w:space="0" w:color="auto"/>
            <w:right w:val="none" w:sz="0" w:space="0" w:color="auto"/>
          </w:divBdr>
        </w:div>
        <w:div w:id="808859619">
          <w:marLeft w:val="480"/>
          <w:marRight w:val="0"/>
          <w:marTop w:val="0"/>
          <w:marBottom w:val="0"/>
          <w:divBdr>
            <w:top w:val="none" w:sz="0" w:space="0" w:color="auto"/>
            <w:left w:val="none" w:sz="0" w:space="0" w:color="auto"/>
            <w:bottom w:val="none" w:sz="0" w:space="0" w:color="auto"/>
            <w:right w:val="none" w:sz="0" w:space="0" w:color="auto"/>
          </w:divBdr>
        </w:div>
        <w:div w:id="1522356573">
          <w:marLeft w:val="480"/>
          <w:marRight w:val="0"/>
          <w:marTop w:val="0"/>
          <w:marBottom w:val="0"/>
          <w:divBdr>
            <w:top w:val="none" w:sz="0" w:space="0" w:color="auto"/>
            <w:left w:val="none" w:sz="0" w:space="0" w:color="auto"/>
            <w:bottom w:val="none" w:sz="0" w:space="0" w:color="auto"/>
            <w:right w:val="none" w:sz="0" w:space="0" w:color="auto"/>
          </w:divBdr>
        </w:div>
        <w:div w:id="2013214475">
          <w:marLeft w:val="480"/>
          <w:marRight w:val="0"/>
          <w:marTop w:val="0"/>
          <w:marBottom w:val="0"/>
          <w:divBdr>
            <w:top w:val="none" w:sz="0" w:space="0" w:color="auto"/>
            <w:left w:val="none" w:sz="0" w:space="0" w:color="auto"/>
            <w:bottom w:val="none" w:sz="0" w:space="0" w:color="auto"/>
            <w:right w:val="none" w:sz="0" w:space="0" w:color="auto"/>
          </w:divBdr>
        </w:div>
        <w:div w:id="2071344932">
          <w:marLeft w:val="480"/>
          <w:marRight w:val="0"/>
          <w:marTop w:val="0"/>
          <w:marBottom w:val="0"/>
          <w:divBdr>
            <w:top w:val="none" w:sz="0" w:space="0" w:color="auto"/>
            <w:left w:val="none" w:sz="0" w:space="0" w:color="auto"/>
            <w:bottom w:val="none" w:sz="0" w:space="0" w:color="auto"/>
            <w:right w:val="none" w:sz="0" w:space="0" w:color="auto"/>
          </w:divBdr>
        </w:div>
      </w:divsChild>
    </w:div>
    <w:div w:id="1170408689">
      <w:bodyDiv w:val="1"/>
      <w:marLeft w:val="0"/>
      <w:marRight w:val="0"/>
      <w:marTop w:val="0"/>
      <w:marBottom w:val="0"/>
      <w:divBdr>
        <w:top w:val="none" w:sz="0" w:space="0" w:color="auto"/>
        <w:left w:val="none" w:sz="0" w:space="0" w:color="auto"/>
        <w:bottom w:val="none" w:sz="0" w:space="0" w:color="auto"/>
        <w:right w:val="none" w:sz="0" w:space="0" w:color="auto"/>
      </w:divBdr>
    </w:div>
    <w:div w:id="1209368417">
      <w:bodyDiv w:val="1"/>
      <w:marLeft w:val="0"/>
      <w:marRight w:val="0"/>
      <w:marTop w:val="0"/>
      <w:marBottom w:val="0"/>
      <w:divBdr>
        <w:top w:val="none" w:sz="0" w:space="0" w:color="auto"/>
        <w:left w:val="none" w:sz="0" w:space="0" w:color="auto"/>
        <w:bottom w:val="none" w:sz="0" w:space="0" w:color="auto"/>
        <w:right w:val="none" w:sz="0" w:space="0" w:color="auto"/>
      </w:divBdr>
      <w:divsChild>
        <w:div w:id="300768455">
          <w:marLeft w:val="480"/>
          <w:marRight w:val="0"/>
          <w:marTop w:val="0"/>
          <w:marBottom w:val="0"/>
          <w:divBdr>
            <w:top w:val="none" w:sz="0" w:space="0" w:color="auto"/>
            <w:left w:val="none" w:sz="0" w:space="0" w:color="auto"/>
            <w:bottom w:val="none" w:sz="0" w:space="0" w:color="auto"/>
            <w:right w:val="none" w:sz="0" w:space="0" w:color="auto"/>
          </w:divBdr>
        </w:div>
        <w:div w:id="617562502">
          <w:marLeft w:val="480"/>
          <w:marRight w:val="0"/>
          <w:marTop w:val="0"/>
          <w:marBottom w:val="0"/>
          <w:divBdr>
            <w:top w:val="none" w:sz="0" w:space="0" w:color="auto"/>
            <w:left w:val="none" w:sz="0" w:space="0" w:color="auto"/>
            <w:bottom w:val="none" w:sz="0" w:space="0" w:color="auto"/>
            <w:right w:val="none" w:sz="0" w:space="0" w:color="auto"/>
          </w:divBdr>
        </w:div>
        <w:div w:id="1440370275">
          <w:marLeft w:val="480"/>
          <w:marRight w:val="0"/>
          <w:marTop w:val="0"/>
          <w:marBottom w:val="0"/>
          <w:divBdr>
            <w:top w:val="none" w:sz="0" w:space="0" w:color="auto"/>
            <w:left w:val="none" w:sz="0" w:space="0" w:color="auto"/>
            <w:bottom w:val="none" w:sz="0" w:space="0" w:color="auto"/>
            <w:right w:val="none" w:sz="0" w:space="0" w:color="auto"/>
          </w:divBdr>
        </w:div>
        <w:div w:id="1459371657">
          <w:marLeft w:val="480"/>
          <w:marRight w:val="0"/>
          <w:marTop w:val="0"/>
          <w:marBottom w:val="0"/>
          <w:divBdr>
            <w:top w:val="none" w:sz="0" w:space="0" w:color="auto"/>
            <w:left w:val="none" w:sz="0" w:space="0" w:color="auto"/>
            <w:bottom w:val="none" w:sz="0" w:space="0" w:color="auto"/>
            <w:right w:val="none" w:sz="0" w:space="0" w:color="auto"/>
          </w:divBdr>
        </w:div>
        <w:div w:id="1674258240">
          <w:marLeft w:val="480"/>
          <w:marRight w:val="0"/>
          <w:marTop w:val="0"/>
          <w:marBottom w:val="0"/>
          <w:divBdr>
            <w:top w:val="none" w:sz="0" w:space="0" w:color="auto"/>
            <w:left w:val="none" w:sz="0" w:space="0" w:color="auto"/>
            <w:bottom w:val="none" w:sz="0" w:space="0" w:color="auto"/>
            <w:right w:val="none" w:sz="0" w:space="0" w:color="auto"/>
          </w:divBdr>
        </w:div>
      </w:divsChild>
    </w:div>
    <w:div w:id="1307318486">
      <w:bodyDiv w:val="1"/>
      <w:marLeft w:val="0"/>
      <w:marRight w:val="0"/>
      <w:marTop w:val="0"/>
      <w:marBottom w:val="0"/>
      <w:divBdr>
        <w:top w:val="none" w:sz="0" w:space="0" w:color="auto"/>
        <w:left w:val="none" w:sz="0" w:space="0" w:color="auto"/>
        <w:bottom w:val="none" w:sz="0" w:space="0" w:color="auto"/>
        <w:right w:val="none" w:sz="0" w:space="0" w:color="auto"/>
      </w:divBdr>
      <w:divsChild>
        <w:div w:id="546264719">
          <w:marLeft w:val="0"/>
          <w:marRight w:val="0"/>
          <w:marTop w:val="0"/>
          <w:marBottom w:val="0"/>
          <w:divBdr>
            <w:top w:val="none" w:sz="0" w:space="0" w:color="auto"/>
            <w:left w:val="none" w:sz="0" w:space="0" w:color="auto"/>
            <w:bottom w:val="none" w:sz="0" w:space="0" w:color="auto"/>
            <w:right w:val="none" w:sz="0" w:space="0" w:color="auto"/>
          </w:divBdr>
        </w:div>
      </w:divsChild>
    </w:div>
    <w:div w:id="1315718658">
      <w:bodyDiv w:val="1"/>
      <w:marLeft w:val="0"/>
      <w:marRight w:val="0"/>
      <w:marTop w:val="0"/>
      <w:marBottom w:val="0"/>
      <w:divBdr>
        <w:top w:val="none" w:sz="0" w:space="0" w:color="auto"/>
        <w:left w:val="none" w:sz="0" w:space="0" w:color="auto"/>
        <w:bottom w:val="none" w:sz="0" w:space="0" w:color="auto"/>
        <w:right w:val="none" w:sz="0" w:space="0" w:color="auto"/>
      </w:divBdr>
      <w:divsChild>
        <w:div w:id="55057048">
          <w:marLeft w:val="0"/>
          <w:marRight w:val="0"/>
          <w:marTop w:val="0"/>
          <w:marBottom w:val="0"/>
          <w:divBdr>
            <w:top w:val="none" w:sz="0" w:space="0" w:color="auto"/>
            <w:left w:val="none" w:sz="0" w:space="0" w:color="auto"/>
            <w:bottom w:val="none" w:sz="0" w:space="0" w:color="auto"/>
            <w:right w:val="none" w:sz="0" w:space="0" w:color="auto"/>
          </w:divBdr>
        </w:div>
      </w:divsChild>
    </w:div>
    <w:div w:id="1429161031">
      <w:bodyDiv w:val="1"/>
      <w:marLeft w:val="0"/>
      <w:marRight w:val="0"/>
      <w:marTop w:val="0"/>
      <w:marBottom w:val="0"/>
      <w:divBdr>
        <w:top w:val="none" w:sz="0" w:space="0" w:color="auto"/>
        <w:left w:val="none" w:sz="0" w:space="0" w:color="auto"/>
        <w:bottom w:val="none" w:sz="0" w:space="0" w:color="auto"/>
        <w:right w:val="none" w:sz="0" w:space="0" w:color="auto"/>
      </w:divBdr>
      <w:divsChild>
        <w:div w:id="668602932">
          <w:marLeft w:val="0"/>
          <w:marRight w:val="0"/>
          <w:marTop w:val="0"/>
          <w:marBottom w:val="0"/>
          <w:divBdr>
            <w:top w:val="none" w:sz="0" w:space="0" w:color="auto"/>
            <w:left w:val="none" w:sz="0" w:space="0" w:color="auto"/>
            <w:bottom w:val="none" w:sz="0" w:space="0" w:color="auto"/>
            <w:right w:val="none" w:sz="0" w:space="0" w:color="auto"/>
          </w:divBdr>
        </w:div>
      </w:divsChild>
    </w:div>
    <w:div w:id="1538934606">
      <w:bodyDiv w:val="1"/>
      <w:marLeft w:val="0"/>
      <w:marRight w:val="0"/>
      <w:marTop w:val="0"/>
      <w:marBottom w:val="0"/>
      <w:divBdr>
        <w:top w:val="none" w:sz="0" w:space="0" w:color="auto"/>
        <w:left w:val="none" w:sz="0" w:space="0" w:color="auto"/>
        <w:bottom w:val="none" w:sz="0" w:space="0" w:color="auto"/>
        <w:right w:val="none" w:sz="0" w:space="0" w:color="auto"/>
      </w:divBdr>
      <w:divsChild>
        <w:div w:id="41833099">
          <w:marLeft w:val="480"/>
          <w:marRight w:val="0"/>
          <w:marTop w:val="0"/>
          <w:marBottom w:val="0"/>
          <w:divBdr>
            <w:top w:val="none" w:sz="0" w:space="0" w:color="auto"/>
            <w:left w:val="none" w:sz="0" w:space="0" w:color="auto"/>
            <w:bottom w:val="none" w:sz="0" w:space="0" w:color="auto"/>
            <w:right w:val="none" w:sz="0" w:space="0" w:color="auto"/>
          </w:divBdr>
        </w:div>
        <w:div w:id="96096949">
          <w:marLeft w:val="480"/>
          <w:marRight w:val="0"/>
          <w:marTop w:val="0"/>
          <w:marBottom w:val="0"/>
          <w:divBdr>
            <w:top w:val="none" w:sz="0" w:space="0" w:color="auto"/>
            <w:left w:val="none" w:sz="0" w:space="0" w:color="auto"/>
            <w:bottom w:val="none" w:sz="0" w:space="0" w:color="auto"/>
            <w:right w:val="none" w:sz="0" w:space="0" w:color="auto"/>
          </w:divBdr>
        </w:div>
        <w:div w:id="201286217">
          <w:marLeft w:val="480"/>
          <w:marRight w:val="0"/>
          <w:marTop w:val="0"/>
          <w:marBottom w:val="0"/>
          <w:divBdr>
            <w:top w:val="none" w:sz="0" w:space="0" w:color="auto"/>
            <w:left w:val="none" w:sz="0" w:space="0" w:color="auto"/>
            <w:bottom w:val="none" w:sz="0" w:space="0" w:color="auto"/>
            <w:right w:val="none" w:sz="0" w:space="0" w:color="auto"/>
          </w:divBdr>
        </w:div>
        <w:div w:id="960918413">
          <w:marLeft w:val="480"/>
          <w:marRight w:val="0"/>
          <w:marTop w:val="0"/>
          <w:marBottom w:val="0"/>
          <w:divBdr>
            <w:top w:val="none" w:sz="0" w:space="0" w:color="auto"/>
            <w:left w:val="none" w:sz="0" w:space="0" w:color="auto"/>
            <w:bottom w:val="none" w:sz="0" w:space="0" w:color="auto"/>
            <w:right w:val="none" w:sz="0" w:space="0" w:color="auto"/>
          </w:divBdr>
        </w:div>
        <w:div w:id="1168247829">
          <w:marLeft w:val="480"/>
          <w:marRight w:val="0"/>
          <w:marTop w:val="0"/>
          <w:marBottom w:val="0"/>
          <w:divBdr>
            <w:top w:val="none" w:sz="0" w:space="0" w:color="auto"/>
            <w:left w:val="none" w:sz="0" w:space="0" w:color="auto"/>
            <w:bottom w:val="none" w:sz="0" w:space="0" w:color="auto"/>
            <w:right w:val="none" w:sz="0" w:space="0" w:color="auto"/>
          </w:divBdr>
        </w:div>
        <w:div w:id="2123650271">
          <w:marLeft w:val="480"/>
          <w:marRight w:val="0"/>
          <w:marTop w:val="0"/>
          <w:marBottom w:val="0"/>
          <w:divBdr>
            <w:top w:val="none" w:sz="0" w:space="0" w:color="auto"/>
            <w:left w:val="none" w:sz="0" w:space="0" w:color="auto"/>
            <w:bottom w:val="none" w:sz="0" w:space="0" w:color="auto"/>
            <w:right w:val="none" w:sz="0" w:space="0" w:color="auto"/>
          </w:divBdr>
        </w:div>
        <w:div w:id="2143111275">
          <w:marLeft w:val="480"/>
          <w:marRight w:val="0"/>
          <w:marTop w:val="0"/>
          <w:marBottom w:val="0"/>
          <w:divBdr>
            <w:top w:val="none" w:sz="0" w:space="0" w:color="auto"/>
            <w:left w:val="none" w:sz="0" w:space="0" w:color="auto"/>
            <w:bottom w:val="none" w:sz="0" w:space="0" w:color="auto"/>
            <w:right w:val="none" w:sz="0" w:space="0" w:color="auto"/>
          </w:divBdr>
        </w:div>
      </w:divsChild>
    </w:div>
    <w:div w:id="1574049690">
      <w:bodyDiv w:val="1"/>
      <w:marLeft w:val="0"/>
      <w:marRight w:val="0"/>
      <w:marTop w:val="0"/>
      <w:marBottom w:val="0"/>
      <w:divBdr>
        <w:top w:val="none" w:sz="0" w:space="0" w:color="auto"/>
        <w:left w:val="none" w:sz="0" w:space="0" w:color="auto"/>
        <w:bottom w:val="none" w:sz="0" w:space="0" w:color="auto"/>
        <w:right w:val="none" w:sz="0" w:space="0" w:color="auto"/>
      </w:divBdr>
      <w:divsChild>
        <w:div w:id="783118897">
          <w:marLeft w:val="0"/>
          <w:marRight w:val="0"/>
          <w:marTop w:val="0"/>
          <w:marBottom w:val="0"/>
          <w:divBdr>
            <w:top w:val="none" w:sz="0" w:space="0" w:color="auto"/>
            <w:left w:val="none" w:sz="0" w:space="0" w:color="auto"/>
            <w:bottom w:val="none" w:sz="0" w:space="0" w:color="auto"/>
            <w:right w:val="none" w:sz="0" w:space="0" w:color="auto"/>
          </w:divBdr>
        </w:div>
      </w:divsChild>
    </w:div>
    <w:div w:id="1649899670">
      <w:bodyDiv w:val="1"/>
      <w:marLeft w:val="0"/>
      <w:marRight w:val="0"/>
      <w:marTop w:val="0"/>
      <w:marBottom w:val="0"/>
      <w:divBdr>
        <w:top w:val="none" w:sz="0" w:space="0" w:color="auto"/>
        <w:left w:val="none" w:sz="0" w:space="0" w:color="auto"/>
        <w:bottom w:val="none" w:sz="0" w:space="0" w:color="auto"/>
        <w:right w:val="none" w:sz="0" w:space="0" w:color="auto"/>
      </w:divBdr>
      <w:divsChild>
        <w:div w:id="1372682184">
          <w:marLeft w:val="0"/>
          <w:marRight w:val="0"/>
          <w:marTop w:val="0"/>
          <w:marBottom w:val="0"/>
          <w:divBdr>
            <w:top w:val="none" w:sz="0" w:space="0" w:color="auto"/>
            <w:left w:val="none" w:sz="0" w:space="0" w:color="auto"/>
            <w:bottom w:val="none" w:sz="0" w:space="0" w:color="auto"/>
            <w:right w:val="none" w:sz="0" w:space="0" w:color="auto"/>
          </w:divBdr>
        </w:div>
      </w:divsChild>
    </w:div>
    <w:div w:id="1743061342">
      <w:bodyDiv w:val="1"/>
      <w:marLeft w:val="0"/>
      <w:marRight w:val="0"/>
      <w:marTop w:val="0"/>
      <w:marBottom w:val="0"/>
      <w:divBdr>
        <w:top w:val="none" w:sz="0" w:space="0" w:color="auto"/>
        <w:left w:val="none" w:sz="0" w:space="0" w:color="auto"/>
        <w:bottom w:val="none" w:sz="0" w:space="0" w:color="auto"/>
        <w:right w:val="none" w:sz="0" w:space="0" w:color="auto"/>
      </w:divBdr>
    </w:div>
    <w:div w:id="1757937811">
      <w:bodyDiv w:val="1"/>
      <w:marLeft w:val="0"/>
      <w:marRight w:val="0"/>
      <w:marTop w:val="0"/>
      <w:marBottom w:val="0"/>
      <w:divBdr>
        <w:top w:val="none" w:sz="0" w:space="0" w:color="auto"/>
        <w:left w:val="none" w:sz="0" w:space="0" w:color="auto"/>
        <w:bottom w:val="none" w:sz="0" w:space="0" w:color="auto"/>
        <w:right w:val="none" w:sz="0" w:space="0" w:color="auto"/>
      </w:divBdr>
    </w:div>
    <w:div w:id="1761438963">
      <w:bodyDiv w:val="1"/>
      <w:marLeft w:val="0"/>
      <w:marRight w:val="0"/>
      <w:marTop w:val="0"/>
      <w:marBottom w:val="0"/>
      <w:divBdr>
        <w:top w:val="none" w:sz="0" w:space="0" w:color="auto"/>
        <w:left w:val="none" w:sz="0" w:space="0" w:color="auto"/>
        <w:bottom w:val="none" w:sz="0" w:space="0" w:color="auto"/>
        <w:right w:val="none" w:sz="0" w:space="0" w:color="auto"/>
      </w:divBdr>
      <w:divsChild>
        <w:div w:id="351956981">
          <w:marLeft w:val="480"/>
          <w:marRight w:val="0"/>
          <w:marTop w:val="0"/>
          <w:marBottom w:val="0"/>
          <w:divBdr>
            <w:top w:val="none" w:sz="0" w:space="0" w:color="auto"/>
            <w:left w:val="none" w:sz="0" w:space="0" w:color="auto"/>
            <w:bottom w:val="none" w:sz="0" w:space="0" w:color="auto"/>
            <w:right w:val="none" w:sz="0" w:space="0" w:color="auto"/>
          </w:divBdr>
        </w:div>
        <w:div w:id="489030205">
          <w:marLeft w:val="480"/>
          <w:marRight w:val="0"/>
          <w:marTop w:val="0"/>
          <w:marBottom w:val="0"/>
          <w:divBdr>
            <w:top w:val="none" w:sz="0" w:space="0" w:color="auto"/>
            <w:left w:val="none" w:sz="0" w:space="0" w:color="auto"/>
            <w:bottom w:val="none" w:sz="0" w:space="0" w:color="auto"/>
            <w:right w:val="none" w:sz="0" w:space="0" w:color="auto"/>
          </w:divBdr>
        </w:div>
        <w:div w:id="965542970">
          <w:marLeft w:val="480"/>
          <w:marRight w:val="0"/>
          <w:marTop w:val="0"/>
          <w:marBottom w:val="0"/>
          <w:divBdr>
            <w:top w:val="none" w:sz="0" w:space="0" w:color="auto"/>
            <w:left w:val="none" w:sz="0" w:space="0" w:color="auto"/>
            <w:bottom w:val="none" w:sz="0" w:space="0" w:color="auto"/>
            <w:right w:val="none" w:sz="0" w:space="0" w:color="auto"/>
          </w:divBdr>
        </w:div>
      </w:divsChild>
    </w:div>
    <w:div w:id="1795832159">
      <w:bodyDiv w:val="1"/>
      <w:marLeft w:val="0"/>
      <w:marRight w:val="0"/>
      <w:marTop w:val="0"/>
      <w:marBottom w:val="0"/>
      <w:divBdr>
        <w:top w:val="none" w:sz="0" w:space="0" w:color="auto"/>
        <w:left w:val="none" w:sz="0" w:space="0" w:color="auto"/>
        <w:bottom w:val="none" w:sz="0" w:space="0" w:color="auto"/>
        <w:right w:val="none" w:sz="0" w:space="0" w:color="auto"/>
      </w:divBdr>
    </w:div>
    <w:div w:id="2099790786">
      <w:bodyDiv w:val="1"/>
      <w:marLeft w:val="0"/>
      <w:marRight w:val="0"/>
      <w:marTop w:val="0"/>
      <w:marBottom w:val="0"/>
      <w:divBdr>
        <w:top w:val="none" w:sz="0" w:space="0" w:color="auto"/>
        <w:left w:val="none" w:sz="0" w:space="0" w:color="auto"/>
        <w:bottom w:val="none" w:sz="0" w:space="0" w:color="auto"/>
        <w:right w:val="none" w:sz="0" w:space="0" w:color="auto"/>
      </w:divBdr>
      <w:divsChild>
        <w:div w:id="1563104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oleObject" Target="embeddings/oleObject2.bin"/><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5.em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F502EA84-A311-4CFE-B9FA-E88CB60FE4ED}"/>
      </w:docPartPr>
      <w:docPartBody>
        <w:p w:rsidR="00566431" w:rsidRDefault="00384D09">
          <w:r w:rsidRPr="000D5E45">
            <w:rPr>
              <w:rStyle w:val="PlaceholderText"/>
            </w:rPr>
            <w:t>Click or tap here to enter text.</w:t>
          </w:r>
        </w:p>
      </w:docPartBody>
    </w:docPart>
    <w:docPart>
      <w:docPartPr>
        <w:name w:val="1C4D2DD0C4FF4427914343DB193FE1E3"/>
        <w:category>
          <w:name w:val="General"/>
          <w:gallery w:val="placeholder"/>
        </w:category>
        <w:types>
          <w:type w:val="bbPlcHdr"/>
        </w:types>
        <w:behaviors>
          <w:behavior w:val="content"/>
        </w:behaviors>
        <w:guid w:val="{FAE6F520-6840-49BA-8FD9-854661D8B188}"/>
      </w:docPartPr>
      <w:docPartBody>
        <w:p w:rsidR="00000000" w:rsidRDefault="00354786" w:rsidP="00354786">
          <w:pPr>
            <w:pStyle w:val="1C4D2DD0C4FF4427914343DB193FE1E3"/>
          </w:pPr>
          <w:r w:rsidRPr="000D5E45">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D09"/>
    <w:rsid w:val="000178DA"/>
    <w:rsid w:val="000C73F8"/>
    <w:rsid w:val="00354786"/>
    <w:rsid w:val="00384D09"/>
    <w:rsid w:val="00423BDA"/>
    <w:rsid w:val="00463436"/>
    <w:rsid w:val="0053786F"/>
    <w:rsid w:val="00566431"/>
    <w:rsid w:val="00BA1FE5"/>
    <w:rsid w:val="00C40FF7"/>
    <w:rsid w:val="00C95120"/>
    <w:rsid w:val="00F355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54786"/>
    <w:rPr>
      <w:color w:val="808080"/>
    </w:rPr>
  </w:style>
  <w:style w:type="paragraph" w:customStyle="1" w:styleId="AE57F2F999B548C8AF6D2F74DE6C1BC5">
    <w:name w:val="AE57F2F999B548C8AF6D2F74DE6C1BC5"/>
    <w:rsid w:val="00F3555C"/>
  </w:style>
  <w:style w:type="paragraph" w:customStyle="1" w:styleId="1C4D2DD0C4FF4427914343DB193FE1E3">
    <w:name w:val="1C4D2DD0C4FF4427914343DB193FE1E3"/>
    <w:rsid w:val="003547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094EE4A-7BC0-4485-8D85-E8740811B9CB}">
  <we:reference id="f78a3046-9e99-4300-aa2b-5814002b01a2" version="1.55.1.0" store="EXCatalog" storeType="EXCatalog"/>
  <we:alternateReferences>
    <we:reference id="WA104382081" version="1.55.1.0" store="en-GB" storeType="OMEX"/>
  </we:alternateReferences>
  <we:properties>
    <we:property name="MENDELEY_BIBLIOGRAPHY_IS_DIRTY" value="true"/>
    <we:property name="MENDELEY_BIBLIOGRAPHY_LAST_MODIFIED" value="1774364018234"/>
    <we:property name="MENDELEY_CITATIONS" value="[{&quot;citationID&quot;:&quot;MENDELEY_CITATION_5b991e3d-aa0c-41f8-9306-493c2a5ff6b9&quot;,&quot;properties&quot;:{&quot;noteIndex&quot;:0},&quot;isEdited&quot;:false,&quot;manualOverride&quot;:{&quot;isManuallyOverridden&quot;:false,&quot;citeprocText&quot;:&quot;(Public Health Wales Observatory, 2012)&quot;,&quot;manualOverrideText&quot;:&quot;&quot;},&quot;citationTag&quot;:&quot;MENDELEY_CITATION_v3_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&quot;,&quot;citationItems&quot;:[{&quot;id&quot;:&quot;36926436-dfbb-32e7-b4d1-26ab0d812dca&quot;,&quot;itemData&quot;:{&quot;type&quot;:&quot;report&quot;,&quot;id&quot;:&quot;36926436-dfbb-32e7-b4d1-26ab0d812dca&quot;,&quot;title&quot;:&quot;Sub-local authority  analysis of the  Welsh Health  Survey&quot;,&quot;author&quot;:[{&quot;family&quot;:&quot;Public Health Wales Observatory&quot;,&quot;given&quot;:&quot;&quot;,&quot;parse-names&quot;:false,&quot;dropping-particle&quot;:&quot;&quot;,&quot;non-dropping-particle&quot;:&quot;&quot;}],&quot;accessed&quot;:{&quot;date-parts&quot;:[[2026,3,19]]},&quot;URL&quot;:&quot;https://phw.nhs.wales/services-and-teams/observatory/data-and-analysis/publication-documents/sub-local-authority-analysis-of-the-welsh-health-survey/whs-usoa-analysis-report-v1-eng-pdf/&quot;,&quot;issued&quot;:{&quot;date-parts&quot;:[[2012]]},&quot;container-title-short&quot;:&quot;&quot;},&quot;isTemporary&quot;:false,&quot;suppress-author&quot;:false,&quot;composite&quot;:false,&quot;author-only&quot;:false}]},{&quot;citationID&quot;:&quot;MENDELEY_CITATION_90ea02ec-8107-4331-b7c6-734db2ee583e&quot;,&quot;properties&quot;:{&quot;noteIndex&quot;:0},&quot;isEdited&quot;:false,&quot;manualOverride&quot;:{&quot;isManuallyOverridden&quot;:false,&quot;citeprocText&quot;:&quot;(Public Health Wales Observatory, 2012)&quot;,&quot;manualOverrideText&quot;:&quot;&quot;},&quot;citationTag&quot;:&quot;MENDELEY_CITATION_v3_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&quot;,&quot;citationItems&quot;:[{&quot;id&quot;:&quot;36926436-dfbb-32e7-b4d1-26ab0d812dca&quot;,&quot;itemData&quot;:{&quot;type&quot;:&quot;report&quot;,&quot;id&quot;:&quot;36926436-dfbb-32e7-b4d1-26ab0d812dca&quot;,&quot;title&quot;:&quot;Sub-local authority  analysis of the  Welsh Health  Survey&quot;,&quot;author&quot;:[{&quot;family&quot;:&quot;Public Health Wales Observatory&quot;,&quot;given&quot;:&quot;&quot;,&quot;parse-names&quot;:false,&quot;dropping-particle&quot;:&quot;&quot;,&quot;non-dropping-particle&quot;:&quot;&quot;}],&quot;accessed&quot;:{&quot;date-parts&quot;:[[2026,3,19]]},&quot;URL&quot;:&quot;https://phw.nhs.wales/services-and-teams/observatory/data-and-analysis/publication-documents/sub-local-authority-analysis-of-the-welsh-health-survey/whs-usoa-analysis-report-v1-eng-pdf/&quot;,&quot;issued&quot;:{&quot;date-parts&quot;:[[2012]]},&quot;container-title-short&quot;:&quot;&quot;},&quot;isTemporary&quot;:false,&quot;suppress-author&quot;:false,&quot;composite&quot;:false,&quot;author-only&quot;:false}]},{&quot;citationID&quot;:&quot;MENDELEY_CITATION_e7b6ca14-aca3-4fa5-92ec-acb6ed64a97f&quot;,&quot;properties&quot;:{&quot;noteIndex&quot;:0},&quot;isEdited&quot;:false,&quot;manualOverride&quot;:{&quot;isManuallyOverridden&quot;:false,&quot;citeprocText&quot;:&quot;(NHS, 2023)&quot;,&quot;manualOverrideText&quot;:&quot;&quot;},&quot;citationTag&quot;:&quot;MENDELEY_CITATION_v3_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&quot;,&quot;citationItems&quot;:[{&quot;id&quot;:&quot;47f192de-5fa5-37d5-bd98-f558f0791c35&quot;,&quot;itemData&quot;:{&quot;type&quot;:&quot;webpage&quot;,&quot;id&quot;:&quot;47f192de-5fa5-37d5-bd98-f558f0791c35&quot;,&quot;title&quot;:&quot;Obesity&quot;,&quot;author&quot;:[{&quot;family&quot;:&quot;NHS&quot;,&quot;given&quot;:&quot;&quot;,&quot;parse-names&quot;:false,&quot;dropping-particle&quot;:&quot;&quot;,&quot;non-dropping-particle&quot;:&quot;&quot;}],&quot;accessed&quot;:{&quot;date-parts&quot;:[[2026,3,20]]},&quot;URL&quot;:&quot;https://www.nhs.uk/conditions/obesity/&quot;,&quot;issued&quot;:{&quot;date-parts&quot;:[[2023,11,10]]},&quot;container-title-short&quot;:&quot;&quot;},&quot;isTemporary&quot;:false,&quot;suppress-author&quot;:false,&quot;composite&quot;:false,&quot;author-only&quot;:false}]},{&quot;citationID&quot;:&quot;MENDELEY_CITATION_20bcff7f-5623-4706-afc2-36dfaf7f5d87&quot;,&quot;properties&quot;:{&quot;noteIndex&quot;:0},&quot;isEdited&quot;:false,&quot;manualOverride&quot;:{&quot;isManuallyOverridden&quot;:false,&quot;citeprocText&quot;:&quot;(Public Health England, 2014)&quot;,&quot;manualOverrideText&quot;:&quot;&quot;},&quot;citationTag&quot;:&quot;MENDELEY_CITATION_v3_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&quot;,&quot;citationItems&quot;:[{&quot;id&quot;:&quot;0943a06d-8229-337a-b6e5-210b8c3f0d9b&quot;,&quot;itemData&quot;:{&quot;type&quot;:&quot;webpage&quot;,&quot;id&quot;:&quot;0943a06d-8229-337a-b6e5-210b8c3f0d9b&quot;,&quot;title&quot;:&quot;Adult obesity and type 2 diabetes &quot;,&quot;author&quot;:[{&quot;family&quot;:&quot;Public Health England&quot;,&quot;given&quot;:&quot;&quot;,&quot;parse-names&quot;:false,&quot;dropping-particle&quot;:&quot;&quot;,&quot;non-dropping-particle&quot;:&quot;&quot;}],&quot;accessed&quot;:{&quot;date-parts&quot;:[[2026,3,23]]},&quot;URL&quot;:&quot;https://assets.publishing.service.gov.uk/media/5a7f069140f0b6230268d059/Adult_obesity_and_type_2_diabetes_.pdf&quot;,&quot;issued&quot;:{&quot;date-parts&quot;:[[2014]]},&quot;container-title-short&quot;:&quot;&quot;},&quot;isTemporary&quot;:false,&quot;suppress-author&quot;:false,&quot;composite&quot;:false,&quot;author-only&quot;:false}]},{&quot;citationID&quot;:&quot;MENDELEY_CITATION_32e89fee-e5bd-4d2d-80d9-aaf4a60725b9&quot;,&quot;properties&quot;:{&quot;noteIndex&quot;:0},&quot;isEdited&quot;:false,&quot;manualOverride&quot;:{&quot;isManuallyOverridden&quot;:false,&quot;citeprocText&quot;:&quot;(Office for National Statistics, 2023)&quot;,&quot;manualOverrideText&quot;:&quot;&quot;},&quot;citationTag&quot;:&quot;MENDELEY_CITATION_v3_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&quot;,&quot;citationItems&quot;:[{&quot;id&quot;:&quot;f8588623-09ce-36c7-8a54-4ed2ba9b3e99&quot;,&quot;itemData&quot;:{&quot;type&quot;:&quot;report&quot;,&quot;id&quot;:&quot;f8588623-09ce-36c7-8a54-4ed2ba9b3e99&quot;,&quot;title&quot;:&quot;Deprivation and the impact on smoking prevalence, England and Wales: 2017 to 2021&quot;,&quot;author&quot;:[{&quot;family&quot;:&quot;Office for National Statistics&quot;,&quot;given&quot;:&quot;&quot;,&quot;parse-names&quot;:false,&quot;dropping-particle&quot;:&quot;&quot;,&quot;non-dropping-particle&quot;:&quot;&quot;}],&quot;accessed&quot;:{&quot;date-parts&quot;:[[2026,3,20]]},&quot;URL&quot;:&quot;https://www.ons.gov.uk/peoplepopulationandcommunity/healthandsocialcare/drugusealcoholandsmoking/bulletins/deprivationandtheimpactonsmokingprevalenceenglandandwales/2017to2021&quot;,&quot;issued&quot;:{&quot;date-parts&quot;:[[2023,4,21]]},&quot;container-title-short&quot;:&quot;&quot;},&quot;isTemporary&quot;:false,&quot;suppress-author&quot;:false,&quot;composite&quot;:false,&quot;author-only&quot;:false}]},{&quot;citationID&quot;:&quot;MENDELEY_CITATION_6146aaca-1e14-4710-99c1-85ad1d18a154&quot;,&quot;properties&quot;:{&quot;noteIndex&quot;:0},&quot;isEdited&quot;:false,&quot;manualOverride&quot;:{&quot;isManuallyOverridden&quot;:false,&quot;citeprocText&quot;:&quot;(Williams et al., 2022)&quot;,&quot;manualOverrideText&quot;:&quot;&quot;},&quot;citationTag&quot;:&quot;MENDELEY_CITATION_v3_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&quot;,&quot;citationItems&quot;:[{&quot;id&quot;:&quot;1cec3f45-effa-3a25-9528-d6816aa593af&quot;,&quot;itemData&quot;:{&quot;type&quot;:&quot;article-journal&quot;,&quot;id&quot;:&quot;1cec3f45-effa-3a25-9528-d6816aa593af&quot;,&quot;title&quot;:&quot;Smoking and socioeconomic factors linked to acute exacerbations of COPD: analysis from an Asthma + Lung UK survey&quot;,&quot;author&quot;:[{&quot;family&quot;:&quot;Williams&quot;,&quot;given&quot;:&quot;Parris J&quot;,&quot;parse-names&quot;:false,&quot;dropping-particle&quot;:&quot;&quot;,&quot;non-dropping-particle&quot;:&quot;&quot;},{&quot;family&quot;:&quot;Cumella&quot;,&quot;given&quot;:&quot;Andrew&quot;,&quot;parse-names&quot;:false,&quot;dropping-particle&quot;:&quot;&quot;,&quot;non-dropping-particle&quot;:&quot;&quot;},{&quot;family&quot;:&quot;Philip&quot;,&quot;given&quot;:&quot;Keir Elmslie James&quot;,&quot;parse-names&quot;:false,&quot;dropping-particle&quot;:&quot;&quot;,&quot;non-dropping-particle&quot;:&quot;&quot;},{&quot;family&quot;:&quot;Laverty&quot;,&quot;given&quot;:&quot;Anthony A&quot;,&quot;parse-names&quot;:false,&quot;dropping-particle&quot;:&quot;&quot;,&quot;non-dropping-particle&quot;:&quot;&quot;},{&quot;family&quot;:&quot;Hopkinson&quot;,&quot;given&quot;:&quot;Nicholas S&quot;,&quot;parse-names&quot;:false,&quot;dropping-particle&quot;:&quot;&quot;,&quot;non-dropping-particle&quot;:&quot;&quot;}],&quot;container-title&quot;:&quot;BMJ Open Respiratory Research&quot;,&quot;container-title-short&quot;:&quot;BMJ Open Respir. Res.&quot;,&quot;DOI&quot;:&quot;10.1136/bmjresp-2022-001290&quot;,&quot;ISSN&quot;:&quot;2052-4439&quot;,&quot;issued&quot;:{&quot;date-parts&quot;:[[2022,7,19]]},&quot;page&quot;:&quot;e001290&quot;,&quot;issue&quot;:&quot;1&quot;,&quot;volume&quot;:&quot;9&quot;},&quot;isTemporary&quot;:false,&quot;suppress-author&quot;:false,&quot;composite&quot;:false,&quot;author-only&quot;:false}]},{&quot;citationID&quot;:&quot;MENDELEY_CITATION_d133ffd2-2eb3-4a43-a738-063f70ce83d4&quot;,&quot;properties&quot;:{&quot;noteIndex&quot;:0},&quot;isEdited&quot;:false,&quot;manualOverride&quot;:{&quot;isManuallyOverridden&quot;:false,&quot;citeprocText&quot;:&quot;(Zhang et al., 2013)&quot;,&quot;manualOverrideText&quot;:&quot;&quot;},&quot;citationTag&quot;:&quot;MENDELEY_CITATION_v3_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&quot;,&quot;citationItems&quot;:[{&quot;id&quot;:&quot;b785279b-ee3d-300d-9f37-f53a4a0a0685&quot;,&quot;itemData&quot;:{&quot;type&quot;:&quot;article-journal&quot;,&quot;id&quot;:&quot;b785279b-ee3d-300d-9f37-f53a4a0a0685&quot;,&quot;title&quot;:&quot;The effects of deprivation and relative deprivation on self-reported morbidity in England: an area-level ecological study&quot;,&quot;author&quot;:[{&quot;family&quot;:&quot;Zhang&quot;,&quot;given&quot;:&quot;Xin&quot;,&quot;parse-names&quot;:false,&quot;dropping-particle&quot;:&quot;&quot;,&quot;non-dropping-particle&quot;:&quot;&quot;},{&quot;family&quot;:&quot;Cook&quot;,&quot;given&quot;:&quot;Penny A&quot;,&quot;parse-names&quot;:false,&quot;dropping-particle&quot;:&quot;&quot;,&quot;non-dropping-particle&quot;:&quot;&quot;},{&quot;family&quot;:&quot;Lisboa&quot;,&quot;given&quot;:&quot;Paulo J&quot;,&quot;parse-names&quot;:false,&quot;dropping-particle&quot;:&quot;&quot;,&quot;non-dropping-particle&quot;:&quot;&quot;},{&quot;family&quot;:&quot;Jarman&quot;,&quot;given&quot;:&quot;Ian H&quot;,&quot;parse-names&quot;:false,&quot;dropping-particle&quot;:&quot;&quot;,&quot;non-dropping-particle&quot;:&quot;&quot;},{&quot;family&quot;:&quot;Bellis&quot;,&quot;given&quot;:&quot;Mark A&quot;,&quot;parse-names&quot;:false,&quot;dropping-particle&quot;:&quot;&quot;,&quot;non-dropping-particle&quot;:&quot;&quot;}],&quot;container-title&quot;:&quot;International Journal of Health Geographics&quot;,&quot;container-title-short&quot;:&quot;Int. J. Health Geogr.&quot;,&quot;DOI&quot;:&quot;10.1186/1476-072X-12-5&quot;,&quot;ISSN&quot;:&quot;1476-072X&quot;,&quot;issued&quot;:{&quot;date-parts&quot;:[[2013,12,29]]},&quot;page&quot;:&quot;5&quot;,&quot;issue&quot;:&quot;1&quot;,&quot;volume&quot;:&quot;12&quot;},&quot;isTemporary&quot;:false,&quot;suppress-author&quot;:false,&quot;composite&quot;:false,&quot;author-only&quot;:false}]},{&quot;citationID&quot;:&quot;MENDELEY_CITATION_e9bc2ac2-d5f2-43ce-8805-41ae430bfdea&quot;,&quot;properties&quot;:{&quot;noteIndex&quot;:0},&quot;isEdited&quot;:false,&quot;manualOverride&quot;:{&quot;isManuallyOverridden&quot;:false,&quot;citeprocText&quot;:&quot;(Bombak, 2013)&quot;,&quot;manualOverrideText&quot;:&quot;&quot;},&quot;citationTag&quot;:&quot;MENDELEY_CITATION_v3_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&quot;,&quot;citationItems&quot;:[{&quot;id&quot;:&quot;dc8b330c-445f-3800-891c-5d12fc16332c&quot;,&quot;itemData&quot;:{&quot;type&quot;:&quot;article-journal&quot;,&quot;id&quot;:&quot;dc8b330c-445f-3800-891c-5d12fc16332c&quot;,&quot;title&quot;:&quot;Self-rated health and public health: a critical perspective.&quot;,&quot;author&quot;:[{&quot;family&quot;:&quot;Bombak&quot;,&quot;given&quot;:&quot;Andrea E&quot;,&quot;parse-names&quot;:false,&quot;dropping-particle&quot;:&quot;&quot;,&quot;non-dropping-particle&quot;:&quot;&quot;}],&quot;container-title&quot;:&quot;Frontiers in public health&quot;,&quot;container-title-short&quot;:&quot;Front. Public Health&quot;,&quot;DOI&quot;:&quot;10.3389/fpubh.2013.00015&quot;,&quot;ISSN&quot;:&quot;2296-2565&quot;,&quot;PMID&quot;:&quot;24350184&quot;,&quot;issued&quot;:{&quot;date-parts&quot;:[[2013]]},&quot;page&quot;:&quot;15&quot;,&quot;volume&quot;:&quot;1&quot;},&quot;isTemporary&quot;:false,&quot;suppress-author&quot;:false,&quot;composite&quot;:false,&quot;author-only&quot;:false}]},{&quot;citationID&quot;:&quot;MENDELEY_CITATION_4fd6efba-967d-488d-8fdf-5306890f3b23&quot;,&quot;properties&quot;:{&quot;noteIndex&quot;:0},&quot;isEdited&quot;:false,&quot;manualOverride&quot;:{&quot;isManuallyOverridden&quot;:false,&quot;citeprocText&quot;:&quot;(Public Health Wales Observatory, 2012)&quot;,&quot;manualOverrideText&quot;:&quot;&quot;},&quot;citationItems&quot;:[{&quot;id&quot;:&quot;36926436-dfbb-32e7-b4d1-26ab0d812dca&quot;,&quot;itemData&quot;:{&quot;type&quot;:&quot;report&quot;,&quot;id&quot;:&quot;36926436-dfbb-32e7-b4d1-26ab0d812dca&quot;,&quot;title&quot;:&quot;Sub-local authority  analysis of the  Welsh Health  Survey&quot;,&quot;author&quot;:[{&quot;family&quot;:&quot;Public Health Wales Observatory&quot;,&quot;given&quot;:&quot;&quot;,&quot;parse-names&quot;:false,&quot;dropping-particle&quot;:&quot;&quot;,&quot;non-dropping-particle&quot;:&quot;&quot;}],&quot;accessed&quot;:{&quot;date-parts&quot;:[[2026,3,19]]},&quot;URL&quot;:&quot;https://phw.nhs.wales/services-and-teams/observatory/data-and-analysis/publication-documents/sub-local-authority-analysis-of-the-welsh-health-survey/whs-usoa-analysis-report-v1-eng-pdf/&quot;,&quot;issued&quot;:{&quot;date-parts&quot;:[[2012]]},&quot;container-title-short&quot;:&quot;&quot;},&quot;isTemporary&quot;:false,&quot;suppress-author&quot;:false,&quot;composite&quot;:false,&quot;author-only&quot;:false}],&quot;citationTag&quot;:&quot;MENDELEY_CITATION_v3_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&quot;},{&quot;citationID&quot;:&quot;MENDELEY_CITATION_2055ac46-90ba-4e8c-ab0d-dcce471c19dc&quot;,&quot;properties&quot;:{&quot;noteIndex&quot;:0},&quot;isEdited&quot;:false,&quot;manualOverride&quot;:{&quot;isManuallyOverridden&quot;:false,&quot;citeprocText&quot;:&quot;(Fernainy &amp;#38; Sourial, 2022)&quot;,&quot;manualOverrideText&quot;:&quot;&quot;},&quot;citationTag&quot;:&quot;MENDELEY_CITATION_v3_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&quot;,&quot;citationItems&quot;:[{&quot;id&quot;:&quot;56be21c8-4857-3579-a35b-73e637350d93&quot;,&quot;itemData&quot;:{&quot;type&quot;:&quot;article-journal&quot;,&quot;id&quot;:&quot;56be21c8-4857-3579-a35b-73e637350d93&quot;,&quot;title&quot;:&quot;Leveraging confidence intervals to inform the clinical significance of interventions.&quot;,&quot;author&quot;:[{&quot;family&quot;:&quot;Fernainy&quot;,&quot;given&quot;:&quot;Pamela&quot;,&quot;parse-names&quot;:false,&quot;dropping-particle&quot;:&quot;&quot;,&quot;non-dropping-particle&quot;:&quot;&quot;},{&quot;family&quot;:&quot;Sourial&quot;,&quot;given&quot;:&quot;Nadia&quot;,&quot;parse-names&quot;:false,&quot;dropping-particle&quot;:&quot;&quot;,&quot;non-dropping-particle&quot;:&quot;&quot;}],&quot;container-title&quot;:&quot;Family practice&quot;,&quot;container-title-short&quot;:&quot;Fam. Pract.&quot;,&quot;DOI&quot;:&quot;10.1093/fampra/cmac065&quot;,&quot;ISSN&quot;:&quot;1460-2229&quot;,&quot;PMID&quot;:&quot;35716096&quot;,&quot;issued&quot;:{&quot;date-parts&quot;:[[2022,11,22]]},&quot;page&quot;:&quot;1196-1198&quot;,&quot;issue&quot;:&quot;6&quot;,&quot;volume&quot;:&quot;39&quot;},&quot;isTemporary&quot;:false,&quot;suppress-author&quot;:false,&quot;composite&quot;:false,&quot;author-only&quot;:false}]},{&quot;citationID&quot;:&quot;MENDELEY_CITATION_2b14ca26-856f-4166-90bb-11857a1995eb&quot;,&quot;properties&quot;:{&quot;noteIndex&quot;:0},&quot;isEdited&quot;:false,&quot;manualOverride&quot;:{&quot;isManuallyOverridden&quot;:false,&quot;citeprocText&quot;:&quot;(Horton et al., 2023)&quot;,&quot;manualOverrideText&quot;:&quot;&quot;},&quot;citationTag&quot;:&quot;MENDELEY_CITATION_v3_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&quot;,&quot;citationItems&quot;:[{&quot;id&quot;:&quot;fe54f55a-4601-3cee-8194-4e388e44c47f&quot;,&quot;itemData&quot;:{&quot;type&quot;:&quot;article-journal&quot;,&quot;id&quot;:&quot;fe54f55a-4601-3cee-8194-4e388e44c47f&quot;,&quot;title&quot;:&quot;Air pollution and public health vulnerabilities, susceptibilities and inequalities in Wales, UK.&quot;,&quot;author&quot;:[{&quot;family&quot;:&quot;Horton&quot;,&quot;given&quot;:&quot;Amber&quot;,&quot;parse-names&quot;:false,&quot;dropping-particle&quot;:&quot;&quot;,&quot;non-dropping-particle&quot;:&quot;&quot;},{&quot;family&quot;:&quot;Jones&quot;,&quot;given&quot;:&quot;Sarah J&quot;,&quot;parse-names&quot;:false,&quot;dropping-particle&quot;:&quot;&quot;,&quot;non-dropping-particle&quot;:&quot;&quot;},{&quot;family&quot;:&quot;Brunt&quot;,&quot;given&quot;:&quot;Huw&quot;,&quot;parse-names&quot;:false,&quot;dropping-particle&quot;:&quot;&quot;,&quot;non-dropping-particle&quot;:&quot;&quot;}],&quot;container-title&quot;:&quot;Journal of public health (Oxford, England)&quot;,&quot;container-title-short&quot;:&quot;J. Public Health (Oxf).&quot;,&quot;DOI&quot;:&quot;10.1093/pubmed/fdac083&quot;,&quot;ISSN&quot;:&quot;1741-3850&quot;,&quot;PMID&quot;:&quot;35993370&quot;,&quot;issued&quot;:{&quot;date-parts&quot;:[[2023,6,14]]},&quot;page&quot;:&quot;432-441&quot;,&quot;abstract&quot;:&quot;BACKGROUND Outdoor air pollution is the largest environmental risk to health. Air pollution, deprivation and poor health status are inextricably linked; highlighting issues of environmental injustice, social and health inequalities. METHODS Air pollution (nitrogen dioxide, NO2 and fine particulate matter, PM2.5), population and deprivation data were identified at Lower Super Output Area level in Wales, UK, for 2012-18. Air pollution data were categorized according to different air pollution concentrations. Population and deprivation data were considered simultaneously to describe population vulnerabilities, susceptibilities and inequalities. Simple statistical analyses were performed using a difference in proportions method with 95% confidence intervals. RESULTS Over time, the majority of Welsh people transitioned to living in areas of lower NO2 and PM2.5 pollution. Areas of worse air pollution comprised more young people than people aged 65+; both populations are known to be susceptible to air pollution exposure. By 2018, significant socioeconomic inequality gaps were found where 'most deprived' population groups for both pollutants experienced greater disadvantage. CONCLUSION Air quality in Wales is improving. However, local-level variations in exposure risk still exist. System-wide action must ensure that air quality improvement-related benefits are equitable and acknowledge current evidence about the harms that even low levels of air pollution can have on health.&quot;,&quot;issue&quot;:&quot;2&quot;,&quot;volume&quot;:&quot;45&quot;},&quot;isTemporary&quot;:false,&quot;suppress-author&quot;:false,&quot;composite&quot;:false,&quot;author-only&quot;:false}]},{&quot;citationID&quot;:&quot;MENDELEY_CITATION_1af3484b-8eab-45e0-9877-d13095c1e937&quot;,&quot;properties&quot;:{&quot;noteIndex&quot;:0},&quot;isEdited&quot;:false,&quot;manualOverride&quot;:{&quot;isManuallyOverridden&quot;:false,&quot;citeprocText&quot;:&quot;(Welsh Government, 2025)&quot;,&quot;manualOverrideText&quot;:&quot;&quot;},&quot;citationTag&quot;:&quot;MENDELEY_CITATION_v3_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&quot;,&quot;citationItems&quot;:[{&quot;id&quot;:&quot;2f0ea376-7f09-3818-8fcf-8c38597f3d14&quot;,&quot;itemData&quot;:{&quot;type&quot;:&quot;webpage&quot;,&quot;id&quot;:&quot;2f0ea376-7f09-3818-8fcf-8c38597f3d14&quot;,&quot;title&quot;:&quot;Welsh Index of Multiple Deprivation 2025&quot;,&quot;author&quot;:[{&quot;family&quot;:&quot;Welsh Government&quot;,&quot;given&quot;:&quot;&quot;,&quot;parse-names&quot;:false,&quot;dropping-particle&quot;:&quot;&quot;,&quot;non-dropping-particle&quot;:&quot;&quot;}],&quot;accessed&quot;:{&quot;date-parts&quot;:[[2026,3,24]]},&quot;URL&quot;:&quot;https://www.gov.wales/welsh-index-multiple-deprivation-2025-series&quot;,&quot;issued&quot;:{&quot;date-parts&quot;:[[2025]]},&quot;container-title-short&quot;:&quot;&quot;},&quot;isTemporary&quot;:false,&quot;suppress-author&quot;:false,&quot;composite&quot;:false,&quot;author-only&quot;:false}]},{&quot;citationID&quot;:&quot;MENDELEY_CITATION_e9dc6893-a175-4026-b022-8d4e869f110f&quot;,&quot;properties&quot;:{&quot;noteIndex&quot;:0},&quot;isEdited&quot;:false,&quot;manualOverride&quot;:{&quot;isManuallyOverridden&quot;:false,&quot;citeprocText&quot;:&quot;(Welsh Government, 2025)&quot;,&quot;manualOverrideText&quot;:&quot;&quot;},&quot;citationTag&quot;:&quot;MENDELEY_CITATION_v3_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&quot;,&quot;citationItems&quot;:[{&quot;id&quot;:&quot;2f0ea376-7f09-3818-8fcf-8c38597f3d14&quot;,&quot;itemData&quot;:{&quot;type&quot;:&quot;webpage&quot;,&quot;id&quot;:&quot;2f0ea376-7f09-3818-8fcf-8c38597f3d14&quot;,&quot;title&quot;:&quot;Welsh Index of Multiple Deprivation 2025&quot;,&quot;author&quot;:[{&quot;family&quot;:&quot;Welsh Government&quot;,&quot;given&quot;:&quot;&quot;,&quot;parse-names&quot;:false,&quot;dropping-particle&quot;:&quot;&quot;,&quot;non-dropping-particle&quot;:&quot;&quot;}],&quot;accessed&quot;:{&quot;date-parts&quot;:[[2026,3,24]]},&quot;URL&quot;:&quot;https://www.gov.wales/welsh-index-multiple-deprivation-2025-series&quot;,&quot;issued&quot;:{&quot;date-parts&quot;:[[2025]]},&quot;container-title-short&quot;:&quot;&quot;},&quot;isTemporary&quot;:false,&quot;suppress-author&quot;:false,&quot;composite&quot;:false,&quot;author-only&quot;:false}]}]"/>
    <we:property name="MENDELEY_CITATIONS_STYLE" value="{&quot;id&quot;:&quot;https://www.zotero.org/styles/apa&quot;,&quot;title&quot;:&quot;APA Style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852975-3F7C-4432-9D9C-B67180C7FF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879</TotalTime>
  <Pages>7</Pages>
  <Words>1626</Words>
  <Characters>9273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ABUHB Office 2021 Pro</Company>
  <LinksUpToDate>false</LinksUpToDate>
  <CharactersWithSpaces>10878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James (Aneurin Bevan UHB - Primary Care and Community Division)</dc:creator>
  <cp:keywords/>
  <dc:description/>
  <cp:lastModifiedBy>Adam James (Aneurin Bevan UHB - Primary Care and Community Division)</cp:lastModifiedBy>
  <cp:revision>18</cp:revision>
  <dcterms:created xsi:type="dcterms:W3CDTF">2026-03-16T14:49:00Z</dcterms:created>
  <dcterms:modified xsi:type="dcterms:W3CDTF">2026-05-01T21:35:00Z</dcterms:modified>
</cp:coreProperties>
</file>