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C6C04" w14:textId="77777777" w:rsidR="001C6EA3" w:rsidRDefault="001C6EA3" w:rsidP="00520837">
      <w:pPr>
        <w:jc w:val="both"/>
        <w:rPr>
          <w:rFonts w:ascii="Times New Roman" w:hAnsi="Times New Roman" w:cs="Times New Roman"/>
          <w:b/>
          <w:bCs/>
          <w:sz w:val="24"/>
          <w:szCs w:val="24"/>
        </w:rPr>
      </w:pPr>
    </w:p>
    <w:p w14:paraId="5A2F9DB9" w14:textId="77777777" w:rsidR="001C6EA3" w:rsidRDefault="001C6EA3" w:rsidP="00520837">
      <w:pPr>
        <w:jc w:val="both"/>
        <w:rPr>
          <w:rFonts w:ascii="Times New Roman" w:hAnsi="Times New Roman" w:cs="Times New Roman"/>
          <w:b/>
          <w:bCs/>
          <w:sz w:val="24"/>
          <w:szCs w:val="24"/>
        </w:rPr>
      </w:pPr>
    </w:p>
    <w:p w14:paraId="1864E479" w14:textId="77777777" w:rsidR="001C6EA3" w:rsidRDefault="001C6EA3" w:rsidP="00520837">
      <w:pPr>
        <w:jc w:val="both"/>
        <w:rPr>
          <w:rFonts w:ascii="Times New Roman" w:hAnsi="Times New Roman" w:cs="Times New Roman"/>
          <w:b/>
          <w:bCs/>
          <w:sz w:val="24"/>
          <w:szCs w:val="24"/>
        </w:rPr>
      </w:pPr>
    </w:p>
    <w:p w14:paraId="4A9C006C" w14:textId="77777777" w:rsidR="001C6EA3" w:rsidRDefault="001C6EA3" w:rsidP="00520837">
      <w:pPr>
        <w:jc w:val="both"/>
        <w:rPr>
          <w:rFonts w:ascii="Times New Roman" w:hAnsi="Times New Roman" w:cs="Times New Roman"/>
          <w:b/>
          <w:bCs/>
          <w:sz w:val="24"/>
          <w:szCs w:val="24"/>
        </w:rPr>
      </w:pPr>
    </w:p>
    <w:p w14:paraId="55676D54" w14:textId="77777777" w:rsidR="001C6EA3" w:rsidRPr="00F46699" w:rsidRDefault="001C6EA3" w:rsidP="001C6EA3">
      <w:pPr>
        <w:jc w:val="center"/>
        <w:rPr>
          <w:rFonts w:ascii="Times New Roman" w:hAnsi="Times New Roman" w:cs="Times New Roman"/>
          <w:b/>
          <w:bCs/>
          <w:sz w:val="32"/>
          <w:szCs w:val="32"/>
          <w:lang w:val="en-GB"/>
        </w:rPr>
      </w:pPr>
      <w:r>
        <w:rPr>
          <w:rFonts w:ascii="Times New Roman" w:hAnsi="Times New Roman" w:cs="Times New Roman"/>
          <w:b/>
          <w:bCs/>
          <w:sz w:val="32"/>
          <w:szCs w:val="32"/>
          <w:lang w:val="en-GB"/>
        </w:rPr>
        <w:t>Management Accounting</w:t>
      </w:r>
    </w:p>
    <w:p w14:paraId="7BDA05E8" w14:textId="77777777" w:rsidR="001C6EA3" w:rsidRPr="00F46699" w:rsidRDefault="001C6EA3" w:rsidP="001C6EA3">
      <w:pPr>
        <w:jc w:val="center"/>
        <w:rPr>
          <w:rFonts w:ascii="Times New Roman" w:hAnsi="Times New Roman" w:cs="Times New Roman"/>
          <w:b/>
          <w:bCs/>
          <w:sz w:val="32"/>
          <w:szCs w:val="32"/>
          <w:lang w:val="en-GB"/>
        </w:rPr>
      </w:pPr>
    </w:p>
    <w:p w14:paraId="76217FAD" w14:textId="77777777" w:rsidR="001C6EA3" w:rsidRPr="00F46699" w:rsidRDefault="001C6EA3" w:rsidP="001C6EA3">
      <w:pPr>
        <w:jc w:val="center"/>
        <w:rPr>
          <w:rFonts w:ascii="Times New Roman" w:hAnsi="Times New Roman" w:cs="Times New Roman"/>
          <w:sz w:val="32"/>
          <w:szCs w:val="32"/>
          <w:lang w:val="en-GB"/>
        </w:rPr>
      </w:pPr>
      <w:r w:rsidRPr="00F46699">
        <w:rPr>
          <w:rFonts w:ascii="Times New Roman" w:hAnsi="Times New Roman" w:cs="Times New Roman"/>
          <w:sz w:val="32"/>
          <w:szCs w:val="32"/>
          <w:lang w:val="en-GB"/>
        </w:rPr>
        <w:t>Assessment 1</w:t>
      </w:r>
    </w:p>
    <w:p w14:paraId="7E2C0D59" w14:textId="77777777" w:rsidR="001C6EA3" w:rsidRPr="00F46699" w:rsidRDefault="001C6EA3" w:rsidP="001C6EA3">
      <w:pPr>
        <w:jc w:val="center"/>
        <w:rPr>
          <w:rFonts w:ascii="Times New Roman" w:hAnsi="Times New Roman" w:cs="Times New Roman"/>
          <w:sz w:val="32"/>
          <w:szCs w:val="32"/>
          <w:lang w:val="en-GB"/>
        </w:rPr>
      </w:pPr>
      <w:r w:rsidRPr="00F46699">
        <w:rPr>
          <w:rFonts w:ascii="Times New Roman" w:hAnsi="Times New Roman" w:cs="Times New Roman"/>
          <w:sz w:val="32"/>
          <w:szCs w:val="32"/>
          <w:lang w:val="en-GB"/>
        </w:rPr>
        <w:t xml:space="preserve">Module Code: </w:t>
      </w:r>
      <w:r>
        <w:rPr>
          <w:rFonts w:ascii="Times New Roman" w:hAnsi="Times New Roman" w:cs="Times New Roman"/>
          <w:sz w:val="32"/>
          <w:szCs w:val="32"/>
          <w:lang w:val="en-GB"/>
        </w:rPr>
        <w:t>LCBB5002</w:t>
      </w:r>
    </w:p>
    <w:p w14:paraId="7B09191F" w14:textId="77777777" w:rsidR="001C6EA3" w:rsidRPr="00F46699" w:rsidRDefault="001C6EA3" w:rsidP="001C6EA3">
      <w:pPr>
        <w:jc w:val="center"/>
        <w:rPr>
          <w:rFonts w:ascii="Times New Roman" w:hAnsi="Times New Roman" w:cs="Times New Roman"/>
          <w:sz w:val="32"/>
          <w:szCs w:val="32"/>
          <w:lang w:val="en-GB"/>
        </w:rPr>
      </w:pPr>
    </w:p>
    <w:p w14:paraId="07D8B665" w14:textId="77777777" w:rsidR="001C6EA3" w:rsidRPr="00F46699" w:rsidRDefault="001C6EA3" w:rsidP="001C6EA3">
      <w:pPr>
        <w:rPr>
          <w:rFonts w:ascii="Times New Roman" w:hAnsi="Times New Roman" w:cs="Times New Roman"/>
          <w:sz w:val="32"/>
          <w:szCs w:val="32"/>
          <w:lang w:val="en-GB"/>
        </w:rPr>
      </w:pPr>
    </w:p>
    <w:p w14:paraId="1FD9F4FE" w14:textId="77777777" w:rsidR="001C6EA3" w:rsidRPr="00F46699" w:rsidRDefault="001C6EA3" w:rsidP="001C6EA3">
      <w:pPr>
        <w:jc w:val="center"/>
        <w:rPr>
          <w:rFonts w:ascii="Times New Roman" w:hAnsi="Times New Roman" w:cs="Times New Roman"/>
          <w:sz w:val="32"/>
          <w:szCs w:val="32"/>
          <w:lang w:val="en-GB"/>
        </w:rPr>
      </w:pPr>
      <w:r w:rsidRPr="00F46699">
        <w:rPr>
          <w:rFonts w:ascii="Times New Roman" w:hAnsi="Times New Roman" w:cs="Times New Roman"/>
          <w:b/>
          <w:bCs/>
          <w:sz w:val="32"/>
          <w:szCs w:val="32"/>
          <w:lang w:val="en-GB"/>
        </w:rPr>
        <w:t xml:space="preserve">Lecturer Name: </w:t>
      </w:r>
      <w:proofErr w:type="spellStart"/>
      <w:r>
        <w:rPr>
          <w:rFonts w:ascii="Times New Roman" w:hAnsi="Times New Roman" w:cs="Times New Roman"/>
          <w:sz w:val="32"/>
          <w:szCs w:val="32"/>
          <w:lang w:val="en-GB"/>
        </w:rPr>
        <w:t>Rexon</w:t>
      </w:r>
      <w:proofErr w:type="spellEnd"/>
      <w:r>
        <w:rPr>
          <w:rFonts w:ascii="Times New Roman" w:hAnsi="Times New Roman" w:cs="Times New Roman"/>
          <w:sz w:val="32"/>
          <w:szCs w:val="32"/>
          <w:lang w:val="en-GB"/>
        </w:rPr>
        <w:t xml:space="preserve"> </w:t>
      </w:r>
      <w:proofErr w:type="spellStart"/>
      <w:r>
        <w:rPr>
          <w:rFonts w:ascii="Times New Roman" w:hAnsi="Times New Roman" w:cs="Times New Roman"/>
          <w:sz w:val="32"/>
          <w:szCs w:val="32"/>
          <w:lang w:val="en-GB"/>
        </w:rPr>
        <w:t>Nting</w:t>
      </w:r>
      <w:proofErr w:type="spellEnd"/>
      <w:r>
        <w:rPr>
          <w:rFonts w:ascii="Times New Roman" w:hAnsi="Times New Roman" w:cs="Times New Roman"/>
          <w:sz w:val="32"/>
          <w:szCs w:val="32"/>
          <w:lang w:val="en-GB"/>
        </w:rPr>
        <w:t xml:space="preserve"> </w:t>
      </w:r>
    </w:p>
    <w:p w14:paraId="079885E0" w14:textId="77777777" w:rsidR="001C6EA3" w:rsidRPr="00F46699" w:rsidRDefault="001C6EA3" w:rsidP="001C6EA3">
      <w:pPr>
        <w:rPr>
          <w:rFonts w:ascii="Times New Roman" w:hAnsi="Times New Roman" w:cs="Times New Roman"/>
          <w:sz w:val="32"/>
          <w:szCs w:val="32"/>
          <w:lang w:val="en-GB"/>
        </w:rPr>
      </w:pPr>
    </w:p>
    <w:p w14:paraId="01548E70" w14:textId="77777777" w:rsidR="001C6EA3" w:rsidRPr="00F46699" w:rsidRDefault="001C6EA3" w:rsidP="001C6EA3">
      <w:pPr>
        <w:jc w:val="center"/>
        <w:rPr>
          <w:rFonts w:ascii="Times New Roman" w:hAnsi="Times New Roman" w:cs="Times New Roman"/>
          <w:sz w:val="32"/>
          <w:szCs w:val="32"/>
          <w:lang w:val="en-GB"/>
        </w:rPr>
      </w:pPr>
      <w:r w:rsidRPr="00F46699">
        <w:rPr>
          <w:rFonts w:ascii="Times New Roman" w:hAnsi="Times New Roman" w:cs="Times New Roman"/>
          <w:b/>
          <w:bCs/>
          <w:sz w:val="32"/>
          <w:szCs w:val="32"/>
          <w:lang w:val="en-GB"/>
        </w:rPr>
        <w:t>Student Name:</w:t>
      </w:r>
      <w:r w:rsidRPr="00F46699">
        <w:rPr>
          <w:rFonts w:ascii="Times New Roman" w:hAnsi="Times New Roman" w:cs="Times New Roman"/>
          <w:sz w:val="32"/>
          <w:szCs w:val="32"/>
          <w:lang w:val="en-GB"/>
        </w:rPr>
        <w:t xml:space="preserve"> Lyudmila </w:t>
      </w:r>
      <w:proofErr w:type="spellStart"/>
      <w:r w:rsidRPr="00F46699">
        <w:rPr>
          <w:rFonts w:ascii="Times New Roman" w:hAnsi="Times New Roman" w:cs="Times New Roman"/>
          <w:sz w:val="32"/>
          <w:szCs w:val="32"/>
          <w:lang w:val="en-GB"/>
        </w:rPr>
        <w:t>Nikolova</w:t>
      </w:r>
      <w:proofErr w:type="spellEnd"/>
    </w:p>
    <w:p w14:paraId="23E90AAC" w14:textId="77777777" w:rsidR="001C6EA3" w:rsidRPr="00F46699" w:rsidRDefault="001C6EA3" w:rsidP="001C6EA3">
      <w:pPr>
        <w:jc w:val="center"/>
        <w:rPr>
          <w:rFonts w:ascii="Times New Roman" w:hAnsi="Times New Roman" w:cs="Times New Roman"/>
          <w:b/>
          <w:bCs/>
          <w:sz w:val="32"/>
          <w:szCs w:val="32"/>
          <w:lang w:val="en-GB"/>
        </w:rPr>
      </w:pPr>
      <w:r w:rsidRPr="00F46699">
        <w:rPr>
          <w:rFonts w:ascii="Times New Roman" w:hAnsi="Times New Roman" w:cs="Times New Roman"/>
          <w:b/>
          <w:bCs/>
          <w:sz w:val="32"/>
          <w:szCs w:val="32"/>
          <w:lang w:val="en-GB"/>
        </w:rPr>
        <w:t xml:space="preserve">Student Number: </w:t>
      </w:r>
      <w:r w:rsidRPr="00F46699">
        <w:rPr>
          <w:rFonts w:ascii="Times New Roman" w:hAnsi="Times New Roman" w:cs="Times New Roman"/>
          <w:sz w:val="32"/>
          <w:szCs w:val="32"/>
          <w:lang w:val="en-GB"/>
        </w:rPr>
        <w:t>1908690</w:t>
      </w:r>
    </w:p>
    <w:p w14:paraId="3E4B33DD" w14:textId="77777777" w:rsidR="001C6EA3" w:rsidRDefault="001C6EA3" w:rsidP="001C6EA3">
      <w:pPr>
        <w:jc w:val="center"/>
        <w:rPr>
          <w:rFonts w:ascii="Times New Roman" w:hAnsi="Times New Roman" w:cs="Times New Roman"/>
          <w:sz w:val="32"/>
          <w:szCs w:val="32"/>
        </w:rPr>
      </w:pPr>
    </w:p>
    <w:p w14:paraId="07C0C94C" w14:textId="77777777" w:rsidR="001C6EA3" w:rsidRDefault="001C6EA3" w:rsidP="00520837">
      <w:pPr>
        <w:jc w:val="both"/>
        <w:rPr>
          <w:rFonts w:ascii="Times New Roman" w:hAnsi="Times New Roman" w:cs="Times New Roman"/>
          <w:b/>
          <w:bCs/>
          <w:sz w:val="24"/>
          <w:szCs w:val="24"/>
        </w:rPr>
      </w:pPr>
    </w:p>
    <w:p w14:paraId="6916FCFD" w14:textId="77777777" w:rsidR="001C6EA3" w:rsidRDefault="001C6EA3" w:rsidP="00520837">
      <w:pPr>
        <w:jc w:val="both"/>
        <w:rPr>
          <w:rFonts w:ascii="Times New Roman" w:hAnsi="Times New Roman" w:cs="Times New Roman"/>
          <w:b/>
          <w:bCs/>
          <w:sz w:val="24"/>
          <w:szCs w:val="24"/>
        </w:rPr>
      </w:pPr>
    </w:p>
    <w:p w14:paraId="074AABE8" w14:textId="77777777" w:rsidR="001C6EA3" w:rsidRDefault="001C6EA3" w:rsidP="00520837">
      <w:pPr>
        <w:jc w:val="both"/>
        <w:rPr>
          <w:rFonts w:ascii="Times New Roman" w:hAnsi="Times New Roman" w:cs="Times New Roman"/>
          <w:b/>
          <w:bCs/>
          <w:sz w:val="24"/>
          <w:szCs w:val="24"/>
        </w:rPr>
      </w:pPr>
    </w:p>
    <w:p w14:paraId="73DABA33" w14:textId="77777777" w:rsidR="001C6EA3" w:rsidRDefault="001C6EA3" w:rsidP="00520837">
      <w:pPr>
        <w:jc w:val="both"/>
        <w:rPr>
          <w:rFonts w:ascii="Times New Roman" w:hAnsi="Times New Roman" w:cs="Times New Roman"/>
          <w:b/>
          <w:bCs/>
          <w:sz w:val="24"/>
          <w:szCs w:val="24"/>
        </w:rPr>
      </w:pPr>
    </w:p>
    <w:p w14:paraId="39E077C0" w14:textId="77777777" w:rsidR="001C6EA3" w:rsidRDefault="001C6EA3" w:rsidP="00520837">
      <w:pPr>
        <w:jc w:val="both"/>
        <w:rPr>
          <w:rFonts w:ascii="Times New Roman" w:hAnsi="Times New Roman" w:cs="Times New Roman"/>
          <w:b/>
          <w:bCs/>
          <w:sz w:val="24"/>
          <w:szCs w:val="24"/>
        </w:rPr>
      </w:pPr>
    </w:p>
    <w:p w14:paraId="1850CBE7" w14:textId="77777777" w:rsidR="001C6EA3" w:rsidRDefault="001C6EA3" w:rsidP="00520837">
      <w:pPr>
        <w:jc w:val="both"/>
        <w:rPr>
          <w:rFonts w:ascii="Times New Roman" w:hAnsi="Times New Roman" w:cs="Times New Roman"/>
          <w:b/>
          <w:bCs/>
          <w:sz w:val="24"/>
          <w:szCs w:val="24"/>
        </w:rPr>
      </w:pPr>
    </w:p>
    <w:p w14:paraId="34477CDD" w14:textId="77777777" w:rsidR="001C6EA3" w:rsidRDefault="001C6EA3" w:rsidP="00520837">
      <w:pPr>
        <w:jc w:val="both"/>
        <w:rPr>
          <w:rFonts w:ascii="Times New Roman" w:hAnsi="Times New Roman" w:cs="Times New Roman"/>
          <w:b/>
          <w:bCs/>
          <w:sz w:val="24"/>
          <w:szCs w:val="24"/>
        </w:rPr>
      </w:pPr>
    </w:p>
    <w:p w14:paraId="22DCA156" w14:textId="77777777" w:rsidR="001C6EA3" w:rsidRDefault="001C6EA3" w:rsidP="00520837">
      <w:pPr>
        <w:jc w:val="both"/>
        <w:rPr>
          <w:rFonts w:ascii="Times New Roman" w:hAnsi="Times New Roman" w:cs="Times New Roman"/>
          <w:b/>
          <w:bCs/>
          <w:sz w:val="24"/>
          <w:szCs w:val="24"/>
        </w:rPr>
      </w:pPr>
    </w:p>
    <w:p w14:paraId="22957716" w14:textId="77777777" w:rsidR="001C6EA3" w:rsidRDefault="001C6EA3" w:rsidP="00520837">
      <w:pPr>
        <w:jc w:val="both"/>
        <w:rPr>
          <w:rFonts w:ascii="Times New Roman" w:hAnsi="Times New Roman" w:cs="Times New Roman"/>
          <w:b/>
          <w:bCs/>
          <w:sz w:val="24"/>
          <w:szCs w:val="24"/>
        </w:rPr>
      </w:pPr>
    </w:p>
    <w:p w14:paraId="1914DE3C" w14:textId="77777777" w:rsidR="001C6EA3" w:rsidRDefault="001C6EA3" w:rsidP="00520837">
      <w:pPr>
        <w:jc w:val="both"/>
        <w:rPr>
          <w:rFonts w:ascii="Times New Roman" w:hAnsi="Times New Roman" w:cs="Times New Roman"/>
          <w:b/>
          <w:bCs/>
          <w:sz w:val="24"/>
          <w:szCs w:val="24"/>
        </w:rPr>
      </w:pPr>
    </w:p>
    <w:p w14:paraId="6644A190" w14:textId="77777777" w:rsidR="001C6EA3" w:rsidRDefault="001C6EA3" w:rsidP="00520837">
      <w:pPr>
        <w:jc w:val="both"/>
        <w:rPr>
          <w:rFonts w:ascii="Times New Roman" w:hAnsi="Times New Roman" w:cs="Times New Roman"/>
          <w:b/>
          <w:bCs/>
          <w:sz w:val="24"/>
          <w:szCs w:val="24"/>
        </w:rPr>
      </w:pPr>
    </w:p>
    <w:p w14:paraId="37BA6ACC" w14:textId="0D82422C" w:rsidR="00B15818" w:rsidRPr="00FF2B3A" w:rsidRDefault="00B15818" w:rsidP="00520837">
      <w:pPr>
        <w:jc w:val="both"/>
        <w:rPr>
          <w:rFonts w:ascii="Times New Roman" w:hAnsi="Times New Roman" w:cs="Times New Roman"/>
          <w:b/>
          <w:bCs/>
          <w:sz w:val="24"/>
          <w:szCs w:val="24"/>
        </w:rPr>
      </w:pPr>
      <w:r w:rsidRPr="00FF2B3A">
        <w:rPr>
          <w:rFonts w:ascii="Times New Roman" w:hAnsi="Times New Roman" w:cs="Times New Roman"/>
          <w:b/>
          <w:bCs/>
          <w:sz w:val="24"/>
          <w:szCs w:val="24"/>
        </w:rPr>
        <w:lastRenderedPageBreak/>
        <w:t>1. Monthly control report showing original budget, fixed budget and variances.</w:t>
      </w:r>
    </w:p>
    <w:tbl>
      <w:tblPr>
        <w:tblStyle w:val="TableGrid"/>
        <w:tblpPr w:leftFromText="180" w:rightFromText="180" w:vertAnchor="page" w:horzAnchor="margin" w:tblpY="2169"/>
        <w:tblW w:w="9018" w:type="dxa"/>
        <w:tblInd w:w="0" w:type="dxa"/>
        <w:tblCellMar>
          <w:top w:w="35" w:type="dxa"/>
          <w:left w:w="110" w:type="dxa"/>
          <w:bottom w:w="0" w:type="dxa"/>
          <w:right w:w="21" w:type="dxa"/>
        </w:tblCellMar>
        <w:tblLook w:val="04A0" w:firstRow="1" w:lastRow="0" w:firstColumn="1" w:lastColumn="0" w:noHBand="0" w:noVBand="1"/>
      </w:tblPr>
      <w:tblGrid>
        <w:gridCol w:w="1286"/>
        <w:gridCol w:w="1402"/>
        <w:gridCol w:w="1177"/>
        <w:gridCol w:w="1287"/>
        <w:gridCol w:w="1292"/>
        <w:gridCol w:w="1287"/>
        <w:gridCol w:w="1287"/>
      </w:tblGrid>
      <w:tr w:rsidR="00FB1F4B" w14:paraId="49E18016"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1A00961E" w14:textId="77777777" w:rsidR="00FB1F4B" w:rsidRDefault="00FB1F4B" w:rsidP="00FB1F4B">
            <w:pPr>
              <w:spacing w:line="259" w:lineRule="auto"/>
              <w:ind w:right="80"/>
              <w:jc w:val="right"/>
            </w:pPr>
            <w:r>
              <w:rPr>
                <w:rFonts w:ascii="Calibri" w:eastAsia="Calibri" w:hAnsi="Calibri" w:cs="Calibri"/>
                <w:b/>
                <w:i/>
                <w:sz w:val="18"/>
              </w:rPr>
              <w:t xml:space="preserve">Items </w:t>
            </w:r>
          </w:p>
        </w:tc>
        <w:tc>
          <w:tcPr>
            <w:tcW w:w="1402" w:type="dxa"/>
            <w:tcBorders>
              <w:top w:val="single" w:sz="4" w:space="0" w:color="000000"/>
              <w:left w:val="single" w:sz="4" w:space="0" w:color="000000"/>
              <w:bottom w:val="single" w:sz="4" w:space="0" w:color="000000"/>
              <w:right w:val="single" w:sz="4" w:space="0" w:color="000000"/>
            </w:tcBorders>
          </w:tcPr>
          <w:p w14:paraId="238BB59F" w14:textId="77777777" w:rsidR="00FB1F4B" w:rsidRDefault="00FB1F4B" w:rsidP="00FB1F4B">
            <w:pPr>
              <w:spacing w:line="259" w:lineRule="auto"/>
              <w:ind w:right="79"/>
              <w:jc w:val="right"/>
            </w:pPr>
            <w:r>
              <w:rPr>
                <w:rFonts w:ascii="Calibri" w:eastAsia="Calibri" w:hAnsi="Calibri" w:cs="Calibri"/>
                <w:b/>
                <w:i/>
                <w:sz w:val="18"/>
              </w:rPr>
              <w:t xml:space="preserve">Cost per unit </w:t>
            </w:r>
          </w:p>
        </w:tc>
        <w:tc>
          <w:tcPr>
            <w:tcW w:w="1177" w:type="dxa"/>
            <w:tcBorders>
              <w:top w:val="single" w:sz="4" w:space="0" w:color="000000"/>
              <w:left w:val="single" w:sz="4" w:space="0" w:color="000000"/>
              <w:bottom w:val="single" w:sz="4" w:space="0" w:color="000000"/>
              <w:right w:val="single" w:sz="4" w:space="0" w:color="000000"/>
            </w:tcBorders>
          </w:tcPr>
          <w:p w14:paraId="41C35B7F" w14:textId="77777777" w:rsidR="00FB1F4B" w:rsidRDefault="00FB1F4B" w:rsidP="00FB1F4B">
            <w:pPr>
              <w:spacing w:line="259" w:lineRule="auto"/>
              <w:ind w:right="83"/>
              <w:jc w:val="right"/>
            </w:pPr>
            <w:r>
              <w:rPr>
                <w:rFonts w:ascii="Calibri" w:eastAsia="Calibri" w:hAnsi="Calibri" w:cs="Calibri"/>
                <w:b/>
                <w:i/>
                <w:sz w:val="18"/>
              </w:rPr>
              <w:t xml:space="preserve">Original  </w:t>
            </w:r>
          </w:p>
        </w:tc>
        <w:tc>
          <w:tcPr>
            <w:tcW w:w="1287" w:type="dxa"/>
            <w:tcBorders>
              <w:top w:val="single" w:sz="4" w:space="0" w:color="000000"/>
              <w:left w:val="single" w:sz="4" w:space="0" w:color="000000"/>
              <w:bottom w:val="single" w:sz="4" w:space="0" w:color="000000"/>
              <w:right w:val="single" w:sz="4" w:space="0" w:color="000000"/>
            </w:tcBorders>
          </w:tcPr>
          <w:p w14:paraId="7E99DC97" w14:textId="77777777" w:rsidR="00FB1F4B" w:rsidRDefault="00FB1F4B" w:rsidP="00FB1F4B">
            <w:pPr>
              <w:spacing w:line="259" w:lineRule="auto"/>
              <w:ind w:right="80"/>
              <w:jc w:val="right"/>
            </w:pPr>
            <w:r>
              <w:rPr>
                <w:rFonts w:ascii="Calibri" w:eastAsia="Calibri" w:hAnsi="Calibri" w:cs="Calibri"/>
                <w:b/>
                <w:i/>
                <w:sz w:val="18"/>
              </w:rPr>
              <w:t xml:space="preserve">Flexed </w:t>
            </w:r>
          </w:p>
        </w:tc>
        <w:tc>
          <w:tcPr>
            <w:tcW w:w="1292" w:type="dxa"/>
            <w:tcBorders>
              <w:top w:val="single" w:sz="4" w:space="0" w:color="000000"/>
              <w:left w:val="single" w:sz="4" w:space="0" w:color="000000"/>
              <w:bottom w:val="single" w:sz="4" w:space="0" w:color="000000"/>
              <w:right w:val="single" w:sz="4" w:space="0" w:color="000000"/>
            </w:tcBorders>
          </w:tcPr>
          <w:p w14:paraId="6FB09BAB" w14:textId="77777777" w:rsidR="00FB1F4B" w:rsidRDefault="00FB1F4B" w:rsidP="00FB1F4B">
            <w:pPr>
              <w:spacing w:line="259" w:lineRule="auto"/>
              <w:ind w:right="83"/>
              <w:jc w:val="right"/>
            </w:pPr>
            <w:r>
              <w:rPr>
                <w:rFonts w:ascii="Calibri" w:eastAsia="Calibri" w:hAnsi="Calibri" w:cs="Calibri"/>
                <w:b/>
                <w:i/>
                <w:sz w:val="18"/>
              </w:rPr>
              <w:t xml:space="preserve">Actual </w:t>
            </w:r>
          </w:p>
        </w:tc>
        <w:tc>
          <w:tcPr>
            <w:tcW w:w="1287" w:type="dxa"/>
            <w:tcBorders>
              <w:top w:val="single" w:sz="4" w:space="0" w:color="000000"/>
              <w:left w:val="single" w:sz="4" w:space="0" w:color="000000"/>
              <w:bottom w:val="single" w:sz="4" w:space="0" w:color="000000"/>
              <w:right w:val="single" w:sz="4" w:space="0" w:color="000000"/>
            </w:tcBorders>
          </w:tcPr>
          <w:p w14:paraId="6550D10D" w14:textId="77777777" w:rsidR="00FB1F4B" w:rsidRDefault="00FB1F4B" w:rsidP="00FB1F4B">
            <w:pPr>
              <w:spacing w:line="259" w:lineRule="auto"/>
              <w:ind w:right="86"/>
              <w:jc w:val="right"/>
            </w:pPr>
            <w:r>
              <w:rPr>
                <w:rFonts w:ascii="Calibri" w:eastAsia="Calibri" w:hAnsi="Calibri" w:cs="Calibri"/>
                <w:b/>
                <w:i/>
                <w:sz w:val="18"/>
              </w:rPr>
              <w:t xml:space="preserve">Variance </w:t>
            </w:r>
          </w:p>
        </w:tc>
        <w:tc>
          <w:tcPr>
            <w:tcW w:w="1287" w:type="dxa"/>
            <w:tcBorders>
              <w:top w:val="single" w:sz="4" w:space="0" w:color="000000"/>
              <w:left w:val="single" w:sz="4" w:space="0" w:color="000000"/>
              <w:bottom w:val="single" w:sz="4" w:space="0" w:color="000000"/>
              <w:right w:val="single" w:sz="4" w:space="0" w:color="000000"/>
            </w:tcBorders>
          </w:tcPr>
          <w:p w14:paraId="6870C925" w14:textId="77777777" w:rsidR="00FB1F4B" w:rsidRDefault="00FB1F4B" w:rsidP="00FB1F4B">
            <w:pPr>
              <w:spacing w:line="259" w:lineRule="auto"/>
              <w:ind w:right="43"/>
              <w:jc w:val="right"/>
            </w:pPr>
            <w:r>
              <w:rPr>
                <w:rFonts w:ascii="Calibri" w:eastAsia="Calibri" w:hAnsi="Calibri" w:cs="Calibri"/>
                <w:b/>
                <w:i/>
                <w:sz w:val="18"/>
              </w:rPr>
              <w:t xml:space="preserve"> </w:t>
            </w:r>
          </w:p>
        </w:tc>
      </w:tr>
      <w:tr w:rsidR="00FB1F4B" w14:paraId="731C92DF"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6AFB9831"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510A8596"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1BB3BA04"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58F3DBDB"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1E464770"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092F563A"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780BADEF"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210960CD"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2A3B6854" w14:textId="77777777" w:rsidR="00FB1F4B" w:rsidRDefault="00FB1F4B" w:rsidP="00FB1F4B">
            <w:pPr>
              <w:spacing w:line="259" w:lineRule="auto"/>
            </w:pPr>
            <w:r>
              <w:rPr>
                <w:sz w:val="18"/>
              </w:rPr>
              <w:t xml:space="preserve">Units </w:t>
            </w:r>
          </w:p>
        </w:tc>
        <w:tc>
          <w:tcPr>
            <w:tcW w:w="1402" w:type="dxa"/>
            <w:tcBorders>
              <w:top w:val="single" w:sz="4" w:space="0" w:color="000000"/>
              <w:left w:val="single" w:sz="4" w:space="0" w:color="000000"/>
              <w:bottom w:val="single" w:sz="4" w:space="0" w:color="000000"/>
              <w:right w:val="single" w:sz="4" w:space="0" w:color="000000"/>
            </w:tcBorders>
          </w:tcPr>
          <w:p w14:paraId="441E26F9" w14:textId="77777777" w:rsidR="00FB1F4B" w:rsidRDefault="00FB1F4B" w:rsidP="00FB1F4B">
            <w:pPr>
              <w:spacing w:line="259" w:lineRule="auto"/>
              <w:ind w:right="43"/>
              <w:jc w:val="right"/>
            </w:pPr>
            <w:r>
              <w:rPr>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53C9EABC" w14:textId="77777777" w:rsidR="00FB1F4B" w:rsidRDefault="00FB1F4B" w:rsidP="00FB1F4B">
            <w:pPr>
              <w:spacing w:line="259" w:lineRule="auto"/>
              <w:ind w:right="83"/>
              <w:jc w:val="right"/>
            </w:pPr>
            <w:r>
              <w:rPr>
                <w:sz w:val="18"/>
              </w:rPr>
              <w:t xml:space="preserve">100000 </w:t>
            </w:r>
          </w:p>
        </w:tc>
        <w:tc>
          <w:tcPr>
            <w:tcW w:w="1287" w:type="dxa"/>
            <w:tcBorders>
              <w:top w:val="single" w:sz="4" w:space="0" w:color="000000"/>
              <w:left w:val="single" w:sz="4" w:space="0" w:color="000000"/>
              <w:bottom w:val="single" w:sz="4" w:space="0" w:color="000000"/>
              <w:right w:val="single" w:sz="4" w:space="0" w:color="000000"/>
            </w:tcBorders>
          </w:tcPr>
          <w:p w14:paraId="043F04B1" w14:textId="77777777" w:rsidR="00FB1F4B" w:rsidRDefault="00FB1F4B" w:rsidP="00FB1F4B">
            <w:pPr>
              <w:spacing w:line="259" w:lineRule="auto"/>
              <w:ind w:right="83"/>
              <w:jc w:val="right"/>
            </w:pPr>
            <w:r>
              <w:rPr>
                <w:sz w:val="18"/>
              </w:rPr>
              <w:t xml:space="preserve">80000 </w:t>
            </w:r>
          </w:p>
        </w:tc>
        <w:tc>
          <w:tcPr>
            <w:tcW w:w="1292" w:type="dxa"/>
            <w:tcBorders>
              <w:top w:val="single" w:sz="4" w:space="0" w:color="000000"/>
              <w:left w:val="single" w:sz="4" w:space="0" w:color="000000"/>
              <w:bottom w:val="single" w:sz="4" w:space="0" w:color="000000"/>
              <w:right w:val="single" w:sz="4" w:space="0" w:color="000000"/>
            </w:tcBorders>
          </w:tcPr>
          <w:p w14:paraId="00A3BE57" w14:textId="77777777" w:rsidR="00FB1F4B" w:rsidRDefault="00FB1F4B" w:rsidP="00FB1F4B">
            <w:pPr>
              <w:spacing w:line="259" w:lineRule="auto"/>
              <w:ind w:right="88"/>
              <w:jc w:val="right"/>
            </w:pPr>
            <w:r>
              <w:rPr>
                <w:sz w:val="18"/>
              </w:rPr>
              <w:t xml:space="preserve">80000 </w:t>
            </w:r>
          </w:p>
        </w:tc>
        <w:tc>
          <w:tcPr>
            <w:tcW w:w="1287" w:type="dxa"/>
            <w:tcBorders>
              <w:top w:val="single" w:sz="4" w:space="0" w:color="000000"/>
              <w:left w:val="single" w:sz="4" w:space="0" w:color="000000"/>
              <w:bottom w:val="single" w:sz="4" w:space="0" w:color="000000"/>
              <w:right w:val="single" w:sz="4" w:space="0" w:color="000000"/>
            </w:tcBorders>
          </w:tcPr>
          <w:p w14:paraId="24C9C063"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6AE652F5"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1EBFBDD2" w14:textId="77777777" w:rsidTr="00FB1F4B">
        <w:trPr>
          <w:trHeight w:val="231"/>
        </w:trPr>
        <w:tc>
          <w:tcPr>
            <w:tcW w:w="1286" w:type="dxa"/>
            <w:tcBorders>
              <w:top w:val="single" w:sz="4" w:space="0" w:color="000000"/>
              <w:left w:val="single" w:sz="4" w:space="0" w:color="000000"/>
              <w:bottom w:val="single" w:sz="4" w:space="0" w:color="000000"/>
              <w:right w:val="single" w:sz="4" w:space="0" w:color="000000"/>
            </w:tcBorders>
          </w:tcPr>
          <w:p w14:paraId="7FD367F8" w14:textId="77777777" w:rsidR="00FB1F4B" w:rsidRDefault="00FB1F4B" w:rsidP="00FB1F4B">
            <w:pPr>
              <w:spacing w:line="259" w:lineRule="auto"/>
            </w:pPr>
            <w:r>
              <w:rPr>
                <w:sz w:val="18"/>
              </w:rPr>
              <w:t xml:space="preserve">Selling Price </w:t>
            </w:r>
          </w:p>
        </w:tc>
        <w:tc>
          <w:tcPr>
            <w:tcW w:w="1402" w:type="dxa"/>
            <w:tcBorders>
              <w:top w:val="single" w:sz="4" w:space="0" w:color="000000"/>
              <w:left w:val="single" w:sz="4" w:space="0" w:color="000000"/>
              <w:bottom w:val="single" w:sz="4" w:space="0" w:color="000000"/>
              <w:right w:val="single" w:sz="4" w:space="0" w:color="000000"/>
            </w:tcBorders>
          </w:tcPr>
          <w:p w14:paraId="6C488A94" w14:textId="77777777" w:rsidR="00FB1F4B" w:rsidRDefault="00FB1F4B" w:rsidP="00FB1F4B">
            <w:pPr>
              <w:spacing w:line="259" w:lineRule="auto"/>
              <w:ind w:right="83"/>
              <w:jc w:val="right"/>
            </w:pPr>
            <w:r>
              <w:rPr>
                <w:sz w:val="18"/>
              </w:rPr>
              <w:t xml:space="preserve">25 </w:t>
            </w:r>
          </w:p>
        </w:tc>
        <w:tc>
          <w:tcPr>
            <w:tcW w:w="1177" w:type="dxa"/>
            <w:tcBorders>
              <w:top w:val="single" w:sz="4" w:space="0" w:color="000000"/>
              <w:left w:val="single" w:sz="4" w:space="0" w:color="000000"/>
              <w:bottom w:val="single" w:sz="4" w:space="0" w:color="000000"/>
              <w:right w:val="single" w:sz="4" w:space="0" w:color="000000"/>
            </w:tcBorders>
          </w:tcPr>
          <w:p w14:paraId="35F948C7" w14:textId="77777777" w:rsidR="00FB1F4B" w:rsidRDefault="00FB1F4B" w:rsidP="00FB1F4B">
            <w:pPr>
              <w:spacing w:line="259" w:lineRule="auto"/>
              <w:ind w:right="83"/>
              <w:jc w:val="right"/>
            </w:pPr>
            <w:r>
              <w:rPr>
                <w:sz w:val="18"/>
              </w:rPr>
              <w:t xml:space="preserve">25 </w:t>
            </w:r>
          </w:p>
        </w:tc>
        <w:tc>
          <w:tcPr>
            <w:tcW w:w="1287" w:type="dxa"/>
            <w:tcBorders>
              <w:top w:val="single" w:sz="4" w:space="0" w:color="000000"/>
              <w:left w:val="single" w:sz="4" w:space="0" w:color="000000"/>
              <w:bottom w:val="single" w:sz="4" w:space="0" w:color="000000"/>
              <w:right w:val="single" w:sz="4" w:space="0" w:color="000000"/>
            </w:tcBorders>
          </w:tcPr>
          <w:p w14:paraId="3769BB42" w14:textId="77777777" w:rsidR="00FB1F4B" w:rsidRDefault="00FB1F4B" w:rsidP="00FB1F4B">
            <w:pPr>
              <w:spacing w:line="259" w:lineRule="auto"/>
              <w:ind w:right="83"/>
              <w:jc w:val="right"/>
            </w:pPr>
            <w:r>
              <w:rPr>
                <w:sz w:val="18"/>
              </w:rPr>
              <w:t xml:space="preserve">25 </w:t>
            </w:r>
          </w:p>
        </w:tc>
        <w:tc>
          <w:tcPr>
            <w:tcW w:w="1292" w:type="dxa"/>
            <w:tcBorders>
              <w:top w:val="single" w:sz="4" w:space="0" w:color="000000"/>
              <w:left w:val="single" w:sz="4" w:space="0" w:color="000000"/>
              <w:bottom w:val="single" w:sz="4" w:space="0" w:color="000000"/>
              <w:right w:val="single" w:sz="4" w:space="0" w:color="000000"/>
            </w:tcBorders>
          </w:tcPr>
          <w:p w14:paraId="6E4198F5" w14:textId="77777777" w:rsidR="00FB1F4B" w:rsidRDefault="00FB1F4B" w:rsidP="00FB1F4B">
            <w:pPr>
              <w:spacing w:line="259" w:lineRule="auto"/>
              <w:ind w:right="88"/>
              <w:jc w:val="right"/>
            </w:pPr>
            <w:r>
              <w:rPr>
                <w:sz w:val="18"/>
              </w:rPr>
              <w:t xml:space="preserve">20 </w:t>
            </w:r>
          </w:p>
        </w:tc>
        <w:tc>
          <w:tcPr>
            <w:tcW w:w="1287" w:type="dxa"/>
            <w:tcBorders>
              <w:top w:val="single" w:sz="4" w:space="0" w:color="000000"/>
              <w:left w:val="single" w:sz="4" w:space="0" w:color="000000"/>
              <w:bottom w:val="single" w:sz="4" w:space="0" w:color="000000"/>
              <w:right w:val="single" w:sz="4" w:space="0" w:color="000000"/>
            </w:tcBorders>
          </w:tcPr>
          <w:p w14:paraId="6595E1DE" w14:textId="77777777" w:rsidR="00FB1F4B" w:rsidRDefault="00FB1F4B" w:rsidP="00FB1F4B">
            <w:pPr>
              <w:spacing w:line="259" w:lineRule="auto"/>
              <w:ind w:right="88"/>
              <w:jc w:val="right"/>
            </w:pPr>
            <w:r>
              <w:rPr>
                <w:sz w:val="18"/>
              </w:rPr>
              <w:t xml:space="preserve">5 </w:t>
            </w:r>
          </w:p>
        </w:tc>
        <w:tc>
          <w:tcPr>
            <w:tcW w:w="1287" w:type="dxa"/>
            <w:tcBorders>
              <w:top w:val="single" w:sz="4" w:space="0" w:color="000000"/>
              <w:left w:val="single" w:sz="4" w:space="0" w:color="000000"/>
              <w:bottom w:val="single" w:sz="4" w:space="0" w:color="000000"/>
              <w:right w:val="single" w:sz="4" w:space="0" w:color="000000"/>
            </w:tcBorders>
          </w:tcPr>
          <w:p w14:paraId="4206ED05" w14:textId="77777777" w:rsidR="00FB1F4B" w:rsidRDefault="00FB1F4B" w:rsidP="00FB1F4B">
            <w:pPr>
              <w:spacing w:line="259" w:lineRule="auto"/>
              <w:ind w:right="80"/>
              <w:jc w:val="right"/>
            </w:pPr>
            <w:proofErr w:type="spellStart"/>
            <w:r>
              <w:rPr>
                <w:sz w:val="18"/>
              </w:rPr>
              <w:t>Unfavorable</w:t>
            </w:r>
            <w:proofErr w:type="spellEnd"/>
            <w:r>
              <w:rPr>
                <w:sz w:val="18"/>
              </w:rPr>
              <w:t xml:space="preserve"> </w:t>
            </w:r>
          </w:p>
        </w:tc>
      </w:tr>
      <w:tr w:rsidR="00FB1F4B" w14:paraId="25D19FF5"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3CE1F56F" w14:textId="77777777" w:rsidR="00FB1F4B" w:rsidRDefault="00FB1F4B" w:rsidP="00FB1F4B">
            <w:pPr>
              <w:spacing w:line="259" w:lineRule="auto"/>
            </w:pPr>
            <w:r>
              <w:rPr>
                <w:rFonts w:ascii="Calibri" w:eastAsia="Calibri" w:hAnsi="Calibri" w:cs="Calibri"/>
                <w:b/>
                <w:i/>
                <w:sz w:val="18"/>
              </w:rPr>
              <w:t xml:space="preserve">Revenue </w:t>
            </w:r>
          </w:p>
        </w:tc>
        <w:tc>
          <w:tcPr>
            <w:tcW w:w="1402" w:type="dxa"/>
            <w:tcBorders>
              <w:top w:val="single" w:sz="4" w:space="0" w:color="000000"/>
              <w:left w:val="single" w:sz="4" w:space="0" w:color="000000"/>
              <w:bottom w:val="single" w:sz="4" w:space="0" w:color="000000"/>
              <w:right w:val="single" w:sz="4" w:space="0" w:color="000000"/>
            </w:tcBorders>
          </w:tcPr>
          <w:p w14:paraId="43917C7D" w14:textId="77777777" w:rsidR="00FB1F4B" w:rsidRDefault="00FB1F4B" w:rsidP="00FB1F4B">
            <w:pPr>
              <w:spacing w:line="259" w:lineRule="auto"/>
              <w:ind w:right="43"/>
              <w:jc w:val="right"/>
            </w:pPr>
            <w:r>
              <w:rPr>
                <w:rFonts w:ascii="Calibri" w:eastAsia="Calibri" w:hAnsi="Calibri" w:cs="Calibri"/>
                <w:b/>
                <w:i/>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3F61A718" w14:textId="77777777" w:rsidR="00FB1F4B" w:rsidRDefault="00FB1F4B" w:rsidP="00FB1F4B">
            <w:pPr>
              <w:spacing w:line="259" w:lineRule="auto"/>
              <w:ind w:right="83"/>
              <w:jc w:val="right"/>
            </w:pPr>
            <w:r>
              <w:rPr>
                <w:rFonts w:ascii="Calibri" w:eastAsia="Calibri" w:hAnsi="Calibri" w:cs="Calibri"/>
                <w:b/>
                <w:i/>
                <w:sz w:val="18"/>
              </w:rPr>
              <w:t xml:space="preserve">2500000 </w:t>
            </w:r>
          </w:p>
        </w:tc>
        <w:tc>
          <w:tcPr>
            <w:tcW w:w="1287" w:type="dxa"/>
            <w:tcBorders>
              <w:top w:val="single" w:sz="4" w:space="0" w:color="000000"/>
              <w:left w:val="single" w:sz="4" w:space="0" w:color="000000"/>
              <w:bottom w:val="single" w:sz="4" w:space="0" w:color="000000"/>
              <w:right w:val="single" w:sz="4" w:space="0" w:color="000000"/>
            </w:tcBorders>
          </w:tcPr>
          <w:p w14:paraId="20541BD6" w14:textId="77777777" w:rsidR="00FB1F4B" w:rsidRDefault="00FB1F4B" w:rsidP="00FB1F4B">
            <w:pPr>
              <w:spacing w:line="259" w:lineRule="auto"/>
              <w:ind w:right="83"/>
              <w:jc w:val="right"/>
            </w:pPr>
            <w:r>
              <w:rPr>
                <w:rFonts w:ascii="Calibri" w:eastAsia="Calibri" w:hAnsi="Calibri" w:cs="Calibri"/>
                <w:b/>
                <w:i/>
                <w:sz w:val="18"/>
              </w:rPr>
              <w:t xml:space="preserve">2000000 </w:t>
            </w:r>
          </w:p>
        </w:tc>
        <w:tc>
          <w:tcPr>
            <w:tcW w:w="1292" w:type="dxa"/>
            <w:tcBorders>
              <w:top w:val="single" w:sz="4" w:space="0" w:color="000000"/>
              <w:left w:val="single" w:sz="4" w:space="0" w:color="000000"/>
              <w:bottom w:val="single" w:sz="4" w:space="0" w:color="000000"/>
              <w:right w:val="single" w:sz="4" w:space="0" w:color="000000"/>
            </w:tcBorders>
          </w:tcPr>
          <w:p w14:paraId="55BCAB98" w14:textId="77777777" w:rsidR="00FB1F4B" w:rsidRDefault="00FB1F4B" w:rsidP="00FB1F4B">
            <w:pPr>
              <w:spacing w:line="259" w:lineRule="auto"/>
              <w:ind w:right="88"/>
              <w:jc w:val="right"/>
            </w:pPr>
            <w:r>
              <w:rPr>
                <w:rFonts w:ascii="Calibri" w:eastAsia="Calibri" w:hAnsi="Calibri" w:cs="Calibri"/>
                <w:b/>
                <w:i/>
                <w:sz w:val="18"/>
              </w:rPr>
              <w:t xml:space="preserve">1600000 </w:t>
            </w:r>
          </w:p>
        </w:tc>
        <w:tc>
          <w:tcPr>
            <w:tcW w:w="1287" w:type="dxa"/>
            <w:tcBorders>
              <w:top w:val="single" w:sz="4" w:space="0" w:color="000000"/>
              <w:left w:val="single" w:sz="4" w:space="0" w:color="000000"/>
              <w:bottom w:val="single" w:sz="4" w:space="0" w:color="000000"/>
              <w:right w:val="single" w:sz="4" w:space="0" w:color="000000"/>
            </w:tcBorders>
          </w:tcPr>
          <w:p w14:paraId="420FD1AB" w14:textId="77777777" w:rsidR="00FB1F4B" w:rsidRDefault="00FB1F4B" w:rsidP="00FB1F4B">
            <w:pPr>
              <w:spacing w:line="259" w:lineRule="auto"/>
              <w:ind w:right="88"/>
              <w:jc w:val="right"/>
            </w:pPr>
            <w:r>
              <w:rPr>
                <w:rFonts w:ascii="Calibri" w:eastAsia="Calibri" w:hAnsi="Calibri" w:cs="Calibri"/>
                <w:b/>
                <w:i/>
                <w:sz w:val="18"/>
              </w:rPr>
              <w:t xml:space="preserve">400000 </w:t>
            </w:r>
          </w:p>
        </w:tc>
        <w:tc>
          <w:tcPr>
            <w:tcW w:w="1287" w:type="dxa"/>
            <w:tcBorders>
              <w:top w:val="single" w:sz="4" w:space="0" w:color="000000"/>
              <w:left w:val="single" w:sz="4" w:space="0" w:color="000000"/>
              <w:bottom w:val="single" w:sz="4" w:space="0" w:color="000000"/>
              <w:right w:val="single" w:sz="4" w:space="0" w:color="000000"/>
            </w:tcBorders>
          </w:tcPr>
          <w:p w14:paraId="73EB52BA" w14:textId="77777777" w:rsidR="00FB1F4B" w:rsidRDefault="00FB1F4B" w:rsidP="00FB1F4B">
            <w:pPr>
              <w:spacing w:line="259" w:lineRule="auto"/>
              <w:ind w:right="81"/>
              <w:jc w:val="right"/>
            </w:pPr>
            <w:proofErr w:type="spellStart"/>
            <w:r>
              <w:rPr>
                <w:rFonts w:ascii="Calibri" w:eastAsia="Calibri" w:hAnsi="Calibri" w:cs="Calibri"/>
                <w:b/>
                <w:i/>
                <w:sz w:val="18"/>
              </w:rPr>
              <w:t>Unfavorable</w:t>
            </w:r>
            <w:proofErr w:type="spellEnd"/>
            <w:r>
              <w:rPr>
                <w:rFonts w:ascii="Calibri" w:eastAsia="Calibri" w:hAnsi="Calibri" w:cs="Calibri"/>
                <w:b/>
                <w:i/>
                <w:sz w:val="18"/>
              </w:rPr>
              <w:t xml:space="preserve"> </w:t>
            </w:r>
          </w:p>
        </w:tc>
      </w:tr>
      <w:tr w:rsidR="00FB1F4B" w14:paraId="3DDF5F9D" w14:textId="77777777" w:rsidTr="00FB1F4B">
        <w:trPr>
          <w:trHeight w:val="226"/>
        </w:trPr>
        <w:tc>
          <w:tcPr>
            <w:tcW w:w="1286" w:type="dxa"/>
            <w:tcBorders>
              <w:top w:val="single" w:sz="4" w:space="0" w:color="000000"/>
              <w:left w:val="single" w:sz="4" w:space="0" w:color="000000"/>
              <w:bottom w:val="single" w:sz="4" w:space="0" w:color="000000"/>
              <w:right w:val="single" w:sz="4" w:space="0" w:color="000000"/>
            </w:tcBorders>
          </w:tcPr>
          <w:p w14:paraId="75F2538A" w14:textId="77777777" w:rsidR="00FB1F4B" w:rsidRDefault="00FB1F4B" w:rsidP="00FB1F4B">
            <w:pPr>
              <w:spacing w:line="259" w:lineRule="auto"/>
            </w:pPr>
            <w:r>
              <w:rPr>
                <w:rFonts w:ascii="Calibri" w:eastAsia="Calibri" w:hAnsi="Calibri" w:cs="Calibri"/>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6C7BD7A8"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660D320E"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23461DD4"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53F30037"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2C5C32A5"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680FB6A9"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0D86BE0B"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3D63EB4B" w14:textId="77777777" w:rsidR="00FB1F4B" w:rsidRDefault="00FB1F4B" w:rsidP="00FB1F4B">
            <w:pPr>
              <w:spacing w:line="259" w:lineRule="auto"/>
            </w:pPr>
            <w:r>
              <w:rPr>
                <w:sz w:val="18"/>
              </w:rPr>
              <w:t xml:space="preserve">Variable Cost </w:t>
            </w:r>
          </w:p>
        </w:tc>
        <w:tc>
          <w:tcPr>
            <w:tcW w:w="1402" w:type="dxa"/>
            <w:tcBorders>
              <w:top w:val="single" w:sz="4" w:space="0" w:color="000000"/>
              <w:left w:val="single" w:sz="4" w:space="0" w:color="000000"/>
              <w:bottom w:val="single" w:sz="4" w:space="0" w:color="000000"/>
              <w:right w:val="single" w:sz="4" w:space="0" w:color="000000"/>
            </w:tcBorders>
          </w:tcPr>
          <w:p w14:paraId="3D466D3E"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51D9CAEC"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2B4AB30D"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6BC3C21A"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4FFA4B1E"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5020987C"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6EC9322D"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05355C2E" w14:textId="77777777" w:rsidR="00FB1F4B" w:rsidRDefault="00FB1F4B" w:rsidP="00FB1F4B">
            <w:pPr>
              <w:spacing w:line="259" w:lineRule="auto"/>
            </w:pPr>
            <w:r>
              <w:rPr>
                <w:rFonts w:ascii="Calibri" w:eastAsia="Calibri" w:hAnsi="Calibri" w:cs="Calibri"/>
                <w:b/>
                <w:sz w:val="18"/>
              </w:rPr>
              <w:t xml:space="preserve">Materials </w:t>
            </w:r>
          </w:p>
        </w:tc>
        <w:tc>
          <w:tcPr>
            <w:tcW w:w="1402" w:type="dxa"/>
            <w:tcBorders>
              <w:top w:val="single" w:sz="4" w:space="0" w:color="000000"/>
              <w:left w:val="single" w:sz="4" w:space="0" w:color="000000"/>
              <w:bottom w:val="single" w:sz="4" w:space="0" w:color="000000"/>
              <w:right w:val="single" w:sz="4" w:space="0" w:color="000000"/>
            </w:tcBorders>
          </w:tcPr>
          <w:p w14:paraId="6B1DFC51" w14:textId="77777777" w:rsidR="00FB1F4B" w:rsidRDefault="00FB1F4B" w:rsidP="00FB1F4B">
            <w:pPr>
              <w:spacing w:line="259" w:lineRule="auto"/>
              <w:ind w:right="79"/>
              <w:jc w:val="right"/>
            </w:pPr>
            <w:r>
              <w:rPr>
                <w:sz w:val="18"/>
              </w:rPr>
              <w:t xml:space="preserve">2.5 </w:t>
            </w:r>
          </w:p>
        </w:tc>
        <w:tc>
          <w:tcPr>
            <w:tcW w:w="1177" w:type="dxa"/>
            <w:tcBorders>
              <w:top w:val="single" w:sz="4" w:space="0" w:color="000000"/>
              <w:left w:val="single" w:sz="4" w:space="0" w:color="000000"/>
              <w:bottom w:val="single" w:sz="4" w:space="0" w:color="000000"/>
              <w:right w:val="single" w:sz="4" w:space="0" w:color="000000"/>
            </w:tcBorders>
          </w:tcPr>
          <w:p w14:paraId="7865A4AF" w14:textId="77777777" w:rsidR="00FB1F4B" w:rsidRDefault="00FB1F4B" w:rsidP="00FB1F4B">
            <w:pPr>
              <w:spacing w:line="259" w:lineRule="auto"/>
              <w:ind w:right="83"/>
              <w:jc w:val="right"/>
            </w:pPr>
            <w:r>
              <w:rPr>
                <w:sz w:val="18"/>
              </w:rPr>
              <w:t xml:space="preserve">250000 </w:t>
            </w:r>
          </w:p>
        </w:tc>
        <w:tc>
          <w:tcPr>
            <w:tcW w:w="1287" w:type="dxa"/>
            <w:tcBorders>
              <w:top w:val="single" w:sz="4" w:space="0" w:color="000000"/>
              <w:left w:val="single" w:sz="4" w:space="0" w:color="000000"/>
              <w:bottom w:val="single" w:sz="4" w:space="0" w:color="000000"/>
              <w:right w:val="single" w:sz="4" w:space="0" w:color="000000"/>
            </w:tcBorders>
          </w:tcPr>
          <w:p w14:paraId="6E6BD81D" w14:textId="77777777" w:rsidR="00FB1F4B" w:rsidRDefault="00FB1F4B" w:rsidP="00FB1F4B">
            <w:pPr>
              <w:spacing w:line="259" w:lineRule="auto"/>
              <w:ind w:right="83"/>
              <w:jc w:val="right"/>
            </w:pPr>
            <w:r>
              <w:rPr>
                <w:sz w:val="18"/>
              </w:rPr>
              <w:t xml:space="preserve">200000 </w:t>
            </w:r>
          </w:p>
        </w:tc>
        <w:tc>
          <w:tcPr>
            <w:tcW w:w="1292" w:type="dxa"/>
            <w:tcBorders>
              <w:top w:val="single" w:sz="4" w:space="0" w:color="000000"/>
              <w:left w:val="single" w:sz="4" w:space="0" w:color="000000"/>
              <w:bottom w:val="single" w:sz="4" w:space="0" w:color="000000"/>
              <w:right w:val="single" w:sz="4" w:space="0" w:color="000000"/>
            </w:tcBorders>
          </w:tcPr>
          <w:p w14:paraId="3A4ECB32" w14:textId="77777777" w:rsidR="00FB1F4B" w:rsidRDefault="00FB1F4B" w:rsidP="00FB1F4B">
            <w:pPr>
              <w:spacing w:line="259" w:lineRule="auto"/>
              <w:ind w:right="88"/>
              <w:jc w:val="right"/>
            </w:pPr>
            <w:r>
              <w:rPr>
                <w:sz w:val="18"/>
              </w:rPr>
              <w:t xml:space="preserve">280000 </w:t>
            </w:r>
          </w:p>
        </w:tc>
        <w:tc>
          <w:tcPr>
            <w:tcW w:w="1287" w:type="dxa"/>
            <w:tcBorders>
              <w:top w:val="single" w:sz="4" w:space="0" w:color="000000"/>
              <w:left w:val="single" w:sz="4" w:space="0" w:color="000000"/>
              <w:bottom w:val="single" w:sz="4" w:space="0" w:color="000000"/>
              <w:right w:val="single" w:sz="4" w:space="0" w:color="000000"/>
            </w:tcBorders>
          </w:tcPr>
          <w:p w14:paraId="7BD5FDF9" w14:textId="77777777" w:rsidR="00FB1F4B" w:rsidRDefault="00FB1F4B" w:rsidP="00FB1F4B">
            <w:pPr>
              <w:spacing w:line="259" w:lineRule="auto"/>
              <w:ind w:right="83"/>
              <w:jc w:val="right"/>
            </w:pPr>
            <w:r>
              <w:rPr>
                <w:sz w:val="18"/>
              </w:rPr>
              <w:t xml:space="preserve">-80000 </w:t>
            </w:r>
          </w:p>
        </w:tc>
        <w:tc>
          <w:tcPr>
            <w:tcW w:w="1287" w:type="dxa"/>
            <w:tcBorders>
              <w:top w:val="single" w:sz="4" w:space="0" w:color="000000"/>
              <w:left w:val="single" w:sz="4" w:space="0" w:color="000000"/>
              <w:bottom w:val="single" w:sz="4" w:space="0" w:color="000000"/>
              <w:right w:val="single" w:sz="4" w:space="0" w:color="000000"/>
            </w:tcBorders>
          </w:tcPr>
          <w:p w14:paraId="5B7D3E3B" w14:textId="77777777" w:rsidR="00FB1F4B" w:rsidRDefault="00FB1F4B" w:rsidP="00FB1F4B">
            <w:pPr>
              <w:spacing w:line="259" w:lineRule="auto"/>
              <w:ind w:right="80"/>
              <w:jc w:val="right"/>
            </w:pPr>
            <w:proofErr w:type="spellStart"/>
            <w:r>
              <w:rPr>
                <w:sz w:val="18"/>
              </w:rPr>
              <w:t>Unfavorable</w:t>
            </w:r>
            <w:proofErr w:type="spellEnd"/>
            <w:r>
              <w:rPr>
                <w:sz w:val="18"/>
              </w:rPr>
              <w:t xml:space="preserve"> </w:t>
            </w:r>
          </w:p>
        </w:tc>
      </w:tr>
      <w:tr w:rsidR="00FB1F4B" w14:paraId="100C0D82"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3796D2E6" w14:textId="77777777" w:rsidR="00FB1F4B" w:rsidRDefault="00FB1F4B" w:rsidP="00FB1F4B">
            <w:pPr>
              <w:spacing w:line="259" w:lineRule="auto"/>
            </w:pPr>
            <w:r>
              <w:rPr>
                <w:rFonts w:ascii="Calibri" w:eastAsia="Calibri" w:hAnsi="Calibri" w:cs="Calibri"/>
                <w:b/>
                <w:sz w:val="18"/>
              </w:rPr>
              <w:t xml:space="preserve">Labour </w:t>
            </w:r>
          </w:p>
        </w:tc>
        <w:tc>
          <w:tcPr>
            <w:tcW w:w="1402" w:type="dxa"/>
            <w:tcBorders>
              <w:top w:val="single" w:sz="4" w:space="0" w:color="000000"/>
              <w:left w:val="single" w:sz="4" w:space="0" w:color="000000"/>
              <w:bottom w:val="single" w:sz="4" w:space="0" w:color="000000"/>
              <w:right w:val="single" w:sz="4" w:space="0" w:color="000000"/>
            </w:tcBorders>
          </w:tcPr>
          <w:p w14:paraId="3025806C" w14:textId="77777777" w:rsidR="00FB1F4B" w:rsidRDefault="00FB1F4B" w:rsidP="00FB1F4B">
            <w:pPr>
              <w:spacing w:line="259" w:lineRule="auto"/>
              <w:ind w:right="83"/>
              <w:jc w:val="right"/>
            </w:pPr>
            <w:r>
              <w:rPr>
                <w:sz w:val="18"/>
              </w:rPr>
              <w:t xml:space="preserve">4 </w:t>
            </w:r>
          </w:p>
        </w:tc>
        <w:tc>
          <w:tcPr>
            <w:tcW w:w="1177" w:type="dxa"/>
            <w:tcBorders>
              <w:top w:val="single" w:sz="4" w:space="0" w:color="000000"/>
              <w:left w:val="single" w:sz="4" w:space="0" w:color="000000"/>
              <w:bottom w:val="single" w:sz="4" w:space="0" w:color="000000"/>
              <w:right w:val="single" w:sz="4" w:space="0" w:color="000000"/>
            </w:tcBorders>
          </w:tcPr>
          <w:p w14:paraId="29BC71EC" w14:textId="77777777" w:rsidR="00FB1F4B" w:rsidRDefault="00FB1F4B" w:rsidP="00FB1F4B">
            <w:pPr>
              <w:spacing w:line="259" w:lineRule="auto"/>
              <w:ind w:right="83"/>
              <w:jc w:val="right"/>
            </w:pPr>
            <w:r>
              <w:rPr>
                <w:sz w:val="18"/>
              </w:rPr>
              <w:t xml:space="preserve">400000 </w:t>
            </w:r>
          </w:p>
        </w:tc>
        <w:tc>
          <w:tcPr>
            <w:tcW w:w="1287" w:type="dxa"/>
            <w:tcBorders>
              <w:top w:val="single" w:sz="4" w:space="0" w:color="000000"/>
              <w:left w:val="single" w:sz="4" w:space="0" w:color="000000"/>
              <w:bottom w:val="single" w:sz="4" w:space="0" w:color="000000"/>
              <w:right w:val="single" w:sz="4" w:space="0" w:color="000000"/>
            </w:tcBorders>
          </w:tcPr>
          <w:p w14:paraId="3D6B3789" w14:textId="77777777" w:rsidR="00FB1F4B" w:rsidRDefault="00FB1F4B" w:rsidP="00FB1F4B">
            <w:pPr>
              <w:spacing w:line="259" w:lineRule="auto"/>
              <w:ind w:right="83"/>
              <w:jc w:val="right"/>
            </w:pPr>
            <w:r>
              <w:rPr>
                <w:sz w:val="18"/>
              </w:rPr>
              <w:t xml:space="preserve">320000 </w:t>
            </w:r>
          </w:p>
        </w:tc>
        <w:tc>
          <w:tcPr>
            <w:tcW w:w="1292" w:type="dxa"/>
            <w:tcBorders>
              <w:top w:val="single" w:sz="4" w:space="0" w:color="000000"/>
              <w:left w:val="single" w:sz="4" w:space="0" w:color="000000"/>
              <w:bottom w:val="single" w:sz="4" w:space="0" w:color="000000"/>
              <w:right w:val="single" w:sz="4" w:space="0" w:color="000000"/>
            </w:tcBorders>
          </w:tcPr>
          <w:p w14:paraId="553E6393" w14:textId="77777777" w:rsidR="00FB1F4B" w:rsidRDefault="00FB1F4B" w:rsidP="00FB1F4B">
            <w:pPr>
              <w:spacing w:line="259" w:lineRule="auto"/>
              <w:ind w:right="88"/>
              <w:jc w:val="right"/>
            </w:pPr>
            <w:r>
              <w:rPr>
                <w:sz w:val="18"/>
              </w:rPr>
              <w:t xml:space="preserve">440000 </w:t>
            </w:r>
          </w:p>
        </w:tc>
        <w:tc>
          <w:tcPr>
            <w:tcW w:w="1287" w:type="dxa"/>
            <w:tcBorders>
              <w:top w:val="single" w:sz="4" w:space="0" w:color="000000"/>
              <w:left w:val="single" w:sz="4" w:space="0" w:color="000000"/>
              <w:bottom w:val="single" w:sz="4" w:space="0" w:color="000000"/>
              <w:right w:val="single" w:sz="4" w:space="0" w:color="000000"/>
            </w:tcBorders>
          </w:tcPr>
          <w:p w14:paraId="557EF251" w14:textId="77777777" w:rsidR="00FB1F4B" w:rsidRDefault="00FB1F4B" w:rsidP="00FB1F4B">
            <w:pPr>
              <w:spacing w:line="259" w:lineRule="auto"/>
              <w:ind w:right="83"/>
              <w:jc w:val="right"/>
            </w:pPr>
            <w:r>
              <w:rPr>
                <w:sz w:val="18"/>
              </w:rPr>
              <w:t xml:space="preserve">-120000 </w:t>
            </w:r>
          </w:p>
        </w:tc>
        <w:tc>
          <w:tcPr>
            <w:tcW w:w="1287" w:type="dxa"/>
            <w:tcBorders>
              <w:top w:val="single" w:sz="4" w:space="0" w:color="000000"/>
              <w:left w:val="single" w:sz="4" w:space="0" w:color="000000"/>
              <w:bottom w:val="single" w:sz="4" w:space="0" w:color="000000"/>
              <w:right w:val="single" w:sz="4" w:space="0" w:color="000000"/>
            </w:tcBorders>
          </w:tcPr>
          <w:p w14:paraId="0222E732" w14:textId="77777777" w:rsidR="00FB1F4B" w:rsidRDefault="00FB1F4B" w:rsidP="00FB1F4B">
            <w:pPr>
              <w:spacing w:line="259" w:lineRule="auto"/>
              <w:ind w:right="80"/>
              <w:jc w:val="right"/>
            </w:pPr>
            <w:proofErr w:type="spellStart"/>
            <w:r>
              <w:rPr>
                <w:sz w:val="18"/>
              </w:rPr>
              <w:t>Unfavorable</w:t>
            </w:r>
            <w:proofErr w:type="spellEnd"/>
            <w:r>
              <w:rPr>
                <w:sz w:val="18"/>
              </w:rPr>
              <w:t xml:space="preserve"> </w:t>
            </w:r>
          </w:p>
        </w:tc>
      </w:tr>
      <w:tr w:rsidR="00FB1F4B" w14:paraId="760D1B30"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396EEB60" w14:textId="77777777" w:rsidR="00FB1F4B" w:rsidRDefault="00FB1F4B" w:rsidP="00FB1F4B">
            <w:pPr>
              <w:spacing w:line="259" w:lineRule="auto"/>
            </w:pPr>
            <w:r>
              <w:rPr>
                <w:rFonts w:ascii="Calibri" w:eastAsia="Calibri" w:hAnsi="Calibri" w:cs="Calibri"/>
                <w:b/>
                <w:sz w:val="18"/>
              </w:rPr>
              <w:t xml:space="preserve">Overhead </w:t>
            </w:r>
          </w:p>
        </w:tc>
        <w:tc>
          <w:tcPr>
            <w:tcW w:w="1402" w:type="dxa"/>
            <w:tcBorders>
              <w:top w:val="single" w:sz="4" w:space="0" w:color="000000"/>
              <w:left w:val="single" w:sz="4" w:space="0" w:color="000000"/>
              <w:bottom w:val="single" w:sz="4" w:space="0" w:color="000000"/>
              <w:right w:val="single" w:sz="4" w:space="0" w:color="000000"/>
            </w:tcBorders>
          </w:tcPr>
          <w:p w14:paraId="6F48A6BA" w14:textId="77777777" w:rsidR="00FB1F4B" w:rsidRDefault="00FB1F4B" w:rsidP="00FB1F4B">
            <w:pPr>
              <w:spacing w:line="259" w:lineRule="auto"/>
              <w:ind w:right="79"/>
              <w:jc w:val="right"/>
            </w:pPr>
            <w:r>
              <w:rPr>
                <w:sz w:val="18"/>
              </w:rPr>
              <w:t xml:space="preserve">1.5 </w:t>
            </w:r>
          </w:p>
        </w:tc>
        <w:tc>
          <w:tcPr>
            <w:tcW w:w="1177" w:type="dxa"/>
            <w:tcBorders>
              <w:top w:val="single" w:sz="4" w:space="0" w:color="000000"/>
              <w:left w:val="single" w:sz="4" w:space="0" w:color="000000"/>
              <w:bottom w:val="single" w:sz="4" w:space="0" w:color="000000"/>
              <w:right w:val="single" w:sz="4" w:space="0" w:color="000000"/>
            </w:tcBorders>
          </w:tcPr>
          <w:p w14:paraId="51311A24" w14:textId="77777777" w:rsidR="00FB1F4B" w:rsidRDefault="00FB1F4B" w:rsidP="00FB1F4B">
            <w:pPr>
              <w:spacing w:line="259" w:lineRule="auto"/>
              <w:ind w:right="83"/>
              <w:jc w:val="right"/>
            </w:pPr>
            <w:r>
              <w:rPr>
                <w:sz w:val="18"/>
              </w:rPr>
              <w:t xml:space="preserve">150000 </w:t>
            </w:r>
          </w:p>
        </w:tc>
        <w:tc>
          <w:tcPr>
            <w:tcW w:w="1287" w:type="dxa"/>
            <w:tcBorders>
              <w:top w:val="single" w:sz="4" w:space="0" w:color="000000"/>
              <w:left w:val="single" w:sz="4" w:space="0" w:color="000000"/>
              <w:bottom w:val="single" w:sz="4" w:space="0" w:color="000000"/>
              <w:right w:val="single" w:sz="4" w:space="0" w:color="000000"/>
            </w:tcBorders>
          </w:tcPr>
          <w:p w14:paraId="63C4B88F" w14:textId="77777777" w:rsidR="00FB1F4B" w:rsidRDefault="00FB1F4B" w:rsidP="00FB1F4B">
            <w:pPr>
              <w:spacing w:line="259" w:lineRule="auto"/>
              <w:ind w:right="83"/>
              <w:jc w:val="right"/>
            </w:pPr>
            <w:r>
              <w:rPr>
                <w:sz w:val="18"/>
              </w:rPr>
              <w:t xml:space="preserve">120000 </w:t>
            </w:r>
          </w:p>
        </w:tc>
        <w:tc>
          <w:tcPr>
            <w:tcW w:w="1292" w:type="dxa"/>
            <w:tcBorders>
              <w:top w:val="single" w:sz="4" w:space="0" w:color="000000"/>
              <w:left w:val="single" w:sz="4" w:space="0" w:color="000000"/>
              <w:bottom w:val="single" w:sz="4" w:space="0" w:color="000000"/>
              <w:right w:val="single" w:sz="4" w:space="0" w:color="000000"/>
            </w:tcBorders>
          </w:tcPr>
          <w:p w14:paraId="0CE92BDB" w14:textId="77777777" w:rsidR="00FB1F4B" w:rsidRDefault="00FB1F4B" w:rsidP="00FB1F4B">
            <w:pPr>
              <w:spacing w:line="259" w:lineRule="auto"/>
              <w:ind w:right="88"/>
              <w:jc w:val="right"/>
            </w:pPr>
            <w:r>
              <w:rPr>
                <w:sz w:val="18"/>
              </w:rPr>
              <w:t xml:space="preserve">120000 </w:t>
            </w:r>
          </w:p>
        </w:tc>
        <w:tc>
          <w:tcPr>
            <w:tcW w:w="1287" w:type="dxa"/>
            <w:tcBorders>
              <w:top w:val="single" w:sz="4" w:space="0" w:color="000000"/>
              <w:left w:val="single" w:sz="4" w:space="0" w:color="000000"/>
              <w:bottom w:val="single" w:sz="4" w:space="0" w:color="000000"/>
              <w:right w:val="single" w:sz="4" w:space="0" w:color="000000"/>
            </w:tcBorders>
          </w:tcPr>
          <w:p w14:paraId="6844253B" w14:textId="77777777" w:rsidR="00FB1F4B" w:rsidRDefault="00FB1F4B" w:rsidP="00FB1F4B">
            <w:pPr>
              <w:spacing w:line="259" w:lineRule="auto"/>
              <w:ind w:right="88"/>
              <w:jc w:val="right"/>
            </w:pPr>
            <w:r>
              <w:rPr>
                <w:sz w:val="18"/>
              </w:rPr>
              <w:t xml:space="preserve">0 </w:t>
            </w:r>
          </w:p>
        </w:tc>
        <w:tc>
          <w:tcPr>
            <w:tcW w:w="1287" w:type="dxa"/>
            <w:tcBorders>
              <w:top w:val="single" w:sz="4" w:space="0" w:color="000000"/>
              <w:left w:val="single" w:sz="4" w:space="0" w:color="000000"/>
              <w:bottom w:val="single" w:sz="4" w:space="0" w:color="000000"/>
              <w:right w:val="single" w:sz="4" w:space="0" w:color="000000"/>
            </w:tcBorders>
          </w:tcPr>
          <w:p w14:paraId="19553CE0"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655F47E6"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6FD8FB05" w14:textId="77777777" w:rsidR="00FB1F4B" w:rsidRDefault="00FB1F4B" w:rsidP="00FB1F4B">
            <w:pPr>
              <w:spacing w:line="259" w:lineRule="auto"/>
            </w:pPr>
            <w:r>
              <w:rPr>
                <w:rFonts w:ascii="Calibri" w:eastAsia="Calibri" w:hAnsi="Calibri" w:cs="Calibri"/>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7222CEF2"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3C6A1BEA"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4DBDBF8A"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036A01AE"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14CF1CF2"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6896343F"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3CEBB379" w14:textId="77777777" w:rsidTr="00FB1F4B">
        <w:trPr>
          <w:trHeight w:val="231"/>
        </w:trPr>
        <w:tc>
          <w:tcPr>
            <w:tcW w:w="1286" w:type="dxa"/>
            <w:tcBorders>
              <w:top w:val="single" w:sz="4" w:space="0" w:color="000000"/>
              <w:left w:val="single" w:sz="4" w:space="0" w:color="000000"/>
              <w:bottom w:val="single" w:sz="4" w:space="0" w:color="000000"/>
              <w:right w:val="single" w:sz="4" w:space="0" w:color="000000"/>
            </w:tcBorders>
          </w:tcPr>
          <w:p w14:paraId="13563BCB" w14:textId="77777777" w:rsidR="00FB1F4B" w:rsidRDefault="00FB1F4B" w:rsidP="00FB1F4B">
            <w:pPr>
              <w:spacing w:line="259" w:lineRule="auto"/>
            </w:pPr>
            <w:r>
              <w:rPr>
                <w:rFonts w:ascii="Calibri" w:eastAsia="Calibri" w:hAnsi="Calibri" w:cs="Calibri"/>
                <w:b/>
                <w:sz w:val="18"/>
              </w:rPr>
              <w:t xml:space="preserve">Contribution </w:t>
            </w:r>
          </w:p>
        </w:tc>
        <w:tc>
          <w:tcPr>
            <w:tcW w:w="1402" w:type="dxa"/>
            <w:tcBorders>
              <w:top w:val="single" w:sz="4" w:space="0" w:color="000000"/>
              <w:left w:val="single" w:sz="4" w:space="0" w:color="000000"/>
              <w:bottom w:val="single" w:sz="4" w:space="0" w:color="000000"/>
              <w:right w:val="single" w:sz="4" w:space="0" w:color="000000"/>
            </w:tcBorders>
          </w:tcPr>
          <w:p w14:paraId="6E408A2C" w14:textId="77777777" w:rsidR="00FB1F4B" w:rsidRDefault="00FB1F4B" w:rsidP="00FB1F4B">
            <w:pPr>
              <w:spacing w:line="259" w:lineRule="auto"/>
              <w:ind w:right="83"/>
              <w:jc w:val="right"/>
            </w:pPr>
            <w:r>
              <w:rPr>
                <w:sz w:val="18"/>
              </w:rPr>
              <w:t xml:space="preserve">17 </w:t>
            </w:r>
          </w:p>
        </w:tc>
        <w:tc>
          <w:tcPr>
            <w:tcW w:w="1177" w:type="dxa"/>
            <w:tcBorders>
              <w:top w:val="single" w:sz="4" w:space="0" w:color="000000"/>
              <w:left w:val="single" w:sz="4" w:space="0" w:color="000000"/>
              <w:bottom w:val="single" w:sz="4" w:space="0" w:color="000000"/>
              <w:right w:val="single" w:sz="4" w:space="0" w:color="000000"/>
            </w:tcBorders>
          </w:tcPr>
          <w:p w14:paraId="3D01B95D" w14:textId="77777777" w:rsidR="00FB1F4B" w:rsidRDefault="00FB1F4B" w:rsidP="00FB1F4B">
            <w:pPr>
              <w:spacing w:line="259" w:lineRule="auto"/>
              <w:ind w:right="83"/>
              <w:jc w:val="right"/>
            </w:pPr>
            <w:r>
              <w:rPr>
                <w:sz w:val="18"/>
              </w:rPr>
              <w:t xml:space="preserve">1700000 </w:t>
            </w:r>
          </w:p>
        </w:tc>
        <w:tc>
          <w:tcPr>
            <w:tcW w:w="1287" w:type="dxa"/>
            <w:tcBorders>
              <w:top w:val="single" w:sz="4" w:space="0" w:color="000000"/>
              <w:left w:val="single" w:sz="4" w:space="0" w:color="000000"/>
              <w:bottom w:val="single" w:sz="4" w:space="0" w:color="000000"/>
              <w:right w:val="single" w:sz="4" w:space="0" w:color="000000"/>
            </w:tcBorders>
          </w:tcPr>
          <w:p w14:paraId="0630F689" w14:textId="77777777" w:rsidR="00FB1F4B" w:rsidRDefault="00FB1F4B" w:rsidP="00FB1F4B">
            <w:pPr>
              <w:spacing w:line="259" w:lineRule="auto"/>
              <w:ind w:right="83"/>
              <w:jc w:val="right"/>
            </w:pPr>
            <w:r>
              <w:rPr>
                <w:sz w:val="18"/>
              </w:rPr>
              <w:t xml:space="preserve">1360000 </w:t>
            </w:r>
          </w:p>
        </w:tc>
        <w:tc>
          <w:tcPr>
            <w:tcW w:w="1292" w:type="dxa"/>
            <w:tcBorders>
              <w:top w:val="single" w:sz="4" w:space="0" w:color="000000"/>
              <w:left w:val="single" w:sz="4" w:space="0" w:color="000000"/>
              <w:bottom w:val="single" w:sz="4" w:space="0" w:color="000000"/>
              <w:right w:val="single" w:sz="4" w:space="0" w:color="000000"/>
            </w:tcBorders>
          </w:tcPr>
          <w:p w14:paraId="1F6E9FC4" w14:textId="77777777" w:rsidR="00FB1F4B" w:rsidRDefault="00FB1F4B" w:rsidP="00FB1F4B">
            <w:pPr>
              <w:spacing w:line="259" w:lineRule="auto"/>
              <w:ind w:right="88"/>
              <w:jc w:val="right"/>
            </w:pPr>
            <w:r>
              <w:rPr>
                <w:sz w:val="18"/>
              </w:rPr>
              <w:t xml:space="preserve">760000 </w:t>
            </w:r>
          </w:p>
        </w:tc>
        <w:tc>
          <w:tcPr>
            <w:tcW w:w="1287" w:type="dxa"/>
            <w:tcBorders>
              <w:top w:val="single" w:sz="4" w:space="0" w:color="000000"/>
              <w:left w:val="single" w:sz="4" w:space="0" w:color="000000"/>
              <w:bottom w:val="single" w:sz="4" w:space="0" w:color="000000"/>
              <w:right w:val="single" w:sz="4" w:space="0" w:color="000000"/>
            </w:tcBorders>
          </w:tcPr>
          <w:p w14:paraId="71F3EC4E" w14:textId="77777777" w:rsidR="00FB1F4B" w:rsidRDefault="00FB1F4B" w:rsidP="00FB1F4B">
            <w:pPr>
              <w:spacing w:line="259" w:lineRule="auto"/>
              <w:ind w:right="88"/>
              <w:jc w:val="right"/>
            </w:pPr>
            <w:r>
              <w:rPr>
                <w:sz w:val="18"/>
              </w:rPr>
              <w:t xml:space="preserve">600000 </w:t>
            </w:r>
          </w:p>
        </w:tc>
        <w:tc>
          <w:tcPr>
            <w:tcW w:w="1287" w:type="dxa"/>
            <w:tcBorders>
              <w:top w:val="single" w:sz="4" w:space="0" w:color="000000"/>
              <w:left w:val="single" w:sz="4" w:space="0" w:color="000000"/>
              <w:bottom w:val="single" w:sz="4" w:space="0" w:color="000000"/>
              <w:right w:val="single" w:sz="4" w:space="0" w:color="000000"/>
            </w:tcBorders>
          </w:tcPr>
          <w:p w14:paraId="35BD5ED4" w14:textId="77777777" w:rsidR="00FB1F4B" w:rsidRDefault="00FB1F4B" w:rsidP="00FB1F4B">
            <w:pPr>
              <w:spacing w:line="259" w:lineRule="auto"/>
              <w:ind w:right="80"/>
              <w:jc w:val="right"/>
            </w:pPr>
            <w:proofErr w:type="spellStart"/>
            <w:r>
              <w:rPr>
                <w:sz w:val="18"/>
              </w:rPr>
              <w:t>Unfavorable</w:t>
            </w:r>
            <w:proofErr w:type="spellEnd"/>
            <w:r>
              <w:rPr>
                <w:sz w:val="18"/>
              </w:rPr>
              <w:t xml:space="preserve"> </w:t>
            </w:r>
          </w:p>
        </w:tc>
      </w:tr>
      <w:tr w:rsidR="00FB1F4B" w14:paraId="0D5D1910" w14:textId="77777777" w:rsidTr="00FB1F4B">
        <w:trPr>
          <w:trHeight w:val="226"/>
        </w:trPr>
        <w:tc>
          <w:tcPr>
            <w:tcW w:w="1286" w:type="dxa"/>
            <w:tcBorders>
              <w:top w:val="single" w:sz="4" w:space="0" w:color="000000"/>
              <w:left w:val="single" w:sz="4" w:space="0" w:color="000000"/>
              <w:bottom w:val="single" w:sz="4" w:space="0" w:color="000000"/>
              <w:right w:val="single" w:sz="4" w:space="0" w:color="000000"/>
            </w:tcBorders>
          </w:tcPr>
          <w:p w14:paraId="3950F53C" w14:textId="77777777" w:rsidR="00FB1F4B" w:rsidRDefault="00FB1F4B" w:rsidP="00FB1F4B">
            <w:pPr>
              <w:spacing w:line="259" w:lineRule="auto"/>
            </w:pPr>
            <w:r>
              <w:rPr>
                <w:rFonts w:ascii="Calibri" w:eastAsia="Calibri" w:hAnsi="Calibri" w:cs="Calibri"/>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71DCD530"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3FEB7CD6"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4820F4E2"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335F6575"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6DC40DCC"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15523237"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0FD6E75A"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47972D50" w14:textId="77777777" w:rsidR="00FB1F4B" w:rsidRDefault="00FB1F4B" w:rsidP="00FB1F4B">
            <w:pPr>
              <w:spacing w:line="259" w:lineRule="auto"/>
            </w:pPr>
            <w:r>
              <w:rPr>
                <w:sz w:val="18"/>
              </w:rPr>
              <w:t xml:space="preserve">Fixed Costs </w:t>
            </w:r>
          </w:p>
        </w:tc>
        <w:tc>
          <w:tcPr>
            <w:tcW w:w="1402" w:type="dxa"/>
            <w:tcBorders>
              <w:top w:val="single" w:sz="4" w:space="0" w:color="000000"/>
              <w:left w:val="single" w:sz="4" w:space="0" w:color="000000"/>
              <w:bottom w:val="single" w:sz="4" w:space="0" w:color="000000"/>
              <w:right w:val="single" w:sz="4" w:space="0" w:color="000000"/>
            </w:tcBorders>
          </w:tcPr>
          <w:p w14:paraId="0DB2403D"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0A572666"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4C68E069"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6E75EF50"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3D6AC1BB"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4396EB8A"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247B5BC1"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42760F7B" w14:textId="77777777" w:rsidR="00FB1F4B" w:rsidRDefault="00FB1F4B" w:rsidP="00FB1F4B">
            <w:pPr>
              <w:spacing w:line="259" w:lineRule="auto"/>
            </w:pPr>
            <w:r>
              <w:rPr>
                <w:sz w:val="14"/>
              </w:rPr>
              <w:t xml:space="preserve">Warehouse Rental </w:t>
            </w:r>
          </w:p>
        </w:tc>
        <w:tc>
          <w:tcPr>
            <w:tcW w:w="1402" w:type="dxa"/>
            <w:tcBorders>
              <w:top w:val="single" w:sz="4" w:space="0" w:color="000000"/>
              <w:left w:val="single" w:sz="4" w:space="0" w:color="000000"/>
              <w:bottom w:val="single" w:sz="4" w:space="0" w:color="000000"/>
              <w:right w:val="single" w:sz="4" w:space="0" w:color="000000"/>
            </w:tcBorders>
          </w:tcPr>
          <w:p w14:paraId="463CCCD5" w14:textId="77777777" w:rsidR="00FB1F4B" w:rsidRDefault="00FB1F4B" w:rsidP="00FB1F4B">
            <w:pPr>
              <w:spacing w:line="259" w:lineRule="auto"/>
              <w:ind w:right="83"/>
              <w:jc w:val="right"/>
            </w:pPr>
            <w:r>
              <w:rPr>
                <w:sz w:val="18"/>
              </w:rPr>
              <w:t>200000</w:t>
            </w:r>
            <w:r>
              <w:rPr>
                <w:sz w:val="14"/>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258AD77B" w14:textId="77777777" w:rsidR="00FB1F4B" w:rsidRDefault="00FB1F4B" w:rsidP="00FB1F4B">
            <w:pPr>
              <w:spacing w:line="259" w:lineRule="auto"/>
              <w:ind w:right="83"/>
              <w:jc w:val="right"/>
            </w:pPr>
            <w:r>
              <w:rPr>
                <w:sz w:val="18"/>
              </w:rPr>
              <w:t xml:space="preserve">200000 </w:t>
            </w:r>
          </w:p>
        </w:tc>
        <w:tc>
          <w:tcPr>
            <w:tcW w:w="1287" w:type="dxa"/>
            <w:tcBorders>
              <w:top w:val="single" w:sz="4" w:space="0" w:color="000000"/>
              <w:left w:val="single" w:sz="4" w:space="0" w:color="000000"/>
              <w:bottom w:val="single" w:sz="4" w:space="0" w:color="000000"/>
              <w:right w:val="single" w:sz="4" w:space="0" w:color="000000"/>
            </w:tcBorders>
          </w:tcPr>
          <w:p w14:paraId="5A7943D4" w14:textId="77777777" w:rsidR="00FB1F4B" w:rsidRDefault="00FB1F4B" w:rsidP="00FB1F4B">
            <w:pPr>
              <w:spacing w:line="259" w:lineRule="auto"/>
              <w:ind w:right="83"/>
              <w:jc w:val="right"/>
            </w:pPr>
            <w:r>
              <w:rPr>
                <w:sz w:val="18"/>
              </w:rPr>
              <w:t xml:space="preserve">200000 </w:t>
            </w:r>
          </w:p>
        </w:tc>
        <w:tc>
          <w:tcPr>
            <w:tcW w:w="1292" w:type="dxa"/>
            <w:tcBorders>
              <w:top w:val="single" w:sz="4" w:space="0" w:color="000000"/>
              <w:left w:val="single" w:sz="4" w:space="0" w:color="000000"/>
              <w:bottom w:val="single" w:sz="4" w:space="0" w:color="000000"/>
              <w:right w:val="single" w:sz="4" w:space="0" w:color="000000"/>
            </w:tcBorders>
          </w:tcPr>
          <w:p w14:paraId="792BF40E" w14:textId="77777777" w:rsidR="00FB1F4B" w:rsidRDefault="00FB1F4B" w:rsidP="00FB1F4B">
            <w:pPr>
              <w:spacing w:line="259" w:lineRule="auto"/>
              <w:ind w:right="88"/>
              <w:jc w:val="right"/>
            </w:pPr>
            <w:r>
              <w:rPr>
                <w:sz w:val="18"/>
              </w:rPr>
              <w:t xml:space="preserve">170000 </w:t>
            </w:r>
          </w:p>
        </w:tc>
        <w:tc>
          <w:tcPr>
            <w:tcW w:w="1287" w:type="dxa"/>
            <w:tcBorders>
              <w:top w:val="single" w:sz="4" w:space="0" w:color="000000"/>
              <w:left w:val="single" w:sz="4" w:space="0" w:color="000000"/>
              <w:bottom w:val="single" w:sz="4" w:space="0" w:color="000000"/>
              <w:right w:val="single" w:sz="4" w:space="0" w:color="000000"/>
            </w:tcBorders>
          </w:tcPr>
          <w:p w14:paraId="263EA756" w14:textId="77777777" w:rsidR="00FB1F4B" w:rsidRDefault="00FB1F4B" w:rsidP="00FB1F4B">
            <w:pPr>
              <w:spacing w:line="259" w:lineRule="auto"/>
              <w:ind w:right="88"/>
              <w:jc w:val="right"/>
            </w:pPr>
            <w:r>
              <w:rPr>
                <w:sz w:val="18"/>
              </w:rPr>
              <w:t xml:space="preserve">30000 </w:t>
            </w:r>
          </w:p>
        </w:tc>
        <w:tc>
          <w:tcPr>
            <w:tcW w:w="1287" w:type="dxa"/>
            <w:tcBorders>
              <w:top w:val="single" w:sz="4" w:space="0" w:color="000000"/>
              <w:left w:val="single" w:sz="4" w:space="0" w:color="000000"/>
              <w:bottom w:val="single" w:sz="4" w:space="0" w:color="000000"/>
              <w:right w:val="single" w:sz="4" w:space="0" w:color="000000"/>
            </w:tcBorders>
          </w:tcPr>
          <w:p w14:paraId="4CA65799" w14:textId="77777777" w:rsidR="00FB1F4B" w:rsidRDefault="00FB1F4B" w:rsidP="00FB1F4B">
            <w:pPr>
              <w:spacing w:line="259" w:lineRule="auto"/>
              <w:ind w:right="80"/>
              <w:jc w:val="right"/>
            </w:pPr>
            <w:proofErr w:type="spellStart"/>
            <w:r>
              <w:rPr>
                <w:sz w:val="18"/>
              </w:rPr>
              <w:t>Favorable</w:t>
            </w:r>
            <w:proofErr w:type="spellEnd"/>
            <w:r>
              <w:rPr>
                <w:sz w:val="18"/>
              </w:rPr>
              <w:t xml:space="preserve"> </w:t>
            </w:r>
          </w:p>
        </w:tc>
      </w:tr>
      <w:tr w:rsidR="00FB1F4B" w14:paraId="548786BE"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2B7BC66B" w14:textId="77777777" w:rsidR="00FB1F4B" w:rsidRDefault="00FB1F4B" w:rsidP="00FB1F4B">
            <w:pPr>
              <w:spacing w:line="259" w:lineRule="auto"/>
            </w:pPr>
            <w:r>
              <w:rPr>
                <w:sz w:val="18"/>
              </w:rPr>
              <w:t xml:space="preserve">Insurance </w:t>
            </w:r>
          </w:p>
        </w:tc>
        <w:tc>
          <w:tcPr>
            <w:tcW w:w="1402" w:type="dxa"/>
            <w:tcBorders>
              <w:top w:val="single" w:sz="4" w:space="0" w:color="000000"/>
              <w:left w:val="single" w:sz="4" w:space="0" w:color="000000"/>
              <w:bottom w:val="single" w:sz="4" w:space="0" w:color="000000"/>
              <w:right w:val="single" w:sz="4" w:space="0" w:color="000000"/>
            </w:tcBorders>
          </w:tcPr>
          <w:p w14:paraId="4677BF67" w14:textId="77777777" w:rsidR="00FB1F4B" w:rsidRDefault="00FB1F4B" w:rsidP="00FB1F4B">
            <w:pPr>
              <w:spacing w:line="259" w:lineRule="auto"/>
              <w:ind w:right="83"/>
              <w:jc w:val="right"/>
            </w:pPr>
            <w:r>
              <w:rPr>
                <w:sz w:val="18"/>
              </w:rPr>
              <w:t xml:space="preserve">100000 </w:t>
            </w:r>
          </w:p>
        </w:tc>
        <w:tc>
          <w:tcPr>
            <w:tcW w:w="1177" w:type="dxa"/>
            <w:tcBorders>
              <w:top w:val="single" w:sz="4" w:space="0" w:color="000000"/>
              <w:left w:val="single" w:sz="4" w:space="0" w:color="000000"/>
              <w:bottom w:val="single" w:sz="4" w:space="0" w:color="000000"/>
              <w:right w:val="single" w:sz="4" w:space="0" w:color="000000"/>
            </w:tcBorders>
          </w:tcPr>
          <w:p w14:paraId="7AF6A5A9" w14:textId="77777777" w:rsidR="00FB1F4B" w:rsidRDefault="00FB1F4B" w:rsidP="00FB1F4B">
            <w:pPr>
              <w:spacing w:line="259" w:lineRule="auto"/>
              <w:ind w:right="83"/>
              <w:jc w:val="right"/>
            </w:pPr>
            <w:r>
              <w:rPr>
                <w:sz w:val="18"/>
              </w:rPr>
              <w:t xml:space="preserve">100000 </w:t>
            </w:r>
          </w:p>
        </w:tc>
        <w:tc>
          <w:tcPr>
            <w:tcW w:w="1287" w:type="dxa"/>
            <w:tcBorders>
              <w:top w:val="single" w:sz="4" w:space="0" w:color="000000"/>
              <w:left w:val="single" w:sz="4" w:space="0" w:color="000000"/>
              <w:bottom w:val="single" w:sz="4" w:space="0" w:color="000000"/>
              <w:right w:val="single" w:sz="4" w:space="0" w:color="000000"/>
            </w:tcBorders>
          </w:tcPr>
          <w:p w14:paraId="633E3D07" w14:textId="77777777" w:rsidR="00FB1F4B" w:rsidRDefault="00FB1F4B" w:rsidP="00FB1F4B">
            <w:pPr>
              <w:spacing w:line="259" w:lineRule="auto"/>
              <w:ind w:right="83"/>
              <w:jc w:val="right"/>
            </w:pPr>
            <w:r>
              <w:rPr>
                <w:sz w:val="18"/>
              </w:rPr>
              <w:t xml:space="preserve">100000 </w:t>
            </w:r>
          </w:p>
        </w:tc>
        <w:tc>
          <w:tcPr>
            <w:tcW w:w="1292" w:type="dxa"/>
            <w:tcBorders>
              <w:top w:val="single" w:sz="4" w:space="0" w:color="000000"/>
              <w:left w:val="single" w:sz="4" w:space="0" w:color="000000"/>
              <w:bottom w:val="single" w:sz="4" w:space="0" w:color="000000"/>
              <w:right w:val="single" w:sz="4" w:space="0" w:color="000000"/>
            </w:tcBorders>
          </w:tcPr>
          <w:p w14:paraId="65B82077" w14:textId="77777777" w:rsidR="00FB1F4B" w:rsidRDefault="00FB1F4B" w:rsidP="00FB1F4B">
            <w:pPr>
              <w:spacing w:line="259" w:lineRule="auto"/>
              <w:ind w:right="88"/>
              <w:jc w:val="right"/>
            </w:pPr>
            <w:r>
              <w:rPr>
                <w:sz w:val="18"/>
              </w:rPr>
              <w:t xml:space="preserve">100000 </w:t>
            </w:r>
          </w:p>
        </w:tc>
        <w:tc>
          <w:tcPr>
            <w:tcW w:w="1287" w:type="dxa"/>
            <w:tcBorders>
              <w:top w:val="single" w:sz="4" w:space="0" w:color="000000"/>
              <w:left w:val="single" w:sz="4" w:space="0" w:color="000000"/>
              <w:bottom w:val="single" w:sz="4" w:space="0" w:color="000000"/>
              <w:right w:val="single" w:sz="4" w:space="0" w:color="000000"/>
            </w:tcBorders>
          </w:tcPr>
          <w:p w14:paraId="63C256C9" w14:textId="77777777" w:rsidR="00FB1F4B" w:rsidRDefault="00FB1F4B" w:rsidP="00FB1F4B">
            <w:pPr>
              <w:spacing w:line="259" w:lineRule="auto"/>
              <w:ind w:right="88"/>
              <w:jc w:val="right"/>
            </w:pPr>
            <w:r>
              <w:rPr>
                <w:sz w:val="18"/>
              </w:rPr>
              <w:t xml:space="preserve">0 </w:t>
            </w:r>
          </w:p>
        </w:tc>
        <w:tc>
          <w:tcPr>
            <w:tcW w:w="1287" w:type="dxa"/>
            <w:tcBorders>
              <w:top w:val="single" w:sz="4" w:space="0" w:color="000000"/>
              <w:left w:val="single" w:sz="4" w:space="0" w:color="000000"/>
              <w:bottom w:val="single" w:sz="4" w:space="0" w:color="000000"/>
              <w:right w:val="single" w:sz="4" w:space="0" w:color="000000"/>
            </w:tcBorders>
          </w:tcPr>
          <w:p w14:paraId="318849E4"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5F8924AA"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6E491BD6" w14:textId="77777777" w:rsidR="00FB1F4B" w:rsidRDefault="00FB1F4B" w:rsidP="00FB1F4B">
            <w:pPr>
              <w:spacing w:line="259" w:lineRule="auto"/>
            </w:pPr>
            <w:r>
              <w:rPr>
                <w:sz w:val="18"/>
              </w:rPr>
              <w:t xml:space="preserve">Fulltime </w:t>
            </w:r>
          </w:p>
        </w:tc>
        <w:tc>
          <w:tcPr>
            <w:tcW w:w="1402" w:type="dxa"/>
            <w:tcBorders>
              <w:top w:val="single" w:sz="4" w:space="0" w:color="000000"/>
              <w:left w:val="single" w:sz="4" w:space="0" w:color="000000"/>
              <w:bottom w:val="single" w:sz="4" w:space="0" w:color="000000"/>
              <w:right w:val="single" w:sz="4" w:space="0" w:color="000000"/>
            </w:tcBorders>
          </w:tcPr>
          <w:p w14:paraId="05BDC167" w14:textId="77777777" w:rsidR="00FB1F4B" w:rsidRDefault="00FB1F4B" w:rsidP="00FB1F4B">
            <w:pPr>
              <w:spacing w:line="259" w:lineRule="auto"/>
              <w:ind w:right="83"/>
              <w:jc w:val="right"/>
            </w:pPr>
            <w:r>
              <w:rPr>
                <w:sz w:val="18"/>
              </w:rPr>
              <w:t xml:space="preserve">50000 </w:t>
            </w:r>
          </w:p>
        </w:tc>
        <w:tc>
          <w:tcPr>
            <w:tcW w:w="1177" w:type="dxa"/>
            <w:tcBorders>
              <w:top w:val="single" w:sz="4" w:space="0" w:color="000000"/>
              <w:left w:val="single" w:sz="4" w:space="0" w:color="000000"/>
              <w:bottom w:val="single" w:sz="4" w:space="0" w:color="000000"/>
              <w:right w:val="single" w:sz="4" w:space="0" w:color="000000"/>
            </w:tcBorders>
          </w:tcPr>
          <w:p w14:paraId="5BB14C2E" w14:textId="77777777" w:rsidR="00FB1F4B" w:rsidRDefault="00FB1F4B" w:rsidP="00FB1F4B">
            <w:pPr>
              <w:spacing w:line="259" w:lineRule="auto"/>
              <w:ind w:right="83"/>
              <w:jc w:val="right"/>
            </w:pPr>
            <w:r>
              <w:rPr>
                <w:sz w:val="18"/>
              </w:rPr>
              <w:t xml:space="preserve">50000 </w:t>
            </w:r>
          </w:p>
        </w:tc>
        <w:tc>
          <w:tcPr>
            <w:tcW w:w="1287" w:type="dxa"/>
            <w:tcBorders>
              <w:top w:val="single" w:sz="4" w:space="0" w:color="000000"/>
              <w:left w:val="single" w:sz="4" w:space="0" w:color="000000"/>
              <w:bottom w:val="single" w:sz="4" w:space="0" w:color="000000"/>
              <w:right w:val="single" w:sz="4" w:space="0" w:color="000000"/>
            </w:tcBorders>
          </w:tcPr>
          <w:p w14:paraId="3BC470A8" w14:textId="77777777" w:rsidR="00FB1F4B" w:rsidRDefault="00FB1F4B" w:rsidP="00FB1F4B">
            <w:pPr>
              <w:spacing w:line="259" w:lineRule="auto"/>
              <w:ind w:right="83"/>
              <w:jc w:val="right"/>
            </w:pPr>
            <w:r>
              <w:rPr>
                <w:sz w:val="18"/>
              </w:rPr>
              <w:t xml:space="preserve">50000 </w:t>
            </w:r>
          </w:p>
        </w:tc>
        <w:tc>
          <w:tcPr>
            <w:tcW w:w="1292" w:type="dxa"/>
            <w:tcBorders>
              <w:top w:val="single" w:sz="4" w:space="0" w:color="000000"/>
              <w:left w:val="single" w:sz="4" w:space="0" w:color="000000"/>
              <w:bottom w:val="single" w:sz="4" w:space="0" w:color="000000"/>
              <w:right w:val="single" w:sz="4" w:space="0" w:color="000000"/>
            </w:tcBorders>
          </w:tcPr>
          <w:p w14:paraId="7A229EBD" w14:textId="77777777" w:rsidR="00FB1F4B" w:rsidRDefault="00FB1F4B" w:rsidP="00FB1F4B">
            <w:pPr>
              <w:spacing w:line="259" w:lineRule="auto"/>
              <w:ind w:right="88"/>
              <w:jc w:val="right"/>
            </w:pPr>
            <w:r>
              <w:rPr>
                <w:sz w:val="18"/>
              </w:rPr>
              <w:t xml:space="preserve">35000 </w:t>
            </w:r>
          </w:p>
        </w:tc>
        <w:tc>
          <w:tcPr>
            <w:tcW w:w="1287" w:type="dxa"/>
            <w:tcBorders>
              <w:top w:val="single" w:sz="4" w:space="0" w:color="000000"/>
              <w:left w:val="single" w:sz="4" w:space="0" w:color="000000"/>
              <w:bottom w:val="single" w:sz="4" w:space="0" w:color="000000"/>
              <w:right w:val="single" w:sz="4" w:space="0" w:color="000000"/>
            </w:tcBorders>
          </w:tcPr>
          <w:p w14:paraId="1D30C454" w14:textId="77777777" w:rsidR="00FB1F4B" w:rsidRDefault="00FB1F4B" w:rsidP="00FB1F4B">
            <w:pPr>
              <w:spacing w:line="259" w:lineRule="auto"/>
              <w:ind w:right="88"/>
              <w:jc w:val="right"/>
            </w:pPr>
            <w:r>
              <w:rPr>
                <w:sz w:val="18"/>
              </w:rPr>
              <w:t xml:space="preserve">15000 </w:t>
            </w:r>
          </w:p>
        </w:tc>
        <w:tc>
          <w:tcPr>
            <w:tcW w:w="1287" w:type="dxa"/>
            <w:tcBorders>
              <w:top w:val="single" w:sz="4" w:space="0" w:color="000000"/>
              <w:left w:val="single" w:sz="4" w:space="0" w:color="000000"/>
              <w:bottom w:val="single" w:sz="4" w:space="0" w:color="000000"/>
              <w:right w:val="single" w:sz="4" w:space="0" w:color="000000"/>
            </w:tcBorders>
          </w:tcPr>
          <w:p w14:paraId="72E8942B" w14:textId="77777777" w:rsidR="00FB1F4B" w:rsidRDefault="00FB1F4B" w:rsidP="00FB1F4B">
            <w:pPr>
              <w:spacing w:line="259" w:lineRule="auto"/>
              <w:ind w:right="80"/>
              <w:jc w:val="right"/>
            </w:pPr>
            <w:proofErr w:type="spellStart"/>
            <w:r>
              <w:rPr>
                <w:sz w:val="18"/>
              </w:rPr>
              <w:t>Favorable</w:t>
            </w:r>
            <w:proofErr w:type="spellEnd"/>
            <w:r>
              <w:rPr>
                <w:rFonts w:ascii="Calibri" w:eastAsia="Calibri" w:hAnsi="Calibri" w:cs="Calibri"/>
                <w:b/>
                <w:sz w:val="18"/>
              </w:rPr>
              <w:t xml:space="preserve"> </w:t>
            </w:r>
          </w:p>
        </w:tc>
      </w:tr>
      <w:tr w:rsidR="00FB1F4B" w14:paraId="57207044" w14:textId="77777777" w:rsidTr="00FB1F4B">
        <w:trPr>
          <w:trHeight w:val="230"/>
        </w:trPr>
        <w:tc>
          <w:tcPr>
            <w:tcW w:w="1286" w:type="dxa"/>
            <w:tcBorders>
              <w:top w:val="single" w:sz="4" w:space="0" w:color="000000"/>
              <w:left w:val="single" w:sz="4" w:space="0" w:color="000000"/>
              <w:bottom w:val="single" w:sz="4" w:space="0" w:color="000000"/>
              <w:right w:val="single" w:sz="4" w:space="0" w:color="000000"/>
            </w:tcBorders>
          </w:tcPr>
          <w:p w14:paraId="2B506F17" w14:textId="77777777" w:rsidR="00FB1F4B" w:rsidRDefault="00FB1F4B" w:rsidP="00FB1F4B">
            <w:pPr>
              <w:spacing w:line="259" w:lineRule="auto"/>
            </w:pPr>
            <w:r>
              <w:rPr>
                <w:rFonts w:ascii="Calibri" w:eastAsia="Calibri" w:hAnsi="Calibri" w:cs="Calibri"/>
                <w:b/>
                <w:sz w:val="18"/>
              </w:rPr>
              <w:t xml:space="preserve"> </w:t>
            </w:r>
          </w:p>
        </w:tc>
        <w:tc>
          <w:tcPr>
            <w:tcW w:w="1402" w:type="dxa"/>
            <w:tcBorders>
              <w:top w:val="single" w:sz="4" w:space="0" w:color="000000"/>
              <w:left w:val="single" w:sz="4" w:space="0" w:color="000000"/>
              <w:bottom w:val="single" w:sz="4" w:space="0" w:color="000000"/>
              <w:right w:val="single" w:sz="4" w:space="0" w:color="000000"/>
            </w:tcBorders>
          </w:tcPr>
          <w:p w14:paraId="47C29D52"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101A3613"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58991DDD"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292" w:type="dxa"/>
            <w:tcBorders>
              <w:top w:val="single" w:sz="4" w:space="0" w:color="000000"/>
              <w:left w:val="single" w:sz="4" w:space="0" w:color="000000"/>
              <w:bottom w:val="single" w:sz="4" w:space="0" w:color="000000"/>
              <w:right w:val="single" w:sz="4" w:space="0" w:color="000000"/>
            </w:tcBorders>
          </w:tcPr>
          <w:p w14:paraId="051B9283"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0DD05C4C" w14:textId="77777777" w:rsidR="00FB1F4B" w:rsidRDefault="00FB1F4B" w:rsidP="00FB1F4B">
            <w:pPr>
              <w:spacing w:line="259" w:lineRule="auto"/>
              <w:ind w:right="48"/>
              <w:jc w:val="right"/>
            </w:pPr>
            <w:r>
              <w:rPr>
                <w:rFonts w:ascii="Calibri" w:eastAsia="Calibri" w:hAnsi="Calibri" w:cs="Calibri"/>
                <w:b/>
                <w:sz w:val="18"/>
              </w:rPr>
              <w:t xml:space="preserve"> </w:t>
            </w:r>
          </w:p>
        </w:tc>
        <w:tc>
          <w:tcPr>
            <w:tcW w:w="1287" w:type="dxa"/>
            <w:tcBorders>
              <w:top w:val="single" w:sz="4" w:space="0" w:color="000000"/>
              <w:left w:val="single" w:sz="4" w:space="0" w:color="000000"/>
              <w:bottom w:val="single" w:sz="4" w:space="0" w:color="000000"/>
              <w:right w:val="single" w:sz="4" w:space="0" w:color="000000"/>
            </w:tcBorders>
          </w:tcPr>
          <w:p w14:paraId="0D7185A3" w14:textId="77777777" w:rsidR="00FB1F4B" w:rsidRDefault="00FB1F4B" w:rsidP="00FB1F4B">
            <w:pPr>
              <w:spacing w:line="259" w:lineRule="auto"/>
              <w:ind w:right="43"/>
              <w:jc w:val="right"/>
            </w:pPr>
            <w:r>
              <w:rPr>
                <w:rFonts w:ascii="Calibri" w:eastAsia="Calibri" w:hAnsi="Calibri" w:cs="Calibri"/>
                <w:b/>
                <w:sz w:val="18"/>
              </w:rPr>
              <w:t xml:space="preserve"> </w:t>
            </w:r>
          </w:p>
        </w:tc>
      </w:tr>
      <w:tr w:rsidR="00FB1F4B" w14:paraId="2E49F879" w14:textId="77777777" w:rsidTr="00FB1F4B">
        <w:trPr>
          <w:trHeight w:val="231"/>
        </w:trPr>
        <w:tc>
          <w:tcPr>
            <w:tcW w:w="1286" w:type="dxa"/>
            <w:tcBorders>
              <w:top w:val="single" w:sz="4" w:space="0" w:color="000000"/>
              <w:left w:val="single" w:sz="4" w:space="0" w:color="000000"/>
              <w:bottom w:val="single" w:sz="4" w:space="0" w:color="000000"/>
              <w:right w:val="single" w:sz="4" w:space="0" w:color="000000"/>
            </w:tcBorders>
          </w:tcPr>
          <w:p w14:paraId="127FC76F" w14:textId="77777777" w:rsidR="00FB1F4B" w:rsidRDefault="00FB1F4B" w:rsidP="00FB1F4B">
            <w:pPr>
              <w:spacing w:line="259" w:lineRule="auto"/>
            </w:pPr>
            <w:r>
              <w:rPr>
                <w:rFonts w:ascii="Calibri" w:eastAsia="Calibri" w:hAnsi="Calibri" w:cs="Calibri"/>
                <w:b/>
                <w:sz w:val="18"/>
              </w:rPr>
              <w:t xml:space="preserve">Profit </w:t>
            </w:r>
          </w:p>
        </w:tc>
        <w:tc>
          <w:tcPr>
            <w:tcW w:w="1402" w:type="dxa"/>
            <w:tcBorders>
              <w:top w:val="single" w:sz="4" w:space="0" w:color="000000"/>
              <w:left w:val="single" w:sz="4" w:space="0" w:color="000000"/>
              <w:bottom w:val="single" w:sz="4" w:space="0" w:color="000000"/>
              <w:right w:val="single" w:sz="4" w:space="0" w:color="000000"/>
            </w:tcBorders>
          </w:tcPr>
          <w:p w14:paraId="4B12A1EC" w14:textId="77777777" w:rsidR="00FB1F4B" w:rsidRDefault="00FB1F4B" w:rsidP="00FB1F4B">
            <w:pPr>
              <w:spacing w:line="259" w:lineRule="auto"/>
              <w:ind w:right="43"/>
              <w:jc w:val="right"/>
            </w:pPr>
            <w:r>
              <w:rPr>
                <w:rFonts w:ascii="Calibri" w:eastAsia="Calibri" w:hAnsi="Calibri" w:cs="Calibri"/>
                <w:b/>
                <w:sz w:val="18"/>
              </w:rPr>
              <w:t xml:space="preserve"> </w:t>
            </w:r>
          </w:p>
        </w:tc>
        <w:tc>
          <w:tcPr>
            <w:tcW w:w="1177" w:type="dxa"/>
            <w:tcBorders>
              <w:top w:val="single" w:sz="4" w:space="0" w:color="000000"/>
              <w:left w:val="single" w:sz="4" w:space="0" w:color="000000"/>
              <w:bottom w:val="single" w:sz="4" w:space="0" w:color="000000"/>
              <w:right w:val="single" w:sz="4" w:space="0" w:color="000000"/>
            </w:tcBorders>
          </w:tcPr>
          <w:p w14:paraId="24DAC835" w14:textId="77777777" w:rsidR="00FB1F4B" w:rsidRDefault="00FB1F4B" w:rsidP="00FB1F4B">
            <w:pPr>
              <w:spacing w:line="259" w:lineRule="auto"/>
              <w:ind w:right="83"/>
              <w:jc w:val="right"/>
            </w:pPr>
            <w:r>
              <w:rPr>
                <w:rFonts w:ascii="Calibri" w:eastAsia="Calibri" w:hAnsi="Calibri" w:cs="Calibri"/>
                <w:b/>
                <w:sz w:val="18"/>
              </w:rPr>
              <w:t xml:space="preserve">1350000 </w:t>
            </w:r>
          </w:p>
        </w:tc>
        <w:tc>
          <w:tcPr>
            <w:tcW w:w="1287" w:type="dxa"/>
            <w:tcBorders>
              <w:top w:val="single" w:sz="4" w:space="0" w:color="000000"/>
              <w:left w:val="single" w:sz="4" w:space="0" w:color="000000"/>
              <w:bottom w:val="single" w:sz="4" w:space="0" w:color="000000"/>
              <w:right w:val="single" w:sz="4" w:space="0" w:color="000000"/>
            </w:tcBorders>
          </w:tcPr>
          <w:p w14:paraId="783F5B30" w14:textId="77777777" w:rsidR="00FB1F4B" w:rsidRDefault="00FB1F4B" w:rsidP="00FB1F4B">
            <w:pPr>
              <w:spacing w:line="259" w:lineRule="auto"/>
              <w:ind w:right="83"/>
              <w:jc w:val="right"/>
            </w:pPr>
            <w:r>
              <w:rPr>
                <w:rFonts w:ascii="Calibri" w:eastAsia="Calibri" w:hAnsi="Calibri" w:cs="Calibri"/>
                <w:b/>
                <w:sz w:val="18"/>
              </w:rPr>
              <w:t xml:space="preserve">1010000 </w:t>
            </w:r>
          </w:p>
        </w:tc>
        <w:tc>
          <w:tcPr>
            <w:tcW w:w="1292" w:type="dxa"/>
            <w:tcBorders>
              <w:top w:val="single" w:sz="4" w:space="0" w:color="000000"/>
              <w:left w:val="single" w:sz="4" w:space="0" w:color="000000"/>
              <w:bottom w:val="single" w:sz="4" w:space="0" w:color="000000"/>
              <w:right w:val="single" w:sz="4" w:space="0" w:color="000000"/>
            </w:tcBorders>
          </w:tcPr>
          <w:p w14:paraId="319A3AA6" w14:textId="77777777" w:rsidR="00FB1F4B" w:rsidRDefault="00FB1F4B" w:rsidP="00FB1F4B">
            <w:pPr>
              <w:spacing w:line="259" w:lineRule="auto"/>
              <w:ind w:right="88"/>
              <w:jc w:val="right"/>
            </w:pPr>
            <w:r>
              <w:rPr>
                <w:rFonts w:ascii="Calibri" w:eastAsia="Calibri" w:hAnsi="Calibri" w:cs="Calibri"/>
                <w:b/>
                <w:sz w:val="18"/>
              </w:rPr>
              <w:t xml:space="preserve">455000 </w:t>
            </w:r>
          </w:p>
        </w:tc>
        <w:tc>
          <w:tcPr>
            <w:tcW w:w="1287" w:type="dxa"/>
            <w:tcBorders>
              <w:top w:val="single" w:sz="4" w:space="0" w:color="000000"/>
              <w:left w:val="single" w:sz="4" w:space="0" w:color="000000"/>
              <w:bottom w:val="single" w:sz="4" w:space="0" w:color="000000"/>
              <w:right w:val="single" w:sz="4" w:space="0" w:color="000000"/>
            </w:tcBorders>
          </w:tcPr>
          <w:p w14:paraId="04C8AFAD" w14:textId="77777777" w:rsidR="00FB1F4B" w:rsidRDefault="00FB1F4B" w:rsidP="00FB1F4B">
            <w:pPr>
              <w:spacing w:line="259" w:lineRule="auto"/>
              <w:ind w:right="88"/>
              <w:jc w:val="right"/>
            </w:pPr>
            <w:r>
              <w:rPr>
                <w:rFonts w:ascii="Calibri" w:eastAsia="Calibri" w:hAnsi="Calibri" w:cs="Calibri"/>
                <w:b/>
                <w:sz w:val="18"/>
              </w:rPr>
              <w:t xml:space="preserve">555000 </w:t>
            </w:r>
          </w:p>
        </w:tc>
        <w:tc>
          <w:tcPr>
            <w:tcW w:w="1287" w:type="dxa"/>
            <w:tcBorders>
              <w:top w:val="single" w:sz="4" w:space="0" w:color="000000"/>
              <w:left w:val="single" w:sz="4" w:space="0" w:color="000000"/>
              <w:bottom w:val="single" w:sz="4" w:space="0" w:color="000000"/>
              <w:right w:val="single" w:sz="4" w:space="0" w:color="000000"/>
            </w:tcBorders>
          </w:tcPr>
          <w:p w14:paraId="22082A42" w14:textId="77777777" w:rsidR="00FB1F4B" w:rsidRDefault="00FB1F4B" w:rsidP="00FB1F4B">
            <w:pPr>
              <w:spacing w:line="259" w:lineRule="auto"/>
              <w:ind w:right="80"/>
              <w:jc w:val="right"/>
            </w:pPr>
            <w:proofErr w:type="spellStart"/>
            <w:r>
              <w:rPr>
                <w:sz w:val="18"/>
              </w:rPr>
              <w:t>Unfavorable</w:t>
            </w:r>
            <w:proofErr w:type="spellEnd"/>
            <w:r>
              <w:rPr>
                <w:rFonts w:ascii="Calibri" w:eastAsia="Calibri" w:hAnsi="Calibri" w:cs="Calibri"/>
                <w:b/>
                <w:sz w:val="18"/>
              </w:rPr>
              <w:t xml:space="preserve"> </w:t>
            </w:r>
          </w:p>
        </w:tc>
      </w:tr>
    </w:tbl>
    <w:p w14:paraId="059FD9B9" w14:textId="77777777" w:rsidR="00B15818" w:rsidRPr="00FF2B3A" w:rsidRDefault="00B15818" w:rsidP="00520837">
      <w:pPr>
        <w:jc w:val="both"/>
        <w:rPr>
          <w:rFonts w:ascii="Times New Roman" w:hAnsi="Times New Roman" w:cs="Times New Roman"/>
          <w:sz w:val="24"/>
          <w:szCs w:val="24"/>
        </w:rPr>
      </w:pPr>
    </w:p>
    <w:p w14:paraId="47FB6E31" w14:textId="4EE19F53" w:rsidR="00B15818" w:rsidRPr="00FF2B3A" w:rsidRDefault="00B15818" w:rsidP="00520837">
      <w:pPr>
        <w:jc w:val="both"/>
        <w:rPr>
          <w:rFonts w:ascii="Times New Roman" w:hAnsi="Times New Roman" w:cs="Times New Roman"/>
          <w:sz w:val="24"/>
          <w:szCs w:val="24"/>
        </w:rPr>
      </w:pPr>
    </w:p>
    <w:p w14:paraId="530B1EA2" w14:textId="77777777" w:rsidR="00FB1F4B" w:rsidRDefault="00FB1F4B" w:rsidP="00520837">
      <w:pPr>
        <w:jc w:val="both"/>
        <w:rPr>
          <w:rFonts w:ascii="Times New Roman" w:hAnsi="Times New Roman" w:cs="Times New Roman"/>
          <w:sz w:val="24"/>
          <w:szCs w:val="24"/>
        </w:rPr>
      </w:pPr>
    </w:p>
    <w:p w14:paraId="4592227B" w14:textId="77777777" w:rsidR="00FB1F4B" w:rsidRDefault="00FB1F4B" w:rsidP="00520837">
      <w:pPr>
        <w:jc w:val="both"/>
        <w:rPr>
          <w:rFonts w:ascii="Times New Roman" w:hAnsi="Times New Roman" w:cs="Times New Roman"/>
          <w:sz w:val="24"/>
          <w:szCs w:val="24"/>
        </w:rPr>
      </w:pPr>
    </w:p>
    <w:p w14:paraId="7B88FA66" w14:textId="77777777" w:rsidR="00FB1F4B" w:rsidRDefault="00FB1F4B" w:rsidP="00520837">
      <w:pPr>
        <w:jc w:val="both"/>
        <w:rPr>
          <w:rFonts w:ascii="Times New Roman" w:hAnsi="Times New Roman" w:cs="Times New Roman"/>
          <w:sz w:val="24"/>
          <w:szCs w:val="24"/>
        </w:rPr>
      </w:pPr>
    </w:p>
    <w:p w14:paraId="4C96819E" w14:textId="77777777" w:rsidR="00FB1F4B" w:rsidRDefault="00FB1F4B" w:rsidP="00520837">
      <w:pPr>
        <w:jc w:val="both"/>
        <w:rPr>
          <w:rFonts w:ascii="Times New Roman" w:hAnsi="Times New Roman" w:cs="Times New Roman"/>
          <w:sz w:val="24"/>
          <w:szCs w:val="24"/>
        </w:rPr>
      </w:pPr>
    </w:p>
    <w:p w14:paraId="653442A5" w14:textId="77777777" w:rsidR="00FB1F4B" w:rsidRDefault="00FB1F4B" w:rsidP="00520837">
      <w:pPr>
        <w:jc w:val="both"/>
        <w:rPr>
          <w:rFonts w:ascii="Times New Roman" w:hAnsi="Times New Roman" w:cs="Times New Roman"/>
          <w:sz w:val="24"/>
          <w:szCs w:val="24"/>
        </w:rPr>
      </w:pPr>
    </w:p>
    <w:p w14:paraId="56EBC63B" w14:textId="77777777" w:rsidR="00FB1F4B" w:rsidRDefault="00FB1F4B" w:rsidP="00520837">
      <w:pPr>
        <w:jc w:val="both"/>
        <w:rPr>
          <w:rFonts w:ascii="Times New Roman" w:hAnsi="Times New Roman" w:cs="Times New Roman"/>
          <w:sz w:val="24"/>
          <w:szCs w:val="24"/>
        </w:rPr>
      </w:pPr>
    </w:p>
    <w:p w14:paraId="337FBE21" w14:textId="77777777" w:rsidR="00FB1F4B" w:rsidRDefault="00FB1F4B" w:rsidP="00520837">
      <w:pPr>
        <w:jc w:val="both"/>
        <w:rPr>
          <w:rFonts w:ascii="Times New Roman" w:hAnsi="Times New Roman" w:cs="Times New Roman"/>
          <w:sz w:val="24"/>
          <w:szCs w:val="24"/>
        </w:rPr>
      </w:pPr>
    </w:p>
    <w:p w14:paraId="1537E51D" w14:textId="77777777" w:rsidR="00FB1F4B" w:rsidRDefault="00FB1F4B" w:rsidP="00520837">
      <w:pPr>
        <w:jc w:val="both"/>
        <w:rPr>
          <w:rFonts w:ascii="Times New Roman" w:hAnsi="Times New Roman" w:cs="Times New Roman"/>
          <w:sz w:val="24"/>
          <w:szCs w:val="24"/>
        </w:rPr>
      </w:pPr>
    </w:p>
    <w:p w14:paraId="40F48283" w14:textId="77777777" w:rsidR="00FB1F4B" w:rsidRDefault="00FB1F4B" w:rsidP="00520837">
      <w:pPr>
        <w:jc w:val="both"/>
        <w:rPr>
          <w:rFonts w:ascii="Times New Roman" w:hAnsi="Times New Roman" w:cs="Times New Roman"/>
          <w:sz w:val="24"/>
          <w:szCs w:val="24"/>
        </w:rPr>
      </w:pPr>
    </w:p>
    <w:p w14:paraId="4812064D" w14:textId="77777777" w:rsidR="00FB1F4B" w:rsidRDefault="00FB1F4B" w:rsidP="00520837">
      <w:pPr>
        <w:jc w:val="both"/>
        <w:rPr>
          <w:rFonts w:ascii="Times New Roman" w:hAnsi="Times New Roman" w:cs="Times New Roman"/>
          <w:sz w:val="24"/>
          <w:szCs w:val="24"/>
        </w:rPr>
      </w:pPr>
    </w:p>
    <w:p w14:paraId="6E494183" w14:textId="77777777" w:rsidR="00FB1F4B" w:rsidRDefault="00FB1F4B" w:rsidP="00520837">
      <w:pPr>
        <w:jc w:val="both"/>
        <w:rPr>
          <w:rFonts w:ascii="Times New Roman" w:hAnsi="Times New Roman" w:cs="Times New Roman"/>
          <w:sz w:val="24"/>
          <w:szCs w:val="24"/>
        </w:rPr>
      </w:pPr>
    </w:p>
    <w:p w14:paraId="758FEFFA" w14:textId="77777777" w:rsidR="00FB1F4B" w:rsidRDefault="00FB1F4B" w:rsidP="00520837">
      <w:pPr>
        <w:jc w:val="both"/>
        <w:rPr>
          <w:rFonts w:ascii="Times New Roman" w:hAnsi="Times New Roman" w:cs="Times New Roman"/>
          <w:sz w:val="24"/>
          <w:szCs w:val="24"/>
        </w:rPr>
      </w:pPr>
    </w:p>
    <w:p w14:paraId="5D37B1DA" w14:textId="77777777" w:rsidR="00FB1F4B" w:rsidRDefault="00FB1F4B" w:rsidP="00520837">
      <w:pPr>
        <w:jc w:val="both"/>
        <w:rPr>
          <w:rFonts w:ascii="Times New Roman" w:hAnsi="Times New Roman" w:cs="Times New Roman"/>
          <w:sz w:val="24"/>
          <w:szCs w:val="24"/>
        </w:rPr>
      </w:pPr>
    </w:p>
    <w:p w14:paraId="1D17EE47" w14:textId="77777777" w:rsidR="00FB1F4B" w:rsidRDefault="00FB1F4B" w:rsidP="00520837">
      <w:pPr>
        <w:jc w:val="both"/>
        <w:rPr>
          <w:rFonts w:ascii="Times New Roman" w:hAnsi="Times New Roman" w:cs="Times New Roman"/>
          <w:sz w:val="24"/>
          <w:szCs w:val="24"/>
        </w:rPr>
      </w:pPr>
    </w:p>
    <w:p w14:paraId="13BF33A2" w14:textId="3A1CC840" w:rsidR="00B15818" w:rsidRPr="00FF2B3A" w:rsidRDefault="00B15818" w:rsidP="00520837">
      <w:pPr>
        <w:jc w:val="both"/>
        <w:rPr>
          <w:rFonts w:ascii="Times New Roman" w:hAnsi="Times New Roman" w:cs="Times New Roman"/>
          <w:sz w:val="24"/>
          <w:szCs w:val="24"/>
        </w:rPr>
      </w:pPr>
      <w:r w:rsidRPr="00FF2B3A">
        <w:rPr>
          <w:rFonts w:ascii="Times New Roman" w:hAnsi="Times New Roman" w:cs="Times New Roman"/>
          <w:sz w:val="24"/>
          <w:szCs w:val="24"/>
        </w:rPr>
        <w:t xml:space="preserve">Thus, the report shows that sales, Labor, Material, Contribution, and Net operating Inc are the Unfavorable variances. While warehouse rental and FW sup Sal. Are the Favorable variances. </w:t>
      </w:r>
    </w:p>
    <w:p w14:paraId="2AAFE2AF" w14:textId="77777777" w:rsidR="00BD4777" w:rsidRPr="00FF2B3A" w:rsidRDefault="00BD4777" w:rsidP="00520837">
      <w:pPr>
        <w:jc w:val="both"/>
        <w:rPr>
          <w:rFonts w:ascii="Times New Roman" w:hAnsi="Times New Roman" w:cs="Times New Roman"/>
          <w:b/>
          <w:bCs/>
          <w:sz w:val="24"/>
          <w:szCs w:val="24"/>
        </w:rPr>
      </w:pPr>
      <w:r w:rsidRPr="00FF2B3A">
        <w:rPr>
          <w:rFonts w:ascii="Times New Roman" w:hAnsi="Times New Roman" w:cs="Times New Roman"/>
          <w:b/>
          <w:bCs/>
          <w:sz w:val="24"/>
          <w:szCs w:val="24"/>
        </w:rPr>
        <w:t>2. Amana’s performance during the year 2020.</w:t>
      </w:r>
    </w:p>
    <w:p w14:paraId="49B8D302" w14:textId="2317DFE1" w:rsidR="008F3454" w:rsidRPr="00FF2B3A" w:rsidRDefault="00BD4777" w:rsidP="00520837">
      <w:pPr>
        <w:jc w:val="both"/>
        <w:rPr>
          <w:rFonts w:ascii="Times New Roman" w:hAnsi="Times New Roman" w:cs="Times New Roman"/>
          <w:sz w:val="24"/>
          <w:szCs w:val="24"/>
        </w:rPr>
      </w:pPr>
      <w:r w:rsidRPr="00FF2B3A">
        <w:rPr>
          <w:rFonts w:ascii="Times New Roman" w:hAnsi="Times New Roman" w:cs="Times New Roman"/>
          <w:sz w:val="24"/>
          <w:szCs w:val="24"/>
        </w:rPr>
        <w:t>Amana's bad success is shown by the actual findings. Prices have not been brought under pressure despite the fact that the selling price per unit has changed. The costs were brought under control. Overall, the results did not meet standards. The environment changes in this situation, and prior pricing approaches can be dramatically changed. A trade war may begin with relative equilibrium, or there may be specifically coordinated price cuts to defend existing market share. There may be more differentiation in segments of higher purchasing power, which are less vulnerable in crisis situations.</w:t>
      </w:r>
      <w:r w:rsidR="008B7F9B" w:rsidRPr="00FF2B3A">
        <w:rPr>
          <w:rFonts w:ascii="Times New Roman" w:hAnsi="Times New Roman" w:cs="Times New Roman"/>
          <w:sz w:val="24"/>
          <w:szCs w:val="24"/>
        </w:rPr>
        <w:t xml:space="preserve"> </w:t>
      </w:r>
      <w:r w:rsidR="00EA75F0" w:rsidRPr="00FF2B3A">
        <w:rPr>
          <w:rFonts w:ascii="Times New Roman" w:hAnsi="Times New Roman" w:cs="Times New Roman"/>
          <w:sz w:val="24"/>
          <w:szCs w:val="24"/>
        </w:rPr>
        <w:t>Likewise, travel firms may want to combine the two strategies by lowering the prices of their less costly goods while raising the prices of their most affordable items (directed at the market segment least affected by the crisis). Price policies can adjust in the event of a market shock, such as that caused by an economic downturn. The environment changes in this situation, and prior pricing approaches can be dramatically changed. A trade war may begin with relative equilibrium or there may be specifically coordinated price cuts to defend existing shares of market.</w:t>
      </w:r>
      <w:r w:rsidR="007E36E1" w:rsidRPr="00FF2B3A">
        <w:rPr>
          <w:rFonts w:ascii="Times New Roman" w:hAnsi="Times New Roman" w:cs="Times New Roman"/>
          <w:sz w:val="24"/>
          <w:szCs w:val="24"/>
        </w:rPr>
        <w:t xml:space="preserve"> Comparably, travel companies may want to combine the two strategies</w:t>
      </w:r>
      <w:r w:rsidR="00520837" w:rsidRPr="00FF2B3A">
        <w:rPr>
          <w:rFonts w:ascii="Times New Roman" w:hAnsi="Times New Roman" w:cs="Times New Roman"/>
          <w:sz w:val="24"/>
          <w:szCs w:val="24"/>
        </w:rPr>
        <w:t xml:space="preserve"> </w:t>
      </w:r>
      <w:r w:rsidR="007E36E1" w:rsidRPr="00FF2B3A">
        <w:rPr>
          <w:rFonts w:ascii="Times New Roman" w:hAnsi="Times New Roman" w:cs="Times New Roman"/>
          <w:sz w:val="24"/>
          <w:szCs w:val="24"/>
        </w:rPr>
        <w:t>reducing the cost of their less expensive packages (aimed at the population segment most affected by the crisis) while raising the cost of expensive stuff of them. </w:t>
      </w:r>
      <w:r w:rsidR="004705E4">
        <w:rPr>
          <w:rFonts w:ascii="Times New Roman" w:hAnsi="Times New Roman" w:cs="Times New Roman"/>
          <w:sz w:val="24"/>
          <w:szCs w:val="24"/>
        </w:rPr>
        <w:t xml:space="preserve"> </w:t>
      </w:r>
    </w:p>
    <w:p w14:paraId="1CDA0AFF" w14:textId="77777777" w:rsidR="00520837" w:rsidRPr="00FF2B3A" w:rsidRDefault="00520837" w:rsidP="00520837">
      <w:pPr>
        <w:jc w:val="both"/>
        <w:rPr>
          <w:rFonts w:ascii="Times New Roman" w:hAnsi="Times New Roman" w:cs="Times New Roman"/>
          <w:sz w:val="24"/>
          <w:szCs w:val="24"/>
        </w:rPr>
      </w:pPr>
    </w:p>
    <w:p w14:paraId="73E49A0C" w14:textId="0CF7CAA5" w:rsidR="00520837" w:rsidRDefault="00520837" w:rsidP="00520837">
      <w:pPr>
        <w:jc w:val="both"/>
        <w:rPr>
          <w:rFonts w:ascii="Times New Roman" w:hAnsi="Times New Roman" w:cs="Times New Roman"/>
          <w:sz w:val="24"/>
          <w:szCs w:val="24"/>
        </w:rPr>
      </w:pPr>
      <w:r w:rsidRPr="00FF2B3A">
        <w:rPr>
          <w:rFonts w:ascii="Times New Roman" w:hAnsi="Times New Roman" w:cs="Times New Roman"/>
          <w:b/>
          <w:bCs/>
          <w:sz w:val="24"/>
          <w:szCs w:val="24"/>
        </w:rPr>
        <w:t>3.</w:t>
      </w:r>
      <w:r w:rsidRPr="00FF2B3A">
        <w:rPr>
          <w:rFonts w:ascii="Times New Roman" w:hAnsi="Times New Roman" w:cs="Times New Roman"/>
          <w:sz w:val="24"/>
          <w:szCs w:val="24"/>
        </w:rPr>
        <w:t xml:space="preserve"> </w:t>
      </w:r>
      <w:r w:rsidRPr="00FF2B3A">
        <w:rPr>
          <w:rFonts w:ascii="Times New Roman" w:hAnsi="Times New Roman" w:cs="Times New Roman"/>
          <w:b/>
          <w:bCs/>
          <w:sz w:val="24"/>
          <w:szCs w:val="24"/>
        </w:rPr>
        <w:t>Recommendations to Amana’s CEO on areas of improvement</w:t>
      </w:r>
      <w:r w:rsidRPr="00FF2B3A">
        <w:rPr>
          <w:rFonts w:ascii="Times New Roman" w:hAnsi="Times New Roman" w:cs="Times New Roman"/>
          <w:sz w:val="24"/>
          <w:szCs w:val="24"/>
        </w:rPr>
        <w:t xml:space="preserve">.  </w:t>
      </w:r>
    </w:p>
    <w:p w14:paraId="1925C42E" w14:textId="411C0154" w:rsidR="00826D70" w:rsidRPr="00FF2B3A" w:rsidRDefault="00826D70" w:rsidP="00520837">
      <w:pPr>
        <w:jc w:val="both"/>
        <w:rPr>
          <w:rFonts w:ascii="Times New Roman" w:hAnsi="Times New Roman" w:cs="Times New Roman"/>
          <w:sz w:val="24"/>
          <w:szCs w:val="24"/>
        </w:rPr>
      </w:pPr>
      <w:r w:rsidRPr="00826D70">
        <w:rPr>
          <w:rFonts w:ascii="Times New Roman" w:hAnsi="Times New Roman" w:cs="Times New Roman"/>
          <w:sz w:val="24"/>
          <w:szCs w:val="24"/>
        </w:rPr>
        <w:t>Amana must spend in order to optimize unit revenue and control overhead expenses, as well as ensure that the service process runs smoothly. A pricing strategy is a long-term method for setting fundamental prices, in which the initial price of a commodity is calculated, as well as the proposed price movement trend over the product's lifecycle. As a result, it's a strategic judgement that has to account for competitor behavior and be tweaked to fit different economic scenarios during the product lifecycle. A company's pricing approach is an important aspect of its overall marketing plan.</w:t>
      </w:r>
      <w:r w:rsidR="003B0A7C">
        <w:rPr>
          <w:rFonts w:ascii="Times New Roman" w:hAnsi="Times New Roman" w:cs="Times New Roman"/>
          <w:sz w:val="24"/>
          <w:szCs w:val="24"/>
        </w:rPr>
        <w:t xml:space="preserve"> </w:t>
      </w:r>
      <w:r w:rsidR="003B0A7C" w:rsidRPr="003B0A7C">
        <w:rPr>
          <w:rFonts w:ascii="Times New Roman" w:hAnsi="Times New Roman" w:cs="Times New Roman"/>
          <w:sz w:val="24"/>
          <w:szCs w:val="24"/>
        </w:rPr>
        <w:t>Price strategies also give the tour operator more benefits, but they also give tourism agents a powerful negotiating tool. As a result, destinations can formulate successful tourism price negotiation policies by considering tour operator pricing techniques, the forms of industry competition they engage in, and the changes in pricing strategy they make when an economic downturn occurs.</w:t>
      </w:r>
    </w:p>
    <w:p w14:paraId="30371800" w14:textId="42596852" w:rsidR="00C9658A" w:rsidRPr="00C9658A" w:rsidRDefault="00520837" w:rsidP="00C9658A">
      <w:pPr>
        <w:jc w:val="both"/>
        <w:rPr>
          <w:rFonts w:ascii="Times New Roman" w:hAnsi="Times New Roman" w:cs="Times New Roman"/>
          <w:color w:val="000000" w:themeColor="text1"/>
          <w:sz w:val="24"/>
          <w:szCs w:val="24"/>
        </w:rPr>
      </w:pPr>
      <w:r w:rsidRPr="00FF2B3A">
        <w:rPr>
          <w:rFonts w:ascii="Times New Roman" w:hAnsi="Times New Roman" w:cs="Times New Roman"/>
          <w:color w:val="000000" w:themeColor="text1"/>
          <w:sz w:val="24"/>
          <w:szCs w:val="24"/>
        </w:rPr>
        <w:t xml:space="preserve">A better understanding of tour operators' pricing strategies could aid the hotel industry in negotiating favorable prices. Owing to a lack of credible scientific data, the hedonic pricing methodology has been used to examine the effect of travel agencies on package holiday prices. Despite the fact that the tour operator was used as an explanatory variable in most of these studies, </w:t>
      </w:r>
      <w:r w:rsidRPr="00FF2B3A">
        <w:rPr>
          <w:rFonts w:ascii="Times New Roman" w:hAnsi="Times New Roman" w:cs="Times New Roman"/>
          <w:color w:val="000000" w:themeColor="text1"/>
          <w:sz w:val="24"/>
          <w:szCs w:val="24"/>
        </w:rPr>
        <w:lastRenderedPageBreak/>
        <w:t>just a few reviews concentrated on the tour operator's influence on prices. It looks at package holiday industry rivalry in Mediterranean destinations, emphasizing tour operators' high bargaining ability.</w:t>
      </w:r>
      <w:r w:rsidR="00FF2B3A" w:rsidRPr="00FF2B3A">
        <w:rPr>
          <w:rFonts w:ascii="Times New Roman" w:hAnsi="Times New Roman" w:cs="Times New Roman"/>
          <w:color w:val="000000" w:themeColor="text1"/>
          <w:sz w:val="24"/>
          <w:szCs w:val="24"/>
        </w:rPr>
        <w:t xml:space="preserve"> Start investigating package holiday rates in different Mediterranean destinations using hedonic pricing functions and come to the conclusion that there are statistically relevant prices quoted amongst travel agencies. For improved results, the hedonic pricing network method should be used. This method will be used to investigate the relationship between the price and quantity of a package holiday and its features, including the tour operator selling the package. A comparison of the effect of the tour operator on the price of the holiday trip could be made by subtracting all remaining characteristics. </w:t>
      </w:r>
      <w:r w:rsidR="00C9658A" w:rsidRPr="00C9658A">
        <w:rPr>
          <w:rFonts w:ascii="Times New Roman" w:hAnsi="Times New Roman" w:cs="Times New Roman"/>
          <w:color w:val="000000" w:themeColor="text1"/>
          <w:sz w:val="24"/>
          <w:szCs w:val="24"/>
        </w:rPr>
        <w:t>This study can be conducted by looking at the mean price (using a traditional regression model) or by looking at different parts of the price distribution. Following that, the hedonic price method and the QR are easily explained in light of the analysis.</w:t>
      </w:r>
    </w:p>
    <w:p w14:paraId="6C017F1F" w14:textId="4728EEA8" w:rsidR="00C9658A" w:rsidRDefault="00C9658A" w:rsidP="00C9658A">
      <w:pPr>
        <w:jc w:val="both"/>
        <w:rPr>
          <w:rFonts w:ascii="Times New Roman" w:hAnsi="Times New Roman" w:cs="Times New Roman"/>
          <w:color w:val="000000" w:themeColor="text1"/>
          <w:sz w:val="24"/>
          <w:szCs w:val="24"/>
        </w:rPr>
      </w:pPr>
      <w:r w:rsidRPr="00C9658A">
        <w:rPr>
          <w:rFonts w:ascii="Times New Roman" w:hAnsi="Times New Roman" w:cs="Times New Roman"/>
          <w:color w:val="000000" w:themeColor="text1"/>
          <w:sz w:val="24"/>
          <w:szCs w:val="24"/>
        </w:rPr>
        <w:t>According to the hedonic price system, when we buy a product, we are just purchasing a collection of characteristics. According to the hedonic hypothesis, the price of a package vacation should be expressed in terms of the package's characteristics. In other words, the hedonic price function can be defined as:</w:t>
      </w:r>
    </w:p>
    <w:p w14:paraId="43964163" w14:textId="77777777" w:rsidR="002A3368" w:rsidRPr="00F72CE0" w:rsidRDefault="002A3368" w:rsidP="002A3368">
      <w:pPr>
        <w:jc w:val="both"/>
        <w:rPr>
          <w:rFonts w:ascii="Times New Roman" w:hAnsi="Times New Roman" w:cs="Times New Roman"/>
          <w:sz w:val="24"/>
          <w:szCs w:val="24"/>
        </w:rPr>
      </w:pPr>
      <w:r w:rsidRPr="00F72CE0">
        <w:rPr>
          <w:rFonts w:ascii="Times New Roman" w:hAnsi="Times New Roman" w:cs="Times New Roman"/>
          <w:sz w:val="24"/>
          <w:szCs w:val="24"/>
        </w:rPr>
        <w:t>f = P (characteristics)</w:t>
      </w:r>
    </w:p>
    <w:p w14:paraId="61EE7EEA" w14:textId="77777777" w:rsidR="008C7C45" w:rsidRDefault="002F0D44" w:rsidP="00484B83">
      <w:pPr>
        <w:jc w:val="both"/>
        <w:rPr>
          <w:rFonts w:ascii="Times New Roman" w:hAnsi="Times New Roman" w:cs="Times New Roman"/>
          <w:color w:val="000000" w:themeColor="text1"/>
          <w:sz w:val="24"/>
          <w:szCs w:val="24"/>
        </w:rPr>
      </w:pPr>
      <w:r w:rsidRPr="002F0D44">
        <w:rPr>
          <w:rFonts w:ascii="Times New Roman" w:hAnsi="Times New Roman" w:cs="Times New Roman"/>
          <w:color w:val="000000" w:themeColor="text1"/>
          <w:sz w:val="24"/>
          <w:szCs w:val="24"/>
        </w:rPr>
        <w:t>A package vacation's price P is determined by all of its functions. Initially, only customer-valued features were used, but market force variables have recently been added to the hedonic price function. Leadership management teamwork and conflict, both of which are present in the material</w:t>
      </w:r>
      <w:r>
        <w:rPr>
          <w:rFonts w:ascii="Times New Roman" w:hAnsi="Times New Roman" w:cs="Times New Roman"/>
          <w:color w:val="000000" w:themeColor="text1"/>
          <w:sz w:val="24"/>
          <w:szCs w:val="24"/>
        </w:rPr>
        <w:t xml:space="preserve"> </w:t>
      </w:r>
      <w:r w:rsidRPr="002F0D44">
        <w:rPr>
          <w:rFonts w:ascii="Times New Roman" w:hAnsi="Times New Roman" w:cs="Times New Roman"/>
          <w:color w:val="000000" w:themeColor="text1"/>
          <w:sz w:val="24"/>
          <w:szCs w:val="24"/>
        </w:rPr>
        <w:t>are important factors that can either serve as catalysts for organizational success or as cancers that can cause an organization to collapse. These concepts must be understood by all organizations. If they are used has a major impact on the organization's long-term survival and destiny.</w:t>
      </w:r>
      <w:r w:rsidR="00484B83">
        <w:rPr>
          <w:rFonts w:ascii="Times New Roman" w:hAnsi="Times New Roman" w:cs="Times New Roman"/>
          <w:color w:val="000000" w:themeColor="text1"/>
          <w:sz w:val="24"/>
          <w:szCs w:val="24"/>
        </w:rPr>
        <w:t xml:space="preserve"> </w:t>
      </w:r>
      <w:r w:rsidR="00484B83" w:rsidRPr="00484B83">
        <w:rPr>
          <w:rFonts w:ascii="Times New Roman" w:hAnsi="Times New Roman" w:cs="Times New Roman"/>
          <w:color w:val="000000" w:themeColor="text1"/>
          <w:sz w:val="24"/>
          <w:szCs w:val="24"/>
        </w:rPr>
        <w:t>These concepts should be understood to include and promote not only ethnic, cultural, and gender variations, but also all technical and philosophical differences. Today's businesses must work out how to bridge the divide between the two and get them to be their most prosperous.</w:t>
      </w:r>
      <w:r w:rsidR="00484B83">
        <w:rPr>
          <w:rFonts w:ascii="Times New Roman" w:hAnsi="Times New Roman" w:cs="Times New Roman"/>
          <w:color w:val="000000" w:themeColor="text1"/>
          <w:sz w:val="24"/>
          <w:szCs w:val="24"/>
        </w:rPr>
        <w:t xml:space="preserve"> </w:t>
      </w:r>
      <w:r w:rsidR="00484B83" w:rsidRPr="00484B83">
        <w:rPr>
          <w:rFonts w:ascii="Times New Roman" w:hAnsi="Times New Roman" w:cs="Times New Roman"/>
          <w:color w:val="000000" w:themeColor="text1"/>
          <w:sz w:val="24"/>
          <w:szCs w:val="24"/>
        </w:rPr>
        <w:t>Traditionally, cost estimation has been undertaken during the building process, when the bulk of cost-cutting opportunities have already been exhausted.</w:t>
      </w:r>
      <w:r w:rsidR="00445C81">
        <w:rPr>
          <w:rFonts w:ascii="Times New Roman" w:hAnsi="Times New Roman" w:cs="Times New Roman"/>
          <w:color w:val="000000" w:themeColor="text1"/>
          <w:sz w:val="24"/>
          <w:szCs w:val="24"/>
        </w:rPr>
        <w:t xml:space="preserve"> </w:t>
      </w:r>
      <w:r w:rsidR="00445C81" w:rsidRPr="00445C81">
        <w:rPr>
          <w:rFonts w:ascii="Times New Roman" w:hAnsi="Times New Roman" w:cs="Times New Roman"/>
          <w:color w:val="000000" w:themeColor="text1"/>
          <w:sz w:val="24"/>
          <w:szCs w:val="24"/>
        </w:rPr>
        <w:t xml:space="preserve">As a consequence, knowing part costs early in the product development cycle is beneficial. By changing the way cost forecasting is done, it is important to take advantage of these cost-cutting opportunities. In order to control product prices, it is important to estimate costs correctly and store expense data in a generic way. A </w:t>
      </w:r>
      <w:r w:rsidR="00990121" w:rsidRPr="00445C81">
        <w:rPr>
          <w:rFonts w:ascii="Times New Roman" w:hAnsi="Times New Roman" w:cs="Times New Roman"/>
          <w:color w:val="000000" w:themeColor="text1"/>
          <w:sz w:val="24"/>
          <w:szCs w:val="24"/>
        </w:rPr>
        <w:t>standardized</w:t>
      </w:r>
      <w:r w:rsidR="00445C81" w:rsidRPr="00445C81">
        <w:rPr>
          <w:rFonts w:ascii="Times New Roman" w:hAnsi="Times New Roman" w:cs="Times New Roman"/>
          <w:color w:val="000000" w:themeColor="text1"/>
          <w:sz w:val="24"/>
          <w:szCs w:val="24"/>
        </w:rPr>
        <w:t xml:space="preserve"> framework is created to describe these requirements. Architecture, method design, and growth planning are also taken into account by the scheme, which acts as the basis for cost control.</w:t>
      </w:r>
      <w:r w:rsidR="00990121">
        <w:rPr>
          <w:rFonts w:ascii="Times New Roman" w:hAnsi="Times New Roman" w:cs="Times New Roman"/>
          <w:color w:val="000000" w:themeColor="text1"/>
          <w:sz w:val="24"/>
          <w:szCs w:val="24"/>
        </w:rPr>
        <w:t xml:space="preserve"> </w:t>
      </w:r>
      <w:r w:rsidR="00435DF3" w:rsidRPr="00435DF3">
        <w:rPr>
          <w:rFonts w:ascii="Times New Roman" w:hAnsi="Times New Roman" w:cs="Times New Roman"/>
          <w:color w:val="000000" w:themeColor="text1"/>
          <w:sz w:val="24"/>
          <w:szCs w:val="24"/>
        </w:rPr>
        <w:t xml:space="preserve">Appropriate cost control and cost control are needed during the planning phases of the product development cycle. Business expectations also included improved consistency quicker delivery times, and lower product prices. Manufacturing prices must be maintained as low as possible to achieve a low selling price in order to stay competitive. As a consequence, a greater amount of goods can be sold. The bulk of product expenses (75%) are committed during the product development phase. </w:t>
      </w:r>
    </w:p>
    <w:p w14:paraId="08586E90" w14:textId="51DE8DB0" w:rsidR="002A3368" w:rsidRDefault="00435DF3" w:rsidP="00484B83">
      <w:pPr>
        <w:jc w:val="both"/>
        <w:rPr>
          <w:rFonts w:ascii="Times New Roman" w:hAnsi="Times New Roman" w:cs="Times New Roman"/>
          <w:color w:val="000000" w:themeColor="text1"/>
          <w:sz w:val="24"/>
          <w:szCs w:val="24"/>
        </w:rPr>
      </w:pPr>
      <w:r w:rsidRPr="00435DF3">
        <w:rPr>
          <w:rFonts w:ascii="Times New Roman" w:hAnsi="Times New Roman" w:cs="Times New Roman"/>
          <w:color w:val="000000" w:themeColor="text1"/>
          <w:sz w:val="24"/>
          <w:szCs w:val="24"/>
        </w:rPr>
        <w:t>As a result, after the planning phase is over the bulk of cost-cutting opportunities are lost. </w:t>
      </w:r>
      <w:r w:rsidR="008727CD" w:rsidRPr="008727CD">
        <w:rPr>
          <w:rFonts w:ascii="Times New Roman" w:hAnsi="Times New Roman" w:cs="Times New Roman"/>
          <w:color w:val="000000" w:themeColor="text1"/>
          <w:sz w:val="24"/>
          <w:szCs w:val="24"/>
        </w:rPr>
        <w:t>Current cost analysis methods can estimate product costs during the design process but they can't analy</w:t>
      </w:r>
      <w:r w:rsidR="008727CD">
        <w:rPr>
          <w:rFonts w:ascii="Times New Roman" w:hAnsi="Times New Roman" w:cs="Times New Roman"/>
          <w:color w:val="000000" w:themeColor="text1"/>
          <w:sz w:val="24"/>
          <w:szCs w:val="24"/>
        </w:rPr>
        <w:t>ze them</w:t>
      </w:r>
      <w:r w:rsidR="008727CD" w:rsidRPr="008727CD">
        <w:rPr>
          <w:rFonts w:ascii="Times New Roman" w:hAnsi="Times New Roman" w:cs="Times New Roman"/>
          <w:color w:val="000000" w:themeColor="text1"/>
          <w:sz w:val="24"/>
          <w:szCs w:val="24"/>
        </w:rPr>
        <w:t xml:space="preserve"> or monitor them. These methods are only used to compare design choices and evaluate </w:t>
      </w:r>
      <w:r w:rsidR="008727CD" w:rsidRPr="008727CD">
        <w:rPr>
          <w:rFonts w:ascii="Times New Roman" w:hAnsi="Times New Roman" w:cs="Times New Roman"/>
          <w:color w:val="000000" w:themeColor="text1"/>
          <w:sz w:val="24"/>
          <w:szCs w:val="24"/>
        </w:rPr>
        <w:lastRenderedPageBreak/>
        <w:t>product costs. The most basic requirements for cost accounting are knowledge of costs dependent on cost forecasts and a generic storage of these costs. As a result, dividing the costs into many components is more realistic. It's clear that having a well-differentiated view of production costs is helpful.</w:t>
      </w:r>
      <w:r w:rsidR="00C8675F">
        <w:rPr>
          <w:rFonts w:ascii="Times New Roman" w:hAnsi="Times New Roman" w:cs="Times New Roman"/>
          <w:color w:val="000000" w:themeColor="text1"/>
          <w:sz w:val="24"/>
          <w:szCs w:val="24"/>
        </w:rPr>
        <w:t xml:space="preserve"> </w:t>
      </w:r>
      <w:r w:rsidR="00C8675F" w:rsidRPr="00C8675F">
        <w:rPr>
          <w:rFonts w:ascii="Times New Roman" w:hAnsi="Times New Roman" w:cs="Times New Roman"/>
          <w:color w:val="000000" w:themeColor="text1"/>
          <w:sz w:val="24"/>
          <w:szCs w:val="24"/>
        </w:rPr>
        <w:t>Production processes are used to convert raw resources into an element or to combine parts and/or components into upper-level assemblies. Assets are needed for the required manufacturing activities (operators, machine machines, toolkits, and fittings). The resources have a limit, which means they are limited by technical limitations such as the power of modern equipment, accuracy, maximum work-piece sizes, and so on. Owing to budget constraints, certain functions cannot be completed. It must be taken into account during the planning phase of the product development period.</w:t>
      </w:r>
    </w:p>
    <w:p w14:paraId="251280A9" w14:textId="77777777" w:rsidR="008C7C45" w:rsidRDefault="008C7C45" w:rsidP="00484B83">
      <w:pPr>
        <w:jc w:val="both"/>
        <w:rPr>
          <w:rFonts w:ascii="Times New Roman" w:hAnsi="Times New Roman" w:cs="Times New Roman"/>
          <w:b/>
          <w:bCs/>
          <w:color w:val="000000" w:themeColor="text1"/>
          <w:sz w:val="24"/>
          <w:szCs w:val="24"/>
        </w:rPr>
      </w:pPr>
    </w:p>
    <w:p w14:paraId="73F5E97A" w14:textId="51E04DB9" w:rsidR="008C7C45" w:rsidRPr="008C7C45" w:rsidRDefault="008C7C45" w:rsidP="00484B83">
      <w:pPr>
        <w:jc w:val="both"/>
        <w:rPr>
          <w:rFonts w:ascii="Times New Roman" w:hAnsi="Times New Roman" w:cs="Times New Roman"/>
          <w:b/>
          <w:bCs/>
          <w:color w:val="000000" w:themeColor="text1"/>
          <w:sz w:val="24"/>
          <w:szCs w:val="24"/>
        </w:rPr>
      </w:pPr>
      <w:r w:rsidRPr="008C7C45">
        <w:rPr>
          <w:rFonts w:ascii="Times New Roman" w:hAnsi="Times New Roman" w:cs="Times New Roman"/>
          <w:b/>
          <w:bCs/>
          <w:color w:val="000000" w:themeColor="text1"/>
          <w:sz w:val="24"/>
          <w:szCs w:val="24"/>
        </w:rPr>
        <w:t>Part B:</w:t>
      </w:r>
    </w:p>
    <w:p w14:paraId="00D58898" w14:textId="6C31CAD9" w:rsidR="002F0D44" w:rsidRDefault="007D72C8" w:rsidP="00C9658A">
      <w:pPr>
        <w:jc w:val="both"/>
        <w:rPr>
          <w:rFonts w:ascii="Times New Roman" w:hAnsi="Times New Roman" w:cs="Times New Roman"/>
          <w:color w:val="000000" w:themeColor="text1"/>
          <w:sz w:val="24"/>
          <w:szCs w:val="24"/>
        </w:rPr>
      </w:pPr>
      <w:r w:rsidRPr="007D72C8">
        <w:rPr>
          <w:rFonts w:ascii="Times New Roman" w:hAnsi="Times New Roman" w:cs="Times New Roman"/>
          <w:color w:val="000000" w:themeColor="text1"/>
          <w:sz w:val="24"/>
          <w:szCs w:val="24"/>
        </w:rPr>
        <w:t>Mr. Amana made a smart move by shifting 50% of his sales from the offline to the online platform. His Brighton, Birmingham, and Manchester city center branches will only be able to accommodate a limited area/section of the population. While the presence of these stores could boost Amana Souvenirs' loyalty base, it would limit the company's potential to draw new customers, and the costs related to physical stores would be large. Through directing half of its planned sales into an online model that targets the UK, Europe, and the United States Amana Souvenirs has the ability to rapidly increase its demand and customer base.</w:t>
      </w:r>
      <w:r w:rsidR="00417ED5">
        <w:rPr>
          <w:rFonts w:ascii="Times New Roman" w:hAnsi="Times New Roman" w:cs="Times New Roman"/>
          <w:color w:val="000000" w:themeColor="text1"/>
          <w:sz w:val="24"/>
          <w:szCs w:val="24"/>
        </w:rPr>
        <w:t xml:space="preserve"> </w:t>
      </w:r>
      <w:r w:rsidR="005C78DC" w:rsidRPr="005C78DC">
        <w:rPr>
          <w:rFonts w:ascii="Times New Roman" w:hAnsi="Times New Roman" w:cs="Times New Roman"/>
          <w:color w:val="000000" w:themeColor="text1"/>
          <w:sz w:val="24"/>
          <w:szCs w:val="24"/>
        </w:rPr>
        <w:t xml:space="preserve">Traditionally, cost estimation has been undertaken during the building process, when the bulk of cost-cutting opportunities have already been exhausted. As a consequence, knowing part costs early in the product development cycle is beneficial. By changing the way cost forecasting is done, it's important to take advantage of these cost-cutting opportunities. In order to control product </w:t>
      </w:r>
      <w:r w:rsidR="00690CB7" w:rsidRPr="005C78DC">
        <w:rPr>
          <w:rFonts w:ascii="Times New Roman" w:hAnsi="Times New Roman" w:cs="Times New Roman"/>
          <w:color w:val="000000" w:themeColor="text1"/>
          <w:sz w:val="24"/>
          <w:szCs w:val="24"/>
        </w:rPr>
        <w:t>prices,</w:t>
      </w:r>
      <w:r w:rsidR="005C78DC" w:rsidRPr="005C78DC">
        <w:rPr>
          <w:rFonts w:ascii="Times New Roman" w:hAnsi="Times New Roman" w:cs="Times New Roman"/>
          <w:color w:val="000000" w:themeColor="text1"/>
          <w:sz w:val="24"/>
          <w:szCs w:val="24"/>
        </w:rPr>
        <w:t xml:space="preserve"> it is important to estimate costs correctly and store expense data in a generic way. A standardized framework is created to describe these requirements. Architecture method design and growth planning are also taken into account by the scheme</w:t>
      </w:r>
      <w:r w:rsidR="00690CB7">
        <w:rPr>
          <w:rFonts w:ascii="Times New Roman" w:hAnsi="Times New Roman" w:cs="Times New Roman"/>
          <w:color w:val="000000" w:themeColor="text1"/>
          <w:sz w:val="24"/>
          <w:szCs w:val="24"/>
        </w:rPr>
        <w:t xml:space="preserve"> </w:t>
      </w:r>
      <w:r w:rsidR="005C78DC" w:rsidRPr="005C78DC">
        <w:rPr>
          <w:rFonts w:ascii="Times New Roman" w:hAnsi="Times New Roman" w:cs="Times New Roman"/>
          <w:color w:val="000000" w:themeColor="text1"/>
          <w:sz w:val="24"/>
          <w:szCs w:val="24"/>
        </w:rPr>
        <w:t>which acts as the basis for cost control.</w:t>
      </w:r>
      <w:r w:rsidR="00690CB7">
        <w:rPr>
          <w:rFonts w:ascii="Times New Roman" w:hAnsi="Times New Roman" w:cs="Times New Roman"/>
          <w:color w:val="000000" w:themeColor="text1"/>
          <w:sz w:val="24"/>
          <w:szCs w:val="24"/>
        </w:rPr>
        <w:t xml:space="preserve"> </w:t>
      </w:r>
    </w:p>
    <w:p w14:paraId="1F3D71E0" w14:textId="65594D79" w:rsidR="002D3805" w:rsidRDefault="004C4956" w:rsidP="00C9658A">
      <w:pPr>
        <w:jc w:val="both"/>
        <w:rPr>
          <w:rFonts w:ascii="Times New Roman" w:hAnsi="Times New Roman" w:cs="Times New Roman"/>
          <w:color w:val="000000" w:themeColor="text1"/>
          <w:sz w:val="24"/>
          <w:szCs w:val="24"/>
        </w:rPr>
      </w:pPr>
      <w:r w:rsidRPr="004C4956">
        <w:rPr>
          <w:rFonts w:ascii="Times New Roman" w:hAnsi="Times New Roman" w:cs="Times New Roman"/>
          <w:color w:val="000000" w:themeColor="text1"/>
          <w:sz w:val="24"/>
          <w:szCs w:val="24"/>
        </w:rPr>
        <w:t>By assessing the necessary operations, it is possible to estimate production costs. This method is somewhat similar to process planning, and it is commonly used for new product components with no differences. A material is made up of both normal and novel materials in general. As a consequence, these two crucial approaches are almost always applied to the same material at the same time. In the product design process, a wide range of decision-making processes are used. These decision-making processes ultimately lead to a completely functional product design, which is a physical object that must be produced.</w:t>
      </w:r>
      <w:r w:rsidR="002D3805">
        <w:rPr>
          <w:rFonts w:ascii="Times New Roman" w:hAnsi="Times New Roman" w:cs="Times New Roman"/>
          <w:color w:val="000000" w:themeColor="text1"/>
          <w:sz w:val="24"/>
          <w:szCs w:val="24"/>
        </w:rPr>
        <w:t xml:space="preserve"> </w:t>
      </w:r>
      <w:r w:rsidR="002D3805" w:rsidRPr="002D3805">
        <w:rPr>
          <w:rFonts w:ascii="Times New Roman" w:hAnsi="Times New Roman" w:cs="Times New Roman"/>
          <w:color w:val="000000" w:themeColor="text1"/>
          <w:sz w:val="24"/>
          <w:szCs w:val="24"/>
        </w:rPr>
        <w:t>Material characteristics, surface roughness, tolerances, shape, dimensions, and order object collection are among the considerations made during the embodiment design process. Many of these options are linked together. Determining the material type, for example, eliminates the solution space for processing processes, and vice versa. In terms of cost, it means that a low-cost material will result in high production costs, while a high-cost material will result in lower building costs. Many of these options must be weighed in terms of their consequences.</w:t>
      </w:r>
      <w:r w:rsidR="00DF253F">
        <w:rPr>
          <w:rFonts w:ascii="Times New Roman" w:hAnsi="Times New Roman" w:cs="Times New Roman"/>
          <w:color w:val="000000" w:themeColor="text1"/>
          <w:sz w:val="24"/>
          <w:szCs w:val="24"/>
        </w:rPr>
        <w:t xml:space="preserve"> </w:t>
      </w:r>
    </w:p>
    <w:p w14:paraId="4BC5C497" w14:textId="616C846E" w:rsidR="00511083" w:rsidRDefault="00DF253F" w:rsidP="00C9658A">
      <w:pPr>
        <w:jc w:val="both"/>
        <w:rPr>
          <w:rFonts w:ascii="Times New Roman" w:hAnsi="Times New Roman" w:cs="Times New Roman"/>
          <w:color w:val="000000" w:themeColor="text1"/>
          <w:sz w:val="24"/>
          <w:szCs w:val="24"/>
        </w:rPr>
      </w:pPr>
      <w:r w:rsidRPr="00DF253F">
        <w:rPr>
          <w:rFonts w:ascii="Times New Roman" w:hAnsi="Times New Roman" w:cs="Times New Roman"/>
          <w:color w:val="000000" w:themeColor="text1"/>
          <w:sz w:val="24"/>
          <w:szCs w:val="24"/>
        </w:rPr>
        <w:lastRenderedPageBreak/>
        <w:t>Mr. Amana has two options when it comes to choosing an online distribution channel. While a dedicated online store would guarantee the sale of 100,000 units per year, it will cost GBP 200,000 up front and GBP 35,000 per year on a recurring basis. Selling via Amazon would set you back GBP 50,000 a year with a guaranteed annual income of GBP 65,000. Mr. Amana will have to recognize the company's existing presence in the UK, Europe, and the United States, as well as the marketing expenses that will be needed to increase brand awareness in these regions, in addition to the equity commitment based on those estimates.</w:t>
      </w:r>
      <w:r w:rsidR="004E203F">
        <w:rPr>
          <w:rFonts w:ascii="Times New Roman" w:hAnsi="Times New Roman" w:cs="Times New Roman"/>
          <w:color w:val="000000" w:themeColor="text1"/>
          <w:sz w:val="24"/>
          <w:szCs w:val="24"/>
        </w:rPr>
        <w:t xml:space="preserve"> </w:t>
      </w:r>
      <w:r w:rsidR="0080361B" w:rsidRPr="0080361B">
        <w:rPr>
          <w:rFonts w:ascii="Times New Roman" w:hAnsi="Times New Roman" w:cs="Times New Roman"/>
          <w:color w:val="000000" w:themeColor="text1"/>
          <w:sz w:val="24"/>
          <w:szCs w:val="24"/>
        </w:rPr>
        <w:t>Given that it only worked from a few offline locations across the UK, it's safe to say that brand awareness is limited to only parts (if not all) of the region. Appropriate cost control and cost control are needed during the planning phases of the product development cycle. Business expectations also included improved consistency, quicker delivery times, and lower product prices. Manufacturing prices must be maintained as low as possible to achieve a low selling price in order to stay competitive. As a consequence, a greater amount of goods can be sold. The bulk of product expenses (75%) are incurred during product development phase.</w:t>
      </w:r>
      <w:r w:rsidR="00B17BF7">
        <w:rPr>
          <w:rFonts w:ascii="Times New Roman" w:hAnsi="Times New Roman" w:cs="Times New Roman"/>
          <w:color w:val="000000" w:themeColor="text1"/>
          <w:sz w:val="24"/>
          <w:szCs w:val="24"/>
        </w:rPr>
        <w:t xml:space="preserve"> </w:t>
      </w:r>
      <w:r w:rsidR="00B17BF7" w:rsidRPr="00B17BF7">
        <w:rPr>
          <w:rFonts w:ascii="Times New Roman" w:hAnsi="Times New Roman" w:cs="Times New Roman"/>
          <w:color w:val="000000" w:themeColor="text1"/>
          <w:sz w:val="24"/>
          <w:szCs w:val="24"/>
        </w:rPr>
        <w:t>As a result, after the planning phase is over, the bulk of cost-cutting opportunities are lost. A reference model is used to incorporate a manufacturing process such that it can be seen from several angles. In terms of its structure of comparatively distinct, interacting components, as well as their internationally defined operations, a reference model portrays a system as an organization. The industrial engineering reference model stresses the fair importance of products, orders, and resources in the production cycle. Product engineering is concerned with the design and installation of a part</w:t>
      </w:r>
      <w:r w:rsidR="00923FED">
        <w:rPr>
          <w:rFonts w:ascii="Times New Roman" w:hAnsi="Times New Roman" w:cs="Times New Roman"/>
          <w:color w:val="000000" w:themeColor="text1"/>
          <w:sz w:val="24"/>
          <w:szCs w:val="24"/>
        </w:rPr>
        <w:t xml:space="preserve"> </w:t>
      </w:r>
      <w:r w:rsidR="00B17BF7" w:rsidRPr="00B17BF7">
        <w:rPr>
          <w:rFonts w:ascii="Times New Roman" w:hAnsi="Times New Roman" w:cs="Times New Roman"/>
          <w:color w:val="000000" w:themeColor="text1"/>
          <w:sz w:val="24"/>
          <w:szCs w:val="24"/>
        </w:rPr>
        <w:t>as well as its variants from technological requirements to final reuse.</w:t>
      </w:r>
    </w:p>
    <w:p w14:paraId="3A8B88F0" w14:textId="77777777" w:rsidR="00936934" w:rsidRPr="00936934" w:rsidRDefault="00C82312" w:rsidP="00936934">
      <w:pPr>
        <w:jc w:val="both"/>
        <w:rPr>
          <w:rFonts w:ascii="Times New Roman" w:hAnsi="Times New Roman" w:cs="Times New Roman"/>
          <w:color w:val="000000" w:themeColor="text1"/>
          <w:sz w:val="24"/>
          <w:szCs w:val="24"/>
        </w:rPr>
      </w:pPr>
      <w:r w:rsidRPr="00C82312">
        <w:rPr>
          <w:rFonts w:ascii="Times New Roman" w:hAnsi="Times New Roman" w:cs="Times New Roman"/>
          <w:color w:val="000000" w:themeColor="text1"/>
          <w:sz w:val="24"/>
          <w:szCs w:val="24"/>
        </w:rPr>
        <w:t>The above-mentioned comparative paradigm revolves around knowledge processing. Order, staff, and inventory management are all organized by information management, which is at the heart of the design, production, and organizing activities. A product information structure includes product information created through the engineering and planning phases, a resource information structure contains information regarding resource capability, capacity, and life cycle</w:t>
      </w:r>
      <w:r>
        <w:rPr>
          <w:rFonts w:ascii="Times New Roman" w:hAnsi="Times New Roman" w:cs="Times New Roman"/>
          <w:color w:val="000000" w:themeColor="text1"/>
          <w:sz w:val="24"/>
          <w:szCs w:val="24"/>
        </w:rPr>
        <w:t xml:space="preserve"> </w:t>
      </w:r>
      <w:r w:rsidRPr="00C82312">
        <w:rPr>
          <w:rFonts w:ascii="Times New Roman" w:hAnsi="Times New Roman" w:cs="Times New Roman"/>
          <w:color w:val="000000" w:themeColor="text1"/>
          <w:sz w:val="24"/>
          <w:szCs w:val="24"/>
        </w:rPr>
        <w:t>and an order information structure deals with the coordination of manufacturing processes.</w:t>
      </w:r>
      <w:r w:rsidR="003660A8">
        <w:rPr>
          <w:rFonts w:ascii="Times New Roman" w:hAnsi="Times New Roman" w:cs="Times New Roman"/>
          <w:color w:val="000000" w:themeColor="text1"/>
          <w:sz w:val="24"/>
          <w:szCs w:val="24"/>
        </w:rPr>
        <w:t xml:space="preserve"> </w:t>
      </w:r>
      <w:r w:rsidR="00936934" w:rsidRPr="00936934">
        <w:rPr>
          <w:rFonts w:ascii="Times New Roman" w:hAnsi="Times New Roman" w:cs="Times New Roman"/>
          <w:color w:val="000000" w:themeColor="text1"/>
          <w:sz w:val="24"/>
          <w:szCs w:val="24"/>
        </w:rPr>
        <w:t>According to an analysis of the product creation process and its decision-making processes, the following cost managing product features produce expended product costs.</w:t>
      </w:r>
    </w:p>
    <w:p w14:paraId="58E63656" w14:textId="4999AC6C" w:rsidR="004168E5" w:rsidRDefault="00936934" w:rsidP="00B1696C">
      <w:pPr>
        <w:jc w:val="both"/>
        <w:rPr>
          <w:rFonts w:ascii="Times New Roman" w:hAnsi="Times New Roman" w:cs="Times New Roman"/>
          <w:color w:val="000000" w:themeColor="text1"/>
          <w:sz w:val="24"/>
          <w:szCs w:val="24"/>
        </w:rPr>
      </w:pPr>
      <w:r w:rsidRPr="00936934">
        <w:rPr>
          <w:rFonts w:ascii="Times New Roman" w:hAnsi="Times New Roman" w:cs="Times New Roman"/>
          <w:color w:val="000000" w:themeColor="text1"/>
          <w:sz w:val="24"/>
          <w:szCs w:val="24"/>
        </w:rPr>
        <w:t>With all of the above in mind, Mr. Amana should try selling via Amazon first, at least for the next 1-2 years. Despite the fact that it will most likely face stiff competition in this distributor space, it will provide Mr. Amana with reliable knowledge about the level of acceptance of the products in the targeted markets, enabling him to adapt marketing campaigns to increase customer demand and retention over time.</w:t>
      </w:r>
      <w:r w:rsidR="00051689">
        <w:rPr>
          <w:rFonts w:ascii="Times New Roman" w:hAnsi="Times New Roman" w:cs="Times New Roman"/>
          <w:color w:val="000000" w:themeColor="text1"/>
          <w:sz w:val="24"/>
          <w:szCs w:val="24"/>
        </w:rPr>
        <w:t xml:space="preserve"> </w:t>
      </w:r>
      <w:r w:rsidR="00B1696C" w:rsidRPr="00B1696C">
        <w:rPr>
          <w:rFonts w:ascii="Times New Roman" w:hAnsi="Times New Roman" w:cs="Times New Roman"/>
          <w:color w:val="000000" w:themeColor="text1"/>
          <w:sz w:val="24"/>
          <w:szCs w:val="24"/>
        </w:rPr>
        <w:t>The method of estimating the costs associated with a sequence of activities before they are carried out is known as cost forecasting.</w:t>
      </w:r>
      <w:r w:rsidR="00B1696C">
        <w:rPr>
          <w:rFonts w:ascii="Times New Roman" w:hAnsi="Times New Roman" w:cs="Times New Roman"/>
          <w:color w:val="000000" w:themeColor="text1"/>
          <w:sz w:val="24"/>
          <w:szCs w:val="24"/>
        </w:rPr>
        <w:t xml:space="preserve"> </w:t>
      </w:r>
      <w:r w:rsidR="00B1696C" w:rsidRPr="00B1696C">
        <w:rPr>
          <w:rFonts w:ascii="Times New Roman" w:hAnsi="Times New Roman" w:cs="Times New Roman"/>
          <w:color w:val="000000" w:themeColor="text1"/>
          <w:sz w:val="24"/>
          <w:szCs w:val="24"/>
        </w:rPr>
        <w:t>Variable based and generative cost estimating are two important alternatives to current cost estimation techniques. The specification determines the required component quantities and manufacturing processes.</w:t>
      </w:r>
      <w:r w:rsidR="00FB0827">
        <w:rPr>
          <w:rFonts w:ascii="Times New Roman" w:hAnsi="Times New Roman" w:cs="Times New Roman"/>
          <w:color w:val="000000" w:themeColor="text1"/>
          <w:sz w:val="24"/>
          <w:szCs w:val="24"/>
        </w:rPr>
        <w:t xml:space="preserve"> </w:t>
      </w:r>
      <w:r w:rsidR="00B1696C" w:rsidRPr="00B1696C">
        <w:rPr>
          <w:rFonts w:ascii="Times New Roman" w:hAnsi="Times New Roman" w:cs="Times New Roman"/>
          <w:color w:val="000000" w:themeColor="text1"/>
          <w:sz w:val="24"/>
          <w:szCs w:val="24"/>
        </w:rPr>
        <w:t xml:space="preserve">The geometry includes the shape, proportions, and continuity. Style has an undeniable effect on commodity costs. For example, a higher level of accuracy necessitates more accurate services (e.g., machine tools, equipment), resulting in higher costs of </w:t>
      </w:r>
      <w:r w:rsidR="00E112BC" w:rsidRPr="00B1696C">
        <w:rPr>
          <w:rFonts w:ascii="Times New Roman" w:hAnsi="Times New Roman" w:cs="Times New Roman"/>
          <w:color w:val="000000" w:themeColor="text1"/>
          <w:sz w:val="24"/>
          <w:szCs w:val="24"/>
        </w:rPr>
        <w:t>production.</w:t>
      </w:r>
      <w:r w:rsidR="00E112BC" w:rsidRPr="00453294">
        <w:rPr>
          <w:rFonts w:ascii="Times New Roman" w:hAnsi="Times New Roman" w:cs="Times New Roman"/>
          <w:color w:val="000000" w:themeColor="text1"/>
          <w:sz w:val="24"/>
          <w:szCs w:val="24"/>
        </w:rPr>
        <w:t xml:space="preserve"> Particular</w:t>
      </w:r>
      <w:r w:rsidR="00453294" w:rsidRPr="00453294">
        <w:rPr>
          <w:rFonts w:ascii="Times New Roman" w:hAnsi="Times New Roman" w:cs="Times New Roman"/>
          <w:color w:val="000000" w:themeColor="text1"/>
          <w:sz w:val="24"/>
          <w:szCs w:val="24"/>
        </w:rPr>
        <w:t xml:space="preserve">, necessitates a more expensive process (electrical discharge machining) than one with curved sides, increasing production costs (made by, milling). In variable-based cost analysis, the similarity between the material under </w:t>
      </w:r>
      <w:r w:rsidR="00453294" w:rsidRPr="00453294">
        <w:rPr>
          <w:rFonts w:ascii="Times New Roman" w:hAnsi="Times New Roman" w:cs="Times New Roman"/>
          <w:color w:val="000000" w:themeColor="text1"/>
          <w:sz w:val="24"/>
          <w:szCs w:val="24"/>
        </w:rPr>
        <w:lastRenderedPageBreak/>
        <w:t>consideration and previously manufactured goods is used. The cost record of previously manufactured items can be used as a template in the cost estimation process for new goods. This method is ideal for processing small and medium batches of relatively common products in small and medium quantities.</w:t>
      </w:r>
    </w:p>
    <w:p w14:paraId="1EB7FE58" w14:textId="00037F60" w:rsidR="00923FED" w:rsidRDefault="00C2381D" w:rsidP="00923FED">
      <w:pPr>
        <w:jc w:val="both"/>
        <w:rPr>
          <w:rFonts w:ascii="Times New Roman" w:hAnsi="Times New Roman" w:cs="Times New Roman"/>
          <w:color w:val="000000" w:themeColor="text1"/>
          <w:sz w:val="24"/>
          <w:szCs w:val="24"/>
        </w:rPr>
      </w:pPr>
      <w:r w:rsidRPr="00C2381D">
        <w:rPr>
          <w:rFonts w:ascii="Times New Roman" w:hAnsi="Times New Roman" w:cs="Times New Roman"/>
          <w:color w:val="000000" w:themeColor="text1"/>
          <w:sz w:val="24"/>
          <w:szCs w:val="24"/>
        </w:rPr>
        <w:t>Current value analysis methods can estimate product costs during the design process, but they can't analyze or monitor them. These methods are only used to compare design choices and evaluate product costs. The most basic requirements for cost accounting are knowledge of costs dependent on cost forecasts and a generic storage of these costs. As a result, dividing the costs into many components is more realistic. It's clear that having a well-differentiated view of production costs is helpful.</w:t>
      </w:r>
      <w:r w:rsidR="00051D45">
        <w:rPr>
          <w:rFonts w:ascii="Times New Roman" w:hAnsi="Times New Roman" w:cs="Times New Roman"/>
          <w:color w:val="000000" w:themeColor="text1"/>
          <w:sz w:val="24"/>
          <w:szCs w:val="24"/>
        </w:rPr>
        <w:t xml:space="preserve"> </w:t>
      </w:r>
      <w:r w:rsidR="00051D45" w:rsidRPr="00051D45">
        <w:rPr>
          <w:rFonts w:ascii="Times New Roman" w:hAnsi="Times New Roman" w:cs="Times New Roman"/>
          <w:color w:val="000000" w:themeColor="text1"/>
          <w:sz w:val="24"/>
          <w:szCs w:val="24"/>
        </w:rPr>
        <w:t>After significantly increasing the product's brand awareness in the targeted market for the first 1-2 years, Mr. Amana should consider going to a dedicated online shop for Amana Souvenirs.</w:t>
      </w:r>
      <w:r w:rsidR="00923FED">
        <w:rPr>
          <w:rFonts w:ascii="Times New Roman" w:hAnsi="Times New Roman" w:cs="Times New Roman"/>
          <w:color w:val="000000" w:themeColor="text1"/>
          <w:sz w:val="24"/>
          <w:szCs w:val="24"/>
        </w:rPr>
        <w:t xml:space="preserve"> </w:t>
      </w:r>
      <w:r w:rsidR="00923FED" w:rsidRPr="00B17BF7">
        <w:rPr>
          <w:rFonts w:ascii="Times New Roman" w:hAnsi="Times New Roman" w:cs="Times New Roman"/>
          <w:color w:val="000000" w:themeColor="text1"/>
          <w:sz w:val="24"/>
          <w:szCs w:val="24"/>
        </w:rPr>
        <w:t>In terms of its structure of comparatively distinct, interacting components, as well as their internationally defined operations, a reference model portrays a system as an organization. The industrial engineering reference model stresses the fair importance of products, orders, and resources in the production cycle. Product engineering is concerned with the design and installation of a part</w:t>
      </w:r>
      <w:r w:rsidR="00923FED">
        <w:rPr>
          <w:rFonts w:ascii="Times New Roman" w:hAnsi="Times New Roman" w:cs="Times New Roman"/>
          <w:color w:val="000000" w:themeColor="text1"/>
          <w:sz w:val="24"/>
          <w:szCs w:val="24"/>
        </w:rPr>
        <w:t xml:space="preserve"> </w:t>
      </w:r>
      <w:r w:rsidR="00923FED" w:rsidRPr="00B17BF7">
        <w:rPr>
          <w:rFonts w:ascii="Times New Roman" w:hAnsi="Times New Roman" w:cs="Times New Roman"/>
          <w:color w:val="000000" w:themeColor="text1"/>
          <w:sz w:val="24"/>
          <w:szCs w:val="24"/>
        </w:rPr>
        <w:t>as well as its variants from technological requirements to final reuse.</w:t>
      </w:r>
      <w:r w:rsidR="000E2AC7">
        <w:rPr>
          <w:rFonts w:ascii="Times New Roman" w:hAnsi="Times New Roman" w:cs="Times New Roman"/>
          <w:color w:val="000000" w:themeColor="text1"/>
          <w:sz w:val="24"/>
          <w:szCs w:val="24"/>
        </w:rPr>
        <w:t xml:space="preserve"> </w:t>
      </w:r>
      <w:r w:rsidR="000E2AC7" w:rsidRPr="00936934">
        <w:rPr>
          <w:rFonts w:ascii="Times New Roman" w:hAnsi="Times New Roman" w:cs="Times New Roman"/>
          <w:color w:val="000000" w:themeColor="text1"/>
          <w:sz w:val="24"/>
          <w:szCs w:val="24"/>
        </w:rPr>
        <w:t>Mr. Amana with reliable knowledge about the level of acceptance of the products in the targeted markets, enabling him to adapt marketing campaigns to increase customer demand and retention over time.</w:t>
      </w:r>
      <w:r w:rsidR="000E2AC7">
        <w:rPr>
          <w:rFonts w:ascii="Times New Roman" w:hAnsi="Times New Roman" w:cs="Times New Roman"/>
          <w:color w:val="000000" w:themeColor="text1"/>
          <w:sz w:val="24"/>
          <w:szCs w:val="24"/>
        </w:rPr>
        <w:t xml:space="preserve"> </w:t>
      </w:r>
      <w:r w:rsidR="000E2AC7" w:rsidRPr="00B1696C">
        <w:rPr>
          <w:rFonts w:ascii="Times New Roman" w:hAnsi="Times New Roman" w:cs="Times New Roman"/>
          <w:color w:val="000000" w:themeColor="text1"/>
          <w:sz w:val="24"/>
          <w:szCs w:val="24"/>
        </w:rPr>
        <w:t>The method of estimating the costs associated with a sequence of activities before they are carried out is known as cost forecasting.</w:t>
      </w:r>
      <w:r w:rsidR="00426F7E">
        <w:rPr>
          <w:rFonts w:ascii="Times New Roman" w:hAnsi="Times New Roman" w:cs="Times New Roman"/>
          <w:color w:val="000000" w:themeColor="text1"/>
          <w:sz w:val="24"/>
          <w:szCs w:val="24"/>
        </w:rPr>
        <w:t xml:space="preserve"> </w:t>
      </w:r>
    </w:p>
    <w:p w14:paraId="4EF10350" w14:textId="77777777" w:rsidR="00426F7E" w:rsidRPr="00001500" w:rsidRDefault="00426F7E" w:rsidP="00426F7E">
      <w:pPr>
        <w:jc w:val="both"/>
        <w:rPr>
          <w:rFonts w:ascii="Times New Roman" w:hAnsi="Times New Roman" w:cs="Times New Roman"/>
          <w:b/>
          <w:bCs/>
          <w:color w:val="000000" w:themeColor="text1"/>
          <w:sz w:val="24"/>
          <w:szCs w:val="24"/>
          <w:shd w:val="clear" w:color="auto" w:fill="FFFFFF"/>
        </w:rPr>
      </w:pPr>
      <w:r w:rsidRPr="00001500">
        <w:rPr>
          <w:rFonts w:ascii="Times New Roman" w:hAnsi="Times New Roman" w:cs="Times New Roman"/>
          <w:b/>
          <w:bCs/>
          <w:color w:val="000000" w:themeColor="text1"/>
          <w:sz w:val="24"/>
          <w:szCs w:val="24"/>
          <w:shd w:val="clear" w:color="auto" w:fill="FFFFFF"/>
        </w:rPr>
        <w:t>References:</w:t>
      </w:r>
    </w:p>
    <w:p w14:paraId="215CABEA" w14:textId="73C9D6B3" w:rsidR="00C13485" w:rsidRPr="00C13485" w:rsidRDefault="00C13485" w:rsidP="00C13485">
      <w:pPr>
        <w:numPr>
          <w:ilvl w:val="0"/>
          <w:numId w:val="1"/>
        </w:numPr>
        <w:jc w:val="both"/>
        <w:rPr>
          <w:rFonts w:ascii="Times New Roman" w:hAnsi="Times New Roman" w:cs="Times New Roman"/>
          <w:color w:val="000000" w:themeColor="text1"/>
          <w:sz w:val="24"/>
          <w:szCs w:val="24"/>
          <w:shd w:val="clear" w:color="auto" w:fill="FFFFFF"/>
        </w:rPr>
      </w:pPr>
      <w:proofErr w:type="spellStart"/>
      <w:r w:rsidRPr="00001500">
        <w:rPr>
          <w:rFonts w:ascii="Times New Roman" w:hAnsi="Times New Roman" w:cs="Times New Roman"/>
          <w:color w:val="000000" w:themeColor="text1"/>
          <w:sz w:val="24"/>
          <w:szCs w:val="24"/>
          <w:shd w:val="clear" w:color="auto" w:fill="FFFFFF"/>
          <w:lang w:val="en-GB"/>
        </w:rPr>
        <w:t>Weustink</w:t>
      </w:r>
      <w:proofErr w:type="spellEnd"/>
      <w:r w:rsidRPr="00001500">
        <w:rPr>
          <w:rFonts w:ascii="Times New Roman" w:hAnsi="Times New Roman" w:cs="Times New Roman"/>
          <w:color w:val="000000" w:themeColor="text1"/>
          <w:sz w:val="24"/>
          <w:szCs w:val="24"/>
          <w:shd w:val="clear" w:color="auto" w:fill="FFFFFF"/>
          <w:lang w:val="en-GB"/>
        </w:rPr>
        <w:t xml:space="preserve">, I.F., Ten </w:t>
      </w:r>
      <w:proofErr w:type="spellStart"/>
      <w:r w:rsidRPr="00001500">
        <w:rPr>
          <w:rFonts w:ascii="Times New Roman" w:hAnsi="Times New Roman" w:cs="Times New Roman"/>
          <w:color w:val="000000" w:themeColor="text1"/>
          <w:sz w:val="24"/>
          <w:szCs w:val="24"/>
          <w:shd w:val="clear" w:color="auto" w:fill="FFFFFF"/>
          <w:lang w:val="en-GB"/>
        </w:rPr>
        <w:t>Brinke</w:t>
      </w:r>
      <w:proofErr w:type="spellEnd"/>
      <w:r w:rsidRPr="00001500">
        <w:rPr>
          <w:rFonts w:ascii="Times New Roman" w:hAnsi="Times New Roman" w:cs="Times New Roman"/>
          <w:color w:val="000000" w:themeColor="text1"/>
          <w:sz w:val="24"/>
          <w:szCs w:val="24"/>
          <w:shd w:val="clear" w:color="auto" w:fill="FFFFFF"/>
          <w:lang w:val="en-GB"/>
        </w:rPr>
        <w:t xml:space="preserve">, E., </w:t>
      </w:r>
      <w:proofErr w:type="spellStart"/>
      <w:r w:rsidRPr="00001500">
        <w:rPr>
          <w:rFonts w:ascii="Times New Roman" w:hAnsi="Times New Roman" w:cs="Times New Roman"/>
          <w:color w:val="000000" w:themeColor="text1"/>
          <w:sz w:val="24"/>
          <w:szCs w:val="24"/>
          <w:shd w:val="clear" w:color="auto" w:fill="FFFFFF"/>
          <w:lang w:val="en-GB"/>
        </w:rPr>
        <w:t>Streppel</w:t>
      </w:r>
      <w:proofErr w:type="spellEnd"/>
      <w:r w:rsidRPr="00001500">
        <w:rPr>
          <w:rFonts w:ascii="Times New Roman" w:hAnsi="Times New Roman" w:cs="Times New Roman"/>
          <w:color w:val="000000" w:themeColor="text1"/>
          <w:sz w:val="24"/>
          <w:szCs w:val="24"/>
          <w:shd w:val="clear" w:color="auto" w:fill="FFFFFF"/>
          <w:lang w:val="en-GB"/>
        </w:rPr>
        <w:t xml:space="preserve">, A.H. and </w:t>
      </w:r>
      <w:proofErr w:type="spellStart"/>
      <w:r w:rsidRPr="00001500">
        <w:rPr>
          <w:rFonts w:ascii="Times New Roman" w:hAnsi="Times New Roman" w:cs="Times New Roman"/>
          <w:color w:val="000000" w:themeColor="text1"/>
          <w:sz w:val="24"/>
          <w:szCs w:val="24"/>
          <w:shd w:val="clear" w:color="auto" w:fill="FFFFFF"/>
          <w:lang w:val="en-GB"/>
        </w:rPr>
        <w:t>Kals</w:t>
      </w:r>
      <w:proofErr w:type="spellEnd"/>
      <w:r w:rsidRPr="00001500">
        <w:rPr>
          <w:rFonts w:ascii="Times New Roman" w:hAnsi="Times New Roman" w:cs="Times New Roman"/>
          <w:color w:val="000000" w:themeColor="text1"/>
          <w:sz w:val="24"/>
          <w:szCs w:val="24"/>
          <w:shd w:val="clear" w:color="auto" w:fill="FFFFFF"/>
          <w:lang w:val="en-GB"/>
        </w:rPr>
        <w:t>, H.J.J., 2000. A generic framework for cost estimation and cost control in product design. </w:t>
      </w:r>
      <w:r w:rsidRPr="00001500">
        <w:rPr>
          <w:rFonts w:ascii="Times New Roman" w:hAnsi="Times New Roman" w:cs="Times New Roman"/>
          <w:i/>
          <w:iCs/>
          <w:color w:val="000000" w:themeColor="text1"/>
          <w:sz w:val="24"/>
          <w:szCs w:val="24"/>
          <w:shd w:val="clear" w:color="auto" w:fill="FFFFFF"/>
          <w:lang w:val="en-GB"/>
        </w:rPr>
        <w:t>Journal of Materials Processing Technology</w:t>
      </w:r>
      <w:r w:rsidRPr="00001500">
        <w:rPr>
          <w:rFonts w:ascii="Times New Roman" w:hAnsi="Times New Roman" w:cs="Times New Roman"/>
          <w:color w:val="000000" w:themeColor="text1"/>
          <w:sz w:val="24"/>
          <w:szCs w:val="24"/>
          <w:shd w:val="clear" w:color="auto" w:fill="FFFFFF"/>
          <w:lang w:val="en-GB"/>
        </w:rPr>
        <w:t>, </w:t>
      </w:r>
      <w:r w:rsidRPr="00001500">
        <w:rPr>
          <w:rFonts w:ascii="Times New Roman" w:hAnsi="Times New Roman" w:cs="Times New Roman"/>
          <w:i/>
          <w:iCs/>
          <w:color w:val="000000" w:themeColor="text1"/>
          <w:sz w:val="24"/>
          <w:szCs w:val="24"/>
          <w:shd w:val="clear" w:color="auto" w:fill="FFFFFF"/>
          <w:lang w:val="en-GB"/>
        </w:rPr>
        <w:t>103</w:t>
      </w:r>
      <w:r w:rsidRPr="00001500">
        <w:rPr>
          <w:rFonts w:ascii="Times New Roman" w:hAnsi="Times New Roman" w:cs="Times New Roman"/>
          <w:color w:val="000000" w:themeColor="text1"/>
          <w:sz w:val="24"/>
          <w:szCs w:val="24"/>
          <w:shd w:val="clear" w:color="auto" w:fill="FFFFFF"/>
          <w:lang w:val="en-GB"/>
        </w:rPr>
        <w:t>(1), pp.141-148.</w:t>
      </w:r>
    </w:p>
    <w:p w14:paraId="213E91FB" w14:textId="49B2BF10" w:rsidR="00C13485" w:rsidRPr="00C13485" w:rsidRDefault="00C13485" w:rsidP="00C13485">
      <w:pPr>
        <w:pStyle w:val="ListParagraph"/>
        <w:numPr>
          <w:ilvl w:val="0"/>
          <w:numId w:val="1"/>
        </w:numPr>
        <w:jc w:val="both"/>
        <w:rPr>
          <w:rFonts w:ascii="Times New Roman" w:hAnsi="Times New Roman" w:cs="Times New Roman"/>
          <w:color w:val="000000" w:themeColor="text1"/>
          <w:sz w:val="24"/>
          <w:szCs w:val="24"/>
          <w:shd w:val="clear" w:color="auto" w:fill="FFFFFF"/>
        </w:rPr>
      </w:pPr>
      <w:r w:rsidRPr="00C13485">
        <w:rPr>
          <w:rFonts w:ascii="Times New Roman" w:hAnsi="Times New Roman" w:cs="Times New Roman"/>
          <w:color w:val="000000" w:themeColor="text1"/>
          <w:sz w:val="24"/>
          <w:szCs w:val="24"/>
          <w:shd w:val="clear" w:color="auto" w:fill="FFFFFF"/>
        </w:rPr>
        <w:t>Alegre, J. and Sard, M., 2017. Price strategies by German and British tour operators in Mallorca. Journal of Hospitality and Tourism Management, 33, pp.93-102</w:t>
      </w:r>
    </w:p>
    <w:p w14:paraId="36481B54" w14:textId="77777777" w:rsidR="00C13485" w:rsidRPr="00001500" w:rsidRDefault="00C13485" w:rsidP="00C13485">
      <w:pPr>
        <w:numPr>
          <w:ilvl w:val="0"/>
          <w:numId w:val="1"/>
        </w:numPr>
        <w:jc w:val="both"/>
        <w:rPr>
          <w:rFonts w:ascii="Times New Roman" w:hAnsi="Times New Roman" w:cs="Times New Roman"/>
          <w:color w:val="000000" w:themeColor="text1"/>
          <w:sz w:val="24"/>
          <w:szCs w:val="24"/>
          <w:shd w:val="clear" w:color="auto" w:fill="FFFFFF"/>
        </w:rPr>
      </w:pPr>
      <w:r w:rsidRPr="00001500">
        <w:rPr>
          <w:rFonts w:ascii="Times New Roman" w:hAnsi="Times New Roman" w:cs="Times New Roman"/>
          <w:color w:val="000000" w:themeColor="text1"/>
          <w:sz w:val="24"/>
          <w:szCs w:val="24"/>
          <w:shd w:val="clear" w:color="auto" w:fill="FFFFFF"/>
        </w:rPr>
        <w:t xml:space="preserve">Rhode, S. and Garrison, N. (2019) Management Accounting. Sixth edition. London, England: McGraw Hill </w:t>
      </w:r>
    </w:p>
    <w:p w14:paraId="1D7E7B84" w14:textId="77777777" w:rsidR="00C13485" w:rsidRDefault="00C13485" w:rsidP="00923FED">
      <w:pPr>
        <w:jc w:val="both"/>
        <w:rPr>
          <w:rFonts w:ascii="Times New Roman" w:hAnsi="Times New Roman" w:cs="Times New Roman"/>
          <w:color w:val="000000" w:themeColor="text1"/>
          <w:sz w:val="24"/>
          <w:szCs w:val="24"/>
        </w:rPr>
      </w:pPr>
    </w:p>
    <w:p w14:paraId="27788AFF" w14:textId="13A53091" w:rsidR="00C2381D" w:rsidRDefault="00C2381D" w:rsidP="00B1696C">
      <w:pPr>
        <w:jc w:val="both"/>
        <w:rPr>
          <w:rFonts w:ascii="Times New Roman" w:hAnsi="Times New Roman" w:cs="Times New Roman"/>
          <w:color w:val="000000" w:themeColor="text1"/>
          <w:sz w:val="24"/>
          <w:szCs w:val="24"/>
        </w:rPr>
      </w:pPr>
    </w:p>
    <w:p w14:paraId="7EB569AA" w14:textId="10A392CA" w:rsidR="002F0D44" w:rsidRDefault="002F0D44" w:rsidP="00C9658A">
      <w:pPr>
        <w:jc w:val="both"/>
        <w:rPr>
          <w:rFonts w:ascii="Times New Roman" w:hAnsi="Times New Roman" w:cs="Times New Roman"/>
          <w:color w:val="000000" w:themeColor="text1"/>
          <w:sz w:val="24"/>
          <w:szCs w:val="24"/>
        </w:rPr>
      </w:pPr>
    </w:p>
    <w:p w14:paraId="6E42FA2A" w14:textId="1A841299" w:rsidR="002F0D44" w:rsidRDefault="002F0D44" w:rsidP="00C9658A">
      <w:pPr>
        <w:jc w:val="both"/>
        <w:rPr>
          <w:rFonts w:ascii="Times New Roman" w:hAnsi="Times New Roman" w:cs="Times New Roman"/>
          <w:color w:val="000000" w:themeColor="text1"/>
          <w:sz w:val="24"/>
          <w:szCs w:val="24"/>
        </w:rPr>
      </w:pPr>
    </w:p>
    <w:p w14:paraId="57CA3C71" w14:textId="047D921F" w:rsidR="002F0D44" w:rsidRDefault="002F0D44" w:rsidP="00C9658A">
      <w:pPr>
        <w:jc w:val="both"/>
        <w:rPr>
          <w:rFonts w:ascii="Times New Roman" w:hAnsi="Times New Roman" w:cs="Times New Roman"/>
          <w:color w:val="000000" w:themeColor="text1"/>
          <w:sz w:val="24"/>
          <w:szCs w:val="24"/>
        </w:rPr>
      </w:pPr>
    </w:p>
    <w:p w14:paraId="605B6549" w14:textId="2D4979F0" w:rsidR="002F0D44" w:rsidRDefault="002F0D44" w:rsidP="00C9658A">
      <w:pPr>
        <w:jc w:val="both"/>
        <w:rPr>
          <w:rFonts w:ascii="Times New Roman" w:hAnsi="Times New Roman" w:cs="Times New Roman"/>
          <w:color w:val="000000" w:themeColor="text1"/>
          <w:sz w:val="24"/>
          <w:szCs w:val="24"/>
        </w:rPr>
      </w:pPr>
    </w:p>
    <w:p w14:paraId="76D7AC8C" w14:textId="4B03782F" w:rsidR="002F0D44" w:rsidRDefault="002F0D44" w:rsidP="00C9658A">
      <w:pPr>
        <w:jc w:val="both"/>
        <w:rPr>
          <w:rFonts w:ascii="Times New Roman" w:hAnsi="Times New Roman" w:cs="Times New Roman"/>
          <w:color w:val="000000" w:themeColor="text1"/>
          <w:sz w:val="24"/>
          <w:szCs w:val="24"/>
        </w:rPr>
      </w:pPr>
    </w:p>
    <w:p w14:paraId="5F2690B1" w14:textId="6589CC89" w:rsidR="002F0D44" w:rsidRDefault="002F0D44" w:rsidP="00C9658A">
      <w:pPr>
        <w:jc w:val="both"/>
        <w:rPr>
          <w:rFonts w:ascii="Times New Roman" w:hAnsi="Times New Roman" w:cs="Times New Roman"/>
          <w:color w:val="000000" w:themeColor="text1"/>
          <w:sz w:val="24"/>
          <w:szCs w:val="24"/>
        </w:rPr>
      </w:pPr>
    </w:p>
    <w:p w14:paraId="727895BC" w14:textId="77777777" w:rsidR="002F0D44" w:rsidRPr="00FF2B3A" w:rsidRDefault="002F0D44" w:rsidP="00C9658A">
      <w:pPr>
        <w:jc w:val="both"/>
        <w:rPr>
          <w:rFonts w:ascii="Times New Roman" w:hAnsi="Times New Roman" w:cs="Times New Roman"/>
          <w:color w:val="000000" w:themeColor="text1"/>
          <w:sz w:val="24"/>
          <w:szCs w:val="24"/>
        </w:rPr>
      </w:pPr>
    </w:p>
    <w:sectPr w:rsidR="002F0D44" w:rsidRPr="00FF2B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7E4A8C"/>
    <w:multiLevelType w:val="hybridMultilevel"/>
    <w:tmpl w:val="1C9498EA"/>
    <w:lvl w:ilvl="0" w:tplc="D9CAC332">
      <w:start w:val="1"/>
      <w:numFmt w:val="bullet"/>
      <w:lvlText w:val="•"/>
      <w:lvlJc w:val="left"/>
      <w:pPr>
        <w:tabs>
          <w:tab w:val="num" w:pos="720"/>
        </w:tabs>
        <w:ind w:left="720" w:hanging="360"/>
      </w:pPr>
      <w:rPr>
        <w:rFonts w:ascii="Arial" w:hAnsi="Arial" w:hint="default"/>
      </w:rPr>
    </w:lvl>
    <w:lvl w:ilvl="1" w:tplc="E3D86816" w:tentative="1">
      <w:start w:val="1"/>
      <w:numFmt w:val="bullet"/>
      <w:lvlText w:val="•"/>
      <w:lvlJc w:val="left"/>
      <w:pPr>
        <w:tabs>
          <w:tab w:val="num" w:pos="1440"/>
        </w:tabs>
        <w:ind w:left="1440" w:hanging="360"/>
      </w:pPr>
      <w:rPr>
        <w:rFonts w:ascii="Arial" w:hAnsi="Arial" w:hint="default"/>
      </w:rPr>
    </w:lvl>
    <w:lvl w:ilvl="2" w:tplc="7F8A6AEE" w:tentative="1">
      <w:start w:val="1"/>
      <w:numFmt w:val="bullet"/>
      <w:lvlText w:val="•"/>
      <w:lvlJc w:val="left"/>
      <w:pPr>
        <w:tabs>
          <w:tab w:val="num" w:pos="2160"/>
        </w:tabs>
        <w:ind w:left="2160" w:hanging="360"/>
      </w:pPr>
      <w:rPr>
        <w:rFonts w:ascii="Arial" w:hAnsi="Arial" w:hint="default"/>
      </w:rPr>
    </w:lvl>
    <w:lvl w:ilvl="3" w:tplc="A2B4727E" w:tentative="1">
      <w:start w:val="1"/>
      <w:numFmt w:val="bullet"/>
      <w:lvlText w:val="•"/>
      <w:lvlJc w:val="left"/>
      <w:pPr>
        <w:tabs>
          <w:tab w:val="num" w:pos="2880"/>
        </w:tabs>
        <w:ind w:left="2880" w:hanging="360"/>
      </w:pPr>
      <w:rPr>
        <w:rFonts w:ascii="Arial" w:hAnsi="Arial" w:hint="default"/>
      </w:rPr>
    </w:lvl>
    <w:lvl w:ilvl="4" w:tplc="AE4E980C" w:tentative="1">
      <w:start w:val="1"/>
      <w:numFmt w:val="bullet"/>
      <w:lvlText w:val="•"/>
      <w:lvlJc w:val="left"/>
      <w:pPr>
        <w:tabs>
          <w:tab w:val="num" w:pos="3600"/>
        </w:tabs>
        <w:ind w:left="3600" w:hanging="360"/>
      </w:pPr>
      <w:rPr>
        <w:rFonts w:ascii="Arial" w:hAnsi="Arial" w:hint="default"/>
      </w:rPr>
    </w:lvl>
    <w:lvl w:ilvl="5" w:tplc="683E961C" w:tentative="1">
      <w:start w:val="1"/>
      <w:numFmt w:val="bullet"/>
      <w:lvlText w:val="•"/>
      <w:lvlJc w:val="left"/>
      <w:pPr>
        <w:tabs>
          <w:tab w:val="num" w:pos="4320"/>
        </w:tabs>
        <w:ind w:left="4320" w:hanging="360"/>
      </w:pPr>
      <w:rPr>
        <w:rFonts w:ascii="Arial" w:hAnsi="Arial" w:hint="default"/>
      </w:rPr>
    </w:lvl>
    <w:lvl w:ilvl="6" w:tplc="22AA4028" w:tentative="1">
      <w:start w:val="1"/>
      <w:numFmt w:val="bullet"/>
      <w:lvlText w:val="•"/>
      <w:lvlJc w:val="left"/>
      <w:pPr>
        <w:tabs>
          <w:tab w:val="num" w:pos="5040"/>
        </w:tabs>
        <w:ind w:left="5040" w:hanging="360"/>
      </w:pPr>
      <w:rPr>
        <w:rFonts w:ascii="Arial" w:hAnsi="Arial" w:hint="default"/>
      </w:rPr>
    </w:lvl>
    <w:lvl w:ilvl="7" w:tplc="96F81B6A" w:tentative="1">
      <w:start w:val="1"/>
      <w:numFmt w:val="bullet"/>
      <w:lvlText w:val="•"/>
      <w:lvlJc w:val="left"/>
      <w:pPr>
        <w:tabs>
          <w:tab w:val="num" w:pos="5760"/>
        </w:tabs>
        <w:ind w:left="5760" w:hanging="360"/>
      </w:pPr>
      <w:rPr>
        <w:rFonts w:ascii="Arial" w:hAnsi="Arial" w:hint="default"/>
      </w:rPr>
    </w:lvl>
    <w:lvl w:ilvl="8" w:tplc="F9BA0BA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18"/>
    <w:rsid w:val="00051689"/>
    <w:rsid w:val="00051D45"/>
    <w:rsid w:val="000E2AC7"/>
    <w:rsid w:val="0013297D"/>
    <w:rsid w:val="00175D0A"/>
    <w:rsid w:val="001C6EA3"/>
    <w:rsid w:val="001D3011"/>
    <w:rsid w:val="002A3368"/>
    <w:rsid w:val="002D3805"/>
    <w:rsid w:val="002F0D44"/>
    <w:rsid w:val="003660A8"/>
    <w:rsid w:val="003B0A7C"/>
    <w:rsid w:val="004168E5"/>
    <w:rsid w:val="00417ED5"/>
    <w:rsid w:val="00426F7E"/>
    <w:rsid w:val="00435DF3"/>
    <w:rsid w:val="00445C81"/>
    <w:rsid w:val="00453294"/>
    <w:rsid w:val="004705E4"/>
    <w:rsid w:val="00472713"/>
    <w:rsid w:val="00484B83"/>
    <w:rsid w:val="00491159"/>
    <w:rsid w:val="004C4956"/>
    <w:rsid w:val="004E203F"/>
    <w:rsid w:val="00511083"/>
    <w:rsid w:val="00520837"/>
    <w:rsid w:val="005C78DC"/>
    <w:rsid w:val="00690CB7"/>
    <w:rsid w:val="007D72C8"/>
    <w:rsid w:val="007E36E1"/>
    <w:rsid w:val="0080361B"/>
    <w:rsid w:val="00826D70"/>
    <w:rsid w:val="008727CD"/>
    <w:rsid w:val="008B7F9B"/>
    <w:rsid w:val="008C7C45"/>
    <w:rsid w:val="008F3454"/>
    <w:rsid w:val="00923FED"/>
    <w:rsid w:val="00936934"/>
    <w:rsid w:val="00990121"/>
    <w:rsid w:val="00B15818"/>
    <w:rsid w:val="00B1696C"/>
    <w:rsid w:val="00B17BF7"/>
    <w:rsid w:val="00B37B46"/>
    <w:rsid w:val="00BD4777"/>
    <w:rsid w:val="00C13485"/>
    <w:rsid w:val="00C2381D"/>
    <w:rsid w:val="00C82312"/>
    <w:rsid w:val="00C8675F"/>
    <w:rsid w:val="00C9658A"/>
    <w:rsid w:val="00DD1755"/>
    <w:rsid w:val="00DF253F"/>
    <w:rsid w:val="00E112BC"/>
    <w:rsid w:val="00EA75F0"/>
    <w:rsid w:val="00F507A2"/>
    <w:rsid w:val="00FB0827"/>
    <w:rsid w:val="00FB1F4B"/>
    <w:rsid w:val="00FF2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679C4"/>
  <w15:chartTrackingRefBased/>
  <w15:docId w15:val="{0701EC13-16DC-4C9E-BF88-E54FCFA7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8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3485"/>
    <w:pPr>
      <w:ind w:left="720"/>
      <w:contextualSpacing/>
    </w:pPr>
  </w:style>
  <w:style w:type="table" w:customStyle="1" w:styleId="TableGrid">
    <w:name w:val="TableGrid"/>
    <w:rsid w:val="00FB1F4B"/>
    <w:pPr>
      <w:spacing w:after="0" w:line="240" w:lineRule="auto"/>
    </w:pPr>
    <w:rPr>
      <w:rFonts w:eastAsiaTheme="minorEastAsia"/>
      <w:sz w:val="24"/>
      <w:szCs w:val="24"/>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5683244">
      <w:bodyDiv w:val="1"/>
      <w:marLeft w:val="0"/>
      <w:marRight w:val="0"/>
      <w:marTop w:val="0"/>
      <w:marBottom w:val="0"/>
      <w:divBdr>
        <w:top w:val="none" w:sz="0" w:space="0" w:color="auto"/>
        <w:left w:val="none" w:sz="0" w:space="0" w:color="auto"/>
        <w:bottom w:val="none" w:sz="0" w:space="0" w:color="auto"/>
        <w:right w:val="none" w:sz="0" w:space="0" w:color="auto"/>
      </w:divBdr>
      <w:divsChild>
        <w:div w:id="220289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2600</Words>
  <Characters>14820</Characters>
  <Application>Microsoft Office Word</Application>
  <DocSecurity>0</DocSecurity>
  <Lines>123</Lines>
  <Paragraphs>34</Paragraphs>
  <ScaleCrop>false</ScaleCrop>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Lyudmila Nikolova (1908690)</cp:lastModifiedBy>
  <cp:revision>3</cp:revision>
  <dcterms:created xsi:type="dcterms:W3CDTF">2021-05-01T17:06:00Z</dcterms:created>
  <dcterms:modified xsi:type="dcterms:W3CDTF">2021-05-07T20:50:00Z</dcterms:modified>
</cp:coreProperties>
</file>