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411842" w14:textId="77777777" w:rsidR="00993BC9" w:rsidRDefault="00993BC9" w:rsidP="00993BC9">
      <w:pPr>
        <w:rPr>
          <w:rFonts w:ascii="Abadi" w:hAnsi="Abadi"/>
          <w:b/>
          <w:sz w:val="32"/>
          <w:szCs w:val="32"/>
        </w:rPr>
      </w:pPr>
      <w:r w:rsidRPr="00AF422B">
        <w:rPr>
          <w:rFonts w:ascii="Abadi" w:hAnsi="Abadi"/>
          <w:b/>
          <w:sz w:val="32"/>
          <w:szCs w:val="32"/>
        </w:rPr>
        <w:t xml:space="preserve">Academic </w:t>
      </w:r>
      <w:r>
        <w:rPr>
          <w:rFonts w:ascii="Abadi" w:hAnsi="Abadi"/>
          <w:b/>
          <w:sz w:val="32"/>
          <w:szCs w:val="32"/>
        </w:rPr>
        <w:t xml:space="preserve">and </w:t>
      </w:r>
      <w:r w:rsidRPr="00AF422B">
        <w:rPr>
          <w:rFonts w:ascii="Abadi" w:hAnsi="Abadi"/>
          <w:b/>
          <w:sz w:val="32"/>
          <w:szCs w:val="32"/>
        </w:rPr>
        <w:t>Employability Skills</w:t>
      </w:r>
    </w:p>
    <w:p w14:paraId="624C67E1" w14:textId="77777777" w:rsidR="00993BC9" w:rsidRDefault="00993BC9" w:rsidP="00993BC9">
      <w:pPr>
        <w:rPr>
          <w:rFonts w:ascii="Abadi" w:hAnsi="Abadi"/>
          <w:b/>
          <w:sz w:val="32"/>
          <w:szCs w:val="32"/>
        </w:rPr>
      </w:pPr>
    </w:p>
    <w:p w14:paraId="2839FCA7" w14:textId="77777777" w:rsidR="00993BC9" w:rsidRDefault="00993BC9" w:rsidP="00993BC9">
      <w:pPr>
        <w:rPr>
          <w:rFonts w:ascii="Abadi" w:hAnsi="Abadi"/>
          <w:b/>
          <w:sz w:val="32"/>
          <w:szCs w:val="32"/>
        </w:rPr>
      </w:pPr>
    </w:p>
    <w:p w14:paraId="539E6B4F" w14:textId="77777777" w:rsidR="00993BC9" w:rsidRDefault="00993BC9" w:rsidP="00993BC9">
      <w:pPr>
        <w:rPr>
          <w:rFonts w:ascii="Abadi" w:hAnsi="Abadi"/>
          <w:b/>
          <w:sz w:val="32"/>
          <w:szCs w:val="32"/>
        </w:rPr>
      </w:pPr>
    </w:p>
    <w:p w14:paraId="7F878AF7" w14:textId="77777777" w:rsidR="00993BC9" w:rsidRPr="00AF422B" w:rsidRDefault="00993BC9" w:rsidP="00993BC9">
      <w:pPr>
        <w:rPr>
          <w:rFonts w:ascii="Abadi" w:hAnsi="Abadi"/>
          <w:b/>
          <w:sz w:val="32"/>
          <w:szCs w:val="32"/>
        </w:rPr>
      </w:pPr>
      <w:r>
        <w:rPr>
          <w:rFonts w:ascii="Abadi" w:hAnsi="Abadi"/>
          <w:b/>
          <w:sz w:val="32"/>
          <w:szCs w:val="32"/>
        </w:rPr>
        <w:t xml:space="preserve">                  </w:t>
      </w:r>
      <w:r>
        <w:rPr>
          <w:sz w:val="28"/>
          <w:szCs w:val="28"/>
        </w:rPr>
        <w:t xml:space="preserve">          </w:t>
      </w:r>
      <w:r w:rsidRPr="00445C5C">
        <w:rPr>
          <w:sz w:val="28"/>
          <w:szCs w:val="28"/>
        </w:rPr>
        <w:t xml:space="preserve">Yolanda </w:t>
      </w:r>
      <w:r>
        <w:rPr>
          <w:sz w:val="28"/>
          <w:szCs w:val="28"/>
        </w:rPr>
        <w:t xml:space="preserve">Maria Fernando Rainho </w:t>
      </w:r>
      <w:r w:rsidRPr="00445C5C">
        <w:rPr>
          <w:sz w:val="28"/>
          <w:szCs w:val="28"/>
        </w:rPr>
        <w:t xml:space="preserve">  </w:t>
      </w:r>
    </w:p>
    <w:p w14:paraId="0DEB1AB2" w14:textId="77777777" w:rsidR="00993BC9" w:rsidRDefault="00993BC9" w:rsidP="00993BC9">
      <w:pPr>
        <w:rPr>
          <w:sz w:val="28"/>
          <w:szCs w:val="28"/>
        </w:rPr>
      </w:pPr>
      <w:r>
        <w:rPr>
          <w:sz w:val="28"/>
          <w:szCs w:val="28"/>
        </w:rPr>
        <w:t xml:space="preserve">                                      Student ID </w:t>
      </w:r>
      <w:r w:rsidRPr="00445C5C">
        <w:rPr>
          <w:sz w:val="28"/>
          <w:szCs w:val="28"/>
        </w:rPr>
        <w:t>1809940</w:t>
      </w:r>
    </w:p>
    <w:p w14:paraId="0F6BE6F9" w14:textId="77777777" w:rsidR="00993BC9" w:rsidRPr="00445C5C" w:rsidRDefault="00993BC9" w:rsidP="00993BC9">
      <w:pPr>
        <w:rPr>
          <w:sz w:val="28"/>
          <w:szCs w:val="28"/>
        </w:rPr>
      </w:pPr>
      <w:r>
        <w:rPr>
          <w:sz w:val="28"/>
          <w:szCs w:val="28"/>
        </w:rPr>
        <w:t xml:space="preserve">                                       BMSK4001</w:t>
      </w:r>
    </w:p>
    <w:p w14:paraId="39889CCC" w14:textId="77777777" w:rsidR="00993BC9" w:rsidRDefault="00993BC9" w:rsidP="00993BC9">
      <w:pPr>
        <w:rPr>
          <w:sz w:val="28"/>
          <w:szCs w:val="28"/>
        </w:rPr>
      </w:pPr>
      <w:r w:rsidRPr="00445C5C">
        <w:rPr>
          <w:sz w:val="28"/>
          <w:szCs w:val="28"/>
        </w:rPr>
        <w:t xml:space="preserve">       </w:t>
      </w:r>
      <w:r>
        <w:rPr>
          <w:sz w:val="28"/>
          <w:szCs w:val="28"/>
        </w:rPr>
        <w:t xml:space="preserve">                   </w:t>
      </w:r>
      <w:r w:rsidRPr="00445C5C">
        <w:rPr>
          <w:sz w:val="28"/>
          <w:szCs w:val="28"/>
        </w:rPr>
        <w:t xml:space="preserve">          </w:t>
      </w:r>
      <w:r>
        <w:rPr>
          <w:sz w:val="28"/>
          <w:szCs w:val="28"/>
        </w:rPr>
        <w:t xml:space="preserve"> </w:t>
      </w:r>
      <w:r w:rsidRPr="00445C5C">
        <w:rPr>
          <w:sz w:val="28"/>
          <w:szCs w:val="28"/>
        </w:rPr>
        <w:t xml:space="preserve"> University of Wales Trinity Saint David</w:t>
      </w:r>
    </w:p>
    <w:p w14:paraId="48F41CBE" w14:textId="77777777" w:rsidR="00993BC9" w:rsidRDefault="00993BC9" w:rsidP="00993BC9">
      <w:pPr>
        <w:rPr>
          <w:sz w:val="28"/>
          <w:szCs w:val="28"/>
        </w:rPr>
      </w:pPr>
    </w:p>
    <w:p w14:paraId="57FF8EAC" w14:textId="77777777" w:rsidR="00993BC9" w:rsidRDefault="00993BC9" w:rsidP="00993BC9">
      <w:pPr>
        <w:rPr>
          <w:sz w:val="28"/>
          <w:szCs w:val="28"/>
        </w:rPr>
      </w:pPr>
    </w:p>
    <w:p w14:paraId="02113AAC" w14:textId="77777777" w:rsidR="00993BC9" w:rsidRDefault="00993BC9" w:rsidP="00993BC9">
      <w:pPr>
        <w:rPr>
          <w:sz w:val="28"/>
          <w:szCs w:val="28"/>
        </w:rPr>
      </w:pPr>
    </w:p>
    <w:p w14:paraId="6A049852" w14:textId="77777777" w:rsidR="00993BC9" w:rsidRDefault="00993BC9" w:rsidP="00993BC9">
      <w:pPr>
        <w:spacing w:after="200" w:line="480" w:lineRule="auto"/>
        <w:jc w:val="both"/>
        <w:rPr>
          <w:rFonts w:ascii="Times New Roman" w:eastAsia="Calibri" w:hAnsi="Times New Roman" w:cs="Times New Roman"/>
          <w:color w:val="000000"/>
          <w:sz w:val="24"/>
        </w:rPr>
      </w:pPr>
    </w:p>
    <w:p w14:paraId="4D5478B4" w14:textId="77777777" w:rsidR="00993BC9" w:rsidRDefault="00993BC9" w:rsidP="00993BC9">
      <w:pPr>
        <w:spacing w:after="200" w:line="480" w:lineRule="auto"/>
        <w:jc w:val="both"/>
        <w:rPr>
          <w:rFonts w:ascii="Times New Roman" w:eastAsia="Calibri" w:hAnsi="Times New Roman" w:cs="Times New Roman"/>
          <w:color w:val="000000"/>
          <w:sz w:val="24"/>
        </w:rPr>
      </w:pPr>
    </w:p>
    <w:p w14:paraId="3CA765FC" w14:textId="77777777" w:rsidR="00993BC9" w:rsidRDefault="00993BC9" w:rsidP="00993BC9">
      <w:pPr>
        <w:spacing w:after="200" w:line="480" w:lineRule="auto"/>
        <w:jc w:val="both"/>
        <w:rPr>
          <w:rFonts w:ascii="Times New Roman" w:eastAsia="Calibri" w:hAnsi="Times New Roman" w:cs="Times New Roman"/>
          <w:color w:val="000000"/>
          <w:sz w:val="24"/>
        </w:rPr>
      </w:pPr>
    </w:p>
    <w:p w14:paraId="7D005128" w14:textId="77777777" w:rsidR="00993BC9" w:rsidRDefault="00993BC9" w:rsidP="00993BC9">
      <w:pPr>
        <w:spacing w:after="200" w:line="480" w:lineRule="auto"/>
        <w:jc w:val="both"/>
        <w:rPr>
          <w:rFonts w:ascii="Times New Roman" w:eastAsia="Calibri" w:hAnsi="Times New Roman" w:cs="Times New Roman"/>
          <w:color w:val="000000"/>
          <w:sz w:val="24"/>
        </w:rPr>
      </w:pPr>
    </w:p>
    <w:p w14:paraId="103658DB" w14:textId="77777777" w:rsidR="00993BC9" w:rsidRDefault="00993BC9" w:rsidP="00993BC9">
      <w:pPr>
        <w:spacing w:after="200" w:line="480" w:lineRule="auto"/>
        <w:jc w:val="both"/>
        <w:rPr>
          <w:rFonts w:ascii="Times New Roman" w:eastAsia="Calibri" w:hAnsi="Times New Roman" w:cs="Times New Roman"/>
          <w:color w:val="000000"/>
          <w:sz w:val="24"/>
        </w:rPr>
      </w:pPr>
    </w:p>
    <w:p w14:paraId="0FFB7DA3" w14:textId="77777777" w:rsidR="00993BC9" w:rsidRDefault="00993BC9" w:rsidP="00993BC9">
      <w:pPr>
        <w:spacing w:after="200" w:line="480" w:lineRule="auto"/>
        <w:jc w:val="both"/>
        <w:rPr>
          <w:rFonts w:ascii="Times New Roman" w:eastAsia="Calibri" w:hAnsi="Times New Roman" w:cs="Times New Roman"/>
          <w:color w:val="000000"/>
          <w:sz w:val="24"/>
        </w:rPr>
      </w:pPr>
    </w:p>
    <w:p w14:paraId="3E0F92E8" w14:textId="77777777" w:rsidR="00993BC9" w:rsidRDefault="00993BC9" w:rsidP="00993BC9">
      <w:pPr>
        <w:spacing w:after="200" w:line="480" w:lineRule="auto"/>
        <w:jc w:val="both"/>
        <w:rPr>
          <w:rFonts w:ascii="Times New Roman" w:eastAsia="Calibri" w:hAnsi="Times New Roman" w:cs="Times New Roman"/>
          <w:color w:val="000000"/>
          <w:sz w:val="24"/>
        </w:rPr>
      </w:pPr>
    </w:p>
    <w:p w14:paraId="7683AD10" w14:textId="77777777" w:rsidR="00993BC9" w:rsidRDefault="00993BC9" w:rsidP="00993BC9">
      <w:pPr>
        <w:spacing w:after="200" w:line="480" w:lineRule="auto"/>
        <w:jc w:val="both"/>
        <w:rPr>
          <w:rFonts w:ascii="Times New Roman" w:eastAsia="Calibri" w:hAnsi="Times New Roman" w:cs="Times New Roman"/>
          <w:color w:val="000000"/>
          <w:sz w:val="24"/>
        </w:rPr>
      </w:pPr>
    </w:p>
    <w:p w14:paraId="34933666" w14:textId="77777777" w:rsidR="00993BC9" w:rsidRDefault="00993BC9" w:rsidP="00993BC9">
      <w:pPr>
        <w:spacing w:after="200" w:line="480" w:lineRule="auto"/>
        <w:jc w:val="both"/>
        <w:rPr>
          <w:rFonts w:ascii="Times New Roman" w:eastAsia="Calibri" w:hAnsi="Times New Roman" w:cs="Times New Roman"/>
          <w:color w:val="000000"/>
          <w:sz w:val="24"/>
        </w:rPr>
      </w:pPr>
    </w:p>
    <w:p w14:paraId="0E9ABD00" w14:textId="77777777" w:rsidR="00993BC9" w:rsidRDefault="00993BC9" w:rsidP="00993BC9">
      <w:pPr>
        <w:spacing w:after="200" w:line="480" w:lineRule="auto"/>
        <w:jc w:val="both"/>
        <w:rPr>
          <w:rFonts w:ascii="Times New Roman" w:eastAsia="Calibri" w:hAnsi="Times New Roman" w:cs="Times New Roman"/>
          <w:color w:val="000000"/>
          <w:sz w:val="24"/>
        </w:rPr>
      </w:pPr>
    </w:p>
    <w:p w14:paraId="61516996" w14:textId="326E2C5A" w:rsidR="00993BC9" w:rsidRPr="00B1444F" w:rsidRDefault="00263F4D" w:rsidP="00263F4D">
      <w:pPr>
        <w:spacing w:after="200" w:line="480" w:lineRule="auto"/>
        <w:jc w:val="both"/>
        <w:rPr>
          <w:rFonts w:eastAsia="Calibri" w:cstheme="minorHAnsi"/>
          <w:color w:val="000000"/>
          <w:sz w:val="28"/>
          <w:szCs w:val="28"/>
        </w:rPr>
      </w:pPr>
      <w:r>
        <w:rPr>
          <w:rFonts w:eastAsia="Calibri" w:cstheme="minorHAnsi"/>
          <w:color w:val="000000"/>
          <w:sz w:val="28"/>
          <w:szCs w:val="28"/>
        </w:rPr>
        <w:lastRenderedPageBreak/>
        <w:t xml:space="preserve">                   </w:t>
      </w:r>
      <w:r w:rsidR="00993BC9" w:rsidRPr="00B1444F">
        <w:rPr>
          <w:rFonts w:eastAsia="Calibri" w:cstheme="minorHAnsi"/>
          <w:color w:val="000000"/>
          <w:sz w:val="28"/>
          <w:szCs w:val="28"/>
        </w:rPr>
        <w:t xml:space="preserve">Employability skills is a fuzzy term as it incorporate variety of concepts that also change with change in context (Dubey, Tewari and Pandiya 2017). There are numerous numbers of skills that falls into the category of employability skills. There can be two broad classifications of employability skills, the first are the hard skills like degrees and certifications and writing skills and the second are the soft skills or transferable skills, mainly non-academic but are far more useful and essential for employment in a global context (Tang 2019). Reflection is an essential tool to gain insight into the concepts that one learns. Kolb’s learning cycle provides an effective framework for reflecting on learning and experience as well as to determine the learning style of individuals (Tomkins and Ulus 2016). This essay follows the Kolb’s framework in order to reflect on the learning of the course. The essay explores the learning of the module, the observations, thinking and feeling that I experienced through the coursework and the conceptual development that I had through the experience. Finally, my learning style is identified based on my reflection and a future planning for personal and professional development has been presented which is informed by the previous stages. </w:t>
      </w:r>
    </w:p>
    <w:p w14:paraId="62C0942D" w14:textId="2046A415" w:rsidR="00993BC9" w:rsidRPr="00B1444F" w:rsidRDefault="00993BC9" w:rsidP="00263F4D">
      <w:pPr>
        <w:jc w:val="both"/>
        <w:rPr>
          <w:rFonts w:eastAsia="Calibri" w:cstheme="minorHAnsi"/>
          <w:color w:val="000000"/>
          <w:sz w:val="28"/>
          <w:szCs w:val="28"/>
        </w:rPr>
      </w:pPr>
      <w:r w:rsidRPr="00B1444F">
        <w:rPr>
          <w:rFonts w:eastAsia="Calibri" w:cstheme="minorHAnsi"/>
          <w:color w:val="000000"/>
          <w:sz w:val="28"/>
          <w:szCs w:val="28"/>
        </w:rPr>
        <w:tab/>
        <w:t xml:space="preserve">The course that I took was about learning these soft skills like oral and visual presentation and communication, reflection, use of information and communication technologies (ICT), learning and research strategy as well as development of writing skills. There were seminars and lectures that informed and trained me about each of the disciplines. Throughout the course modules, I </w:t>
      </w:r>
      <w:r w:rsidRPr="00B1444F">
        <w:rPr>
          <w:rFonts w:eastAsia="Calibri" w:cstheme="minorHAnsi"/>
          <w:color w:val="000000"/>
          <w:sz w:val="28"/>
          <w:szCs w:val="28"/>
        </w:rPr>
        <w:lastRenderedPageBreak/>
        <w:t>also learnt about different reflective models like Gibbs reflective model and Kolb’s learning cycle and their use in learning (Edwards 2017; Bowles, Bowes and Wilson 2019). Through the seminars, I learnt about the importance of soft skills for employment. Employers nowadays are keener to employ people having the requisite soft skills rather than industry training. The reason behind this is that most of the companies provide on the job training to assimilate employees into their work culture which gives them</w:t>
      </w:r>
      <w:r w:rsidR="00B1444F">
        <w:rPr>
          <w:rFonts w:eastAsia="Calibri" w:cstheme="minorHAnsi"/>
          <w:color w:val="000000"/>
          <w:sz w:val="28"/>
          <w:szCs w:val="28"/>
        </w:rPr>
        <w:t xml:space="preserve"> </w:t>
      </w:r>
      <w:r w:rsidRPr="00B1444F">
        <w:rPr>
          <w:sz w:val="28"/>
          <w:szCs w:val="28"/>
        </w:rPr>
        <w:t xml:space="preserve">the industry training that they need. The soft skills on the other hand are much important and takes time to develop which would be impossible while performing the jobs. </w:t>
      </w:r>
    </w:p>
    <w:p w14:paraId="1101622F" w14:textId="77777777" w:rsidR="00993BC9" w:rsidRPr="00B1444F" w:rsidRDefault="00993BC9" w:rsidP="00263F4D">
      <w:pPr>
        <w:ind w:firstLine="720"/>
        <w:jc w:val="both"/>
        <w:rPr>
          <w:sz w:val="28"/>
          <w:szCs w:val="28"/>
        </w:rPr>
      </w:pPr>
      <w:r w:rsidRPr="00B1444F">
        <w:rPr>
          <w:sz w:val="28"/>
          <w:szCs w:val="28"/>
        </w:rPr>
        <w:t>ICT are key skills related to employability as well as academic work (Barikzai and Ross 2018). Learning ICT applications, searching databases, using keywords and using other software related to academic skills were one of the highlight of the module. Through the modules I also learnt proper research techniques, use of key words, understanding the credibility and authenticity of research articles. I also learnt how to present the ideas that I gather from readings cohesively and succinctly, create reports and essays, make presentations and deliver them in front of audience, engage in group discussions. The module was mainly based on writing skills and referencing is an important part of that. The module also taught learning with autonomy which is an important aspect of employability skills that the graduates need to develop (Suleman 2016).</w:t>
      </w:r>
    </w:p>
    <w:p w14:paraId="7D2064C3" w14:textId="77777777" w:rsidR="00993BC9" w:rsidRPr="00B1444F" w:rsidRDefault="00993BC9" w:rsidP="00263F4D">
      <w:pPr>
        <w:ind w:firstLine="720"/>
        <w:jc w:val="both"/>
        <w:rPr>
          <w:sz w:val="28"/>
          <w:szCs w:val="28"/>
        </w:rPr>
      </w:pPr>
      <w:r w:rsidRPr="00B1444F">
        <w:rPr>
          <w:sz w:val="28"/>
          <w:szCs w:val="28"/>
        </w:rPr>
        <w:t xml:space="preserve">Referencing is a necessary part of academic writing and it is used generally to ensure that we don’t plagiarize someone else’s work. As academic writing is built on the findings and ideas presented by scholars and other researchers, while taking and borrowing ideas from them to establish our own ideas, it is necessary to keep in mind that the idea or concept that it is built on, is not our own. Referencing helps us give credit to the original finders and scholars and avoid plagiarizing ourselves. Doing authentic research, finding proper supportive material and referring to the actual authors are what makes academic writing credible and authentic (Bowles, Bowes and Wilson 2019). </w:t>
      </w:r>
    </w:p>
    <w:p w14:paraId="2B27470C" w14:textId="655EE459" w:rsidR="00993BC9" w:rsidRPr="00E73D40" w:rsidRDefault="00993BC9" w:rsidP="00263F4D">
      <w:pPr>
        <w:jc w:val="both"/>
        <w:rPr>
          <w:sz w:val="28"/>
          <w:szCs w:val="28"/>
        </w:rPr>
      </w:pPr>
      <w:r w:rsidRPr="00B1444F">
        <w:rPr>
          <w:sz w:val="28"/>
          <w:szCs w:val="28"/>
        </w:rPr>
        <w:tab/>
        <w:t>Through the learning of the module I have been able to observe many changes and development in my skills and thinking. As we were attending lectures and seminars, I was able to gather understanding about what employability skill really is and how that contributes to the development of an individual and make them more employable. I also observed that as</w:t>
      </w:r>
      <w:r w:rsidR="00E73D40">
        <w:rPr>
          <w:sz w:val="28"/>
          <w:szCs w:val="28"/>
        </w:rPr>
        <w:t xml:space="preserve"> </w:t>
      </w:r>
      <w:r w:rsidRPr="00B1444F">
        <w:rPr>
          <w:sz w:val="28"/>
          <w:szCs w:val="28"/>
        </w:rPr>
        <w:t xml:space="preserve">I continued to learn, I gained more insight on the reason that these skills are becoming </w:t>
      </w:r>
      <w:r w:rsidRPr="00B1444F">
        <w:rPr>
          <w:sz w:val="28"/>
          <w:szCs w:val="28"/>
        </w:rPr>
        <w:lastRenderedPageBreak/>
        <w:t xml:space="preserve">increasingly important recently (Watson </w:t>
      </w:r>
      <w:r w:rsidRPr="00B1444F">
        <w:rPr>
          <w:i/>
          <w:sz w:val="28"/>
          <w:szCs w:val="28"/>
        </w:rPr>
        <w:t>et al</w:t>
      </w:r>
      <w:r w:rsidRPr="00B1444F">
        <w:rPr>
          <w:sz w:val="28"/>
          <w:szCs w:val="28"/>
        </w:rPr>
        <w:t xml:space="preserve">. 2019). Through the readings of the module, I realized that there could be differences in the concept of employability skills among the recruiters, managers and students. The courses such as these reduces that gap and take people closer to their intended career. </w:t>
      </w:r>
    </w:p>
    <w:p w14:paraId="1CDD68CF" w14:textId="77777777" w:rsidR="00993BC9" w:rsidRPr="00B1444F" w:rsidRDefault="00993BC9" w:rsidP="00263F4D">
      <w:pPr>
        <w:jc w:val="both"/>
        <w:rPr>
          <w:sz w:val="28"/>
          <w:szCs w:val="28"/>
        </w:rPr>
      </w:pPr>
      <w:r w:rsidRPr="00B1444F">
        <w:rPr>
          <w:sz w:val="28"/>
          <w:szCs w:val="28"/>
        </w:rPr>
        <w:tab/>
        <w:t>I was also able to observe a steady improvement in my writing and presentation skills. According to Dubey, Tewari and Pandya (2017), communication skill is among the most important soft skill that graduates need to develop in order to become employable. It is needed to establish dialogue with the clients, understand their needs and wants, finalize any deal, conduct negotiation and hold meetings. The lectures that we had about the particular issues of communication were quite interesting to me. I also observed that most of the peers were interested in this as well since most of them talked about it after the sessions. This gave me the idea that probably, one of or another, we are all aware of the importance of communication but do not have the proper means and coaching to develop them to the necessary degree. Most of the job postings on the internet includes communication skill as a mandatory aspect for eligibility criteria.</w:t>
      </w:r>
    </w:p>
    <w:p w14:paraId="750A91AE" w14:textId="77777777" w:rsidR="00993BC9" w:rsidRPr="00B1444F" w:rsidRDefault="00993BC9" w:rsidP="00263F4D">
      <w:pPr>
        <w:jc w:val="both"/>
        <w:rPr>
          <w:sz w:val="28"/>
          <w:szCs w:val="28"/>
        </w:rPr>
      </w:pPr>
      <w:r w:rsidRPr="00B1444F">
        <w:rPr>
          <w:sz w:val="28"/>
          <w:szCs w:val="28"/>
        </w:rPr>
        <w:tab/>
        <w:t>Research and referencing lectures and activities were also quite insightful in this module. Through the learning of these concepts I realized that research is helpful in gathering information and creating a much concrete idea about a topic. I observed that at the beginning of the course I did not have good research skills. I was unable to find proper key words and understand which researches to choose from the vast array of options presented online. Through the activities, I was able to develop my research skills. I realized that peer reviewed articles are mostly best sources of knowledge and learnt how to assess the strengths, weaknesses and future scope of a research. These concepts were unknown to me earlier.</w:t>
      </w:r>
    </w:p>
    <w:p w14:paraId="5CB2BAD9" w14:textId="22B66CF0" w:rsidR="00993BC9" w:rsidRPr="00B1444F" w:rsidRDefault="00993BC9" w:rsidP="00263F4D">
      <w:pPr>
        <w:jc w:val="both"/>
        <w:rPr>
          <w:rFonts w:eastAsiaTheme="minorHAnsi"/>
          <w:sz w:val="28"/>
          <w:szCs w:val="28"/>
        </w:rPr>
      </w:pPr>
      <w:r w:rsidRPr="00B1444F">
        <w:rPr>
          <w:sz w:val="28"/>
          <w:szCs w:val="28"/>
        </w:rPr>
        <w:t xml:space="preserve">Through the process, I also observed a development of some other skills that I think are also relevant employability skills. Critical thinking and problem solving, time management, teamwork, organizational skills are the skills that I needed to employ through the module in order to complete tasks, manage them and deliver them in timely manner. The group works were helpful in developing my collaborative skills, which are necessity in global organizations. According to Nusrat and Naz (2018), apart from communication skills self-motivation, analysis, deadline meeting, proactivity, leadership and teamwork are skills that employers search for in recruits. </w:t>
      </w:r>
    </w:p>
    <w:p w14:paraId="4FB6F637" w14:textId="77777777" w:rsidR="00993BC9" w:rsidRPr="00B1444F" w:rsidRDefault="00993BC9" w:rsidP="00263F4D">
      <w:pPr>
        <w:jc w:val="both"/>
        <w:rPr>
          <w:sz w:val="28"/>
          <w:szCs w:val="28"/>
        </w:rPr>
      </w:pPr>
      <w:r w:rsidRPr="00B1444F">
        <w:rPr>
          <w:sz w:val="28"/>
          <w:szCs w:val="28"/>
        </w:rPr>
        <w:lastRenderedPageBreak/>
        <w:tab/>
        <w:t>From the experience I was able to enlighten myself about many concepts. The first concept that I gathered was about plagiarism. I did not have clear idea of plagiarism before. The learning of the modules and proper research skills and referring techniques that I learnt cleared up my concept and practice about this issue. I also gathered the concept of cohesive and meaningful writing. I realized that a properly structured essay is a pleasure to read and easy to form key take away from (Shukla and Kumar 2017). While structuring an essay it is necessary to use topic sentences and support them through evidence and reference. The module also cleared up my concept about research evaluation. Earlier I did not have idea about research rating and gradation. Now that I have learnt about it, I feel that this is one of the most important aspect of creating an impactful academic writing, though I need to develop my skills in this regard more.</w:t>
      </w:r>
    </w:p>
    <w:p w14:paraId="283926D2" w14:textId="1B82BB84" w:rsidR="00993BC9" w:rsidRPr="00E73D40" w:rsidRDefault="00993BC9" w:rsidP="00263F4D">
      <w:pPr>
        <w:jc w:val="both"/>
        <w:rPr>
          <w:sz w:val="28"/>
          <w:szCs w:val="28"/>
        </w:rPr>
      </w:pPr>
      <w:r w:rsidRPr="00B1444F">
        <w:rPr>
          <w:sz w:val="28"/>
          <w:szCs w:val="28"/>
        </w:rPr>
        <w:tab/>
        <w:t>The reflection models and this particular essay writing has given me insight into the kind of learner that I have. Kolb’s learning cycle provides four kinds of learning style, divergent, assimilating, converging and accommodating (Tomkins and Ulus 2016). While reflecting on the concepts I realized that I am mostly a diverging learner and visuals, information gathering and imagination are key to my learning. For example, reflecting on the topics that I learnt from the module gave me better understanding of the concepts that I learnt</w:t>
      </w:r>
      <w:r w:rsidR="00E73D40">
        <w:rPr>
          <w:sz w:val="28"/>
          <w:szCs w:val="28"/>
        </w:rPr>
        <w:t xml:space="preserve"> </w:t>
      </w:r>
      <w:r w:rsidRPr="00B1444F">
        <w:rPr>
          <w:sz w:val="28"/>
          <w:szCs w:val="28"/>
        </w:rPr>
        <w:t xml:space="preserve">than I did at the time of lectures. When I was reflecting on the experiences of the lectures and the importance of employability skills, I was able to visualize several situations where I would be able to apply my learning and skills in my professional practice. Even in group works, I used to enjoy the brainstorming sessions the most which is a key characteristic of a divergent learner. </w:t>
      </w:r>
    </w:p>
    <w:p w14:paraId="33930933" w14:textId="77777777" w:rsidR="00993BC9" w:rsidRPr="00B1444F" w:rsidRDefault="00993BC9" w:rsidP="00263F4D">
      <w:pPr>
        <w:jc w:val="both"/>
        <w:rPr>
          <w:sz w:val="28"/>
          <w:szCs w:val="28"/>
        </w:rPr>
      </w:pPr>
      <w:r w:rsidRPr="00B1444F">
        <w:rPr>
          <w:sz w:val="28"/>
          <w:szCs w:val="28"/>
        </w:rPr>
        <w:tab/>
        <w:t xml:space="preserve">The concept of autonomous learning and adaptive learning was also one of the most important thing to learn from the module and its experience (Jackson and Oliver 2018). As we were responsible for finding material for our own assignments, I learnt techniques through which I could adapt to the challenges and barriers that came my way. Self-motivation is also an important aspect of adaptive learning. When I faced problem in finding the proper research or the best way to write about a topic, I used internet to get a better understanding of the subject or gather some key words that would be helpful in my search. Still, skill gap lies in this area. My experience through the module also taught me that presentations are powerful tools in establishing communication. People are more engaged through visualized content and were able to learn easily through them (Bartel 2018). </w:t>
      </w:r>
    </w:p>
    <w:p w14:paraId="79CAC1DC" w14:textId="77777777" w:rsidR="00E73D40" w:rsidRDefault="00993BC9" w:rsidP="00263F4D">
      <w:pPr>
        <w:jc w:val="both"/>
        <w:rPr>
          <w:sz w:val="28"/>
          <w:szCs w:val="28"/>
        </w:rPr>
      </w:pPr>
      <w:r w:rsidRPr="00B1444F">
        <w:rPr>
          <w:sz w:val="28"/>
          <w:szCs w:val="28"/>
        </w:rPr>
        <w:lastRenderedPageBreak/>
        <w:tab/>
        <w:t>The learnings and concepts that I gathered will be important for my personal and professional development. The writing, research and referencing skills that I learnt will help me find information more easily and produce them in a meaningful manner through my academic career. I can also use this learning to my future professional practice. While working for any organization, I may have find information about certain technologies, theories, practices and contexts where this knowledge would be useful. The communication skills, both oral and visual, that I developed through the module is going to be particularly effective to my future profession. In any organization that I work, I can use presentation skills and visual storytelling to impress clients, managers and investors (Chakraborty, Gupta and Saha 2017). I can also use them in meetings making the more interesting. The autonomous</w:t>
      </w:r>
      <w:r w:rsidR="00E73D40">
        <w:rPr>
          <w:sz w:val="28"/>
          <w:szCs w:val="28"/>
        </w:rPr>
        <w:t xml:space="preserve"> </w:t>
      </w:r>
    </w:p>
    <w:p w14:paraId="08318630" w14:textId="672B0E26" w:rsidR="00993BC9" w:rsidRPr="00E73D40" w:rsidRDefault="00993BC9" w:rsidP="00263F4D">
      <w:pPr>
        <w:jc w:val="both"/>
        <w:rPr>
          <w:sz w:val="28"/>
          <w:szCs w:val="28"/>
        </w:rPr>
      </w:pPr>
      <w:r w:rsidRPr="00B1444F">
        <w:rPr>
          <w:sz w:val="28"/>
          <w:szCs w:val="28"/>
        </w:rPr>
        <w:t>learning ability developed through the course will help me throughout my life as I will be able to learn through my experience.</w:t>
      </w:r>
    </w:p>
    <w:p w14:paraId="6EF59037" w14:textId="77777777" w:rsidR="00993BC9" w:rsidRPr="00B1444F" w:rsidRDefault="00993BC9" w:rsidP="00263F4D">
      <w:pPr>
        <w:jc w:val="both"/>
        <w:rPr>
          <w:sz w:val="28"/>
          <w:szCs w:val="28"/>
        </w:rPr>
      </w:pPr>
      <w:r w:rsidRPr="00B1444F">
        <w:rPr>
          <w:sz w:val="28"/>
          <w:szCs w:val="28"/>
        </w:rPr>
        <w:tab/>
        <w:t xml:space="preserve">The time management skills that I developed will also be used in my future workplace. Deadlines are important in any organizations. I would focus more on creating milestones and timelines in order to deliver projects on time. I would develop skills like critical thinking and problem solving as these are key skills for employability. I would also use my research skills to find suitable jobs that would help me in reaching my career goals (Scott </w:t>
      </w:r>
      <w:r w:rsidRPr="00B1444F">
        <w:rPr>
          <w:i/>
          <w:sz w:val="28"/>
          <w:szCs w:val="28"/>
        </w:rPr>
        <w:t>et al</w:t>
      </w:r>
      <w:r w:rsidRPr="00B1444F">
        <w:rPr>
          <w:sz w:val="28"/>
          <w:szCs w:val="28"/>
        </w:rPr>
        <w:t xml:space="preserve">. 2019). In the future modules, I believe that I would be able to develop more employability skills and develop my present skills in order to improve my likelihood of securing a job. In order to develop all the requisite skills I need to keep regular journals and update timelines as necessary. Setting up performance indicators might also be helpful in some regards. </w:t>
      </w:r>
    </w:p>
    <w:p w14:paraId="5DAA7155" w14:textId="77777777" w:rsidR="00993BC9" w:rsidRPr="00B1444F" w:rsidRDefault="00993BC9" w:rsidP="00263F4D">
      <w:pPr>
        <w:jc w:val="both"/>
        <w:rPr>
          <w:sz w:val="28"/>
          <w:szCs w:val="28"/>
        </w:rPr>
      </w:pPr>
      <w:r w:rsidRPr="00B1444F">
        <w:rPr>
          <w:sz w:val="28"/>
          <w:szCs w:val="28"/>
        </w:rPr>
        <w:tab/>
        <w:t xml:space="preserve">From the above discussion, it is evident that employability skills are essential for anyone interested to enter the labour market. Employability skills include hard skills like degree and industrial training as well as soft skills and transferable skills that are essential to cope up with the challenges of an organization. The organizations are becoming more and more and global in their approach and thus, the skills required by the global recruiters are most important to take note. Through the learning of the module and the assignment, I was able to reflect on the topics and my learning experience and gather better insight into them. I was also able to identify my strengths and weaknesses and the areas that I am likely to face challenges. The weaknesses needs to be </w:t>
      </w:r>
      <w:r w:rsidRPr="00B1444F">
        <w:rPr>
          <w:sz w:val="28"/>
          <w:szCs w:val="28"/>
        </w:rPr>
        <w:lastRenderedPageBreak/>
        <w:t xml:space="preserve">addressed properly and needs to be developed in order to build my employability. </w:t>
      </w:r>
    </w:p>
    <w:p w14:paraId="6ECAC4AF" w14:textId="77777777" w:rsidR="009458D1" w:rsidRPr="00B1444F" w:rsidRDefault="009458D1" w:rsidP="00263F4D">
      <w:pPr>
        <w:jc w:val="both"/>
        <w:rPr>
          <w:sz w:val="28"/>
          <w:szCs w:val="28"/>
        </w:rPr>
      </w:pPr>
    </w:p>
    <w:p w14:paraId="73E8629C" w14:textId="77777777" w:rsidR="009458D1" w:rsidRPr="00B1444F" w:rsidRDefault="009458D1" w:rsidP="00263F4D">
      <w:pPr>
        <w:jc w:val="both"/>
        <w:rPr>
          <w:sz w:val="28"/>
          <w:szCs w:val="28"/>
        </w:rPr>
      </w:pPr>
    </w:p>
    <w:p w14:paraId="351BF063" w14:textId="77777777" w:rsidR="009458D1" w:rsidRPr="00B1444F" w:rsidRDefault="009458D1" w:rsidP="00993BC9">
      <w:pPr>
        <w:rPr>
          <w:sz w:val="28"/>
          <w:szCs w:val="28"/>
        </w:rPr>
      </w:pPr>
    </w:p>
    <w:p w14:paraId="0BE1C73B" w14:textId="77777777" w:rsidR="009458D1" w:rsidRPr="00B1444F" w:rsidRDefault="009458D1" w:rsidP="00993BC9">
      <w:pPr>
        <w:rPr>
          <w:sz w:val="28"/>
          <w:szCs w:val="28"/>
        </w:rPr>
      </w:pPr>
    </w:p>
    <w:p w14:paraId="6FA4DDED" w14:textId="77777777" w:rsidR="009458D1" w:rsidRPr="00B1444F" w:rsidRDefault="009458D1" w:rsidP="00993BC9">
      <w:pPr>
        <w:rPr>
          <w:sz w:val="28"/>
          <w:szCs w:val="28"/>
        </w:rPr>
      </w:pPr>
    </w:p>
    <w:p w14:paraId="22E2AF7B" w14:textId="77777777" w:rsidR="009458D1" w:rsidRPr="00B1444F" w:rsidRDefault="009458D1" w:rsidP="00993BC9">
      <w:pPr>
        <w:rPr>
          <w:sz w:val="28"/>
          <w:szCs w:val="28"/>
        </w:rPr>
      </w:pPr>
    </w:p>
    <w:p w14:paraId="6D72C830" w14:textId="77777777" w:rsidR="009458D1" w:rsidRPr="00B1444F" w:rsidRDefault="009458D1" w:rsidP="00993BC9">
      <w:pPr>
        <w:rPr>
          <w:sz w:val="28"/>
          <w:szCs w:val="28"/>
        </w:rPr>
      </w:pPr>
    </w:p>
    <w:p w14:paraId="560ECB11" w14:textId="77777777" w:rsidR="00B1444F" w:rsidRDefault="00B1444F" w:rsidP="009458D1">
      <w:pPr>
        <w:rPr>
          <w:sz w:val="28"/>
          <w:szCs w:val="28"/>
        </w:rPr>
      </w:pPr>
    </w:p>
    <w:p w14:paraId="1CA5256A" w14:textId="77777777" w:rsidR="00E73D40" w:rsidRDefault="00E73D40" w:rsidP="009458D1">
      <w:pPr>
        <w:rPr>
          <w:sz w:val="28"/>
          <w:szCs w:val="28"/>
        </w:rPr>
      </w:pPr>
    </w:p>
    <w:p w14:paraId="371849F2" w14:textId="77777777" w:rsidR="00E73D40" w:rsidRDefault="00E73D40" w:rsidP="009458D1">
      <w:pPr>
        <w:rPr>
          <w:sz w:val="28"/>
          <w:szCs w:val="28"/>
        </w:rPr>
      </w:pPr>
    </w:p>
    <w:p w14:paraId="6AD2F3FA" w14:textId="77777777" w:rsidR="00E73D40" w:rsidRDefault="00E73D40" w:rsidP="009458D1">
      <w:pPr>
        <w:rPr>
          <w:sz w:val="28"/>
          <w:szCs w:val="28"/>
        </w:rPr>
      </w:pPr>
    </w:p>
    <w:p w14:paraId="60AAE53D" w14:textId="77777777" w:rsidR="00E73D40" w:rsidRDefault="00E73D40" w:rsidP="009458D1">
      <w:pPr>
        <w:rPr>
          <w:sz w:val="28"/>
          <w:szCs w:val="28"/>
        </w:rPr>
      </w:pPr>
    </w:p>
    <w:p w14:paraId="26BCCDF8" w14:textId="77777777" w:rsidR="00E73D40" w:rsidRDefault="00E73D40" w:rsidP="009458D1">
      <w:pPr>
        <w:rPr>
          <w:sz w:val="28"/>
          <w:szCs w:val="28"/>
        </w:rPr>
      </w:pPr>
    </w:p>
    <w:p w14:paraId="26CBAC5F" w14:textId="77777777" w:rsidR="00E73D40" w:rsidRDefault="00E73D40" w:rsidP="009458D1">
      <w:pPr>
        <w:rPr>
          <w:sz w:val="28"/>
          <w:szCs w:val="28"/>
        </w:rPr>
      </w:pPr>
    </w:p>
    <w:p w14:paraId="1FF9056E" w14:textId="77777777" w:rsidR="00E73D40" w:rsidRDefault="00E73D40" w:rsidP="009458D1">
      <w:pPr>
        <w:rPr>
          <w:sz w:val="28"/>
          <w:szCs w:val="28"/>
        </w:rPr>
      </w:pPr>
    </w:p>
    <w:p w14:paraId="7CBBA2BF" w14:textId="77777777" w:rsidR="00E73D40" w:rsidRDefault="00E73D40" w:rsidP="009458D1">
      <w:pPr>
        <w:rPr>
          <w:sz w:val="28"/>
          <w:szCs w:val="28"/>
        </w:rPr>
      </w:pPr>
    </w:p>
    <w:p w14:paraId="799D750D" w14:textId="77777777" w:rsidR="00E73D40" w:rsidRDefault="00E73D40" w:rsidP="009458D1">
      <w:pPr>
        <w:rPr>
          <w:sz w:val="28"/>
          <w:szCs w:val="28"/>
        </w:rPr>
      </w:pPr>
    </w:p>
    <w:p w14:paraId="2AC36881" w14:textId="77777777" w:rsidR="00E73D40" w:rsidRDefault="00E73D40" w:rsidP="009458D1">
      <w:pPr>
        <w:rPr>
          <w:sz w:val="28"/>
          <w:szCs w:val="28"/>
        </w:rPr>
      </w:pPr>
    </w:p>
    <w:p w14:paraId="294EE6AE" w14:textId="77777777" w:rsidR="00E73D40" w:rsidRDefault="00E73D40" w:rsidP="009458D1">
      <w:pPr>
        <w:rPr>
          <w:sz w:val="28"/>
          <w:szCs w:val="28"/>
        </w:rPr>
      </w:pPr>
    </w:p>
    <w:p w14:paraId="05C2EEB0" w14:textId="77777777" w:rsidR="00E73D40" w:rsidRDefault="00E73D40" w:rsidP="009458D1">
      <w:pPr>
        <w:rPr>
          <w:sz w:val="28"/>
          <w:szCs w:val="28"/>
        </w:rPr>
      </w:pPr>
    </w:p>
    <w:p w14:paraId="44E6B012" w14:textId="77777777" w:rsidR="00E73D40" w:rsidRDefault="00E73D40" w:rsidP="009458D1">
      <w:pPr>
        <w:rPr>
          <w:sz w:val="28"/>
          <w:szCs w:val="28"/>
        </w:rPr>
      </w:pPr>
    </w:p>
    <w:p w14:paraId="779C46C7" w14:textId="77777777" w:rsidR="00E73D40" w:rsidRDefault="00E73D40" w:rsidP="009458D1">
      <w:pPr>
        <w:rPr>
          <w:sz w:val="28"/>
          <w:szCs w:val="28"/>
        </w:rPr>
      </w:pPr>
    </w:p>
    <w:p w14:paraId="578BC1D9" w14:textId="77777777" w:rsidR="00E73D40" w:rsidRDefault="00E73D40" w:rsidP="009458D1">
      <w:pPr>
        <w:rPr>
          <w:sz w:val="28"/>
          <w:szCs w:val="28"/>
        </w:rPr>
      </w:pPr>
    </w:p>
    <w:p w14:paraId="15D3E1C0" w14:textId="77777777" w:rsidR="00263F4D" w:rsidRDefault="00263F4D" w:rsidP="009458D1">
      <w:pPr>
        <w:rPr>
          <w:sz w:val="28"/>
          <w:szCs w:val="28"/>
        </w:rPr>
      </w:pPr>
    </w:p>
    <w:p w14:paraId="0FBD8A72" w14:textId="77777777" w:rsidR="00263F4D" w:rsidRDefault="00263F4D" w:rsidP="009458D1">
      <w:pPr>
        <w:rPr>
          <w:sz w:val="28"/>
          <w:szCs w:val="28"/>
        </w:rPr>
      </w:pPr>
    </w:p>
    <w:p w14:paraId="201F4C45" w14:textId="7C88309A" w:rsidR="009458D1" w:rsidRPr="00025882" w:rsidRDefault="009458D1" w:rsidP="00263F4D">
      <w:pPr>
        <w:jc w:val="both"/>
        <w:rPr>
          <w:b/>
          <w:bCs/>
          <w:sz w:val="28"/>
          <w:szCs w:val="28"/>
        </w:rPr>
      </w:pPr>
      <w:r w:rsidRPr="00025882">
        <w:rPr>
          <w:b/>
          <w:bCs/>
          <w:sz w:val="28"/>
          <w:szCs w:val="28"/>
        </w:rPr>
        <w:lastRenderedPageBreak/>
        <w:t>References</w:t>
      </w:r>
      <w:bookmarkStart w:id="0" w:name="_GoBack"/>
      <w:bookmarkEnd w:id="0"/>
    </w:p>
    <w:p w14:paraId="758C63D7" w14:textId="77777777" w:rsidR="00B1444F" w:rsidRPr="00B1444F" w:rsidRDefault="00B1444F" w:rsidP="00263F4D">
      <w:pPr>
        <w:jc w:val="both"/>
        <w:rPr>
          <w:rFonts w:eastAsiaTheme="minorHAnsi"/>
          <w:sz w:val="28"/>
          <w:szCs w:val="28"/>
        </w:rPr>
      </w:pPr>
      <w:r w:rsidRPr="00B1444F">
        <w:rPr>
          <w:sz w:val="28"/>
          <w:szCs w:val="28"/>
        </w:rPr>
        <w:t>Barikzai, S. and Ross, M., 2018. From Enrolment to Employment: Creating Computing Curriculum For Employability and Entrepreneurability. In </w:t>
      </w:r>
      <w:r w:rsidRPr="00B1444F">
        <w:rPr>
          <w:i/>
          <w:iCs/>
          <w:sz w:val="28"/>
          <w:szCs w:val="28"/>
        </w:rPr>
        <w:t>Technology in Education</w:t>
      </w:r>
      <w:r w:rsidRPr="00B1444F">
        <w:rPr>
          <w:sz w:val="28"/>
          <w:szCs w:val="28"/>
        </w:rPr>
        <w:t> (pp. 83-91). BCS, The Chartered Institute for IT.</w:t>
      </w:r>
    </w:p>
    <w:p w14:paraId="25DF28F1" w14:textId="77777777" w:rsidR="00B1444F" w:rsidRPr="00B1444F" w:rsidRDefault="00B1444F" w:rsidP="00263F4D">
      <w:pPr>
        <w:jc w:val="both"/>
        <w:rPr>
          <w:sz w:val="28"/>
          <w:szCs w:val="28"/>
        </w:rPr>
      </w:pPr>
      <w:r w:rsidRPr="00B1444F">
        <w:rPr>
          <w:sz w:val="28"/>
          <w:szCs w:val="28"/>
        </w:rPr>
        <w:t>Bartel, J., 2018. Teaching soft skills for employability. </w:t>
      </w:r>
      <w:r w:rsidRPr="00B1444F">
        <w:rPr>
          <w:i/>
          <w:iCs/>
          <w:sz w:val="28"/>
          <w:szCs w:val="28"/>
        </w:rPr>
        <w:t>TESL Canada Journal</w:t>
      </w:r>
      <w:r w:rsidRPr="00B1444F">
        <w:rPr>
          <w:sz w:val="28"/>
          <w:szCs w:val="28"/>
        </w:rPr>
        <w:t>, </w:t>
      </w:r>
      <w:r w:rsidRPr="00B1444F">
        <w:rPr>
          <w:i/>
          <w:iCs/>
          <w:sz w:val="28"/>
          <w:szCs w:val="28"/>
        </w:rPr>
        <w:t>35</w:t>
      </w:r>
      <w:r w:rsidRPr="00B1444F">
        <w:rPr>
          <w:sz w:val="28"/>
          <w:szCs w:val="28"/>
        </w:rPr>
        <w:t>(1), pp.78-92.</w:t>
      </w:r>
    </w:p>
    <w:p w14:paraId="7D326683" w14:textId="77777777" w:rsidR="00B1444F" w:rsidRPr="00B1444F" w:rsidRDefault="00B1444F" w:rsidP="00263F4D">
      <w:pPr>
        <w:jc w:val="both"/>
        <w:rPr>
          <w:sz w:val="28"/>
          <w:szCs w:val="28"/>
        </w:rPr>
      </w:pPr>
      <w:r w:rsidRPr="00B1444F">
        <w:rPr>
          <w:sz w:val="28"/>
          <w:szCs w:val="28"/>
        </w:rPr>
        <w:t>Bowles, M., Bowes, N. and Wilson, P., 2019. Future-proof human capabilities: Raising the future employability of graduates. </w:t>
      </w:r>
      <w:r w:rsidRPr="00B1444F">
        <w:rPr>
          <w:i/>
          <w:iCs/>
          <w:sz w:val="28"/>
          <w:szCs w:val="28"/>
        </w:rPr>
        <w:t>International Journal of Business and Social Science</w:t>
      </w:r>
      <w:r w:rsidRPr="00B1444F">
        <w:rPr>
          <w:sz w:val="28"/>
          <w:szCs w:val="28"/>
        </w:rPr>
        <w:t>, </w:t>
      </w:r>
      <w:r w:rsidRPr="00B1444F">
        <w:rPr>
          <w:i/>
          <w:iCs/>
          <w:sz w:val="28"/>
          <w:szCs w:val="28"/>
        </w:rPr>
        <w:t>10</w:t>
      </w:r>
      <w:r w:rsidRPr="00B1444F">
        <w:rPr>
          <w:sz w:val="28"/>
          <w:szCs w:val="28"/>
        </w:rPr>
        <w:t>(11), pp.18-29.</w:t>
      </w:r>
    </w:p>
    <w:p w14:paraId="11939BF0" w14:textId="77777777" w:rsidR="00B1444F" w:rsidRPr="00B1444F" w:rsidRDefault="00B1444F" w:rsidP="00263F4D">
      <w:pPr>
        <w:jc w:val="both"/>
        <w:rPr>
          <w:sz w:val="28"/>
          <w:szCs w:val="28"/>
        </w:rPr>
      </w:pPr>
      <w:r w:rsidRPr="00B1444F">
        <w:rPr>
          <w:sz w:val="28"/>
          <w:szCs w:val="28"/>
        </w:rPr>
        <w:t>Chakraborty, T., Gupta, D. and Saha, R., 2017. Role of Psychological Predisposition on Employability of Management Students: Moderation Analysis through Soft Skills Training. </w:t>
      </w:r>
      <w:r w:rsidRPr="00B1444F">
        <w:rPr>
          <w:i/>
          <w:iCs/>
          <w:sz w:val="28"/>
          <w:szCs w:val="28"/>
        </w:rPr>
        <w:t>The International Journal of Indian Psychology, Volume 4, Issue 2, No. 95</w:t>
      </w:r>
      <w:r w:rsidRPr="00B1444F">
        <w:rPr>
          <w:sz w:val="28"/>
          <w:szCs w:val="28"/>
        </w:rPr>
        <w:t>, p.101.</w:t>
      </w:r>
    </w:p>
    <w:p w14:paraId="66D212D6" w14:textId="77777777" w:rsidR="00B1444F" w:rsidRPr="00B1444F" w:rsidRDefault="00B1444F" w:rsidP="00263F4D">
      <w:pPr>
        <w:jc w:val="both"/>
        <w:rPr>
          <w:sz w:val="28"/>
          <w:szCs w:val="28"/>
        </w:rPr>
      </w:pPr>
      <w:r w:rsidRPr="00B1444F">
        <w:rPr>
          <w:sz w:val="28"/>
          <w:szCs w:val="28"/>
        </w:rPr>
        <w:t>Dubey, R.S., Tewari, V. and Pandiya, B., 2017, December. A soft approach towards gaining employability in IT professionals. In </w:t>
      </w:r>
      <w:r w:rsidRPr="00B1444F">
        <w:rPr>
          <w:i/>
          <w:iCs/>
          <w:sz w:val="28"/>
          <w:szCs w:val="28"/>
        </w:rPr>
        <w:t>2017 IEEE International Conference on Industrial Engineering and Engineering Management (IEEM)</w:t>
      </w:r>
      <w:r w:rsidRPr="00B1444F">
        <w:rPr>
          <w:sz w:val="28"/>
          <w:szCs w:val="28"/>
        </w:rPr>
        <w:t> (pp. 299-303). IEEE.</w:t>
      </w:r>
    </w:p>
    <w:p w14:paraId="242994FA" w14:textId="77777777" w:rsidR="00B1444F" w:rsidRPr="00B1444F" w:rsidRDefault="00B1444F" w:rsidP="00263F4D">
      <w:pPr>
        <w:jc w:val="both"/>
        <w:rPr>
          <w:sz w:val="28"/>
          <w:szCs w:val="28"/>
        </w:rPr>
      </w:pPr>
      <w:r w:rsidRPr="00B1444F">
        <w:rPr>
          <w:sz w:val="28"/>
          <w:szCs w:val="28"/>
        </w:rPr>
        <w:t>Edwards, S., 2017. Reflecting differently. New dimensions: reflection-before-action and reflection-beyond-action. </w:t>
      </w:r>
      <w:r w:rsidRPr="00B1444F">
        <w:rPr>
          <w:i/>
          <w:iCs/>
          <w:sz w:val="28"/>
          <w:szCs w:val="28"/>
        </w:rPr>
        <w:t>International Practice Development Journal</w:t>
      </w:r>
      <w:r w:rsidRPr="00B1444F">
        <w:rPr>
          <w:sz w:val="28"/>
          <w:szCs w:val="28"/>
        </w:rPr>
        <w:t>, </w:t>
      </w:r>
      <w:r w:rsidRPr="00B1444F">
        <w:rPr>
          <w:i/>
          <w:iCs/>
          <w:sz w:val="28"/>
          <w:szCs w:val="28"/>
        </w:rPr>
        <w:t>7</w:t>
      </w:r>
      <w:r w:rsidRPr="00B1444F">
        <w:rPr>
          <w:sz w:val="28"/>
          <w:szCs w:val="28"/>
        </w:rPr>
        <w:t>(1).</w:t>
      </w:r>
    </w:p>
    <w:p w14:paraId="6A45109C" w14:textId="77777777" w:rsidR="00B1444F" w:rsidRPr="00B1444F" w:rsidRDefault="00B1444F" w:rsidP="00263F4D">
      <w:pPr>
        <w:jc w:val="both"/>
        <w:rPr>
          <w:sz w:val="28"/>
          <w:szCs w:val="28"/>
        </w:rPr>
      </w:pPr>
      <w:r w:rsidRPr="00B1444F">
        <w:rPr>
          <w:sz w:val="28"/>
          <w:szCs w:val="28"/>
        </w:rPr>
        <w:t>Jackson, T.P. and Oliver, S., 2018. Adaptive Learning Program for Developing Employability Skills. </w:t>
      </w:r>
      <w:r w:rsidRPr="00B1444F">
        <w:rPr>
          <w:i/>
          <w:iCs/>
          <w:sz w:val="28"/>
          <w:szCs w:val="28"/>
        </w:rPr>
        <w:t>Journal of Pedagogic Development</w:t>
      </w:r>
      <w:r w:rsidRPr="00B1444F">
        <w:rPr>
          <w:sz w:val="28"/>
          <w:szCs w:val="28"/>
        </w:rPr>
        <w:t>, </w:t>
      </w:r>
      <w:r w:rsidRPr="00B1444F">
        <w:rPr>
          <w:i/>
          <w:iCs/>
          <w:sz w:val="28"/>
          <w:szCs w:val="28"/>
        </w:rPr>
        <w:t>8</w:t>
      </w:r>
      <w:r w:rsidRPr="00B1444F">
        <w:rPr>
          <w:sz w:val="28"/>
          <w:szCs w:val="28"/>
        </w:rPr>
        <w:t>(1).</w:t>
      </w:r>
    </w:p>
    <w:p w14:paraId="769B300C" w14:textId="1F2DD57D" w:rsidR="00B1444F" w:rsidRPr="00B1444F" w:rsidRDefault="00B1444F" w:rsidP="00263F4D">
      <w:pPr>
        <w:jc w:val="both"/>
        <w:rPr>
          <w:sz w:val="28"/>
          <w:szCs w:val="28"/>
        </w:rPr>
      </w:pPr>
      <w:r w:rsidRPr="00B1444F">
        <w:rPr>
          <w:sz w:val="28"/>
          <w:szCs w:val="28"/>
        </w:rPr>
        <w:t>Nusrat, M. and Naz, K., 2018. Soft Skills for Sustainable Employment: Does it really Matter?. </w:t>
      </w:r>
      <w:r w:rsidRPr="00B1444F">
        <w:rPr>
          <w:i/>
          <w:iCs/>
          <w:sz w:val="28"/>
          <w:szCs w:val="28"/>
        </w:rPr>
        <w:t>Soft Skills for Sustainable Employment: Does it really Matter</w:t>
      </w:r>
      <w:r w:rsidRPr="00B1444F">
        <w:rPr>
          <w:sz w:val="28"/>
          <w:szCs w:val="28"/>
        </w:rPr>
        <w:t>, pp.1835-1837.</w:t>
      </w:r>
    </w:p>
    <w:p w14:paraId="46AF0770" w14:textId="77777777" w:rsidR="00B1444F" w:rsidRPr="00B1444F" w:rsidRDefault="00B1444F" w:rsidP="00263F4D">
      <w:pPr>
        <w:jc w:val="both"/>
        <w:rPr>
          <w:rFonts w:eastAsiaTheme="minorHAnsi"/>
          <w:sz w:val="28"/>
          <w:szCs w:val="28"/>
        </w:rPr>
      </w:pPr>
      <w:r w:rsidRPr="00B1444F">
        <w:rPr>
          <w:sz w:val="28"/>
          <w:szCs w:val="28"/>
        </w:rPr>
        <w:t>Scott, F.J., Connell, P., Thomson, L.A. and Willison, D., 2019. Empowering students by enhancing their employability skills. </w:t>
      </w:r>
      <w:r w:rsidRPr="00B1444F">
        <w:rPr>
          <w:i/>
          <w:iCs/>
          <w:sz w:val="28"/>
          <w:szCs w:val="28"/>
        </w:rPr>
        <w:t>Journal of Further and Higher Education</w:t>
      </w:r>
      <w:r w:rsidRPr="00B1444F">
        <w:rPr>
          <w:sz w:val="28"/>
          <w:szCs w:val="28"/>
        </w:rPr>
        <w:t>, </w:t>
      </w:r>
      <w:r w:rsidRPr="00B1444F">
        <w:rPr>
          <w:i/>
          <w:iCs/>
          <w:sz w:val="28"/>
          <w:szCs w:val="28"/>
        </w:rPr>
        <w:t>43</w:t>
      </w:r>
      <w:r w:rsidRPr="00B1444F">
        <w:rPr>
          <w:sz w:val="28"/>
          <w:szCs w:val="28"/>
        </w:rPr>
        <w:t>(5), pp.692-707.</w:t>
      </w:r>
    </w:p>
    <w:p w14:paraId="43BD2908" w14:textId="77777777" w:rsidR="00B1444F" w:rsidRPr="00B1444F" w:rsidRDefault="00B1444F" w:rsidP="00263F4D">
      <w:pPr>
        <w:jc w:val="both"/>
        <w:rPr>
          <w:sz w:val="28"/>
          <w:szCs w:val="28"/>
        </w:rPr>
      </w:pPr>
      <w:r w:rsidRPr="00B1444F">
        <w:rPr>
          <w:sz w:val="28"/>
          <w:szCs w:val="28"/>
        </w:rPr>
        <w:t>Shukla, A. and Kumar, G., 2017. Essential soft skills for employability–a longitudinal study. </w:t>
      </w:r>
      <w:r w:rsidRPr="00B1444F">
        <w:rPr>
          <w:i/>
          <w:iCs/>
          <w:sz w:val="28"/>
          <w:szCs w:val="28"/>
        </w:rPr>
        <w:t>Advances in Economics and Business Management</w:t>
      </w:r>
      <w:r w:rsidRPr="00B1444F">
        <w:rPr>
          <w:sz w:val="28"/>
          <w:szCs w:val="28"/>
        </w:rPr>
        <w:t>, </w:t>
      </w:r>
      <w:r w:rsidRPr="00B1444F">
        <w:rPr>
          <w:i/>
          <w:iCs/>
          <w:sz w:val="28"/>
          <w:szCs w:val="28"/>
        </w:rPr>
        <w:t>4</w:t>
      </w:r>
      <w:r w:rsidRPr="00B1444F">
        <w:rPr>
          <w:sz w:val="28"/>
          <w:szCs w:val="28"/>
        </w:rPr>
        <w:t>(6), pp.362-367.</w:t>
      </w:r>
    </w:p>
    <w:p w14:paraId="4ADBED79" w14:textId="77777777" w:rsidR="00B1444F" w:rsidRPr="00B1444F" w:rsidRDefault="00B1444F" w:rsidP="00263F4D">
      <w:pPr>
        <w:jc w:val="both"/>
        <w:rPr>
          <w:sz w:val="28"/>
          <w:szCs w:val="28"/>
        </w:rPr>
      </w:pPr>
      <w:r w:rsidRPr="00B1444F">
        <w:rPr>
          <w:sz w:val="28"/>
          <w:szCs w:val="28"/>
        </w:rPr>
        <w:lastRenderedPageBreak/>
        <w:t>Suleman, F., 2016. Employability skills of higher education graduates: Little consensus on a much-discussed subject. </w:t>
      </w:r>
      <w:r w:rsidRPr="00B1444F">
        <w:rPr>
          <w:i/>
          <w:iCs/>
          <w:sz w:val="28"/>
          <w:szCs w:val="28"/>
        </w:rPr>
        <w:t>Procedia-Social and Behavioral Sciences</w:t>
      </w:r>
      <w:r w:rsidRPr="00B1444F">
        <w:rPr>
          <w:sz w:val="28"/>
          <w:szCs w:val="28"/>
        </w:rPr>
        <w:t>, </w:t>
      </w:r>
      <w:r w:rsidRPr="00B1444F">
        <w:rPr>
          <w:i/>
          <w:iCs/>
          <w:sz w:val="28"/>
          <w:szCs w:val="28"/>
        </w:rPr>
        <w:t>228</w:t>
      </w:r>
      <w:r w:rsidRPr="00B1444F">
        <w:rPr>
          <w:sz w:val="28"/>
          <w:szCs w:val="28"/>
        </w:rPr>
        <w:t>, pp.169-174.</w:t>
      </w:r>
    </w:p>
    <w:p w14:paraId="7232256D" w14:textId="77777777" w:rsidR="00B1444F" w:rsidRPr="00B1444F" w:rsidRDefault="00B1444F" w:rsidP="00263F4D">
      <w:pPr>
        <w:jc w:val="both"/>
        <w:rPr>
          <w:sz w:val="28"/>
          <w:szCs w:val="28"/>
        </w:rPr>
      </w:pPr>
      <w:r w:rsidRPr="00B1444F">
        <w:rPr>
          <w:sz w:val="28"/>
          <w:szCs w:val="28"/>
        </w:rPr>
        <w:t>Tang, K.N., 2019. Beyond Employability: Embedding Soft Skills in Higher Education. </w:t>
      </w:r>
      <w:r w:rsidRPr="00B1444F">
        <w:rPr>
          <w:i/>
          <w:iCs/>
          <w:sz w:val="28"/>
          <w:szCs w:val="28"/>
        </w:rPr>
        <w:t>Turkish Online Journal of Educational Technology-TOJET</w:t>
      </w:r>
      <w:r w:rsidRPr="00B1444F">
        <w:rPr>
          <w:sz w:val="28"/>
          <w:szCs w:val="28"/>
        </w:rPr>
        <w:t>, </w:t>
      </w:r>
      <w:r w:rsidRPr="00B1444F">
        <w:rPr>
          <w:i/>
          <w:iCs/>
          <w:sz w:val="28"/>
          <w:szCs w:val="28"/>
        </w:rPr>
        <w:t>18</w:t>
      </w:r>
      <w:r w:rsidRPr="00B1444F">
        <w:rPr>
          <w:sz w:val="28"/>
          <w:szCs w:val="28"/>
        </w:rPr>
        <w:t>(2), pp.1-9.</w:t>
      </w:r>
    </w:p>
    <w:p w14:paraId="08D2CB13" w14:textId="77777777" w:rsidR="00B1444F" w:rsidRPr="00B1444F" w:rsidRDefault="00B1444F" w:rsidP="00263F4D">
      <w:pPr>
        <w:jc w:val="both"/>
        <w:rPr>
          <w:sz w:val="28"/>
          <w:szCs w:val="28"/>
        </w:rPr>
      </w:pPr>
      <w:r w:rsidRPr="00B1444F">
        <w:rPr>
          <w:sz w:val="28"/>
          <w:szCs w:val="28"/>
        </w:rPr>
        <w:t>Tomkins, L. and Ulus, E., 2016. ‘Oh, was that “experiential learning”?!’Spaces, synergies and surprises with Kolb’s learning cycle. </w:t>
      </w:r>
      <w:r w:rsidRPr="00B1444F">
        <w:rPr>
          <w:i/>
          <w:iCs/>
          <w:sz w:val="28"/>
          <w:szCs w:val="28"/>
        </w:rPr>
        <w:t>Management Learning</w:t>
      </w:r>
      <w:r w:rsidRPr="00B1444F">
        <w:rPr>
          <w:sz w:val="28"/>
          <w:szCs w:val="28"/>
        </w:rPr>
        <w:t>, </w:t>
      </w:r>
      <w:r w:rsidRPr="00B1444F">
        <w:rPr>
          <w:i/>
          <w:iCs/>
          <w:sz w:val="28"/>
          <w:szCs w:val="28"/>
        </w:rPr>
        <w:t>47</w:t>
      </w:r>
      <w:r w:rsidRPr="00B1444F">
        <w:rPr>
          <w:sz w:val="28"/>
          <w:szCs w:val="28"/>
        </w:rPr>
        <w:t>(2), pp.158-178.</w:t>
      </w:r>
    </w:p>
    <w:p w14:paraId="19C550C7" w14:textId="77777777" w:rsidR="00B1444F" w:rsidRPr="00B1444F" w:rsidRDefault="00B1444F" w:rsidP="00263F4D">
      <w:pPr>
        <w:jc w:val="both"/>
        <w:rPr>
          <w:sz w:val="28"/>
          <w:szCs w:val="28"/>
        </w:rPr>
      </w:pPr>
      <w:r w:rsidRPr="00B1444F">
        <w:rPr>
          <w:sz w:val="28"/>
          <w:szCs w:val="28"/>
        </w:rPr>
        <w:t>Watson, M.K., Pelkey, J., Noyes, C. and Rodgers, M.O., 2019. Using Kolb’s Learning Cycle to Improve Student Sustainability Knowledge. </w:t>
      </w:r>
      <w:r w:rsidRPr="00B1444F">
        <w:rPr>
          <w:i/>
          <w:iCs/>
          <w:sz w:val="28"/>
          <w:szCs w:val="28"/>
        </w:rPr>
        <w:t>Sustainability</w:t>
      </w:r>
      <w:r w:rsidRPr="00B1444F">
        <w:rPr>
          <w:sz w:val="28"/>
          <w:szCs w:val="28"/>
        </w:rPr>
        <w:t>, </w:t>
      </w:r>
      <w:r w:rsidRPr="00B1444F">
        <w:rPr>
          <w:i/>
          <w:iCs/>
          <w:sz w:val="28"/>
          <w:szCs w:val="28"/>
        </w:rPr>
        <w:t>11</w:t>
      </w:r>
      <w:r w:rsidRPr="00B1444F">
        <w:rPr>
          <w:sz w:val="28"/>
          <w:szCs w:val="28"/>
        </w:rPr>
        <w:t>(17), p.4602.</w:t>
      </w:r>
    </w:p>
    <w:p w14:paraId="41B89099" w14:textId="77777777" w:rsidR="00B1444F" w:rsidRPr="00B1444F" w:rsidRDefault="00B1444F" w:rsidP="00263F4D">
      <w:pPr>
        <w:jc w:val="both"/>
        <w:rPr>
          <w:sz w:val="28"/>
          <w:szCs w:val="28"/>
        </w:rPr>
      </w:pPr>
    </w:p>
    <w:p w14:paraId="26FFFDA5" w14:textId="77777777" w:rsidR="00B1444F" w:rsidRPr="00B1444F" w:rsidRDefault="00B1444F" w:rsidP="00263F4D">
      <w:pPr>
        <w:jc w:val="both"/>
        <w:rPr>
          <w:sz w:val="28"/>
          <w:szCs w:val="28"/>
        </w:rPr>
      </w:pPr>
    </w:p>
    <w:p w14:paraId="170E7E68" w14:textId="2214249D" w:rsidR="00B1444F" w:rsidRPr="00B1444F" w:rsidRDefault="00B1444F" w:rsidP="00B1444F">
      <w:pPr>
        <w:rPr>
          <w:sz w:val="28"/>
          <w:szCs w:val="28"/>
        </w:rPr>
      </w:pPr>
    </w:p>
    <w:p w14:paraId="79CD63CA" w14:textId="577A2488" w:rsidR="00B1444F" w:rsidRPr="00B1444F" w:rsidRDefault="00B1444F" w:rsidP="00B1444F">
      <w:pPr>
        <w:rPr>
          <w:sz w:val="28"/>
          <w:szCs w:val="28"/>
        </w:rPr>
      </w:pPr>
    </w:p>
    <w:p w14:paraId="03D861D5" w14:textId="77777777" w:rsidR="00B1444F" w:rsidRPr="00B1444F" w:rsidRDefault="00B1444F" w:rsidP="00B1444F">
      <w:pPr>
        <w:rPr>
          <w:sz w:val="28"/>
          <w:szCs w:val="28"/>
        </w:rPr>
      </w:pPr>
    </w:p>
    <w:p w14:paraId="1665DC73" w14:textId="77777777" w:rsidR="009458D1" w:rsidRDefault="009458D1" w:rsidP="009458D1"/>
    <w:p w14:paraId="5CC6F387" w14:textId="77777777" w:rsidR="009458D1" w:rsidRDefault="009458D1" w:rsidP="009458D1"/>
    <w:p w14:paraId="57797462" w14:textId="77777777" w:rsidR="009458D1" w:rsidRDefault="009458D1" w:rsidP="009458D1"/>
    <w:p w14:paraId="6972B47B" w14:textId="77777777" w:rsidR="009458D1" w:rsidRDefault="009458D1" w:rsidP="00993BC9"/>
    <w:p w14:paraId="7082CD90" w14:textId="77777777" w:rsidR="009458D1" w:rsidRDefault="009458D1" w:rsidP="00993BC9"/>
    <w:p w14:paraId="65150951" w14:textId="77777777" w:rsidR="00993BC9" w:rsidRDefault="00993BC9" w:rsidP="00993BC9">
      <w:pPr>
        <w:spacing w:line="276" w:lineRule="auto"/>
        <w:rPr>
          <w:rFonts w:eastAsiaTheme="majorEastAsia" w:cstheme="majorBidi"/>
          <w:b/>
          <w:bCs/>
          <w:sz w:val="28"/>
          <w:szCs w:val="28"/>
        </w:rPr>
      </w:pPr>
    </w:p>
    <w:p w14:paraId="731359F0" w14:textId="77777777" w:rsidR="00993BC9" w:rsidRDefault="00993BC9" w:rsidP="00993BC9"/>
    <w:p w14:paraId="486E5382" w14:textId="77777777" w:rsidR="00993BC9" w:rsidRDefault="00993BC9" w:rsidP="00993BC9"/>
    <w:p w14:paraId="4B867DDD" w14:textId="77777777" w:rsidR="00993BC9" w:rsidRDefault="00993BC9" w:rsidP="00993BC9"/>
    <w:p w14:paraId="019766BF" w14:textId="77777777" w:rsidR="00993BC9" w:rsidRDefault="00993BC9" w:rsidP="00993BC9"/>
    <w:p w14:paraId="284D7099" w14:textId="77777777" w:rsidR="00993BC9" w:rsidRDefault="00993BC9" w:rsidP="00993BC9"/>
    <w:p w14:paraId="3DE574CD" w14:textId="77777777" w:rsidR="00993BC9" w:rsidRDefault="00993BC9" w:rsidP="00993BC9"/>
    <w:p w14:paraId="26BEABF0" w14:textId="77777777" w:rsidR="00993BC9" w:rsidRDefault="00993BC9" w:rsidP="00993BC9"/>
    <w:p w14:paraId="7BD6CEAE" w14:textId="77777777" w:rsidR="00993BC9" w:rsidRDefault="00993BC9" w:rsidP="00993BC9">
      <w:pPr>
        <w:rPr>
          <w:rFonts w:ascii="Times New Roman" w:eastAsia="Calibri" w:hAnsi="Times New Roman" w:cs="Times New Roman"/>
          <w:color w:val="000000"/>
          <w:sz w:val="24"/>
        </w:rPr>
      </w:pPr>
    </w:p>
    <w:sectPr w:rsidR="00993B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64E740" w14:textId="77777777" w:rsidR="00CB1896" w:rsidRDefault="00CB1896" w:rsidP="00E14986">
      <w:pPr>
        <w:spacing w:after="0" w:line="240" w:lineRule="auto"/>
      </w:pPr>
      <w:r>
        <w:separator/>
      </w:r>
    </w:p>
  </w:endnote>
  <w:endnote w:type="continuationSeparator" w:id="0">
    <w:p w14:paraId="2EC53DF0" w14:textId="77777777" w:rsidR="00CB1896" w:rsidRDefault="00CB1896" w:rsidP="00E14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C2B607" w14:textId="77777777" w:rsidR="00CB1896" w:rsidRDefault="00CB1896" w:rsidP="00E14986">
      <w:pPr>
        <w:spacing w:after="0" w:line="240" w:lineRule="auto"/>
      </w:pPr>
      <w:r>
        <w:separator/>
      </w:r>
    </w:p>
  </w:footnote>
  <w:footnote w:type="continuationSeparator" w:id="0">
    <w:p w14:paraId="2684B301" w14:textId="77777777" w:rsidR="00CB1896" w:rsidRDefault="00CB1896" w:rsidP="00E149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BC9"/>
    <w:rsid w:val="00025882"/>
    <w:rsid w:val="00263F4D"/>
    <w:rsid w:val="006758AF"/>
    <w:rsid w:val="009458D1"/>
    <w:rsid w:val="00993BC9"/>
    <w:rsid w:val="00B1444F"/>
    <w:rsid w:val="00CB1896"/>
    <w:rsid w:val="00E14986"/>
    <w:rsid w:val="00E209A2"/>
    <w:rsid w:val="00E73D40"/>
    <w:rsid w:val="00ED3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8A0E7"/>
  <w15:chartTrackingRefBased/>
  <w15:docId w15:val="{2A8E7571-D629-4CAE-99AF-DC09D8C04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BC9"/>
    <w:rPr>
      <w:rFonts w:eastAsiaTheme="minorEastAsia"/>
    </w:rPr>
  </w:style>
  <w:style w:type="paragraph" w:styleId="Heading1">
    <w:name w:val="heading 1"/>
    <w:basedOn w:val="Normal"/>
    <w:next w:val="Normal"/>
    <w:link w:val="Heading1Char"/>
    <w:uiPriority w:val="9"/>
    <w:qFormat/>
    <w:rsid w:val="009458D1"/>
    <w:pPr>
      <w:keepNext/>
      <w:keepLines/>
      <w:spacing w:before="480" w:after="0" w:line="480" w:lineRule="auto"/>
      <w:outlineLvl w:val="0"/>
    </w:pPr>
    <w:rPr>
      <w:rFonts w:ascii="Times New Roman" w:eastAsiaTheme="majorEastAsia" w:hAnsi="Times New Roman" w:cstheme="majorBidi"/>
      <w:b/>
      <w:bCs/>
      <w:color w:val="000000" w:themeColor="text1"/>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8D1"/>
    <w:rPr>
      <w:rFonts w:ascii="Times New Roman" w:eastAsiaTheme="majorEastAsia" w:hAnsi="Times New Roman" w:cstheme="majorBidi"/>
      <w:b/>
      <w:bCs/>
      <w:color w:val="000000" w:themeColor="text1"/>
      <w:sz w:val="28"/>
      <w:szCs w:val="28"/>
      <w:lang w:val="en-US"/>
    </w:rPr>
  </w:style>
  <w:style w:type="paragraph" w:styleId="Header">
    <w:name w:val="header"/>
    <w:basedOn w:val="Normal"/>
    <w:link w:val="HeaderChar"/>
    <w:uiPriority w:val="99"/>
    <w:unhideWhenUsed/>
    <w:rsid w:val="00E14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986"/>
    <w:rPr>
      <w:rFonts w:eastAsiaTheme="minorEastAsia"/>
    </w:rPr>
  </w:style>
  <w:style w:type="paragraph" w:styleId="Footer">
    <w:name w:val="footer"/>
    <w:basedOn w:val="Normal"/>
    <w:link w:val="FooterChar"/>
    <w:uiPriority w:val="99"/>
    <w:unhideWhenUsed/>
    <w:rsid w:val="00E14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986"/>
    <w:rPr>
      <w:rFonts w:eastAsiaTheme="minorEastAsia"/>
    </w:rPr>
  </w:style>
  <w:style w:type="paragraph" w:styleId="ListParagraph">
    <w:name w:val="List Paragraph"/>
    <w:basedOn w:val="Normal"/>
    <w:uiPriority w:val="34"/>
    <w:qFormat/>
    <w:rsid w:val="00E73D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106524">
      <w:bodyDiv w:val="1"/>
      <w:marLeft w:val="0"/>
      <w:marRight w:val="0"/>
      <w:marTop w:val="0"/>
      <w:marBottom w:val="0"/>
      <w:divBdr>
        <w:top w:val="none" w:sz="0" w:space="0" w:color="auto"/>
        <w:left w:val="none" w:sz="0" w:space="0" w:color="auto"/>
        <w:bottom w:val="none" w:sz="0" w:space="0" w:color="auto"/>
        <w:right w:val="none" w:sz="0" w:space="0" w:color="auto"/>
      </w:divBdr>
    </w:div>
    <w:div w:id="424308641">
      <w:bodyDiv w:val="1"/>
      <w:marLeft w:val="0"/>
      <w:marRight w:val="0"/>
      <w:marTop w:val="0"/>
      <w:marBottom w:val="0"/>
      <w:divBdr>
        <w:top w:val="none" w:sz="0" w:space="0" w:color="auto"/>
        <w:left w:val="none" w:sz="0" w:space="0" w:color="auto"/>
        <w:bottom w:val="none" w:sz="0" w:space="0" w:color="auto"/>
        <w:right w:val="none" w:sz="0" w:space="0" w:color="auto"/>
      </w:divBdr>
    </w:div>
    <w:div w:id="553739946">
      <w:bodyDiv w:val="1"/>
      <w:marLeft w:val="0"/>
      <w:marRight w:val="0"/>
      <w:marTop w:val="0"/>
      <w:marBottom w:val="0"/>
      <w:divBdr>
        <w:top w:val="none" w:sz="0" w:space="0" w:color="auto"/>
        <w:left w:val="none" w:sz="0" w:space="0" w:color="auto"/>
        <w:bottom w:val="none" w:sz="0" w:space="0" w:color="auto"/>
        <w:right w:val="none" w:sz="0" w:space="0" w:color="auto"/>
      </w:divBdr>
    </w:div>
    <w:div w:id="587664788">
      <w:bodyDiv w:val="1"/>
      <w:marLeft w:val="0"/>
      <w:marRight w:val="0"/>
      <w:marTop w:val="0"/>
      <w:marBottom w:val="0"/>
      <w:divBdr>
        <w:top w:val="none" w:sz="0" w:space="0" w:color="auto"/>
        <w:left w:val="none" w:sz="0" w:space="0" w:color="auto"/>
        <w:bottom w:val="none" w:sz="0" w:space="0" w:color="auto"/>
        <w:right w:val="none" w:sz="0" w:space="0" w:color="auto"/>
      </w:divBdr>
    </w:div>
    <w:div w:id="1246383408">
      <w:bodyDiv w:val="1"/>
      <w:marLeft w:val="0"/>
      <w:marRight w:val="0"/>
      <w:marTop w:val="0"/>
      <w:marBottom w:val="0"/>
      <w:divBdr>
        <w:top w:val="none" w:sz="0" w:space="0" w:color="auto"/>
        <w:left w:val="none" w:sz="0" w:space="0" w:color="auto"/>
        <w:bottom w:val="none" w:sz="0" w:space="0" w:color="auto"/>
        <w:right w:val="none" w:sz="0" w:space="0" w:color="auto"/>
      </w:divBdr>
    </w:div>
    <w:div w:id="1419444897">
      <w:bodyDiv w:val="1"/>
      <w:marLeft w:val="0"/>
      <w:marRight w:val="0"/>
      <w:marTop w:val="0"/>
      <w:marBottom w:val="0"/>
      <w:divBdr>
        <w:top w:val="none" w:sz="0" w:space="0" w:color="auto"/>
        <w:left w:val="none" w:sz="0" w:space="0" w:color="auto"/>
        <w:bottom w:val="none" w:sz="0" w:space="0" w:color="auto"/>
        <w:right w:val="none" w:sz="0" w:space="0" w:color="auto"/>
      </w:divBdr>
    </w:div>
    <w:div w:id="1490101208">
      <w:bodyDiv w:val="1"/>
      <w:marLeft w:val="0"/>
      <w:marRight w:val="0"/>
      <w:marTop w:val="0"/>
      <w:marBottom w:val="0"/>
      <w:divBdr>
        <w:top w:val="none" w:sz="0" w:space="0" w:color="auto"/>
        <w:left w:val="none" w:sz="0" w:space="0" w:color="auto"/>
        <w:bottom w:val="none" w:sz="0" w:space="0" w:color="auto"/>
        <w:right w:val="none" w:sz="0" w:space="0" w:color="auto"/>
      </w:divBdr>
    </w:div>
    <w:div w:id="1832258794">
      <w:bodyDiv w:val="1"/>
      <w:marLeft w:val="0"/>
      <w:marRight w:val="0"/>
      <w:marTop w:val="0"/>
      <w:marBottom w:val="0"/>
      <w:divBdr>
        <w:top w:val="none" w:sz="0" w:space="0" w:color="auto"/>
        <w:left w:val="none" w:sz="0" w:space="0" w:color="auto"/>
        <w:bottom w:val="none" w:sz="0" w:space="0" w:color="auto"/>
        <w:right w:val="none" w:sz="0" w:space="0" w:color="auto"/>
      </w:divBdr>
    </w:div>
    <w:div w:id="1952198265">
      <w:bodyDiv w:val="1"/>
      <w:marLeft w:val="0"/>
      <w:marRight w:val="0"/>
      <w:marTop w:val="0"/>
      <w:marBottom w:val="0"/>
      <w:divBdr>
        <w:top w:val="none" w:sz="0" w:space="0" w:color="auto"/>
        <w:left w:val="none" w:sz="0" w:space="0" w:color="auto"/>
        <w:bottom w:val="none" w:sz="0" w:space="0" w:color="auto"/>
        <w:right w:val="none" w:sz="0" w:space="0" w:color="auto"/>
      </w:divBdr>
    </w:div>
    <w:div w:id="2090467982">
      <w:bodyDiv w:val="1"/>
      <w:marLeft w:val="0"/>
      <w:marRight w:val="0"/>
      <w:marTop w:val="0"/>
      <w:marBottom w:val="0"/>
      <w:divBdr>
        <w:top w:val="none" w:sz="0" w:space="0" w:color="auto"/>
        <w:left w:val="none" w:sz="0" w:space="0" w:color="auto"/>
        <w:bottom w:val="none" w:sz="0" w:space="0" w:color="auto"/>
        <w:right w:val="none" w:sz="0" w:space="0" w:color="auto"/>
      </w:divBdr>
    </w:div>
    <w:div w:id="2139030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DF6E2-D887-4FD5-8592-275E92EDD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2281</Words>
  <Characters>13003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Fernando</dc:creator>
  <cp:keywords/>
  <dc:description/>
  <cp:lastModifiedBy>Maria Fernando</cp:lastModifiedBy>
  <cp:revision>4</cp:revision>
  <dcterms:created xsi:type="dcterms:W3CDTF">2020-04-28T17:12:00Z</dcterms:created>
  <dcterms:modified xsi:type="dcterms:W3CDTF">2020-04-28T18:14:00Z</dcterms:modified>
</cp:coreProperties>
</file>