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C4147" w14:textId="77777777" w:rsidR="00606770" w:rsidRDefault="00606770" w:rsidP="00E37112">
      <w:pPr>
        <w:spacing w:line="240" w:lineRule="auto"/>
        <w:jc w:val="center"/>
        <w:rPr>
          <w:rFonts w:ascii="Arial" w:hAnsi="Arial" w:cs="Arial"/>
          <w:b/>
          <w:bCs/>
          <w:sz w:val="24"/>
          <w:szCs w:val="24"/>
          <w:lang w:val="en-US"/>
        </w:rPr>
      </w:pPr>
    </w:p>
    <w:p w14:paraId="46025190" w14:textId="77777777" w:rsidR="00606770" w:rsidRDefault="00606770" w:rsidP="00E37112">
      <w:pPr>
        <w:spacing w:line="240" w:lineRule="auto"/>
        <w:jc w:val="center"/>
        <w:rPr>
          <w:rFonts w:ascii="Arial" w:hAnsi="Arial" w:cs="Arial"/>
          <w:b/>
          <w:bCs/>
          <w:sz w:val="24"/>
          <w:szCs w:val="24"/>
          <w:lang w:val="en-US"/>
        </w:rPr>
      </w:pPr>
    </w:p>
    <w:p w14:paraId="1D79F3B1" w14:textId="06EFD199" w:rsidR="00606770" w:rsidRDefault="00606770" w:rsidP="00606770">
      <w:pPr>
        <w:pStyle w:val="Corptext"/>
        <w:ind w:left="220"/>
        <w:rPr>
          <w:rFonts w:ascii="Times New Roman"/>
          <w:sz w:val="20"/>
        </w:rPr>
      </w:pPr>
      <w:r>
        <w:rPr>
          <w:rFonts w:ascii="Times New Roman"/>
          <w:noProof/>
          <w:sz w:val="20"/>
        </w:rPr>
        <w:drawing>
          <wp:inline distT="0" distB="0" distL="0" distR="0" wp14:anchorId="26332DFB" wp14:editId="68E07B87">
            <wp:extent cx="1819275" cy="600075"/>
            <wp:effectExtent l="0" t="0" r="9525" b="9525"/>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9275" cy="600075"/>
                    </a:xfrm>
                    <a:prstGeom prst="rect">
                      <a:avLst/>
                    </a:prstGeom>
                    <a:noFill/>
                    <a:ln>
                      <a:noFill/>
                    </a:ln>
                  </pic:spPr>
                </pic:pic>
              </a:graphicData>
            </a:graphic>
          </wp:inline>
        </w:drawing>
      </w:r>
    </w:p>
    <w:p w14:paraId="6A86918F" w14:textId="1649C125" w:rsidR="00606770" w:rsidRDefault="008F0ECC" w:rsidP="00606770">
      <w:pPr>
        <w:spacing w:before="98"/>
        <w:ind w:right="217"/>
        <w:jc w:val="right"/>
        <w:rPr>
          <w:rFonts w:ascii="Arial"/>
          <w:b/>
          <w:sz w:val="28"/>
        </w:rPr>
      </w:pPr>
      <w:r>
        <w:rPr>
          <w:noProof/>
        </w:rPr>
        <mc:AlternateContent>
          <mc:Choice Requires="wps">
            <w:drawing>
              <wp:anchor distT="0" distB="0" distL="0" distR="0" simplePos="0" relativeHeight="251658240" behindDoc="1" locked="0" layoutInCell="1" allowOverlap="1" wp14:anchorId="22AEC7C9" wp14:editId="6E991326">
                <wp:simplePos x="0" y="0"/>
                <wp:positionH relativeFrom="page">
                  <wp:posOffset>1238250</wp:posOffset>
                </wp:positionH>
                <wp:positionV relativeFrom="paragraph">
                  <wp:posOffset>468630</wp:posOffset>
                </wp:positionV>
                <wp:extent cx="5638800" cy="1270000"/>
                <wp:effectExtent l="0" t="0" r="19050" b="2540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1270000"/>
                        </a:xfrm>
                        <a:prstGeom prst="rect">
                          <a:avLst/>
                        </a:prstGeom>
                        <a:solidFill>
                          <a:srgbClr val="C0C0C0"/>
                        </a:solidFill>
                        <a:ln w="6096">
                          <a:solidFill>
                            <a:srgbClr val="000000"/>
                          </a:solidFill>
                          <a:miter lim="800000"/>
                          <a:headEnd/>
                          <a:tailEnd/>
                        </a:ln>
                      </wps:spPr>
                      <wps:txbx>
                        <w:txbxContent>
                          <w:p w14:paraId="1477C65C" w14:textId="49BE88D9" w:rsidR="00606770" w:rsidRDefault="008F0ECC" w:rsidP="00606770">
                            <w:pPr>
                              <w:spacing w:before="119"/>
                              <w:ind w:left="1109"/>
                              <w:rPr>
                                <w:rFonts w:ascii="Arial"/>
                                <w:b/>
                                <w:sz w:val="40"/>
                                <w:lang w:val="en-US"/>
                              </w:rPr>
                            </w:pPr>
                            <w:r>
                              <w:rPr>
                                <w:rFonts w:ascii="Arial"/>
                                <w:b/>
                                <w:sz w:val="40"/>
                                <w:lang w:val="en-US"/>
                              </w:rPr>
                              <w:t>Student Name: Marinela Ancuta Szeri</w:t>
                            </w:r>
                          </w:p>
                          <w:p w14:paraId="2D94C639" w14:textId="1D437572" w:rsidR="008F0ECC" w:rsidRDefault="008F0ECC" w:rsidP="00606770">
                            <w:pPr>
                              <w:spacing w:before="119"/>
                              <w:ind w:left="1109"/>
                              <w:rPr>
                                <w:rFonts w:ascii="Arial"/>
                                <w:b/>
                                <w:sz w:val="40"/>
                                <w:lang w:val="en-US"/>
                              </w:rPr>
                            </w:pPr>
                            <w:r>
                              <w:rPr>
                                <w:rFonts w:ascii="Arial"/>
                                <w:b/>
                                <w:sz w:val="40"/>
                                <w:lang w:val="en-US"/>
                              </w:rPr>
                              <w:t>Student Number:1917613</w:t>
                            </w:r>
                          </w:p>
                          <w:p w14:paraId="17DB0AEF" w14:textId="77777777" w:rsidR="008F0ECC" w:rsidRDefault="008F0ECC" w:rsidP="00606770">
                            <w:pPr>
                              <w:spacing w:before="119"/>
                              <w:ind w:left="1109"/>
                              <w:rPr>
                                <w:rFonts w:ascii="Arial"/>
                                <w:b/>
                                <w:sz w:val="40"/>
                                <w:lang w:val="en-US"/>
                              </w:rPr>
                            </w:pPr>
                          </w:p>
                          <w:p w14:paraId="12ABC50A" w14:textId="62B2D3EB" w:rsidR="008F0ECC" w:rsidRDefault="008F0ECC" w:rsidP="00606770">
                            <w:pPr>
                              <w:spacing w:before="119"/>
                              <w:ind w:left="1109"/>
                              <w:rPr>
                                <w:rFonts w:ascii="Arial"/>
                                <w:b/>
                                <w:sz w:val="40"/>
                                <w:lang w:val="en-US"/>
                              </w:rPr>
                            </w:pPr>
                          </w:p>
                          <w:p w14:paraId="0178BC8F" w14:textId="77777777" w:rsidR="008F0ECC" w:rsidRPr="008F0ECC" w:rsidRDefault="008F0ECC" w:rsidP="00606770">
                            <w:pPr>
                              <w:spacing w:before="119"/>
                              <w:ind w:left="1109"/>
                              <w:rPr>
                                <w:rFonts w:ascii="Arial"/>
                                <w:b/>
                                <w:sz w:val="40"/>
                                <w:lang w:val="en-US"/>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2AEC7C9" id="_x0000_t202" coordsize="21600,21600" o:spt="202" path="m,l,21600r21600,l21600,xe">
                <v:stroke joinstyle="miter"/>
                <v:path gradientshapeok="t" o:connecttype="rect"/>
              </v:shapetype>
              <v:shape id="Text Box 3" o:spid="_x0000_s1026" type="#_x0000_t202" style="position:absolute;left:0;text-align:left;margin-left:97.5pt;margin-top:36.9pt;width:444pt;height:100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" fillcolor="silver" strokeweight=".48pt">
                <v:textbox inset="0,0,0,0">
                  <w:txbxContent>
                    <w:p w14:paraId="1477C65C" w14:textId="49BE88D9" w:rsidR="00606770" w:rsidRDefault="008F0ECC" w:rsidP="00606770">
                      <w:pPr>
                        <w:spacing w:before="119"/>
                        <w:ind w:left="1109"/>
                        <w:rPr>
                          <w:rFonts w:ascii="Arial"/>
                          <w:b/>
                          <w:sz w:val="40"/>
                          <w:lang w:val="en-US"/>
                        </w:rPr>
                      </w:pPr>
                      <w:r>
                        <w:rPr>
                          <w:rFonts w:ascii="Arial"/>
                          <w:b/>
                          <w:sz w:val="40"/>
                          <w:lang w:val="en-US"/>
                        </w:rPr>
                        <w:t>Student Name: Marinela Ancuta Szeri</w:t>
                      </w:r>
                    </w:p>
                    <w:p w14:paraId="2D94C639" w14:textId="1D437572" w:rsidR="008F0ECC" w:rsidRDefault="008F0ECC" w:rsidP="00606770">
                      <w:pPr>
                        <w:spacing w:before="119"/>
                        <w:ind w:left="1109"/>
                        <w:rPr>
                          <w:rFonts w:ascii="Arial"/>
                          <w:b/>
                          <w:sz w:val="40"/>
                          <w:lang w:val="en-US"/>
                        </w:rPr>
                      </w:pPr>
                      <w:r>
                        <w:rPr>
                          <w:rFonts w:ascii="Arial"/>
                          <w:b/>
                          <w:sz w:val="40"/>
                          <w:lang w:val="en-US"/>
                        </w:rPr>
                        <w:t>Student Number:1917613</w:t>
                      </w:r>
                    </w:p>
                    <w:p w14:paraId="17DB0AEF" w14:textId="77777777" w:rsidR="008F0ECC" w:rsidRDefault="008F0ECC" w:rsidP="00606770">
                      <w:pPr>
                        <w:spacing w:before="119"/>
                        <w:ind w:left="1109"/>
                        <w:rPr>
                          <w:rFonts w:ascii="Arial"/>
                          <w:b/>
                          <w:sz w:val="40"/>
                          <w:lang w:val="en-US"/>
                        </w:rPr>
                      </w:pPr>
                    </w:p>
                    <w:p w14:paraId="12ABC50A" w14:textId="62B2D3EB" w:rsidR="008F0ECC" w:rsidRDefault="008F0ECC" w:rsidP="00606770">
                      <w:pPr>
                        <w:spacing w:before="119"/>
                        <w:ind w:left="1109"/>
                        <w:rPr>
                          <w:rFonts w:ascii="Arial"/>
                          <w:b/>
                          <w:sz w:val="40"/>
                          <w:lang w:val="en-US"/>
                        </w:rPr>
                      </w:pPr>
                    </w:p>
                    <w:p w14:paraId="0178BC8F" w14:textId="77777777" w:rsidR="008F0ECC" w:rsidRPr="008F0ECC" w:rsidRDefault="008F0ECC" w:rsidP="00606770">
                      <w:pPr>
                        <w:spacing w:before="119"/>
                        <w:ind w:left="1109"/>
                        <w:rPr>
                          <w:rFonts w:ascii="Arial"/>
                          <w:b/>
                          <w:sz w:val="40"/>
                          <w:lang w:val="en-US"/>
                        </w:rPr>
                      </w:pPr>
                    </w:p>
                  </w:txbxContent>
                </v:textbox>
                <w10:wrap type="topAndBottom" anchorx="page"/>
              </v:shape>
            </w:pict>
          </mc:Fallback>
        </mc:AlternateContent>
      </w:r>
    </w:p>
    <w:p w14:paraId="3B983BA1" w14:textId="1ACBC4CE" w:rsidR="00606770" w:rsidRPr="008F0ECC" w:rsidRDefault="00606770" w:rsidP="008F0ECC">
      <w:pPr>
        <w:pStyle w:val="Corptext"/>
        <w:spacing w:before="10"/>
        <w:rPr>
          <w:rFonts w:ascii="Arial"/>
          <w:b/>
          <w:sz w:val="16"/>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606770" w14:paraId="2A2FDC48" w14:textId="77777777" w:rsidTr="00606770">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5A3464E8" w14:textId="77777777" w:rsidR="00606770" w:rsidRDefault="00606770">
            <w:pPr>
              <w:pStyle w:val="TableParagraph"/>
              <w:spacing w:before="115"/>
              <w:rPr>
                <w:rFonts w:ascii="Arial"/>
                <w:b/>
              </w:rPr>
            </w:pPr>
            <w:r>
              <w:rPr>
                <w:rFonts w:ascii="Arial"/>
                <w:b/>
              </w:rPr>
              <w:t>Programme:</w:t>
            </w:r>
          </w:p>
        </w:tc>
        <w:tc>
          <w:tcPr>
            <w:tcW w:w="7832" w:type="dxa"/>
            <w:gridSpan w:val="3"/>
            <w:tcBorders>
              <w:top w:val="single" w:sz="4" w:space="0" w:color="000000"/>
              <w:left w:val="single" w:sz="4" w:space="0" w:color="000000"/>
              <w:bottom w:val="single" w:sz="4" w:space="0" w:color="000000"/>
              <w:right w:val="single" w:sz="4" w:space="0" w:color="000000"/>
            </w:tcBorders>
            <w:hideMark/>
          </w:tcPr>
          <w:p w14:paraId="270FF4D2" w14:textId="77777777" w:rsidR="00606770" w:rsidRDefault="00606770">
            <w:pPr>
              <w:pStyle w:val="TableParagraph"/>
              <w:spacing w:before="115"/>
              <w:ind w:left="105"/>
              <w:rPr>
                <w:rFonts w:ascii="Arial"/>
                <w:b/>
              </w:rPr>
            </w:pPr>
            <w:r>
              <w:rPr>
                <w:rFonts w:ascii="Arial"/>
                <w:b/>
              </w:rPr>
              <w:t>BSc</w:t>
            </w:r>
            <w:r>
              <w:rPr>
                <w:rFonts w:ascii="Arial"/>
                <w:b/>
                <w:spacing w:val="-2"/>
              </w:rPr>
              <w:t xml:space="preserve"> </w:t>
            </w:r>
            <w:r>
              <w:rPr>
                <w:rFonts w:ascii="Arial"/>
                <w:b/>
              </w:rPr>
              <w:t>(Hons) Health</w:t>
            </w:r>
            <w:r>
              <w:rPr>
                <w:rFonts w:ascii="Arial"/>
                <w:b/>
                <w:spacing w:val="-3"/>
              </w:rPr>
              <w:t xml:space="preserve"> </w:t>
            </w:r>
            <w:r>
              <w:rPr>
                <w:rFonts w:ascii="Arial"/>
                <w:b/>
              </w:rPr>
              <w:t>and</w:t>
            </w:r>
            <w:r>
              <w:rPr>
                <w:rFonts w:ascii="Arial"/>
                <w:b/>
                <w:spacing w:val="-4"/>
              </w:rPr>
              <w:t xml:space="preserve"> </w:t>
            </w:r>
            <w:r>
              <w:rPr>
                <w:rFonts w:ascii="Arial"/>
                <w:b/>
              </w:rPr>
              <w:t>Social Care</w:t>
            </w:r>
          </w:p>
        </w:tc>
      </w:tr>
      <w:tr w:rsidR="00606770" w14:paraId="18C1BC4B" w14:textId="77777777" w:rsidTr="00606770">
        <w:trPr>
          <w:trHeight w:val="491"/>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09226E48" w14:textId="77777777" w:rsidR="00606770" w:rsidRDefault="00606770">
            <w:pPr>
              <w:pStyle w:val="TableParagraph"/>
              <w:spacing w:before="115"/>
              <w:rPr>
                <w:rFonts w:ascii="Arial"/>
                <w:b/>
              </w:rPr>
            </w:pPr>
            <w:r>
              <w:rPr>
                <w:rFonts w:ascii="Arial"/>
                <w:b/>
              </w:rPr>
              <w:t>Module:</w:t>
            </w:r>
          </w:p>
        </w:tc>
        <w:tc>
          <w:tcPr>
            <w:tcW w:w="7832" w:type="dxa"/>
            <w:gridSpan w:val="3"/>
            <w:tcBorders>
              <w:top w:val="single" w:sz="4" w:space="0" w:color="000000"/>
              <w:left w:val="single" w:sz="4" w:space="0" w:color="000000"/>
              <w:bottom w:val="single" w:sz="4" w:space="0" w:color="000000"/>
              <w:right w:val="single" w:sz="4" w:space="0" w:color="000000"/>
            </w:tcBorders>
            <w:hideMark/>
          </w:tcPr>
          <w:p w14:paraId="08ED7582" w14:textId="77777777" w:rsidR="00606770" w:rsidRDefault="00606770">
            <w:pPr>
              <w:pStyle w:val="TableParagraph"/>
              <w:spacing w:before="115"/>
              <w:ind w:left="105"/>
              <w:rPr>
                <w:rFonts w:ascii="Arial"/>
                <w:b/>
              </w:rPr>
            </w:pPr>
            <w:r>
              <w:rPr>
                <w:rFonts w:ascii="Arial"/>
                <w:b/>
              </w:rPr>
              <w:t>Principles</w:t>
            </w:r>
            <w:r>
              <w:rPr>
                <w:rFonts w:ascii="Arial"/>
                <w:b/>
                <w:spacing w:val="-2"/>
              </w:rPr>
              <w:t xml:space="preserve"> </w:t>
            </w:r>
            <w:r>
              <w:rPr>
                <w:rFonts w:ascii="Arial"/>
                <w:b/>
              </w:rPr>
              <w:t>of Health</w:t>
            </w:r>
            <w:r>
              <w:rPr>
                <w:rFonts w:ascii="Arial"/>
                <w:b/>
                <w:spacing w:val="-3"/>
              </w:rPr>
              <w:t xml:space="preserve"> </w:t>
            </w:r>
            <w:r>
              <w:rPr>
                <w:rFonts w:ascii="Arial"/>
                <w:b/>
              </w:rPr>
              <w:t>and</w:t>
            </w:r>
            <w:r>
              <w:rPr>
                <w:rFonts w:ascii="Arial"/>
                <w:b/>
                <w:spacing w:val="-1"/>
              </w:rPr>
              <w:t xml:space="preserve"> </w:t>
            </w:r>
            <w:r>
              <w:rPr>
                <w:rFonts w:ascii="Arial"/>
                <w:b/>
              </w:rPr>
              <w:t>Social</w:t>
            </w:r>
            <w:r>
              <w:rPr>
                <w:rFonts w:ascii="Arial"/>
                <w:b/>
                <w:spacing w:val="-1"/>
              </w:rPr>
              <w:t xml:space="preserve"> </w:t>
            </w:r>
            <w:r>
              <w:rPr>
                <w:rFonts w:ascii="Arial"/>
                <w:b/>
              </w:rPr>
              <w:t>Care</w:t>
            </w:r>
            <w:r>
              <w:rPr>
                <w:rFonts w:ascii="Arial"/>
                <w:b/>
                <w:spacing w:val="-3"/>
              </w:rPr>
              <w:t xml:space="preserve"> </w:t>
            </w:r>
            <w:r>
              <w:rPr>
                <w:rFonts w:ascii="Arial"/>
                <w:b/>
              </w:rPr>
              <w:t>Practice</w:t>
            </w:r>
          </w:p>
        </w:tc>
      </w:tr>
      <w:tr w:rsidR="00606770" w14:paraId="73A18AC5" w14:textId="77777777" w:rsidTr="00606770">
        <w:trPr>
          <w:trHeight w:val="866"/>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5B614856" w14:textId="77777777" w:rsidR="00606770" w:rsidRDefault="00606770">
            <w:pPr>
              <w:pStyle w:val="TableParagraph"/>
              <w:spacing w:before="118"/>
              <w:rPr>
                <w:rFonts w:ascii="Arial"/>
                <w:b/>
              </w:rPr>
            </w:pPr>
            <w:r>
              <w:rPr>
                <w:rFonts w:ascii="Arial"/>
                <w:b/>
              </w:rPr>
              <w:t>Module</w:t>
            </w:r>
            <w:r>
              <w:rPr>
                <w:rFonts w:ascii="Arial"/>
                <w:b/>
                <w:spacing w:val="-2"/>
              </w:rPr>
              <w:t xml:space="preserve"> </w:t>
            </w:r>
            <w:r>
              <w:rPr>
                <w:rFonts w:ascii="Arial"/>
                <w:b/>
              </w:rPr>
              <w:t>code:</w:t>
            </w:r>
          </w:p>
        </w:tc>
        <w:tc>
          <w:tcPr>
            <w:tcW w:w="3294" w:type="dxa"/>
            <w:tcBorders>
              <w:top w:val="single" w:sz="4" w:space="0" w:color="000000"/>
              <w:left w:val="single" w:sz="4" w:space="0" w:color="000000"/>
              <w:bottom w:val="single" w:sz="4" w:space="0" w:color="000000"/>
              <w:right w:val="single" w:sz="4" w:space="0" w:color="000000"/>
            </w:tcBorders>
            <w:hideMark/>
          </w:tcPr>
          <w:p w14:paraId="3E20E2D5" w14:textId="77777777" w:rsidR="00606770" w:rsidRDefault="00606770">
            <w:pPr>
              <w:pStyle w:val="TableParagraph"/>
              <w:spacing w:before="118"/>
              <w:ind w:left="105"/>
              <w:rPr>
                <w:rFonts w:ascii="Arial"/>
                <w:b/>
              </w:rPr>
            </w:pPr>
            <w:r>
              <w:rPr>
                <w:rFonts w:ascii="Arial"/>
                <w:b/>
              </w:rPr>
              <w:t>BMHP5002</w:t>
            </w:r>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0EAAEC2F" w14:textId="77777777" w:rsidR="00606770" w:rsidRDefault="00606770">
            <w:pPr>
              <w:pStyle w:val="TableParagraph"/>
              <w:spacing w:before="103"/>
              <w:rPr>
                <w:rFonts w:ascii="Arial"/>
                <w:b/>
              </w:rPr>
            </w:pPr>
            <w:r>
              <w:rPr>
                <w:rFonts w:ascii="Arial"/>
                <w:b/>
              </w:rPr>
              <w:t>Contribution</w:t>
            </w:r>
            <w:r>
              <w:rPr>
                <w:rFonts w:ascii="Arial"/>
                <w:b/>
                <w:spacing w:val="-4"/>
              </w:rPr>
              <w:t xml:space="preserve"> </w:t>
            </w:r>
            <w:r>
              <w:rPr>
                <w:rFonts w:ascii="Arial"/>
                <w:b/>
              </w:rPr>
              <w:t>to</w:t>
            </w:r>
          </w:p>
          <w:p w14:paraId="4E3382A4" w14:textId="77777777" w:rsidR="00606770" w:rsidRDefault="00606770">
            <w:pPr>
              <w:pStyle w:val="TableParagraph"/>
              <w:spacing w:line="252" w:lineRule="exact"/>
              <w:ind w:right="371"/>
              <w:rPr>
                <w:rFonts w:ascii="Arial"/>
                <w:b/>
              </w:rPr>
            </w:pPr>
            <w:r>
              <w:rPr>
                <w:rFonts w:ascii="Arial"/>
                <w:b/>
              </w:rPr>
              <w:t>Overall Module</w:t>
            </w:r>
            <w:r>
              <w:rPr>
                <w:rFonts w:ascii="Arial"/>
                <w:b/>
                <w:spacing w:val="1"/>
              </w:rPr>
              <w:t xml:space="preserve"> </w:t>
            </w:r>
            <w:r>
              <w:rPr>
                <w:rFonts w:ascii="Arial"/>
                <w:b/>
              </w:rPr>
              <w:t>Assessment</w:t>
            </w:r>
            <w:r>
              <w:rPr>
                <w:rFonts w:ascii="Arial"/>
                <w:b/>
                <w:spacing w:val="-12"/>
              </w:rPr>
              <w:t xml:space="preserve"> </w:t>
            </w:r>
            <w:r>
              <w:rPr>
                <w:rFonts w:ascii="Arial"/>
                <w:b/>
              </w:rPr>
              <w:t>(%):</w:t>
            </w:r>
          </w:p>
        </w:tc>
        <w:tc>
          <w:tcPr>
            <w:tcW w:w="2269" w:type="dxa"/>
            <w:tcBorders>
              <w:top w:val="single" w:sz="4" w:space="0" w:color="000000"/>
              <w:left w:val="single" w:sz="4" w:space="0" w:color="000000"/>
              <w:bottom w:val="single" w:sz="4" w:space="0" w:color="000000"/>
              <w:right w:val="single" w:sz="4" w:space="0" w:color="000000"/>
            </w:tcBorders>
            <w:hideMark/>
          </w:tcPr>
          <w:p w14:paraId="2927B6EE" w14:textId="77777777" w:rsidR="00606770" w:rsidRDefault="00606770">
            <w:pPr>
              <w:pStyle w:val="TableParagraph"/>
              <w:spacing w:before="118"/>
              <w:ind w:left="106"/>
              <w:rPr>
                <w:rFonts w:ascii="Arial"/>
                <w:b/>
              </w:rPr>
            </w:pPr>
            <w:r>
              <w:rPr>
                <w:rFonts w:ascii="Arial"/>
                <w:b/>
              </w:rPr>
              <w:t>50%</w:t>
            </w:r>
          </w:p>
        </w:tc>
      </w:tr>
      <w:tr w:rsidR="00606770" w14:paraId="2D17B1AB" w14:textId="77777777" w:rsidTr="00606770">
        <w:trPr>
          <w:trHeight w:val="493"/>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17559E41" w14:textId="77777777" w:rsidR="00606770" w:rsidRDefault="00606770">
            <w:pPr>
              <w:pStyle w:val="TableParagraph"/>
              <w:spacing w:before="117"/>
              <w:rPr>
                <w:rFonts w:ascii="Arial"/>
                <w:b/>
              </w:rPr>
            </w:pPr>
            <w:r>
              <w:rPr>
                <w:rFonts w:ascii="Arial"/>
                <w:b/>
              </w:rPr>
              <w:t>Lecturer:</w:t>
            </w:r>
          </w:p>
        </w:tc>
        <w:tc>
          <w:tcPr>
            <w:tcW w:w="3294" w:type="dxa"/>
            <w:tcBorders>
              <w:top w:val="single" w:sz="4" w:space="0" w:color="000000"/>
              <w:left w:val="single" w:sz="4" w:space="0" w:color="000000"/>
              <w:bottom w:val="single" w:sz="4" w:space="0" w:color="000000"/>
              <w:right w:val="single" w:sz="4" w:space="0" w:color="000000"/>
            </w:tcBorders>
            <w:hideMark/>
          </w:tcPr>
          <w:p w14:paraId="4AA4F2AA" w14:textId="77777777" w:rsidR="00606770" w:rsidRDefault="00606770">
            <w:pPr>
              <w:pStyle w:val="TableParagraph"/>
              <w:spacing w:before="117"/>
              <w:ind w:left="105"/>
              <w:rPr>
                <w:rFonts w:ascii="Arial"/>
                <w:b/>
              </w:rPr>
            </w:pPr>
            <w:r>
              <w:rPr>
                <w:rFonts w:ascii="Arial"/>
                <w:b/>
              </w:rPr>
              <w:t>Barbara</w:t>
            </w:r>
            <w:r>
              <w:rPr>
                <w:rFonts w:ascii="Arial"/>
                <w:b/>
                <w:spacing w:val="-1"/>
              </w:rPr>
              <w:t xml:space="preserve"> </w:t>
            </w:r>
            <w:r>
              <w:rPr>
                <w:rFonts w:ascii="Arial"/>
                <w:b/>
              </w:rPr>
              <w:t>Chinyani</w:t>
            </w:r>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34FE2F70" w14:textId="77777777" w:rsidR="00606770" w:rsidRDefault="00606770">
            <w:pPr>
              <w:pStyle w:val="TableParagraph"/>
              <w:spacing w:before="117"/>
              <w:rPr>
                <w:rFonts w:ascii="Arial"/>
                <w:b/>
              </w:rPr>
            </w:pPr>
            <w:r>
              <w:rPr>
                <w:rFonts w:ascii="Arial"/>
                <w:b/>
              </w:rPr>
              <w:t>Internal</w:t>
            </w:r>
            <w:r>
              <w:rPr>
                <w:rFonts w:ascii="Arial"/>
                <w:b/>
                <w:spacing w:val="-1"/>
              </w:rPr>
              <w:t xml:space="preserve"> </w:t>
            </w:r>
            <w:r>
              <w:rPr>
                <w:rFonts w:ascii="Arial"/>
                <w:b/>
              </w:rPr>
              <w:t>Verifier:</w:t>
            </w:r>
          </w:p>
        </w:tc>
        <w:tc>
          <w:tcPr>
            <w:tcW w:w="2269" w:type="dxa"/>
            <w:tcBorders>
              <w:top w:val="single" w:sz="4" w:space="0" w:color="000000"/>
              <w:left w:val="single" w:sz="4" w:space="0" w:color="000000"/>
              <w:bottom w:val="single" w:sz="4" w:space="0" w:color="000000"/>
              <w:right w:val="single" w:sz="4" w:space="0" w:color="000000"/>
            </w:tcBorders>
            <w:hideMark/>
          </w:tcPr>
          <w:p w14:paraId="166EA0B3" w14:textId="77777777" w:rsidR="00606770" w:rsidRDefault="00606770">
            <w:pPr>
              <w:pStyle w:val="TableParagraph"/>
              <w:spacing w:before="117"/>
              <w:ind w:left="106"/>
              <w:rPr>
                <w:rFonts w:ascii="Arial"/>
                <w:b/>
              </w:rPr>
            </w:pPr>
            <w:r>
              <w:rPr>
                <w:rFonts w:ascii="Arial"/>
                <w:b/>
              </w:rPr>
              <w:t>Gulnar Ali</w:t>
            </w:r>
          </w:p>
        </w:tc>
      </w:tr>
      <w:tr w:rsidR="00606770" w14:paraId="0C74039B" w14:textId="77777777" w:rsidTr="00606770">
        <w:trPr>
          <w:trHeight w:val="997"/>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0107C145" w14:textId="77777777" w:rsidR="00606770" w:rsidRDefault="00606770">
            <w:pPr>
              <w:pStyle w:val="TableParagraph"/>
              <w:spacing w:before="115"/>
              <w:rPr>
                <w:rFonts w:ascii="Arial"/>
                <w:b/>
              </w:rPr>
            </w:pPr>
            <w:r>
              <w:rPr>
                <w:rFonts w:ascii="Arial"/>
                <w:b/>
              </w:rPr>
              <w:t>Assignment</w:t>
            </w:r>
            <w:r>
              <w:rPr>
                <w:rFonts w:ascii="Arial"/>
                <w:b/>
                <w:spacing w:val="-2"/>
              </w:rPr>
              <w:t xml:space="preserve"> </w:t>
            </w:r>
            <w:r>
              <w:rPr>
                <w:rFonts w:ascii="Arial"/>
                <w:b/>
              </w:rPr>
              <w:t>Title:</w:t>
            </w:r>
          </w:p>
        </w:tc>
        <w:tc>
          <w:tcPr>
            <w:tcW w:w="3294" w:type="dxa"/>
            <w:tcBorders>
              <w:top w:val="single" w:sz="4" w:space="0" w:color="000000"/>
              <w:left w:val="single" w:sz="4" w:space="0" w:color="000000"/>
              <w:bottom w:val="single" w:sz="4" w:space="0" w:color="000000"/>
              <w:right w:val="single" w:sz="4" w:space="0" w:color="000000"/>
            </w:tcBorders>
            <w:hideMark/>
          </w:tcPr>
          <w:p w14:paraId="218E26DF" w14:textId="77777777" w:rsidR="00606770" w:rsidRDefault="00606770">
            <w:pPr>
              <w:pStyle w:val="TableParagraph"/>
              <w:spacing w:before="115"/>
              <w:ind w:left="105" w:right="661"/>
              <w:rPr>
                <w:rFonts w:ascii="Arial"/>
                <w:b/>
              </w:rPr>
            </w:pPr>
            <w:r>
              <w:rPr>
                <w:rFonts w:ascii="Arial"/>
                <w:b/>
              </w:rPr>
              <w:t>Assessment 2</w:t>
            </w:r>
            <w:r>
              <w:rPr>
                <w:rFonts w:ascii="Arial"/>
                <w:b/>
                <w:spacing w:val="1"/>
              </w:rPr>
              <w:t xml:space="preserve"> </w:t>
            </w:r>
            <w:r>
              <w:rPr>
                <w:rFonts w:ascii="Arial"/>
                <w:b/>
              </w:rPr>
              <w:t>Principles</w:t>
            </w:r>
            <w:r>
              <w:rPr>
                <w:rFonts w:ascii="Arial"/>
                <w:b/>
                <w:spacing w:val="-3"/>
              </w:rPr>
              <w:t xml:space="preserve"> </w:t>
            </w:r>
            <w:r>
              <w:rPr>
                <w:rFonts w:ascii="Arial"/>
                <w:b/>
              </w:rPr>
              <w:t>of</w:t>
            </w:r>
            <w:r>
              <w:rPr>
                <w:rFonts w:ascii="Arial"/>
                <w:b/>
                <w:spacing w:val="-2"/>
              </w:rPr>
              <w:t xml:space="preserve"> </w:t>
            </w:r>
            <w:r>
              <w:rPr>
                <w:rFonts w:ascii="Arial"/>
                <w:b/>
              </w:rPr>
              <w:t>Health</w:t>
            </w:r>
            <w:r>
              <w:rPr>
                <w:rFonts w:ascii="Arial"/>
                <w:b/>
                <w:spacing w:val="-4"/>
              </w:rPr>
              <w:t xml:space="preserve"> </w:t>
            </w:r>
            <w:r>
              <w:rPr>
                <w:rFonts w:ascii="Arial"/>
                <w:b/>
              </w:rPr>
              <w:t>and</w:t>
            </w:r>
            <w:r>
              <w:rPr>
                <w:rFonts w:ascii="Arial"/>
                <w:b/>
                <w:spacing w:val="-59"/>
              </w:rPr>
              <w:t xml:space="preserve"> </w:t>
            </w:r>
            <w:r>
              <w:rPr>
                <w:rFonts w:ascii="Arial"/>
                <w:b/>
              </w:rPr>
              <w:t>Social Care</w:t>
            </w:r>
            <w:r>
              <w:rPr>
                <w:rFonts w:ascii="Arial"/>
                <w:b/>
                <w:spacing w:val="1"/>
              </w:rPr>
              <w:t xml:space="preserve"> </w:t>
            </w:r>
            <w:r>
              <w:rPr>
                <w:rFonts w:ascii="Arial"/>
                <w:b/>
              </w:rPr>
              <w:t>Practice</w:t>
            </w:r>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6575F255" w14:textId="77777777" w:rsidR="00606770" w:rsidRDefault="00606770">
            <w:pPr>
              <w:pStyle w:val="TableParagraph"/>
              <w:spacing w:before="115"/>
              <w:ind w:right="555"/>
              <w:rPr>
                <w:rFonts w:ascii="Arial"/>
                <w:b/>
              </w:rPr>
            </w:pPr>
            <w:r>
              <w:rPr>
                <w:rFonts w:ascii="Arial"/>
                <w:b/>
              </w:rPr>
              <w:t>Word count (or</w:t>
            </w:r>
            <w:r>
              <w:rPr>
                <w:rFonts w:ascii="Arial"/>
                <w:b/>
                <w:spacing w:val="-59"/>
              </w:rPr>
              <w:t xml:space="preserve"> </w:t>
            </w:r>
            <w:r>
              <w:rPr>
                <w:rFonts w:ascii="Arial"/>
                <w:b/>
              </w:rPr>
              <w:t>equivalent):</w:t>
            </w:r>
          </w:p>
        </w:tc>
        <w:tc>
          <w:tcPr>
            <w:tcW w:w="2269" w:type="dxa"/>
            <w:tcBorders>
              <w:top w:val="single" w:sz="4" w:space="0" w:color="000000"/>
              <w:left w:val="single" w:sz="4" w:space="0" w:color="000000"/>
              <w:bottom w:val="single" w:sz="4" w:space="0" w:color="000000"/>
              <w:right w:val="single" w:sz="4" w:space="0" w:color="000000"/>
            </w:tcBorders>
            <w:hideMark/>
          </w:tcPr>
          <w:p w14:paraId="78DE8A7E" w14:textId="77777777" w:rsidR="00606770" w:rsidRDefault="00606770">
            <w:pPr>
              <w:pStyle w:val="TableParagraph"/>
              <w:spacing w:before="115"/>
              <w:ind w:left="106"/>
              <w:rPr>
                <w:rFonts w:ascii="Arial"/>
                <w:b/>
              </w:rPr>
            </w:pPr>
            <w:r>
              <w:rPr>
                <w:rFonts w:ascii="Arial"/>
                <w:b/>
              </w:rPr>
              <w:t>2500</w:t>
            </w:r>
            <w:r>
              <w:rPr>
                <w:rFonts w:ascii="Arial"/>
                <w:b/>
                <w:spacing w:val="-1"/>
              </w:rPr>
              <w:t xml:space="preserve"> </w:t>
            </w:r>
            <w:r>
              <w:rPr>
                <w:rFonts w:ascii="Arial"/>
                <w:b/>
              </w:rPr>
              <w:t>words</w:t>
            </w:r>
          </w:p>
        </w:tc>
      </w:tr>
    </w:tbl>
    <w:p w14:paraId="147A562F" w14:textId="77777777" w:rsidR="00E37112" w:rsidRDefault="00E37112">
      <w:pPr>
        <w:rPr>
          <w:b/>
          <w:bCs/>
          <w:lang w:val="en-US"/>
        </w:rPr>
      </w:pPr>
      <w:r>
        <w:rPr>
          <w:b/>
          <w:bCs/>
          <w:lang w:val="en-US"/>
        </w:rPr>
        <w:br w:type="page"/>
      </w:r>
    </w:p>
    <w:p w14:paraId="5185C6BD" w14:textId="77777777" w:rsidR="00E37112" w:rsidRPr="00E37112" w:rsidRDefault="00E37112" w:rsidP="00E37112">
      <w:pPr>
        <w:rPr>
          <w:b/>
          <w:bCs/>
          <w:lang w:val="en-US"/>
        </w:rPr>
      </w:pPr>
    </w:p>
    <w:p w14:paraId="06277B9D" w14:textId="7BC10852" w:rsidR="00E37112" w:rsidRDefault="00E37112">
      <w:pPr>
        <w:rPr>
          <w:rFonts w:ascii="Arial" w:eastAsiaTheme="majorEastAsia" w:hAnsi="Arial" w:cstheme="majorBidi"/>
          <w:b/>
          <w:sz w:val="28"/>
          <w:szCs w:val="32"/>
          <w:lang w:val="en-US"/>
        </w:rPr>
      </w:pPr>
    </w:p>
    <w:sdt>
      <w:sdtPr>
        <w:rPr>
          <w:rFonts w:asciiTheme="minorHAnsi" w:eastAsiaTheme="minorHAnsi" w:hAnsiTheme="minorHAnsi" w:cstheme="minorBidi"/>
          <w:color w:val="auto"/>
          <w:sz w:val="22"/>
          <w:szCs w:val="22"/>
          <w:lang w:val="en-IN"/>
        </w:rPr>
        <w:id w:val="123359546"/>
        <w:docPartObj>
          <w:docPartGallery w:val="Table of Contents"/>
          <w:docPartUnique/>
        </w:docPartObj>
      </w:sdtPr>
      <w:sdtEndPr>
        <w:rPr>
          <w:rFonts w:ascii="Arial" w:hAnsi="Arial" w:cs="Arial"/>
          <w:b/>
          <w:bCs/>
          <w:noProof/>
          <w:sz w:val="24"/>
          <w:szCs w:val="24"/>
        </w:rPr>
      </w:sdtEndPr>
      <w:sdtContent>
        <w:p w14:paraId="6BE97E54" w14:textId="62837EB4" w:rsidR="00E37112" w:rsidRPr="00E37112" w:rsidRDefault="00E37112" w:rsidP="00E37112">
          <w:pPr>
            <w:pStyle w:val="Titlucuprins"/>
            <w:spacing w:line="240" w:lineRule="auto"/>
            <w:jc w:val="center"/>
            <w:rPr>
              <w:rFonts w:ascii="Arial" w:hAnsi="Arial" w:cs="Arial"/>
              <w:b/>
              <w:bCs/>
              <w:color w:val="auto"/>
              <w:sz w:val="28"/>
              <w:szCs w:val="28"/>
            </w:rPr>
          </w:pPr>
          <w:r w:rsidRPr="00E37112">
            <w:rPr>
              <w:rFonts w:ascii="Arial" w:hAnsi="Arial" w:cs="Arial"/>
              <w:b/>
              <w:bCs/>
              <w:color w:val="auto"/>
              <w:sz w:val="28"/>
              <w:szCs w:val="28"/>
            </w:rPr>
            <w:t>Contents</w:t>
          </w:r>
        </w:p>
        <w:p w14:paraId="3320BF80" w14:textId="1F4AF122" w:rsidR="00E37112" w:rsidRPr="00E37112" w:rsidRDefault="00E37112" w:rsidP="00E37112">
          <w:pPr>
            <w:pStyle w:val="Cuprins1"/>
            <w:tabs>
              <w:tab w:val="right" w:leader="dot" w:pos="9016"/>
            </w:tabs>
            <w:spacing w:line="240" w:lineRule="auto"/>
            <w:jc w:val="both"/>
            <w:rPr>
              <w:rFonts w:ascii="Arial" w:hAnsi="Arial" w:cs="Arial"/>
              <w:noProof/>
              <w:sz w:val="24"/>
              <w:szCs w:val="24"/>
            </w:rPr>
          </w:pPr>
          <w:r w:rsidRPr="00E37112">
            <w:rPr>
              <w:rFonts w:ascii="Arial" w:hAnsi="Arial" w:cs="Arial"/>
              <w:sz w:val="24"/>
              <w:szCs w:val="24"/>
            </w:rPr>
            <w:fldChar w:fldCharType="begin"/>
          </w:r>
          <w:r w:rsidRPr="00E37112">
            <w:rPr>
              <w:rFonts w:ascii="Arial" w:hAnsi="Arial" w:cs="Arial"/>
              <w:sz w:val="24"/>
              <w:szCs w:val="24"/>
            </w:rPr>
            <w:instrText xml:space="preserve"> TOC \o "1-3" \h \z \u </w:instrText>
          </w:r>
          <w:r w:rsidRPr="00E37112">
            <w:rPr>
              <w:rFonts w:ascii="Arial" w:hAnsi="Arial" w:cs="Arial"/>
              <w:sz w:val="24"/>
              <w:szCs w:val="24"/>
            </w:rPr>
            <w:fldChar w:fldCharType="separate"/>
          </w:r>
          <w:hyperlink w:anchor="_Toc90410742" w:history="1">
            <w:r w:rsidRPr="00E37112">
              <w:rPr>
                <w:rStyle w:val="Hyperlink"/>
                <w:rFonts w:ascii="Arial" w:hAnsi="Arial" w:cs="Arial"/>
                <w:noProof/>
                <w:sz w:val="24"/>
                <w:szCs w:val="24"/>
                <w:lang w:val="en-US"/>
              </w:rPr>
              <w:t>Introduction</w:t>
            </w:r>
            <w:r w:rsidRPr="00E37112">
              <w:rPr>
                <w:rFonts w:ascii="Arial" w:hAnsi="Arial" w:cs="Arial"/>
                <w:noProof/>
                <w:webHidden/>
                <w:sz w:val="24"/>
                <w:szCs w:val="24"/>
              </w:rPr>
              <w:tab/>
            </w:r>
            <w:r w:rsidRPr="00E37112">
              <w:rPr>
                <w:rFonts w:ascii="Arial" w:hAnsi="Arial" w:cs="Arial"/>
                <w:noProof/>
                <w:webHidden/>
                <w:sz w:val="24"/>
                <w:szCs w:val="24"/>
              </w:rPr>
              <w:fldChar w:fldCharType="begin"/>
            </w:r>
            <w:r w:rsidRPr="00E37112">
              <w:rPr>
                <w:rFonts w:ascii="Arial" w:hAnsi="Arial" w:cs="Arial"/>
                <w:noProof/>
                <w:webHidden/>
                <w:sz w:val="24"/>
                <w:szCs w:val="24"/>
              </w:rPr>
              <w:instrText xml:space="preserve"> PAGEREF _Toc90410742 \h </w:instrText>
            </w:r>
            <w:r w:rsidRPr="00E37112">
              <w:rPr>
                <w:rFonts w:ascii="Arial" w:hAnsi="Arial" w:cs="Arial"/>
                <w:noProof/>
                <w:webHidden/>
                <w:sz w:val="24"/>
                <w:szCs w:val="24"/>
              </w:rPr>
            </w:r>
            <w:r w:rsidRPr="00E37112">
              <w:rPr>
                <w:rFonts w:ascii="Arial" w:hAnsi="Arial" w:cs="Arial"/>
                <w:noProof/>
                <w:webHidden/>
                <w:sz w:val="24"/>
                <w:szCs w:val="24"/>
              </w:rPr>
              <w:fldChar w:fldCharType="separate"/>
            </w:r>
            <w:r w:rsidRPr="00E37112">
              <w:rPr>
                <w:rFonts w:ascii="Arial" w:hAnsi="Arial" w:cs="Arial"/>
                <w:noProof/>
                <w:webHidden/>
                <w:sz w:val="24"/>
                <w:szCs w:val="24"/>
              </w:rPr>
              <w:t>3</w:t>
            </w:r>
            <w:r w:rsidRPr="00E37112">
              <w:rPr>
                <w:rFonts w:ascii="Arial" w:hAnsi="Arial" w:cs="Arial"/>
                <w:noProof/>
                <w:webHidden/>
                <w:sz w:val="24"/>
                <w:szCs w:val="24"/>
              </w:rPr>
              <w:fldChar w:fldCharType="end"/>
            </w:r>
          </w:hyperlink>
        </w:p>
        <w:p w14:paraId="0A5F632D" w14:textId="0E70D77B" w:rsidR="00E37112" w:rsidRPr="00E37112" w:rsidRDefault="0020576B" w:rsidP="00E37112">
          <w:pPr>
            <w:pStyle w:val="Cuprins1"/>
            <w:tabs>
              <w:tab w:val="right" w:leader="dot" w:pos="9016"/>
            </w:tabs>
            <w:spacing w:line="240" w:lineRule="auto"/>
            <w:jc w:val="both"/>
            <w:rPr>
              <w:rFonts w:ascii="Arial" w:hAnsi="Arial" w:cs="Arial"/>
              <w:noProof/>
              <w:sz w:val="24"/>
              <w:szCs w:val="24"/>
            </w:rPr>
          </w:pPr>
          <w:hyperlink w:anchor="_Toc90410743" w:history="1">
            <w:r w:rsidR="00E37112" w:rsidRPr="00E37112">
              <w:rPr>
                <w:rStyle w:val="Hyperlink"/>
                <w:rFonts w:ascii="Arial" w:hAnsi="Arial" w:cs="Arial"/>
                <w:noProof/>
                <w:sz w:val="24"/>
                <w:szCs w:val="24"/>
                <w:lang w:val="en-US"/>
              </w:rPr>
              <w:t>Discussion</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_Toc90410743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4</w:t>
            </w:r>
            <w:r w:rsidR="00E37112" w:rsidRPr="00E37112">
              <w:rPr>
                <w:rFonts w:ascii="Arial" w:hAnsi="Arial" w:cs="Arial"/>
                <w:noProof/>
                <w:webHidden/>
                <w:sz w:val="24"/>
                <w:szCs w:val="24"/>
              </w:rPr>
              <w:fldChar w:fldCharType="end"/>
            </w:r>
          </w:hyperlink>
        </w:p>
        <w:p w14:paraId="086C6861" w14:textId="1DE51AF5" w:rsidR="00E37112" w:rsidRPr="00E37112" w:rsidRDefault="0020576B" w:rsidP="00E37112">
          <w:pPr>
            <w:pStyle w:val="Cuprins2"/>
            <w:tabs>
              <w:tab w:val="right" w:leader="dot" w:pos="9016"/>
            </w:tabs>
            <w:spacing w:line="240" w:lineRule="auto"/>
            <w:jc w:val="both"/>
            <w:rPr>
              <w:rFonts w:ascii="Arial" w:hAnsi="Arial" w:cs="Arial"/>
              <w:noProof/>
              <w:sz w:val="24"/>
              <w:szCs w:val="24"/>
            </w:rPr>
          </w:pPr>
          <w:hyperlink w:anchor="_Toc90410744" w:history="1">
            <w:r w:rsidR="00E37112" w:rsidRPr="00E37112">
              <w:rPr>
                <w:rStyle w:val="Hyperlink"/>
                <w:rFonts w:ascii="Arial" w:hAnsi="Arial" w:cs="Arial"/>
                <w:noProof/>
                <w:sz w:val="24"/>
                <w:szCs w:val="24"/>
                <w:lang w:val="en-US"/>
              </w:rPr>
              <w:t>The framework of person-centered strategy</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_Toc90410744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4</w:t>
            </w:r>
            <w:r w:rsidR="00E37112" w:rsidRPr="00E37112">
              <w:rPr>
                <w:rFonts w:ascii="Arial" w:hAnsi="Arial" w:cs="Arial"/>
                <w:noProof/>
                <w:webHidden/>
                <w:sz w:val="24"/>
                <w:szCs w:val="24"/>
              </w:rPr>
              <w:fldChar w:fldCharType="end"/>
            </w:r>
          </w:hyperlink>
        </w:p>
        <w:p w14:paraId="41ECF91A" w14:textId="2AF24369" w:rsidR="00E37112" w:rsidRPr="00E37112" w:rsidRDefault="0020576B" w:rsidP="00E37112">
          <w:pPr>
            <w:pStyle w:val="Cuprins2"/>
            <w:tabs>
              <w:tab w:val="right" w:leader="dot" w:pos="9016"/>
            </w:tabs>
            <w:spacing w:line="240" w:lineRule="auto"/>
            <w:jc w:val="both"/>
            <w:rPr>
              <w:rFonts w:ascii="Arial" w:hAnsi="Arial" w:cs="Arial"/>
              <w:noProof/>
              <w:sz w:val="24"/>
              <w:szCs w:val="24"/>
            </w:rPr>
          </w:pPr>
          <w:hyperlink w:anchor="_Toc90410745" w:history="1">
            <w:r w:rsidR="00E37112" w:rsidRPr="00E37112">
              <w:rPr>
                <w:rStyle w:val="Hyperlink"/>
                <w:rFonts w:ascii="Arial" w:hAnsi="Arial" w:cs="Arial"/>
                <w:noProof/>
                <w:sz w:val="24"/>
                <w:szCs w:val="24"/>
                <w:lang w:val="en-US"/>
              </w:rPr>
              <w:t>Legislation</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_Toc90410745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5</w:t>
            </w:r>
            <w:r w:rsidR="00E37112" w:rsidRPr="00E37112">
              <w:rPr>
                <w:rFonts w:ascii="Arial" w:hAnsi="Arial" w:cs="Arial"/>
                <w:noProof/>
                <w:webHidden/>
                <w:sz w:val="24"/>
                <w:szCs w:val="24"/>
              </w:rPr>
              <w:fldChar w:fldCharType="end"/>
            </w:r>
          </w:hyperlink>
        </w:p>
        <w:p w14:paraId="3B1D2633" w14:textId="1CB4747C" w:rsidR="00E37112" w:rsidRPr="00E37112" w:rsidRDefault="0020576B" w:rsidP="00E37112">
          <w:pPr>
            <w:pStyle w:val="Cuprins2"/>
            <w:tabs>
              <w:tab w:val="right" w:leader="dot" w:pos="9016"/>
            </w:tabs>
            <w:spacing w:line="240" w:lineRule="auto"/>
            <w:jc w:val="both"/>
            <w:rPr>
              <w:rFonts w:ascii="Arial" w:hAnsi="Arial" w:cs="Arial"/>
              <w:noProof/>
              <w:sz w:val="24"/>
              <w:szCs w:val="24"/>
            </w:rPr>
          </w:pPr>
          <w:hyperlink w:anchor="_Toc90410746" w:history="1">
            <w:r w:rsidR="00E37112" w:rsidRPr="00E37112">
              <w:rPr>
                <w:rStyle w:val="Hyperlink"/>
                <w:rFonts w:ascii="Arial" w:hAnsi="Arial" w:cs="Arial"/>
                <w:noProof/>
                <w:sz w:val="24"/>
                <w:szCs w:val="24"/>
                <w:lang w:val="en-US"/>
              </w:rPr>
              <w:t>limitations</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_Toc90410746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6</w:t>
            </w:r>
            <w:r w:rsidR="00E37112" w:rsidRPr="00E37112">
              <w:rPr>
                <w:rFonts w:ascii="Arial" w:hAnsi="Arial" w:cs="Arial"/>
                <w:noProof/>
                <w:webHidden/>
                <w:sz w:val="24"/>
                <w:szCs w:val="24"/>
              </w:rPr>
              <w:fldChar w:fldCharType="end"/>
            </w:r>
          </w:hyperlink>
        </w:p>
        <w:p w14:paraId="684F3E81" w14:textId="3562B2F4" w:rsidR="00E37112" w:rsidRPr="00E37112" w:rsidRDefault="0020576B" w:rsidP="00E37112">
          <w:pPr>
            <w:pStyle w:val="Cuprins2"/>
            <w:tabs>
              <w:tab w:val="right" w:leader="dot" w:pos="9016"/>
            </w:tabs>
            <w:spacing w:line="240" w:lineRule="auto"/>
            <w:jc w:val="both"/>
            <w:rPr>
              <w:rFonts w:ascii="Arial" w:hAnsi="Arial" w:cs="Arial"/>
              <w:noProof/>
              <w:sz w:val="24"/>
              <w:szCs w:val="24"/>
            </w:rPr>
          </w:pPr>
          <w:hyperlink w:anchor="_Toc90410747" w:history="1">
            <w:r w:rsidR="00E37112" w:rsidRPr="00E37112">
              <w:rPr>
                <w:rStyle w:val="Hyperlink"/>
                <w:rFonts w:ascii="Arial" w:hAnsi="Arial" w:cs="Arial"/>
                <w:noProof/>
                <w:sz w:val="24"/>
                <w:szCs w:val="24"/>
                <w:lang w:val="en-US"/>
              </w:rPr>
              <w:t>Safety and security</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_Toc90410747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6</w:t>
            </w:r>
            <w:r w:rsidR="00E37112" w:rsidRPr="00E37112">
              <w:rPr>
                <w:rFonts w:ascii="Arial" w:hAnsi="Arial" w:cs="Arial"/>
                <w:noProof/>
                <w:webHidden/>
                <w:sz w:val="24"/>
                <w:szCs w:val="24"/>
              </w:rPr>
              <w:fldChar w:fldCharType="end"/>
            </w:r>
          </w:hyperlink>
        </w:p>
        <w:p w14:paraId="431DBBBF" w14:textId="0F47EA11" w:rsidR="00E37112" w:rsidRPr="00E37112" w:rsidRDefault="0020576B" w:rsidP="00E37112">
          <w:pPr>
            <w:pStyle w:val="Cuprins2"/>
            <w:tabs>
              <w:tab w:val="right" w:leader="dot" w:pos="9016"/>
            </w:tabs>
            <w:spacing w:line="240" w:lineRule="auto"/>
            <w:jc w:val="both"/>
            <w:rPr>
              <w:rFonts w:ascii="Arial" w:hAnsi="Arial" w:cs="Arial"/>
              <w:noProof/>
              <w:sz w:val="24"/>
              <w:szCs w:val="24"/>
            </w:rPr>
          </w:pPr>
          <w:hyperlink w:anchor="_Toc90410748" w:history="1">
            <w:r w:rsidR="00E37112" w:rsidRPr="00E37112">
              <w:rPr>
                <w:rStyle w:val="Hyperlink"/>
                <w:rFonts w:ascii="Arial" w:hAnsi="Arial" w:cs="Arial"/>
                <w:noProof/>
                <w:sz w:val="24"/>
                <w:szCs w:val="24"/>
                <w:lang w:val="en-US"/>
              </w:rPr>
              <w:t>Moral</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_Toc90410748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6</w:t>
            </w:r>
            <w:r w:rsidR="00E37112" w:rsidRPr="00E37112">
              <w:rPr>
                <w:rFonts w:ascii="Arial" w:hAnsi="Arial" w:cs="Arial"/>
                <w:noProof/>
                <w:webHidden/>
                <w:sz w:val="24"/>
                <w:szCs w:val="24"/>
              </w:rPr>
              <w:fldChar w:fldCharType="end"/>
            </w:r>
          </w:hyperlink>
        </w:p>
        <w:p w14:paraId="66B862E7" w14:textId="3C908FEE" w:rsidR="00E37112" w:rsidRPr="00E37112" w:rsidRDefault="0020576B" w:rsidP="00E37112">
          <w:pPr>
            <w:pStyle w:val="Cuprins2"/>
            <w:tabs>
              <w:tab w:val="right" w:leader="dot" w:pos="9016"/>
            </w:tabs>
            <w:spacing w:line="240" w:lineRule="auto"/>
            <w:jc w:val="both"/>
            <w:rPr>
              <w:rFonts w:ascii="Arial" w:hAnsi="Arial" w:cs="Arial"/>
              <w:noProof/>
              <w:sz w:val="24"/>
              <w:szCs w:val="24"/>
            </w:rPr>
          </w:pPr>
          <w:hyperlink w:anchor="_Toc90410749" w:history="1">
            <w:r w:rsidR="00E37112" w:rsidRPr="00E37112">
              <w:rPr>
                <w:rStyle w:val="Hyperlink"/>
                <w:rFonts w:ascii="Arial" w:hAnsi="Arial" w:cs="Arial"/>
                <w:noProof/>
                <w:sz w:val="24"/>
                <w:szCs w:val="24"/>
                <w:lang w:val="en-US"/>
              </w:rPr>
              <w:t>Legal</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_Toc90410749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6</w:t>
            </w:r>
            <w:r w:rsidR="00E37112" w:rsidRPr="00E37112">
              <w:rPr>
                <w:rFonts w:ascii="Arial" w:hAnsi="Arial" w:cs="Arial"/>
                <w:noProof/>
                <w:webHidden/>
                <w:sz w:val="24"/>
                <w:szCs w:val="24"/>
              </w:rPr>
              <w:fldChar w:fldCharType="end"/>
            </w:r>
          </w:hyperlink>
        </w:p>
        <w:p w14:paraId="4AB733ED" w14:textId="1C7F9AA2" w:rsidR="00E37112" w:rsidRPr="00E37112" w:rsidRDefault="0020576B" w:rsidP="00E37112">
          <w:pPr>
            <w:pStyle w:val="Cuprins2"/>
            <w:tabs>
              <w:tab w:val="right" w:leader="dot" w:pos="9016"/>
            </w:tabs>
            <w:spacing w:line="240" w:lineRule="auto"/>
            <w:jc w:val="both"/>
            <w:rPr>
              <w:rFonts w:ascii="Arial" w:hAnsi="Arial" w:cs="Arial"/>
              <w:noProof/>
              <w:sz w:val="24"/>
              <w:szCs w:val="24"/>
            </w:rPr>
          </w:pPr>
          <w:hyperlink w:anchor="_Toc90410750" w:history="1">
            <w:r w:rsidR="00E37112" w:rsidRPr="00E37112">
              <w:rPr>
                <w:rStyle w:val="Hyperlink"/>
                <w:rFonts w:ascii="Arial" w:hAnsi="Arial" w:cs="Arial"/>
                <w:noProof/>
                <w:sz w:val="24"/>
                <w:szCs w:val="24"/>
                <w:lang w:val="en-US"/>
              </w:rPr>
              <w:t>Theoretical approaches or principals</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_Toc90410750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7</w:t>
            </w:r>
            <w:r w:rsidR="00E37112" w:rsidRPr="00E37112">
              <w:rPr>
                <w:rFonts w:ascii="Arial" w:hAnsi="Arial" w:cs="Arial"/>
                <w:noProof/>
                <w:webHidden/>
                <w:sz w:val="24"/>
                <w:szCs w:val="24"/>
              </w:rPr>
              <w:fldChar w:fldCharType="end"/>
            </w:r>
          </w:hyperlink>
        </w:p>
        <w:p w14:paraId="714FD62C" w14:textId="4AA9C681" w:rsidR="00E37112" w:rsidRPr="00E37112" w:rsidRDefault="0020576B" w:rsidP="00E37112">
          <w:pPr>
            <w:pStyle w:val="Cuprins1"/>
            <w:tabs>
              <w:tab w:val="right" w:leader="dot" w:pos="9016"/>
            </w:tabs>
            <w:spacing w:line="240" w:lineRule="auto"/>
            <w:jc w:val="both"/>
            <w:rPr>
              <w:rFonts w:ascii="Arial" w:hAnsi="Arial" w:cs="Arial"/>
              <w:noProof/>
              <w:sz w:val="24"/>
              <w:szCs w:val="24"/>
            </w:rPr>
          </w:pPr>
          <w:hyperlink w:anchor="_Toc90410751" w:history="1">
            <w:r w:rsidR="00E37112" w:rsidRPr="00E37112">
              <w:rPr>
                <w:rStyle w:val="Hyperlink"/>
                <w:rFonts w:ascii="Arial" w:hAnsi="Arial" w:cs="Arial"/>
                <w:noProof/>
                <w:sz w:val="24"/>
                <w:szCs w:val="24"/>
                <w:lang w:val="en-US"/>
              </w:rPr>
              <w:t>Recommendations</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_Toc90410751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8</w:t>
            </w:r>
            <w:r w:rsidR="00E37112" w:rsidRPr="00E37112">
              <w:rPr>
                <w:rFonts w:ascii="Arial" w:hAnsi="Arial" w:cs="Arial"/>
                <w:noProof/>
                <w:webHidden/>
                <w:sz w:val="24"/>
                <w:szCs w:val="24"/>
              </w:rPr>
              <w:fldChar w:fldCharType="end"/>
            </w:r>
          </w:hyperlink>
        </w:p>
        <w:p w14:paraId="1ED85657" w14:textId="4D91D93C" w:rsidR="00E37112" w:rsidRPr="00E37112" w:rsidRDefault="0020576B" w:rsidP="00E37112">
          <w:pPr>
            <w:pStyle w:val="Cuprins1"/>
            <w:tabs>
              <w:tab w:val="right" w:leader="dot" w:pos="9016"/>
            </w:tabs>
            <w:spacing w:line="240" w:lineRule="auto"/>
            <w:jc w:val="both"/>
            <w:rPr>
              <w:rFonts w:ascii="Arial" w:hAnsi="Arial" w:cs="Arial"/>
              <w:noProof/>
              <w:sz w:val="24"/>
              <w:szCs w:val="24"/>
            </w:rPr>
          </w:pPr>
          <w:hyperlink w:anchor="_Toc90410752" w:history="1">
            <w:r w:rsidR="00E37112" w:rsidRPr="00E37112">
              <w:rPr>
                <w:rStyle w:val="Hyperlink"/>
                <w:rFonts w:ascii="Arial" w:hAnsi="Arial" w:cs="Arial"/>
                <w:noProof/>
                <w:sz w:val="24"/>
                <w:szCs w:val="24"/>
                <w:lang w:val="en-US"/>
              </w:rPr>
              <w:t>Conclusion</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_Toc90410752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9</w:t>
            </w:r>
            <w:r w:rsidR="00E37112" w:rsidRPr="00E37112">
              <w:rPr>
                <w:rFonts w:ascii="Arial" w:hAnsi="Arial" w:cs="Arial"/>
                <w:noProof/>
                <w:webHidden/>
                <w:sz w:val="24"/>
                <w:szCs w:val="24"/>
              </w:rPr>
              <w:fldChar w:fldCharType="end"/>
            </w:r>
          </w:hyperlink>
        </w:p>
        <w:p w14:paraId="6C7500EC" w14:textId="77351E02" w:rsidR="00E37112" w:rsidRPr="00E37112" w:rsidRDefault="0020576B" w:rsidP="00E37112">
          <w:pPr>
            <w:pStyle w:val="Cuprins1"/>
            <w:tabs>
              <w:tab w:val="right" w:leader="dot" w:pos="9016"/>
            </w:tabs>
            <w:spacing w:line="240" w:lineRule="auto"/>
            <w:jc w:val="both"/>
            <w:rPr>
              <w:rFonts w:ascii="Arial" w:hAnsi="Arial" w:cs="Arial"/>
              <w:noProof/>
              <w:sz w:val="24"/>
              <w:szCs w:val="24"/>
            </w:rPr>
          </w:pPr>
          <w:hyperlink w:anchor="_Toc90410753" w:history="1">
            <w:r w:rsidR="00E37112" w:rsidRPr="00E37112">
              <w:rPr>
                <w:rStyle w:val="Hyperlink"/>
                <w:rFonts w:ascii="Arial" w:hAnsi="Arial" w:cs="Arial"/>
                <w:noProof/>
                <w:sz w:val="24"/>
                <w:szCs w:val="24"/>
                <w:lang w:val="en-US"/>
              </w:rPr>
              <w:t>Appendix</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_Toc90410753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10</w:t>
            </w:r>
            <w:r w:rsidR="00E37112" w:rsidRPr="00E37112">
              <w:rPr>
                <w:rFonts w:ascii="Arial" w:hAnsi="Arial" w:cs="Arial"/>
                <w:noProof/>
                <w:webHidden/>
                <w:sz w:val="24"/>
                <w:szCs w:val="24"/>
              </w:rPr>
              <w:fldChar w:fldCharType="end"/>
            </w:r>
          </w:hyperlink>
        </w:p>
        <w:p w14:paraId="5FB15C36" w14:textId="6917AF2B" w:rsidR="00E37112" w:rsidRPr="00E37112" w:rsidRDefault="0020576B" w:rsidP="00E37112">
          <w:pPr>
            <w:pStyle w:val="Cuprins1"/>
            <w:tabs>
              <w:tab w:val="right" w:leader="dot" w:pos="9016"/>
            </w:tabs>
            <w:spacing w:line="240" w:lineRule="auto"/>
            <w:jc w:val="both"/>
            <w:rPr>
              <w:rFonts w:ascii="Arial" w:hAnsi="Arial" w:cs="Arial"/>
              <w:noProof/>
              <w:sz w:val="24"/>
              <w:szCs w:val="24"/>
            </w:rPr>
          </w:pPr>
          <w:hyperlink w:anchor="_Toc90410754" w:history="1">
            <w:r w:rsidR="00E37112" w:rsidRPr="00E37112">
              <w:rPr>
                <w:rStyle w:val="Hyperlink"/>
                <w:rFonts w:ascii="Arial" w:hAnsi="Arial" w:cs="Arial"/>
                <w:noProof/>
                <w:sz w:val="24"/>
                <w:szCs w:val="24"/>
              </w:rPr>
              <w:t>References</w:t>
            </w:r>
            <w:r w:rsidR="00E37112" w:rsidRPr="00E37112">
              <w:rPr>
                <w:rFonts w:ascii="Arial" w:hAnsi="Arial" w:cs="Arial"/>
                <w:noProof/>
                <w:webHidden/>
                <w:sz w:val="24"/>
                <w:szCs w:val="24"/>
              </w:rPr>
              <w:tab/>
            </w:r>
            <w:r w:rsidR="00E37112" w:rsidRPr="00E37112">
              <w:rPr>
                <w:rFonts w:ascii="Arial" w:hAnsi="Arial" w:cs="Arial"/>
                <w:noProof/>
                <w:webHidden/>
                <w:sz w:val="24"/>
                <w:szCs w:val="24"/>
              </w:rPr>
              <w:fldChar w:fldCharType="begin"/>
            </w:r>
            <w:r w:rsidR="00E37112" w:rsidRPr="00E37112">
              <w:rPr>
                <w:rFonts w:ascii="Arial" w:hAnsi="Arial" w:cs="Arial"/>
                <w:noProof/>
                <w:webHidden/>
                <w:sz w:val="24"/>
                <w:szCs w:val="24"/>
              </w:rPr>
              <w:instrText xml:space="preserve"> PAGEREF _Toc90410754 \h </w:instrText>
            </w:r>
            <w:r w:rsidR="00E37112" w:rsidRPr="00E37112">
              <w:rPr>
                <w:rFonts w:ascii="Arial" w:hAnsi="Arial" w:cs="Arial"/>
                <w:noProof/>
                <w:webHidden/>
                <w:sz w:val="24"/>
                <w:szCs w:val="24"/>
              </w:rPr>
            </w:r>
            <w:r w:rsidR="00E37112" w:rsidRPr="00E37112">
              <w:rPr>
                <w:rFonts w:ascii="Arial" w:hAnsi="Arial" w:cs="Arial"/>
                <w:noProof/>
                <w:webHidden/>
                <w:sz w:val="24"/>
                <w:szCs w:val="24"/>
              </w:rPr>
              <w:fldChar w:fldCharType="separate"/>
            </w:r>
            <w:r w:rsidR="00E37112" w:rsidRPr="00E37112">
              <w:rPr>
                <w:rFonts w:ascii="Arial" w:hAnsi="Arial" w:cs="Arial"/>
                <w:noProof/>
                <w:webHidden/>
                <w:sz w:val="24"/>
                <w:szCs w:val="24"/>
              </w:rPr>
              <w:t>11</w:t>
            </w:r>
            <w:r w:rsidR="00E37112" w:rsidRPr="00E37112">
              <w:rPr>
                <w:rFonts w:ascii="Arial" w:hAnsi="Arial" w:cs="Arial"/>
                <w:noProof/>
                <w:webHidden/>
                <w:sz w:val="24"/>
                <w:szCs w:val="24"/>
              </w:rPr>
              <w:fldChar w:fldCharType="end"/>
            </w:r>
          </w:hyperlink>
        </w:p>
        <w:p w14:paraId="77A04543" w14:textId="4CA7F58A" w:rsidR="00E37112" w:rsidRPr="00E37112" w:rsidRDefault="00E37112" w:rsidP="00E37112">
          <w:pPr>
            <w:spacing w:line="240" w:lineRule="auto"/>
            <w:jc w:val="both"/>
            <w:rPr>
              <w:rFonts w:ascii="Arial" w:hAnsi="Arial" w:cs="Arial"/>
              <w:sz w:val="24"/>
              <w:szCs w:val="24"/>
            </w:rPr>
          </w:pPr>
          <w:r w:rsidRPr="00E37112">
            <w:rPr>
              <w:rFonts w:ascii="Arial" w:hAnsi="Arial" w:cs="Arial"/>
              <w:b/>
              <w:bCs/>
              <w:noProof/>
              <w:sz w:val="24"/>
              <w:szCs w:val="24"/>
            </w:rPr>
            <w:fldChar w:fldCharType="end"/>
          </w:r>
        </w:p>
      </w:sdtContent>
    </w:sdt>
    <w:p w14:paraId="15B74F28" w14:textId="77777777" w:rsidR="00E37112" w:rsidRDefault="00E37112">
      <w:pPr>
        <w:rPr>
          <w:rFonts w:ascii="Arial" w:eastAsiaTheme="majorEastAsia" w:hAnsi="Arial" w:cstheme="majorBidi"/>
          <w:b/>
          <w:sz w:val="28"/>
          <w:szCs w:val="32"/>
          <w:lang w:val="en-US"/>
        </w:rPr>
      </w:pPr>
      <w:r>
        <w:rPr>
          <w:lang w:val="en-US"/>
        </w:rPr>
        <w:br w:type="page"/>
      </w:r>
    </w:p>
    <w:p w14:paraId="4E0773E1" w14:textId="33BDDC40" w:rsidR="00370E55" w:rsidRPr="00A66C5D" w:rsidRDefault="00370E55" w:rsidP="00A66C5D">
      <w:pPr>
        <w:pStyle w:val="Titlu1"/>
        <w:rPr>
          <w:lang w:val="en-US"/>
        </w:rPr>
      </w:pPr>
      <w:bookmarkStart w:id="0" w:name="_Toc90410742"/>
      <w:r w:rsidRPr="00A66C5D">
        <w:rPr>
          <w:lang w:val="en-US"/>
        </w:rPr>
        <w:lastRenderedPageBreak/>
        <w:t>Introduction</w:t>
      </w:r>
      <w:bookmarkEnd w:id="0"/>
    </w:p>
    <w:p w14:paraId="73176D61" w14:textId="488FCCCC" w:rsidR="00C51E8A" w:rsidRPr="00A66C5D" w:rsidRDefault="002734E7" w:rsidP="00A66C5D">
      <w:pPr>
        <w:spacing w:line="240" w:lineRule="auto"/>
        <w:jc w:val="both"/>
        <w:rPr>
          <w:rFonts w:ascii="Arial" w:hAnsi="Arial" w:cs="Arial"/>
          <w:sz w:val="24"/>
          <w:szCs w:val="24"/>
          <w:lang w:val="en-US"/>
        </w:rPr>
      </w:pPr>
      <w:r w:rsidRPr="00A66C5D">
        <w:rPr>
          <w:rFonts w:ascii="Arial" w:hAnsi="Arial" w:cs="Arial"/>
          <w:sz w:val="24"/>
          <w:szCs w:val="24"/>
          <w:lang w:val="en-US"/>
        </w:rPr>
        <w:t>Person-centered practice or approach is a worldwide phenomenon that is linked to national and international healthcare policy. McCance and McCormack devised the framework for the person-centered approach, which is an internationally recognized framework that includes instructions for new members and teams to readily comprehend the person-centered dimensions and how they are applied in practice. It is an essential requirement for the 21</w:t>
      </w:r>
      <w:r w:rsidRPr="00A66C5D">
        <w:rPr>
          <w:rFonts w:ascii="Arial" w:hAnsi="Arial" w:cs="Arial"/>
          <w:sz w:val="24"/>
          <w:szCs w:val="24"/>
          <w:vertAlign w:val="superscript"/>
          <w:lang w:val="en-US"/>
        </w:rPr>
        <w:t>st</w:t>
      </w:r>
      <w:r w:rsidRPr="00A66C5D">
        <w:rPr>
          <w:rFonts w:ascii="Arial" w:hAnsi="Arial" w:cs="Arial"/>
          <w:sz w:val="24"/>
          <w:szCs w:val="24"/>
          <w:lang w:val="en-US"/>
        </w:rPr>
        <w:t xml:space="preserve">-century health care system because in the upcoming </w:t>
      </w:r>
      <w:r w:rsidR="005048E3" w:rsidRPr="00A66C5D">
        <w:rPr>
          <w:rFonts w:ascii="Arial" w:hAnsi="Arial" w:cs="Arial"/>
          <w:sz w:val="24"/>
          <w:szCs w:val="24"/>
          <w:lang w:val="en-US"/>
        </w:rPr>
        <w:t xml:space="preserve">years most of the individuals living in the United Kingdom need person-centered care, especially those who sufferers from Dementia and cancer. Dementia is a mental disorder that may </w:t>
      </w:r>
      <w:r w:rsidR="00825D53" w:rsidRPr="00A66C5D">
        <w:rPr>
          <w:rFonts w:ascii="Arial" w:hAnsi="Arial" w:cs="Arial"/>
          <w:sz w:val="24"/>
          <w:szCs w:val="24"/>
          <w:lang w:val="en-US"/>
        </w:rPr>
        <w:t>lead</w:t>
      </w:r>
      <w:r w:rsidR="005048E3" w:rsidRPr="00A66C5D">
        <w:rPr>
          <w:rFonts w:ascii="Arial" w:hAnsi="Arial" w:cs="Arial"/>
          <w:sz w:val="24"/>
          <w:szCs w:val="24"/>
          <w:lang w:val="en-US"/>
        </w:rPr>
        <w:t xml:space="preserve"> to de</w:t>
      </w:r>
      <w:r w:rsidR="007A0E88" w:rsidRPr="00A66C5D">
        <w:rPr>
          <w:rFonts w:ascii="Arial" w:hAnsi="Arial" w:cs="Arial"/>
          <w:sz w:val="24"/>
          <w:szCs w:val="24"/>
          <w:lang w:val="en-US"/>
        </w:rPr>
        <w:t>pression</w:t>
      </w:r>
      <w:r w:rsidR="005048E3" w:rsidRPr="00A66C5D">
        <w:rPr>
          <w:rFonts w:ascii="Arial" w:hAnsi="Arial" w:cs="Arial"/>
          <w:sz w:val="24"/>
          <w:szCs w:val="24"/>
          <w:lang w:val="en-US"/>
        </w:rPr>
        <w:t xml:space="preserve"> and anxiety</w:t>
      </w:r>
      <w:r w:rsidR="0036246D" w:rsidRPr="00A66C5D">
        <w:rPr>
          <w:rFonts w:ascii="Arial" w:hAnsi="Arial" w:cs="Arial"/>
          <w:sz w:val="24"/>
          <w:szCs w:val="24"/>
          <w:lang w:val="en-US"/>
        </w:rPr>
        <w:t xml:space="preserve"> (Riachi, 2018)</w:t>
      </w:r>
      <w:r w:rsidR="005048E3" w:rsidRPr="00A66C5D">
        <w:rPr>
          <w:rFonts w:ascii="Arial" w:hAnsi="Arial" w:cs="Arial"/>
          <w:sz w:val="24"/>
          <w:szCs w:val="24"/>
          <w:lang w:val="en-US"/>
        </w:rPr>
        <w:t xml:space="preserve">. </w:t>
      </w:r>
      <w:r w:rsidR="007A0E88" w:rsidRPr="00A66C5D">
        <w:rPr>
          <w:rFonts w:ascii="Arial" w:hAnsi="Arial" w:cs="Arial"/>
          <w:sz w:val="24"/>
          <w:szCs w:val="24"/>
          <w:lang w:val="en-US"/>
        </w:rPr>
        <w:t xml:space="preserve">Dementia and cancer both are correlated because cancer patients have problems with Dementia as a side of treatment or maybe psychological </w:t>
      </w:r>
      <w:r w:rsidR="00825D53" w:rsidRPr="00A66C5D">
        <w:rPr>
          <w:rFonts w:ascii="Arial" w:hAnsi="Arial" w:cs="Arial"/>
          <w:sz w:val="24"/>
          <w:szCs w:val="24"/>
          <w:lang w:val="en-US"/>
        </w:rPr>
        <w:t>behavior</w:t>
      </w:r>
      <w:r w:rsidR="007A0E88" w:rsidRPr="00A66C5D">
        <w:rPr>
          <w:rFonts w:ascii="Arial" w:hAnsi="Arial" w:cs="Arial"/>
          <w:sz w:val="24"/>
          <w:szCs w:val="24"/>
          <w:lang w:val="en-US"/>
        </w:rPr>
        <w:t xml:space="preserve"> behind the depression and anxiety. </w:t>
      </w:r>
      <w:r w:rsidR="00825D53" w:rsidRPr="00A66C5D">
        <w:rPr>
          <w:rFonts w:ascii="Arial" w:hAnsi="Arial" w:cs="Arial"/>
          <w:sz w:val="24"/>
          <w:szCs w:val="24"/>
          <w:lang w:val="en-US"/>
        </w:rPr>
        <w:t xml:space="preserve">The fundamental principle of the approach is majorly based on the </w:t>
      </w:r>
      <w:r w:rsidR="00480245" w:rsidRPr="00A66C5D">
        <w:rPr>
          <w:rFonts w:ascii="Arial" w:hAnsi="Arial" w:cs="Arial"/>
          <w:sz w:val="24"/>
          <w:szCs w:val="24"/>
          <w:lang w:val="en-US"/>
        </w:rPr>
        <w:t>effectiveness</w:t>
      </w:r>
      <w:r w:rsidR="00825D53" w:rsidRPr="00A66C5D">
        <w:rPr>
          <w:rFonts w:ascii="Arial" w:hAnsi="Arial" w:cs="Arial"/>
          <w:sz w:val="24"/>
          <w:szCs w:val="24"/>
          <w:lang w:val="en-US"/>
        </w:rPr>
        <w:t xml:space="preserve"> of the social </w:t>
      </w:r>
      <w:r w:rsidR="00480245" w:rsidRPr="00A66C5D">
        <w:rPr>
          <w:rFonts w:ascii="Arial" w:hAnsi="Arial" w:cs="Arial"/>
          <w:sz w:val="24"/>
          <w:szCs w:val="24"/>
          <w:lang w:val="en-US"/>
        </w:rPr>
        <w:t xml:space="preserve">and health care services that </w:t>
      </w:r>
      <w:r w:rsidR="00527A3F" w:rsidRPr="00A66C5D">
        <w:rPr>
          <w:rFonts w:ascii="Arial" w:hAnsi="Arial" w:cs="Arial"/>
          <w:sz w:val="24"/>
          <w:szCs w:val="24"/>
          <w:lang w:val="en-US"/>
        </w:rPr>
        <w:t>involve</w:t>
      </w:r>
      <w:r w:rsidR="00480245" w:rsidRPr="00A66C5D">
        <w:rPr>
          <w:rFonts w:ascii="Arial" w:hAnsi="Arial" w:cs="Arial"/>
          <w:sz w:val="24"/>
          <w:szCs w:val="24"/>
          <w:lang w:val="en-US"/>
        </w:rPr>
        <w:t xml:space="preserve"> </w:t>
      </w:r>
      <w:r w:rsidR="00527A3F" w:rsidRPr="00A66C5D">
        <w:rPr>
          <w:rFonts w:ascii="Arial" w:hAnsi="Arial" w:cs="Arial"/>
          <w:sz w:val="24"/>
          <w:szCs w:val="24"/>
          <w:lang w:val="en-US"/>
        </w:rPr>
        <w:t xml:space="preserve">a </w:t>
      </w:r>
      <w:r w:rsidR="00480245" w:rsidRPr="00A66C5D">
        <w:rPr>
          <w:rFonts w:ascii="Arial" w:hAnsi="Arial" w:cs="Arial"/>
          <w:sz w:val="24"/>
          <w:szCs w:val="24"/>
          <w:lang w:val="en-US"/>
        </w:rPr>
        <w:t xml:space="preserve">holistic care strategy for best </w:t>
      </w:r>
      <w:r w:rsidR="00527A3F" w:rsidRPr="00A66C5D">
        <w:rPr>
          <w:rFonts w:ascii="Arial" w:hAnsi="Arial" w:cs="Arial"/>
          <w:sz w:val="24"/>
          <w:szCs w:val="24"/>
          <w:lang w:val="en-US"/>
        </w:rPr>
        <w:t>decision-making</w:t>
      </w:r>
      <w:r w:rsidR="00480245" w:rsidRPr="00A66C5D">
        <w:rPr>
          <w:rFonts w:ascii="Arial" w:hAnsi="Arial" w:cs="Arial"/>
          <w:sz w:val="24"/>
          <w:szCs w:val="24"/>
          <w:lang w:val="en-US"/>
        </w:rPr>
        <w:t xml:space="preserve"> concerning </w:t>
      </w:r>
      <w:r w:rsidR="00527A3F" w:rsidRPr="00A66C5D">
        <w:rPr>
          <w:rFonts w:ascii="Arial" w:hAnsi="Arial" w:cs="Arial"/>
          <w:sz w:val="24"/>
          <w:szCs w:val="24"/>
          <w:lang w:val="en-US"/>
        </w:rPr>
        <w:t xml:space="preserve">the </w:t>
      </w:r>
      <w:r w:rsidR="00480245" w:rsidRPr="00A66C5D">
        <w:rPr>
          <w:rFonts w:ascii="Arial" w:hAnsi="Arial" w:cs="Arial"/>
          <w:sz w:val="24"/>
          <w:szCs w:val="24"/>
          <w:lang w:val="en-US"/>
        </w:rPr>
        <w:t>individual, family member, and health care professionals</w:t>
      </w:r>
      <w:r w:rsidR="00527A3F" w:rsidRPr="00A66C5D">
        <w:rPr>
          <w:rFonts w:ascii="Arial" w:hAnsi="Arial" w:cs="Arial"/>
          <w:sz w:val="24"/>
          <w:szCs w:val="24"/>
          <w:lang w:val="en-US"/>
        </w:rPr>
        <w:t xml:space="preserve">. It is also focused on the expertise towards the patient’s need of care. The requirement </w:t>
      </w:r>
      <w:r w:rsidR="00C51E8A" w:rsidRPr="00A66C5D">
        <w:rPr>
          <w:rFonts w:ascii="Arial" w:hAnsi="Arial" w:cs="Arial"/>
          <w:sz w:val="24"/>
          <w:szCs w:val="24"/>
          <w:lang w:val="en-US"/>
        </w:rPr>
        <w:t>for</w:t>
      </w:r>
      <w:r w:rsidR="00527A3F" w:rsidRPr="00A66C5D">
        <w:rPr>
          <w:rFonts w:ascii="Arial" w:hAnsi="Arial" w:cs="Arial"/>
          <w:sz w:val="24"/>
          <w:szCs w:val="24"/>
          <w:lang w:val="en-US"/>
        </w:rPr>
        <w:t xml:space="preserve"> </w:t>
      </w:r>
      <w:r w:rsidR="00C51E8A" w:rsidRPr="00A66C5D">
        <w:rPr>
          <w:rFonts w:ascii="Arial" w:hAnsi="Arial" w:cs="Arial"/>
          <w:sz w:val="24"/>
          <w:szCs w:val="24"/>
          <w:lang w:val="en-US"/>
        </w:rPr>
        <w:t xml:space="preserve">a </w:t>
      </w:r>
      <w:r w:rsidR="00527A3F" w:rsidRPr="00A66C5D">
        <w:rPr>
          <w:rFonts w:ascii="Arial" w:hAnsi="Arial" w:cs="Arial"/>
          <w:sz w:val="24"/>
          <w:szCs w:val="24"/>
          <w:lang w:val="en-US"/>
        </w:rPr>
        <w:t xml:space="preserve">person-centered approach is increasing day by day whole over the world due to enhancing </w:t>
      </w:r>
      <w:r w:rsidR="00C51E8A" w:rsidRPr="00A66C5D">
        <w:rPr>
          <w:rFonts w:ascii="Arial" w:hAnsi="Arial" w:cs="Arial"/>
          <w:sz w:val="24"/>
          <w:szCs w:val="24"/>
          <w:lang w:val="en-US"/>
        </w:rPr>
        <w:t xml:space="preserve">the </w:t>
      </w:r>
      <w:r w:rsidR="00527A3F" w:rsidRPr="00A66C5D">
        <w:rPr>
          <w:rFonts w:ascii="Arial" w:hAnsi="Arial" w:cs="Arial"/>
          <w:sz w:val="24"/>
          <w:szCs w:val="24"/>
          <w:lang w:val="en-US"/>
        </w:rPr>
        <w:t xml:space="preserve">number of patients with Dementia and cancer. It is necessary </w:t>
      </w:r>
      <w:r w:rsidR="00C51E8A" w:rsidRPr="00A66C5D">
        <w:rPr>
          <w:rFonts w:ascii="Arial" w:hAnsi="Arial" w:cs="Arial"/>
          <w:sz w:val="24"/>
          <w:szCs w:val="24"/>
          <w:lang w:val="en-US"/>
        </w:rPr>
        <w:t>a</w:t>
      </w:r>
      <w:r w:rsidR="00527A3F" w:rsidRPr="00A66C5D">
        <w:rPr>
          <w:rFonts w:ascii="Arial" w:hAnsi="Arial" w:cs="Arial"/>
          <w:sz w:val="24"/>
          <w:szCs w:val="24"/>
          <w:lang w:val="en-US"/>
        </w:rPr>
        <w:t xml:space="preserve"> social and economic point of view of the country as </w:t>
      </w:r>
      <w:r w:rsidR="00C51E8A" w:rsidRPr="00A66C5D">
        <w:rPr>
          <w:rFonts w:ascii="Arial" w:hAnsi="Arial" w:cs="Arial"/>
          <w:sz w:val="24"/>
          <w:szCs w:val="24"/>
          <w:lang w:val="en-US"/>
        </w:rPr>
        <w:t>described in the World Health Organization because this strategy is helpful to maintain the economic status by treating patients with lesser investment and resources, only efforts are needed</w:t>
      </w:r>
      <w:r w:rsidR="0036246D" w:rsidRPr="00A66C5D">
        <w:rPr>
          <w:rFonts w:ascii="Arial" w:hAnsi="Arial" w:cs="Arial"/>
          <w:sz w:val="24"/>
          <w:szCs w:val="24"/>
          <w:lang w:val="en-US"/>
        </w:rPr>
        <w:t xml:space="preserve"> (Walker, 2020)</w:t>
      </w:r>
      <w:r w:rsidR="00C51E8A" w:rsidRPr="00A66C5D">
        <w:rPr>
          <w:rFonts w:ascii="Arial" w:hAnsi="Arial" w:cs="Arial"/>
          <w:sz w:val="24"/>
          <w:szCs w:val="24"/>
          <w:lang w:val="en-US"/>
        </w:rPr>
        <w:t>.</w:t>
      </w:r>
    </w:p>
    <w:p w14:paraId="6A630178" w14:textId="77777777" w:rsidR="00C51E8A" w:rsidRPr="00A66C5D" w:rsidRDefault="00C51E8A" w:rsidP="00A66C5D">
      <w:pPr>
        <w:spacing w:line="240" w:lineRule="auto"/>
        <w:jc w:val="both"/>
        <w:rPr>
          <w:rFonts w:ascii="Arial" w:hAnsi="Arial" w:cs="Arial"/>
          <w:sz w:val="24"/>
          <w:szCs w:val="24"/>
          <w:lang w:val="en-US"/>
        </w:rPr>
      </w:pPr>
      <w:r w:rsidRPr="00A66C5D">
        <w:rPr>
          <w:rFonts w:ascii="Arial" w:hAnsi="Arial" w:cs="Arial"/>
          <w:sz w:val="24"/>
          <w:szCs w:val="24"/>
          <w:lang w:val="en-US"/>
        </w:rPr>
        <w:br w:type="page"/>
      </w:r>
    </w:p>
    <w:p w14:paraId="430BD186" w14:textId="5896AB98" w:rsidR="00A66C5D" w:rsidRDefault="00A66C5D" w:rsidP="00A66C5D">
      <w:pPr>
        <w:pStyle w:val="Titlu1"/>
        <w:rPr>
          <w:lang w:val="en-US"/>
        </w:rPr>
      </w:pPr>
      <w:bookmarkStart w:id="1" w:name="_Toc90410743"/>
      <w:bookmarkStart w:id="2" w:name="_Toc89271553"/>
      <w:r>
        <w:rPr>
          <w:lang w:val="en-US"/>
        </w:rPr>
        <w:lastRenderedPageBreak/>
        <w:t>Discussion</w:t>
      </w:r>
      <w:bookmarkEnd w:id="1"/>
      <w:r>
        <w:rPr>
          <w:lang w:val="en-US"/>
        </w:rPr>
        <w:t xml:space="preserve"> </w:t>
      </w:r>
    </w:p>
    <w:p w14:paraId="6E6AB803" w14:textId="3209022F" w:rsidR="00FC59E6" w:rsidRPr="00A66C5D" w:rsidRDefault="00FC59E6" w:rsidP="00A66C5D">
      <w:pPr>
        <w:spacing w:line="240" w:lineRule="auto"/>
        <w:jc w:val="both"/>
        <w:rPr>
          <w:rFonts w:ascii="Arial" w:hAnsi="Arial" w:cs="Arial"/>
          <w:bCs/>
          <w:sz w:val="24"/>
          <w:szCs w:val="24"/>
          <w:lang w:val="en-US"/>
        </w:rPr>
      </w:pPr>
      <w:r w:rsidRPr="00A66C5D">
        <w:rPr>
          <w:rFonts w:ascii="Arial" w:hAnsi="Arial" w:cs="Arial"/>
          <w:bCs/>
          <w:sz w:val="24"/>
          <w:szCs w:val="24"/>
          <w:lang w:val="en-US"/>
        </w:rPr>
        <w:t xml:space="preserve">In reaction to inadequate care for the chronically sick in the United Kingdom, a fund has been established in the United Kingdom for people with cancer. Palliative care </w:t>
      </w:r>
      <w:r w:rsidR="00E37112">
        <w:rPr>
          <w:rFonts w:ascii="Arial" w:hAnsi="Arial" w:cs="Arial"/>
          <w:bCs/>
          <w:sz w:val="24"/>
          <w:szCs w:val="24"/>
          <w:lang w:val="en-US"/>
        </w:rPr>
        <w:t>focused</w:t>
      </w:r>
      <w:r w:rsidRPr="00A66C5D">
        <w:rPr>
          <w:rFonts w:ascii="Arial" w:hAnsi="Arial" w:cs="Arial"/>
          <w:bCs/>
          <w:sz w:val="24"/>
          <w:szCs w:val="24"/>
          <w:lang w:val="en-US"/>
        </w:rPr>
        <w:t xml:space="preserve"> on replacing as a necessity for illnesses apart from cancer. Palliative care is being provided for people with significant diseases and their family members "through this same prevention and relief of having to suffer </w:t>
      </w:r>
      <w:r w:rsidR="00E37112">
        <w:rPr>
          <w:rFonts w:ascii="Arial" w:hAnsi="Arial" w:cs="Arial"/>
          <w:bCs/>
          <w:sz w:val="24"/>
          <w:szCs w:val="24"/>
          <w:lang w:val="en-US"/>
        </w:rPr>
        <w:t>through</w:t>
      </w:r>
      <w:r w:rsidRPr="00A66C5D">
        <w:rPr>
          <w:rFonts w:ascii="Arial" w:hAnsi="Arial" w:cs="Arial"/>
          <w:bCs/>
          <w:sz w:val="24"/>
          <w:szCs w:val="24"/>
          <w:lang w:val="en-US"/>
        </w:rPr>
        <w:t xml:space="preserve"> the earlier detection and immaculate therapeutic interventions and other troubles, physical, psychological and social, and moral," regardless of the exact diagnosis, </w:t>
      </w:r>
      <w:r w:rsidR="00E37112">
        <w:rPr>
          <w:rFonts w:ascii="Arial" w:hAnsi="Arial" w:cs="Arial"/>
          <w:bCs/>
          <w:sz w:val="24"/>
          <w:szCs w:val="24"/>
          <w:lang w:val="en-US"/>
        </w:rPr>
        <w:t>to</w:t>
      </w:r>
      <w:r w:rsidRPr="00A66C5D">
        <w:rPr>
          <w:rFonts w:ascii="Arial" w:hAnsi="Arial" w:cs="Arial"/>
          <w:bCs/>
          <w:sz w:val="24"/>
          <w:szCs w:val="24"/>
          <w:lang w:val="en-US"/>
        </w:rPr>
        <w:t xml:space="preserve"> maintain and enhance </w:t>
      </w:r>
      <w:r w:rsidR="00E37112">
        <w:rPr>
          <w:rFonts w:ascii="Arial" w:hAnsi="Arial" w:cs="Arial"/>
          <w:bCs/>
          <w:sz w:val="24"/>
          <w:szCs w:val="24"/>
          <w:lang w:val="en-US"/>
        </w:rPr>
        <w:t xml:space="preserve">the </w:t>
      </w:r>
      <w:r w:rsidRPr="00A66C5D">
        <w:rPr>
          <w:rFonts w:ascii="Arial" w:hAnsi="Arial" w:cs="Arial"/>
          <w:bCs/>
          <w:sz w:val="24"/>
          <w:szCs w:val="24"/>
          <w:lang w:val="en-US"/>
        </w:rPr>
        <w:t xml:space="preserve">quality of life. Parallel to the creation of palliative care, dementia care was created separately; both were founded on the same principles for advancing dementia care and boosting </w:t>
      </w:r>
      <w:r w:rsidR="00E37112">
        <w:rPr>
          <w:rFonts w:ascii="Arial" w:hAnsi="Arial" w:cs="Arial"/>
          <w:bCs/>
          <w:sz w:val="24"/>
          <w:szCs w:val="24"/>
          <w:lang w:val="en-US"/>
        </w:rPr>
        <w:t xml:space="preserve">the </w:t>
      </w:r>
      <w:r w:rsidRPr="00A66C5D">
        <w:rPr>
          <w:rFonts w:ascii="Arial" w:hAnsi="Arial" w:cs="Arial"/>
          <w:bCs/>
          <w:sz w:val="24"/>
          <w:szCs w:val="24"/>
          <w:lang w:val="en-US"/>
        </w:rPr>
        <w:t xml:space="preserve">quality of life for individuals with dementia. Lessons </w:t>
      </w:r>
      <w:r w:rsidR="00E37112">
        <w:rPr>
          <w:rFonts w:ascii="Arial" w:hAnsi="Arial" w:cs="Arial"/>
          <w:bCs/>
          <w:sz w:val="24"/>
          <w:szCs w:val="24"/>
          <w:lang w:val="en-US"/>
        </w:rPr>
        <w:t>learned</w:t>
      </w:r>
      <w:r w:rsidRPr="00A66C5D">
        <w:rPr>
          <w:rFonts w:ascii="Arial" w:hAnsi="Arial" w:cs="Arial"/>
          <w:bCs/>
          <w:sz w:val="24"/>
          <w:szCs w:val="24"/>
          <w:lang w:val="en-US"/>
        </w:rPr>
        <w:t xml:space="preserve"> from palliative care for cancer patients, for example, cannot easily be translated to palliative care for dementia sufferers, but it would be possible with the efforts of health and social care workers</w:t>
      </w:r>
      <w:r w:rsidR="0036246D" w:rsidRPr="00A66C5D">
        <w:rPr>
          <w:rFonts w:ascii="Arial" w:hAnsi="Arial" w:cs="Arial"/>
          <w:bCs/>
          <w:sz w:val="24"/>
          <w:szCs w:val="24"/>
          <w:lang w:val="en-US"/>
        </w:rPr>
        <w:t xml:space="preserve"> (Eisenmann et al., 2020)</w:t>
      </w:r>
      <w:r w:rsidRPr="00A66C5D">
        <w:rPr>
          <w:rFonts w:ascii="Arial" w:hAnsi="Arial" w:cs="Arial"/>
          <w:bCs/>
          <w:sz w:val="24"/>
          <w:szCs w:val="24"/>
          <w:lang w:val="en-US"/>
        </w:rPr>
        <w:t>.</w:t>
      </w:r>
    </w:p>
    <w:p w14:paraId="52C3BD97" w14:textId="0F58FA3A" w:rsidR="00930C36" w:rsidRPr="00A66C5D" w:rsidRDefault="00930C36" w:rsidP="00A66C5D">
      <w:pPr>
        <w:spacing w:line="240" w:lineRule="auto"/>
        <w:jc w:val="both"/>
        <w:rPr>
          <w:rFonts w:ascii="Arial" w:hAnsi="Arial" w:cs="Arial"/>
          <w:bCs/>
          <w:sz w:val="24"/>
          <w:szCs w:val="24"/>
          <w:lang w:val="en-US"/>
        </w:rPr>
      </w:pPr>
      <w:r w:rsidRPr="00A66C5D">
        <w:rPr>
          <w:rFonts w:ascii="Arial" w:hAnsi="Arial" w:cs="Arial"/>
          <w:bCs/>
          <w:sz w:val="24"/>
          <w:szCs w:val="24"/>
          <w:lang w:val="en-US"/>
        </w:rPr>
        <w:t xml:space="preserve">Patients suffering </w:t>
      </w:r>
      <w:r w:rsidR="000A17BA" w:rsidRPr="00A66C5D">
        <w:rPr>
          <w:rFonts w:ascii="Arial" w:hAnsi="Arial" w:cs="Arial"/>
          <w:bCs/>
          <w:sz w:val="24"/>
          <w:szCs w:val="24"/>
          <w:lang w:val="en-US"/>
        </w:rPr>
        <w:t xml:space="preserve">from </w:t>
      </w:r>
      <w:r w:rsidRPr="00A66C5D">
        <w:rPr>
          <w:rFonts w:ascii="Arial" w:hAnsi="Arial" w:cs="Arial"/>
          <w:bCs/>
          <w:sz w:val="24"/>
          <w:szCs w:val="24"/>
          <w:lang w:val="en-US"/>
        </w:rPr>
        <w:t>dementia, families</w:t>
      </w:r>
      <w:r w:rsidR="000A17BA" w:rsidRPr="00A66C5D">
        <w:rPr>
          <w:rFonts w:ascii="Arial" w:hAnsi="Arial" w:cs="Arial"/>
          <w:bCs/>
          <w:sz w:val="24"/>
          <w:szCs w:val="24"/>
          <w:lang w:val="en-US"/>
        </w:rPr>
        <w:t>,</w:t>
      </w:r>
      <w:r w:rsidRPr="00A66C5D">
        <w:rPr>
          <w:rFonts w:ascii="Arial" w:hAnsi="Arial" w:cs="Arial"/>
          <w:bCs/>
          <w:sz w:val="24"/>
          <w:szCs w:val="24"/>
          <w:lang w:val="en-US"/>
        </w:rPr>
        <w:t xml:space="preserve"> and caregivers, and medical professionals are all affected by the rising issue of surviving with dementia until death. Dementia has grown increasingly visible as a result of the growing number of individuals affected by the disease, which is expected to double </w:t>
      </w:r>
      <w:r w:rsidR="000A17BA" w:rsidRPr="00A66C5D">
        <w:rPr>
          <w:rFonts w:ascii="Arial" w:hAnsi="Arial" w:cs="Arial"/>
          <w:bCs/>
          <w:sz w:val="24"/>
          <w:szCs w:val="24"/>
          <w:lang w:val="en-US"/>
        </w:rPr>
        <w:t>every</w:t>
      </w:r>
      <w:r w:rsidRPr="00A66C5D">
        <w:rPr>
          <w:rFonts w:ascii="Arial" w:hAnsi="Arial" w:cs="Arial"/>
          <w:bCs/>
          <w:sz w:val="24"/>
          <w:szCs w:val="24"/>
          <w:lang w:val="en-US"/>
        </w:rPr>
        <w:t xml:space="preserve"> 20 years which is one of the leading causes of mortality. Individuals with advanced dementia are treated using a person-centered approach</w:t>
      </w:r>
      <w:r w:rsidR="0036246D" w:rsidRPr="00A66C5D">
        <w:rPr>
          <w:rFonts w:ascii="Arial" w:hAnsi="Arial" w:cs="Arial"/>
          <w:bCs/>
          <w:sz w:val="24"/>
          <w:szCs w:val="24"/>
          <w:lang w:val="en-US"/>
        </w:rPr>
        <w:t xml:space="preserve"> (Roe and Galvin, 2021)</w:t>
      </w:r>
      <w:r w:rsidRPr="00A66C5D">
        <w:rPr>
          <w:rFonts w:ascii="Arial" w:hAnsi="Arial" w:cs="Arial"/>
          <w:bCs/>
          <w:sz w:val="24"/>
          <w:szCs w:val="24"/>
          <w:lang w:val="en-US"/>
        </w:rPr>
        <w:t>.</w:t>
      </w:r>
    </w:p>
    <w:p w14:paraId="686AE02F" w14:textId="2E501F0B" w:rsidR="002734E7" w:rsidRPr="00A66C5D" w:rsidRDefault="00370E55" w:rsidP="00A66C5D">
      <w:pPr>
        <w:pStyle w:val="Titlu2"/>
        <w:rPr>
          <w:lang w:val="en-US"/>
        </w:rPr>
      </w:pPr>
      <w:bookmarkStart w:id="3" w:name="_Toc90410744"/>
      <w:r w:rsidRPr="00A66C5D">
        <w:rPr>
          <w:lang w:val="en-US"/>
        </w:rPr>
        <w:t>The framework of person-centered strategy</w:t>
      </w:r>
      <w:bookmarkEnd w:id="2"/>
      <w:bookmarkEnd w:id="3"/>
    </w:p>
    <w:p w14:paraId="3CC93A0A" w14:textId="58EC8353" w:rsidR="00BF1592" w:rsidRPr="00A66C5D" w:rsidRDefault="00BF1592"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The </w:t>
      </w:r>
      <w:r w:rsidR="00370E55" w:rsidRPr="00A66C5D">
        <w:rPr>
          <w:rFonts w:ascii="Arial" w:hAnsi="Arial" w:cs="Arial"/>
          <w:sz w:val="24"/>
          <w:szCs w:val="24"/>
          <w:lang w:val="en-US"/>
        </w:rPr>
        <w:t>person-centered</w:t>
      </w:r>
      <w:r w:rsidRPr="00A66C5D">
        <w:rPr>
          <w:rFonts w:ascii="Arial" w:hAnsi="Arial" w:cs="Arial"/>
          <w:sz w:val="24"/>
          <w:szCs w:val="24"/>
          <w:lang w:val="en-US"/>
        </w:rPr>
        <w:t xml:space="preserve"> approach work with the framework related to the person-centered approach has four strategies such as, previously decided fundamental rules or guidelines, a proper environment developed for care service, the process for person-centered practice, and results of person-centered practice with the concept of efficient social and health care services that </w:t>
      </w:r>
      <w:r w:rsidR="00370E55" w:rsidRPr="00A66C5D">
        <w:rPr>
          <w:rFonts w:ascii="Arial" w:hAnsi="Arial" w:cs="Arial"/>
          <w:sz w:val="24"/>
          <w:szCs w:val="24"/>
          <w:lang w:val="en-US"/>
        </w:rPr>
        <w:t>are</w:t>
      </w:r>
      <w:r w:rsidRPr="00A66C5D">
        <w:rPr>
          <w:rFonts w:ascii="Arial" w:hAnsi="Arial" w:cs="Arial"/>
          <w:sz w:val="24"/>
          <w:szCs w:val="24"/>
          <w:lang w:val="en-US"/>
        </w:rPr>
        <w:t xml:space="preserve"> required for the palliative care of cancer and dementia patient (Slater, McCance, and McCormack, 2017).</w:t>
      </w:r>
    </w:p>
    <w:p w14:paraId="22419CC6" w14:textId="77777777" w:rsidR="00BF1592" w:rsidRPr="00A66C5D" w:rsidRDefault="00BF1592" w:rsidP="00A66C5D">
      <w:pPr>
        <w:spacing w:line="240" w:lineRule="auto"/>
        <w:jc w:val="both"/>
        <w:rPr>
          <w:rFonts w:ascii="Arial" w:hAnsi="Arial" w:cs="Arial"/>
          <w:sz w:val="24"/>
          <w:szCs w:val="24"/>
          <w:lang w:val="en-US"/>
        </w:rPr>
      </w:pPr>
      <w:r w:rsidRPr="00A66C5D">
        <w:rPr>
          <w:rFonts w:ascii="Arial" w:hAnsi="Arial" w:cs="Arial"/>
          <w:sz w:val="24"/>
          <w:szCs w:val="24"/>
          <w:lang w:val="en-US"/>
        </w:rPr>
        <w:t>The first strategy called prerequisites focuses on the qualities of the health care service members like nurses such as competency with the profession, development of interpersonal skills, commitment towards their duty, substantiating the rules, values, and beliefs, self-awareness (McCormack, and McCance, 2016).</w:t>
      </w:r>
    </w:p>
    <w:p w14:paraId="4A282B66" w14:textId="77777777" w:rsidR="00BF1592" w:rsidRPr="00A66C5D" w:rsidRDefault="00BF1592" w:rsidP="00A66C5D">
      <w:pPr>
        <w:spacing w:line="240" w:lineRule="auto"/>
        <w:jc w:val="both"/>
        <w:rPr>
          <w:rFonts w:ascii="Arial" w:hAnsi="Arial" w:cs="Arial"/>
          <w:sz w:val="24"/>
          <w:szCs w:val="24"/>
          <w:lang w:val="en-US"/>
        </w:rPr>
      </w:pPr>
      <w:r w:rsidRPr="00A66C5D">
        <w:rPr>
          <w:rFonts w:ascii="Arial" w:hAnsi="Arial" w:cs="Arial"/>
          <w:sz w:val="24"/>
          <w:szCs w:val="24"/>
          <w:lang w:val="en-US"/>
        </w:rPr>
        <w:t>The second strategy, known as care environment, is related to caring practice which provides care to the patient that involves several skills just like, decision making quality, relationship with staff members, power-sharing capacity, supporting environment at the working palace, innovation, and some risk-taking practices which makes the caring process effective (McCormack, and McCance, 2016).</w:t>
      </w:r>
    </w:p>
    <w:p w14:paraId="0215CF3C" w14:textId="6E8AAC58" w:rsidR="00BF1592" w:rsidRPr="00A66C5D" w:rsidRDefault="00BF1592" w:rsidP="00A66C5D">
      <w:pPr>
        <w:spacing w:line="240" w:lineRule="auto"/>
        <w:jc w:val="both"/>
        <w:rPr>
          <w:rFonts w:ascii="Arial" w:hAnsi="Arial" w:cs="Arial"/>
          <w:sz w:val="24"/>
          <w:szCs w:val="24"/>
          <w:lang w:val="en-US"/>
        </w:rPr>
      </w:pPr>
      <w:r w:rsidRPr="00A66C5D">
        <w:rPr>
          <w:rFonts w:ascii="Arial" w:hAnsi="Arial" w:cs="Arial"/>
          <w:sz w:val="24"/>
          <w:szCs w:val="24"/>
          <w:lang w:val="en-US"/>
        </w:rPr>
        <w:t>The third strategy called person-centered processes which is mainly developed for the effective care process with various activities such as working style maintained according to values and beliefs</w:t>
      </w:r>
      <w:r w:rsidR="00370E55" w:rsidRPr="00A66C5D">
        <w:rPr>
          <w:rFonts w:ascii="Arial" w:hAnsi="Arial" w:cs="Arial"/>
          <w:sz w:val="24"/>
          <w:szCs w:val="24"/>
          <w:lang w:val="en-US"/>
        </w:rPr>
        <w:t xml:space="preserve"> of </w:t>
      </w:r>
      <w:r w:rsidR="00D93C52" w:rsidRPr="00A66C5D">
        <w:rPr>
          <w:rFonts w:ascii="Arial" w:hAnsi="Arial" w:cs="Arial"/>
          <w:sz w:val="24"/>
          <w:szCs w:val="24"/>
          <w:lang w:val="en-US"/>
        </w:rPr>
        <w:t>a person</w:t>
      </w:r>
      <w:r w:rsidRPr="00A66C5D">
        <w:rPr>
          <w:rFonts w:ascii="Arial" w:hAnsi="Arial" w:cs="Arial"/>
          <w:sz w:val="24"/>
          <w:szCs w:val="24"/>
          <w:lang w:val="en-US"/>
        </w:rPr>
        <w:t>, involvement of all team members humbly with recipients, efficient presence, proper decision making, and fulfilling the physical requirement of the patient with health care services (McCormack, and McCance, 2016).</w:t>
      </w:r>
    </w:p>
    <w:p w14:paraId="19BBE8D9" w14:textId="77777777" w:rsidR="00BF1592" w:rsidRPr="00A66C5D" w:rsidRDefault="00BF1592"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The last and fourth strategy is related to expected results, which means beneficial outcomes of person-centered practices of nursing, through the satisfaction of care concerning the patient, engagement in care practice, feeling healthy wellbeing, and </w:t>
      </w:r>
      <w:r w:rsidRPr="00A66C5D">
        <w:rPr>
          <w:rFonts w:ascii="Arial" w:hAnsi="Arial" w:cs="Arial"/>
          <w:sz w:val="24"/>
          <w:szCs w:val="24"/>
          <w:lang w:val="en-US"/>
        </w:rPr>
        <w:lastRenderedPageBreak/>
        <w:t>creation of effective, motivative, therapeutic, satisfying, innovative, and healing environment (McCormack, and McCance, 2016).</w:t>
      </w:r>
    </w:p>
    <w:p w14:paraId="58E07B37" w14:textId="64E6DC5B" w:rsidR="00BF1592" w:rsidRPr="00A66C5D" w:rsidRDefault="00BF1592"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 A </w:t>
      </w:r>
      <w:r w:rsidR="0035287B" w:rsidRPr="00A66C5D">
        <w:rPr>
          <w:rFonts w:ascii="Arial" w:hAnsi="Arial" w:cs="Arial"/>
          <w:sz w:val="24"/>
          <w:szCs w:val="24"/>
          <w:lang w:val="en-US"/>
        </w:rPr>
        <w:t xml:space="preserve">professional who belongs to the social and health care system should be </w:t>
      </w:r>
      <w:r w:rsidRPr="00A66C5D">
        <w:rPr>
          <w:rFonts w:ascii="Arial" w:hAnsi="Arial" w:cs="Arial"/>
          <w:sz w:val="24"/>
          <w:szCs w:val="24"/>
          <w:lang w:val="en-US"/>
        </w:rPr>
        <w:t xml:space="preserve">aware </w:t>
      </w:r>
      <w:r w:rsidR="0035287B" w:rsidRPr="00A66C5D">
        <w:rPr>
          <w:rFonts w:ascii="Arial" w:hAnsi="Arial" w:cs="Arial"/>
          <w:sz w:val="24"/>
          <w:szCs w:val="24"/>
          <w:lang w:val="en-US"/>
        </w:rPr>
        <w:t xml:space="preserve">of these approaches and </w:t>
      </w:r>
      <w:r w:rsidRPr="00A66C5D">
        <w:rPr>
          <w:rFonts w:ascii="Arial" w:hAnsi="Arial" w:cs="Arial"/>
          <w:sz w:val="24"/>
          <w:szCs w:val="24"/>
          <w:lang w:val="en-US"/>
        </w:rPr>
        <w:t xml:space="preserve">focus or include these four strategies in the conversation and </w:t>
      </w:r>
      <w:r w:rsidR="0035287B" w:rsidRPr="00A66C5D">
        <w:rPr>
          <w:rFonts w:ascii="Arial" w:hAnsi="Arial" w:cs="Arial"/>
          <w:sz w:val="24"/>
          <w:szCs w:val="24"/>
          <w:lang w:val="en-US"/>
        </w:rPr>
        <w:t xml:space="preserve">accept these in the behavior or daily practices </w:t>
      </w:r>
      <w:r w:rsidRPr="00A66C5D">
        <w:rPr>
          <w:rFonts w:ascii="Arial" w:hAnsi="Arial" w:cs="Arial"/>
          <w:sz w:val="24"/>
          <w:szCs w:val="24"/>
          <w:lang w:val="en-US"/>
        </w:rPr>
        <w:t>because these are the fundamental base of person-centered practice or approach</w:t>
      </w:r>
      <w:r w:rsidR="0035287B" w:rsidRPr="00A66C5D">
        <w:rPr>
          <w:rFonts w:ascii="Arial" w:hAnsi="Arial" w:cs="Arial"/>
          <w:sz w:val="24"/>
          <w:szCs w:val="24"/>
          <w:lang w:val="en-US"/>
        </w:rPr>
        <w:t xml:space="preserve">. The practice is essential to treat dementia and cancer patients </w:t>
      </w:r>
      <w:r w:rsidR="00DF69E6" w:rsidRPr="00A66C5D">
        <w:rPr>
          <w:rFonts w:ascii="Arial" w:hAnsi="Arial" w:cs="Arial"/>
          <w:sz w:val="24"/>
          <w:szCs w:val="24"/>
          <w:lang w:val="en-US"/>
        </w:rPr>
        <w:t>with feasible cost and productive results without any side effects</w:t>
      </w:r>
      <w:r w:rsidRPr="00A66C5D">
        <w:rPr>
          <w:rFonts w:ascii="Arial" w:hAnsi="Arial" w:cs="Arial"/>
          <w:sz w:val="24"/>
          <w:szCs w:val="24"/>
          <w:lang w:val="en-US"/>
        </w:rPr>
        <w:t xml:space="preserve"> (Byrne, Baldwin, and Harvey, 2020).</w:t>
      </w:r>
    </w:p>
    <w:p w14:paraId="231481A5" w14:textId="6C028E07" w:rsidR="00DF69E6" w:rsidRPr="00A66C5D" w:rsidRDefault="00DF69E6" w:rsidP="00A66C5D">
      <w:pPr>
        <w:pStyle w:val="Titlu2"/>
        <w:rPr>
          <w:lang w:val="en-US"/>
        </w:rPr>
      </w:pPr>
      <w:bookmarkStart w:id="4" w:name="_Toc90410745"/>
      <w:r w:rsidRPr="00A66C5D">
        <w:rPr>
          <w:lang w:val="en-US"/>
        </w:rPr>
        <w:t>Legislation</w:t>
      </w:r>
      <w:bookmarkEnd w:id="4"/>
    </w:p>
    <w:p w14:paraId="4F2E076F" w14:textId="486E073C" w:rsidR="00370E55" w:rsidRPr="00A66C5D" w:rsidRDefault="00370E55"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The person-centered approach </w:t>
      </w:r>
      <w:r w:rsidR="00DF69E6" w:rsidRPr="00A66C5D">
        <w:rPr>
          <w:rFonts w:ascii="Arial" w:hAnsi="Arial" w:cs="Arial"/>
          <w:sz w:val="24"/>
          <w:szCs w:val="24"/>
          <w:lang w:val="en-US"/>
        </w:rPr>
        <w:t xml:space="preserve">is </w:t>
      </w:r>
      <w:r w:rsidRPr="00A66C5D">
        <w:rPr>
          <w:rFonts w:ascii="Arial" w:hAnsi="Arial" w:cs="Arial"/>
          <w:sz w:val="24"/>
          <w:szCs w:val="24"/>
          <w:lang w:val="en-US"/>
        </w:rPr>
        <w:t xml:space="preserve">based on the Health and Social Care Act 2008, regulation 9 that involves guidelines related to social and health services. According to legislation the treatment method and care services must be appropriate, meet the requirements of clients, also reflect the preference of the users (Chang et al., 2019). According to the act different legislation strategies reflects in the person-centered approach that </w:t>
      </w:r>
      <w:r w:rsidR="00DF69E6" w:rsidRPr="00A66C5D">
        <w:rPr>
          <w:rFonts w:ascii="Arial" w:hAnsi="Arial" w:cs="Arial"/>
          <w:sz w:val="24"/>
          <w:szCs w:val="24"/>
          <w:lang w:val="en-US"/>
        </w:rPr>
        <w:t>is</w:t>
      </w:r>
      <w:r w:rsidRPr="00A66C5D">
        <w:rPr>
          <w:rFonts w:ascii="Arial" w:hAnsi="Arial" w:cs="Arial"/>
          <w:sz w:val="24"/>
          <w:szCs w:val="24"/>
          <w:lang w:val="en-US"/>
        </w:rPr>
        <w:t xml:space="preserve"> helpful for the users</w:t>
      </w:r>
      <w:r w:rsidR="00DF69E6" w:rsidRPr="00A66C5D">
        <w:rPr>
          <w:rFonts w:ascii="Arial" w:hAnsi="Arial" w:cs="Arial"/>
          <w:sz w:val="24"/>
          <w:szCs w:val="24"/>
          <w:lang w:val="en-US"/>
        </w:rPr>
        <w:t xml:space="preserve"> (patients of cancer and mental disorder) </w:t>
      </w:r>
      <w:r w:rsidRPr="00A66C5D">
        <w:rPr>
          <w:rFonts w:ascii="Arial" w:hAnsi="Arial" w:cs="Arial"/>
          <w:sz w:val="24"/>
          <w:szCs w:val="24"/>
          <w:lang w:val="en-US"/>
        </w:rPr>
        <w:t>of care services such as:</w:t>
      </w:r>
    </w:p>
    <w:p w14:paraId="33E003A5" w14:textId="31FADBA0"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 xml:space="preserve">Carry out the process with </w:t>
      </w:r>
      <w:r w:rsidR="00DF69E6" w:rsidRPr="00A66C5D">
        <w:rPr>
          <w:rFonts w:ascii="Arial" w:hAnsi="Arial" w:cs="Arial"/>
          <w:sz w:val="24"/>
          <w:szCs w:val="24"/>
          <w:lang w:val="en-US"/>
        </w:rPr>
        <w:t xml:space="preserve">the </w:t>
      </w:r>
      <w:r w:rsidRPr="00A66C5D">
        <w:rPr>
          <w:rFonts w:ascii="Arial" w:hAnsi="Arial" w:cs="Arial"/>
          <w:sz w:val="24"/>
          <w:szCs w:val="24"/>
          <w:lang w:val="en-US"/>
        </w:rPr>
        <w:t xml:space="preserve">relevant framework, collaborate with </w:t>
      </w:r>
      <w:r w:rsidR="00DF69E6" w:rsidRPr="00A66C5D">
        <w:rPr>
          <w:rFonts w:ascii="Arial" w:hAnsi="Arial" w:cs="Arial"/>
          <w:sz w:val="24"/>
          <w:szCs w:val="24"/>
          <w:lang w:val="en-US"/>
        </w:rPr>
        <w:t xml:space="preserve">the </w:t>
      </w:r>
      <w:r w:rsidRPr="00A66C5D">
        <w:rPr>
          <w:rFonts w:ascii="Arial" w:hAnsi="Arial" w:cs="Arial"/>
          <w:sz w:val="24"/>
          <w:szCs w:val="24"/>
          <w:lang w:val="en-US"/>
        </w:rPr>
        <w:t xml:space="preserve">person that </w:t>
      </w:r>
      <w:r w:rsidR="00DF69E6" w:rsidRPr="00A66C5D">
        <w:rPr>
          <w:rFonts w:ascii="Arial" w:hAnsi="Arial" w:cs="Arial"/>
          <w:sz w:val="24"/>
          <w:szCs w:val="24"/>
          <w:lang w:val="en-US"/>
        </w:rPr>
        <w:t>improves</w:t>
      </w:r>
      <w:r w:rsidRPr="00A66C5D">
        <w:rPr>
          <w:rFonts w:ascii="Arial" w:hAnsi="Arial" w:cs="Arial"/>
          <w:sz w:val="24"/>
          <w:szCs w:val="24"/>
          <w:lang w:val="en-US"/>
        </w:rPr>
        <w:t xml:space="preserve"> the efficiency of service, assessment of needs, care services, and priorities are necessary </w:t>
      </w:r>
      <w:r w:rsidR="00DF69E6" w:rsidRPr="00A66C5D">
        <w:rPr>
          <w:rFonts w:ascii="Arial" w:hAnsi="Arial" w:cs="Arial"/>
          <w:sz w:val="24"/>
          <w:szCs w:val="24"/>
          <w:lang w:val="en-US"/>
        </w:rPr>
        <w:t>for</w:t>
      </w:r>
      <w:r w:rsidRPr="00A66C5D">
        <w:rPr>
          <w:rFonts w:ascii="Arial" w:hAnsi="Arial" w:cs="Arial"/>
          <w:sz w:val="24"/>
          <w:szCs w:val="24"/>
          <w:lang w:val="en-US"/>
        </w:rPr>
        <w:t xml:space="preserve"> </w:t>
      </w:r>
      <w:r w:rsidR="00DF69E6" w:rsidRPr="00A66C5D">
        <w:rPr>
          <w:rFonts w:ascii="Arial" w:hAnsi="Arial" w:cs="Arial"/>
          <w:sz w:val="24"/>
          <w:szCs w:val="24"/>
          <w:lang w:val="en-US"/>
        </w:rPr>
        <w:t xml:space="preserve">the </w:t>
      </w:r>
      <w:r w:rsidRPr="00A66C5D">
        <w:rPr>
          <w:rFonts w:ascii="Arial" w:hAnsi="Arial" w:cs="Arial"/>
          <w:sz w:val="24"/>
          <w:szCs w:val="24"/>
          <w:lang w:val="en-US"/>
        </w:rPr>
        <w:t xml:space="preserve">concern of </w:t>
      </w:r>
      <w:r w:rsidR="00DF69E6" w:rsidRPr="00A66C5D">
        <w:rPr>
          <w:rFonts w:ascii="Arial" w:hAnsi="Arial" w:cs="Arial"/>
          <w:sz w:val="24"/>
          <w:szCs w:val="24"/>
          <w:lang w:val="en-US"/>
        </w:rPr>
        <w:t>consumers</w:t>
      </w:r>
      <w:r w:rsidRPr="00A66C5D">
        <w:rPr>
          <w:rFonts w:ascii="Arial" w:hAnsi="Arial" w:cs="Arial"/>
          <w:sz w:val="24"/>
          <w:szCs w:val="24"/>
          <w:lang w:val="en-US"/>
        </w:rPr>
        <w:t>.</w:t>
      </w:r>
    </w:p>
    <w:p w14:paraId="33F88E02" w14:textId="40A3736B"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 xml:space="preserve">Design a treatment method procedure for the care </w:t>
      </w:r>
      <w:r w:rsidR="00D93C52" w:rsidRPr="00A66C5D">
        <w:rPr>
          <w:rFonts w:ascii="Arial" w:hAnsi="Arial" w:cs="Arial"/>
          <w:sz w:val="24"/>
          <w:szCs w:val="24"/>
          <w:lang w:val="en-US"/>
        </w:rPr>
        <w:t>concerning</w:t>
      </w:r>
      <w:r w:rsidRPr="00A66C5D">
        <w:rPr>
          <w:rFonts w:ascii="Arial" w:hAnsi="Arial" w:cs="Arial"/>
          <w:sz w:val="24"/>
          <w:szCs w:val="24"/>
          <w:lang w:val="en-US"/>
        </w:rPr>
        <w:t xml:space="preserve"> </w:t>
      </w:r>
      <w:r w:rsidR="00DF69E6" w:rsidRPr="00A66C5D">
        <w:rPr>
          <w:rFonts w:ascii="Arial" w:hAnsi="Arial" w:cs="Arial"/>
          <w:sz w:val="24"/>
          <w:szCs w:val="24"/>
          <w:lang w:val="en-US"/>
        </w:rPr>
        <w:t>meeting</w:t>
      </w:r>
      <w:r w:rsidRPr="00A66C5D">
        <w:rPr>
          <w:rFonts w:ascii="Arial" w:hAnsi="Arial" w:cs="Arial"/>
          <w:sz w:val="24"/>
          <w:szCs w:val="24"/>
          <w:lang w:val="en-US"/>
        </w:rPr>
        <w:t xml:space="preserve"> the requirements of </w:t>
      </w:r>
      <w:r w:rsidR="00DF69E6" w:rsidRPr="00A66C5D">
        <w:rPr>
          <w:rFonts w:ascii="Arial" w:hAnsi="Arial" w:cs="Arial"/>
          <w:sz w:val="24"/>
          <w:szCs w:val="24"/>
          <w:lang w:val="en-US"/>
        </w:rPr>
        <w:t xml:space="preserve">a </w:t>
      </w:r>
      <w:r w:rsidRPr="00A66C5D">
        <w:rPr>
          <w:rFonts w:ascii="Arial" w:hAnsi="Arial" w:cs="Arial"/>
          <w:sz w:val="24"/>
          <w:szCs w:val="24"/>
          <w:lang w:val="en-US"/>
        </w:rPr>
        <w:t xml:space="preserve">client and keep the preferences on priority, to achieve effective care services. </w:t>
      </w:r>
    </w:p>
    <w:p w14:paraId="616CBDFD" w14:textId="600DE271"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 xml:space="preserve">The equivalent balance between risk and benefits </w:t>
      </w:r>
      <w:r w:rsidR="00DF69E6" w:rsidRPr="00A66C5D">
        <w:rPr>
          <w:rFonts w:ascii="Arial" w:hAnsi="Arial" w:cs="Arial"/>
          <w:sz w:val="24"/>
          <w:szCs w:val="24"/>
          <w:lang w:val="en-US"/>
        </w:rPr>
        <w:t>is</w:t>
      </w:r>
      <w:r w:rsidRPr="00A66C5D">
        <w:rPr>
          <w:rFonts w:ascii="Arial" w:hAnsi="Arial" w:cs="Arial"/>
          <w:sz w:val="24"/>
          <w:szCs w:val="24"/>
          <w:lang w:val="en-US"/>
        </w:rPr>
        <w:t xml:space="preserve"> allowing and assisting appropriate individuals to comprehend the therapy or medication choices open to the client and to consider the balance of risks and benefits associated in any specific duration of therapy with a capable caregiver or </w:t>
      </w:r>
      <w:r w:rsidR="00DF69E6" w:rsidRPr="00A66C5D">
        <w:rPr>
          <w:rFonts w:ascii="Arial" w:hAnsi="Arial" w:cs="Arial"/>
          <w:sz w:val="24"/>
          <w:szCs w:val="24"/>
          <w:lang w:val="en-US"/>
        </w:rPr>
        <w:t>another qualified individual</w:t>
      </w:r>
      <w:r w:rsidR="0036246D" w:rsidRPr="00A66C5D">
        <w:rPr>
          <w:rFonts w:ascii="Arial" w:hAnsi="Arial" w:cs="Arial"/>
          <w:sz w:val="24"/>
          <w:szCs w:val="24"/>
          <w:lang w:val="en-US"/>
        </w:rPr>
        <w:t xml:space="preserve"> (Fang and Tanaka, 2021)</w:t>
      </w:r>
      <w:r w:rsidRPr="00A66C5D">
        <w:rPr>
          <w:rFonts w:ascii="Arial" w:hAnsi="Arial" w:cs="Arial"/>
          <w:sz w:val="24"/>
          <w:szCs w:val="24"/>
          <w:lang w:val="en-US"/>
        </w:rPr>
        <w:t>.</w:t>
      </w:r>
    </w:p>
    <w:p w14:paraId="23C175E4" w14:textId="2E2B958B"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 xml:space="preserve">Permitting and supporting suitable persons to understand the treatment or drug options offered to clients, as well as to weigh the consequences and actions with just about any certain length of psychotherapy with a skilled nurse or </w:t>
      </w:r>
      <w:r w:rsidR="00DF69E6" w:rsidRPr="00A66C5D">
        <w:rPr>
          <w:rFonts w:ascii="Arial" w:hAnsi="Arial" w:cs="Arial"/>
          <w:sz w:val="24"/>
          <w:szCs w:val="24"/>
          <w:lang w:val="en-US"/>
        </w:rPr>
        <w:t>another person</w:t>
      </w:r>
      <w:r w:rsidRPr="00A66C5D">
        <w:rPr>
          <w:rFonts w:ascii="Arial" w:hAnsi="Arial" w:cs="Arial"/>
          <w:sz w:val="24"/>
          <w:szCs w:val="24"/>
          <w:lang w:val="en-US"/>
        </w:rPr>
        <w:t xml:space="preserve"> who </w:t>
      </w:r>
      <w:r w:rsidR="00DF69E6" w:rsidRPr="00A66C5D">
        <w:rPr>
          <w:rFonts w:ascii="Arial" w:hAnsi="Arial" w:cs="Arial"/>
          <w:sz w:val="24"/>
          <w:szCs w:val="24"/>
          <w:lang w:val="en-US"/>
        </w:rPr>
        <w:t>participates</w:t>
      </w:r>
      <w:r w:rsidRPr="00A66C5D">
        <w:rPr>
          <w:rFonts w:ascii="Arial" w:hAnsi="Arial" w:cs="Arial"/>
          <w:sz w:val="24"/>
          <w:szCs w:val="24"/>
          <w:lang w:val="en-US"/>
        </w:rPr>
        <w:t xml:space="preserve"> in the service process.</w:t>
      </w:r>
    </w:p>
    <w:p w14:paraId="4FD483A5" w14:textId="77777777"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Allowing appropriate individuals to handle the services patient's clinical services.</w:t>
      </w:r>
    </w:p>
    <w:p w14:paraId="26CB2649" w14:textId="4D54A1A6"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 xml:space="preserve">Including </w:t>
      </w:r>
      <w:r w:rsidR="00DF69E6" w:rsidRPr="00A66C5D">
        <w:rPr>
          <w:rFonts w:ascii="Arial" w:hAnsi="Arial" w:cs="Arial"/>
          <w:sz w:val="24"/>
          <w:szCs w:val="24"/>
          <w:lang w:val="en-US"/>
        </w:rPr>
        <w:t xml:space="preserve">the </w:t>
      </w:r>
      <w:r w:rsidRPr="00A66C5D">
        <w:rPr>
          <w:rFonts w:ascii="Arial" w:hAnsi="Arial" w:cs="Arial"/>
          <w:sz w:val="24"/>
          <w:szCs w:val="24"/>
          <w:lang w:val="en-US"/>
        </w:rPr>
        <w:t xml:space="preserve">right stakeholders in choices about how the controlled conduct is conducted out when it comes towards the medical assistance of the </w:t>
      </w:r>
      <w:r w:rsidR="00DF69E6" w:rsidRPr="00A66C5D">
        <w:rPr>
          <w:rFonts w:ascii="Arial" w:hAnsi="Arial" w:cs="Arial"/>
          <w:sz w:val="24"/>
          <w:szCs w:val="24"/>
          <w:lang w:val="en-US"/>
        </w:rPr>
        <w:t>patient/client</w:t>
      </w:r>
      <w:r w:rsidR="0036246D" w:rsidRPr="00A66C5D">
        <w:rPr>
          <w:rFonts w:ascii="Arial" w:hAnsi="Arial" w:cs="Arial"/>
          <w:sz w:val="24"/>
          <w:szCs w:val="24"/>
          <w:lang w:val="en-US"/>
        </w:rPr>
        <w:t xml:space="preserve"> (Lee</w:t>
      </w:r>
      <w:r w:rsidR="00E21099" w:rsidRPr="00A66C5D">
        <w:rPr>
          <w:rFonts w:ascii="Arial" w:hAnsi="Arial" w:cs="Arial"/>
          <w:sz w:val="24"/>
          <w:szCs w:val="24"/>
          <w:lang w:val="en-US"/>
        </w:rPr>
        <w:t>, Vibhuti, Sudmann, 2021</w:t>
      </w:r>
      <w:r w:rsidR="0036246D" w:rsidRPr="00A66C5D">
        <w:rPr>
          <w:rFonts w:ascii="Arial" w:hAnsi="Arial" w:cs="Arial"/>
          <w:sz w:val="24"/>
          <w:szCs w:val="24"/>
          <w:lang w:val="en-US"/>
        </w:rPr>
        <w:t>)</w:t>
      </w:r>
      <w:r w:rsidRPr="00A66C5D">
        <w:rPr>
          <w:rFonts w:ascii="Arial" w:hAnsi="Arial" w:cs="Arial"/>
          <w:sz w:val="24"/>
          <w:szCs w:val="24"/>
          <w:lang w:val="en-US"/>
        </w:rPr>
        <w:t>.</w:t>
      </w:r>
    </w:p>
    <w:p w14:paraId="5A889416" w14:textId="77777777"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Providing significant modifications to allow the patient to obtain their level of care.</w:t>
      </w:r>
    </w:p>
    <w:p w14:paraId="44A5FA77" w14:textId="77777777" w:rsidR="00370E55" w:rsidRPr="00A66C5D" w:rsidRDefault="00370E55" w:rsidP="00A66C5D">
      <w:pPr>
        <w:numPr>
          <w:ilvl w:val="0"/>
          <w:numId w:val="1"/>
        </w:numPr>
        <w:spacing w:line="240" w:lineRule="auto"/>
        <w:jc w:val="both"/>
        <w:rPr>
          <w:rFonts w:ascii="Arial" w:hAnsi="Arial" w:cs="Arial"/>
          <w:sz w:val="24"/>
          <w:szCs w:val="24"/>
          <w:lang w:val="en-US"/>
        </w:rPr>
      </w:pPr>
      <w:r w:rsidRPr="00A66C5D">
        <w:rPr>
          <w:rFonts w:ascii="Arial" w:hAnsi="Arial" w:cs="Arial"/>
          <w:sz w:val="24"/>
          <w:szCs w:val="24"/>
          <w:lang w:val="en-US"/>
        </w:rPr>
        <w:t>When it comes to providing a care recipient's dietary and physiological demands while keeping their fellow human in mind (Lodge, 2015).</w:t>
      </w:r>
    </w:p>
    <w:p w14:paraId="79B639D6" w14:textId="5E36E147" w:rsidR="00370E55" w:rsidRPr="00A66C5D" w:rsidRDefault="00370E55"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This rule outlines what </w:t>
      </w:r>
      <w:r w:rsidR="00DF69E6" w:rsidRPr="00A66C5D">
        <w:rPr>
          <w:rFonts w:ascii="Arial" w:hAnsi="Arial" w:cs="Arial"/>
          <w:sz w:val="24"/>
          <w:szCs w:val="24"/>
          <w:lang w:val="en-US"/>
        </w:rPr>
        <w:t>healthcare</w:t>
      </w:r>
      <w:r w:rsidRPr="00A66C5D">
        <w:rPr>
          <w:rFonts w:ascii="Arial" w:hAnsi="Arial" w:cs="Arial"/>
          <w:sz w:val="24"/>
          <w:szCs w:val="24"/>
          <w:lang w:val="en-US"/>
        </w:rPr>
        <w:t xml:space="preserve"> professionals must undertake to ensure that each individual </w:t>
      </w:r>
      <w:r w:rsidR="00DF69E6" w:rsidRPr="00A66C5D">
        <w:rPr>
          <w:rFonts w:ascii="Arial" w:hAnsi="Arial" w:cs="Arial"/>
          <w:sz w:val="24"/>
          <w:szCs w:val="24"/>
          <w:lang w:val="en-US"/>
        </w:rPr>
        <w:t>receives</w:t>
      </w:r>
      <w:r w:rsidRPr="00A66C5D">
        <w:rPr>
          <w:rFonts w:ascii="Arial" w:hAnsi="Arial" w:cs="Arial"/>
          <w:sz w:val="24"/>
          <w:szCs w:val="24"/>
          <w:lang w:val="en-US"/>
        </w:rPr>
        <w:t xml:space="preserve"> proper person-centered diagnosis and services based on an evaluation of individual demands and wants. "Keeping the person who utilizes facilities </w:t>
      </w:r>
      <w:r w:rsidRPr="00A66C5D">
        <w:rPr>
          <w:rFonts w:ascii="Arial" w:hAnsi="Arial" w:cs="Arial"/>
          <w:sz w:val="24"/>
          <w:szCs w:val="24"/>
          <w:lang w:val="en-US"/>
        </w:rPr>
        <w:lastRenderedPageBreak/>
        <w:t>at the forefront of personal care, rehabilitation, and assistance, guaranteeing that all that is performed is focused on what is essential to that individual from their viewpoint," according to the guiding dictionary</w:t>
      </w:r>
      <w:r w:rsidR="00DF69E6" w:rsidRPr="00A66C5D">
        <w:rPr>
          <w:rFonts w:ascii="Arial" w:hAnsi="Arial" w:cs="Arial"/>
          <w:sz w:val="24"/>
          <w:szCs w:val="24"/>
          <w:lang w:val="en-US"/>
        </w:rPr>
        <w:t xml:space="preserve"> that is must for the early recovery of the respondent because the care of dementia and cancer is for long term and </w:t>
      </w:r>
      <w:r w:rsidR="005860BD" w:rsidRPr="00A66C5D">
        <w:rPr>
          <w:rFonts w:ascii="Arial" w:hAnsi="Arial" w:cs="Arial"/>
          <w:sz w:val="24"/>
          <w:szCs w:val="24"/>
          <w:lang w:val="en-US"/>
        </w:rPr>
        <w:t>the best treatment t</w:t>
      </w:r>
      <w:r w:rsidRPr="00A66C5D">
        <w:rPr>
          <w:rFonts w:ascii="Arial" w:hAnsi="Arial" w:cs="Arial"/>
          <w:sz w:val="24"/>
          <w:szCs w:val="24"/>
          <w:lang w:val="en-US"/>
        </w:rPr>
        <w:t xml:space="preserve">hese all strategies help the </w:t>
      </w:r>
      <w:r w:rsidR="005860BD" w:rsidRPr="00A66C5D">
        <w:rPr>
          <w:rFonts w:ascii="Arial" w:hAnsi="Arial" w:cs="Arial"/>
          <w:sz w:val="24"/>
          <w:szCs w:val="24"/>
          <w:lang w:val="en-US"/>
        </w:rPr>
        <w:t>health care workers</w:t>
      </w:r>
      <w:r w:rsidRPr="00A66C5D">
        <w:rPr>
          <w:rFonts w:ascii="Arial" w:hAnsi="Arial" w:cs="Arial"/>
          <w:sz w:val="24"/>
          <w:szCs w:val="24"/>
          <w:lang w:val="en-US"/>
        </w:rPr>
        <w:t xml:space="preserve"> to access effective services </w:t>
      </w:r>
      <w:r w:rsidR="00D93C52" w:rsidRPr="00A66C5D">
        <w:rPr>
          <w:rFonts w:ascii="Arial" w:hAnsi="Arial" w:cs="Arial"/>
          <w:sz w:val="24"/>
          <w:szCs w:val="24"/>
          <w:lang w:val="en-US"/>
        </w:rPr>
        <w:t>properly</w:t>
      </w:r>
      <w:r w:rsidR="00E21099" w:rsidRPr="00A66C5D">
        <w:rPr>
          <w:rFonts w:ascii="Arial" w:hAnsi="Arial" w:cs="Arial"/>
          <w:sz w:val="24"/>
          <w:szCs w:val="24"/>
          <w:lang w:val="en-US"/>
        </w:rPr>
        <w:t xml:space="preserve"> (Witham et al., 2018)</w:t>
      </w:r>
      <w:r w:rsidRPr="00A66C5D">
        <w:rPr>
          <w:rFonts w:ascii="Arial" w:hAnsi="Arial" w:cs="Arial"/>
          <w:sz w:val="24"/>
          <w:szCs w:val="24"/>
          <w:lang w:val="en-US"/>
        </w:rPr>
        <w:t>.</w:t>
      </w:r>
    </w:p>
    <w:p w14:paraId="30A05E94" w14:textId="29132477" w:rsidR="005860BD" w:rsidRPr="00A66C5D" w:rsidRDefault="00844A08" w:rsidP="00A66C5D">
      <w:pPr>
        <w:pStyle w:val="Titlu2"/>
        <w:rPr>
          <w:rFonts w:cs="Arial"/>
          <w:sz w:val="24"/>
          <w:szCs w:val="24"/>
          <w:lang w:val="en-US"/>
        </w:rPr>
      </w:pPr>
      <w:bookmarkStart w:id="5" w:name="_Toc90410746"/>
      <w:r w:rsidRPr="00A66C5D">
        <w:rPr>
          <w:lang w:val="en-US"/>
        </w:rPr>
        <w:t>limitations</w:t>
      </w:r>
      <w:bookmarkEnd w:id="5"/>
    </w:p>
    <w:p w14:paraId="59A3D254" w14:textId="25178B73" w:rsidR="006C3FCF" w:rsidRPr="00A66C5D" w:rsidRDefault="00370E55" w:rsidP="00A66C5D">
      <w:pPr>
        <w:spacing w:line="240" w:lineRule="auto"/>
        <w:jc w:val="both"/>
        <w:rPr>
          <w:rFonts w:ascii="Arial" w:hAnsi="Arial" w:cs="Arial"/>
          <w:sz w:val="24"/>
          <w:szCs w:val="24"/>
          <w:lang w:val="en-US"/>
        </w:rPr>
      </w:pPr>
      <w:r w:rsidRPr="00A66C5D">
        <w:rPr>
          <w:rFonts w:ascii="Arial" w:hAnsi="Arial" w:cs="Arial"/>
          <w:sz w:val="24"/>
          <w:szCs w:val="24"/>
          <w:lang w:val="en-US"/>
        </w:rPr>
        <w:t>The biggest impediments or challenges to a person-centered approach as a health professional include inexperienced employees with various restraints</w:t>
      </w:r>
      <w:r w:rsidR="005860BD" w:rsidRPr="00A66C5D">
        <w:rPr>
          <w:rFonts w:ascii="Arial" w:hAnsi="Arial" w:cs="Arial"/>
          <w:sz w:val="24"/>
          <w:szCs w:val="24"/>
          <w:lang w:val="en-US"/>
        </w:rPr>
        <w:t xml:space="preserve"> that lead to risk for the respondent,</w:t>
      </w:r>
      <w:r w:rsidRPr="00A66C5D">
        <w:rPr>
          <w:rFonts w:ascii="Arial" w:hAnsi="Arial" w:cs="Arial"/>
          <w:sz w:val="24"/>
          <w:szCs w:val="24"/>
          <w:lang w:val="en-US"/>
        </w:rPr>
        <w:t xml:space="preserve"> the burden at </w:t>
      </w:r>
      <w:r w:rsidR="00DF69E6" w:rsidRPr="00A66C5D">
        <w:rPr>
          <w:rFonts w:ascii="Arial" w:hAnsi="Arial" w:cs="Arial"/>
          <w:sz w:val="24"/>
          <w:szCs w:val="24"/>
          <w:lang w:val="en-US"/>
        </w:rPr>
        <w:t xml:space="preserve">the </w:t>
      </w:r>
      <w:r w:rsidR="005860BD" w:rsidRPr="00A66C5D">
        <w:rPr>
          <w:rFonts w:ascii="Arial" w:hAnsi="Arial" w:cs="Arial"/>
          <w:sz w:val="24"/>
          <w:szCs w:val="24"/>
          <w:lang w:val="en-US"/>
        </w:rPr>
        <w:t>working</w:t>
      </w:r>
      <w:r w:rsidRPr="00A66C5D">
        <w:rPr>
          <w:rFonts w:ascii="Arial" w:hAnsi="Arial" w:cs="Arial"/>
          <w:sz w:val="24"/>
          <w:szCs w:val="24"/>
          <w:lang w:val="en-US"/>
        </w:rPr>
        <w:t xml:space="preserve"> palace, and time reduction, which creates pressure and hence decreases productivity. The most crucial factor is the arrogant and unsupportive conduct of employees, patients, and practitioners, as well as a lack of resources and environmental constraints. And in context to legislation main challenge are difficulty in </w:t>
      </w:r>
      <w:r w:rsidR="005860BD" w:rsidRPr="00A66C5D">
        <w:rPr>
          <w:rFonts w:ascii="Arial" w:hAnsi="Arial" w:cs="Arial"/>
          <w:sz w:val="24"/>
          <w:szCs w:val="24"/>
          <w:lang w:val="en-US"/>
        </w:rPr>
        <w:t>the decision-making</w:t>
      </w:r>
      <w:r w:rsidRPr="00A66C5D">
        <w:rPr>
          <w:rFonts w:ascii="Arial" w:hAnsi="Arial" w:cs="Arial"/>
          <w:sz w:val="24"/>
          <w:szCs w:val="24"/>
          <w:lang w:val="en-US"/>
        </w:rPr>
        <w:t xml:space="preserve"> process because of </w:t>
      </w:r>
      <w:r w:rsidR="005860BD" w:rsidRPr="00A66C5D">
        <w:rPr>
          <w:rFonts w:ascii="Arial" w:hAnsi="Arial" w:cs="Arial"/>
          <w:sz w:val="24"/>
          <w:szCs w:val="24"/>
          <w:lang w:val="en-US"/>
        </w:rPr>
        <w:t xml:space="preserve">the </w:t>
      </w:r>
      <w:r w:rsidRPr="00A66C5D">
        <w:rPr>
          <w:rFonts w:ascii="Arial" w:hAnsi="Arial" w:cs="Arial"/>
          <w:sz w:val="24"/>
          <w:szCs w:val="24"/>
          <w:lang w:val="en-US"/>
        </w:rPr>
        <w:t xml:space="preserve">different point of view of </w:t>
      </w:r>
      <w:r w:rsidR="00D93C52" w:rsidRPr="00A66C5D">
        <w:rPr>
          <w:rFonts w:ascii="Arial" w:hAnsi="Arial" w:cs="Arial"/>
          <w:sz w:val="24"/>
          <w:szCs w:val="24"/>
          <w:lang w:val="en-US"/>
        </w:rPr>
        <w:t>every</w:t>
      </w:r>
      <w:r w:rsidRPr="00A66C5D">
        <w:rPr>
          <w:rFonts w:ascii="Arial" w:hAnsi="Arial" w:cs="Arial"/>
          <w:sz w:val="24"/>
          <w:szCs w:val="24"/>
          <w:lang w:val="en-US"/>
        </w:rPr>
        <w:t xml:space="preserve"> individual, health professional, practitioner</w:t>
      </w:r>
      <w:r w:rsidR="005860BD" w:rsidRPr="00A66C5D">
        <w:rPr>
          <w:rFonts w:ascii="Arial" w:hAnsi="Arial" w:cs="Arial"/>
          <w:sz w:val="24"/>
          <w:szCs w:val="24"/>
          <w:lang w:val="en-US"/>
        </w:rPr>
        <w:t>,</w:t>
      </w:r>
      <w:r w:rsidRPr="00A66C5D">
        <w:rPr>
          <w:rFonts w:ascii="Arial" w:hAnsi="Arial" w:cs="Arial"/>
          <w:sz w:val="24"/>
          <w:szCs w:val="24"/>
          <w:lang w:val="en-US"/>
        </w:rPr>
        <w:t xml:space="preserve"> and staff </w:t>
      </w:r>
      <w:r w:rsidR="005860BD" w:rsidRPr="00A66C5D">
        <w:rPr>
          <w:rFonts w:ascii="Arial" w:hAnsi="Arial" w:cs="Arial"/>
          <w:sz w:val="24"/>
          <w:szCs w:val="24"/>
          <w:lang w:val="en-US"/>
        </w:rPr>
        <w:t>member</w:t>
      </w:r>
      <w:r w:rsidRPr="00A66C5D">
        <w:rPr>
          <w:rFonts w:ascii="Arial" w:hAnsi="Arial" w:cs="Arial"/>
          <w:sz w:val="24"/>
          <w:szCs w:val="24"/>
          <w:lang w:val="en-US"/>
        </w:rPr>
        <w:t>. A rule and guideline should be followed with proper support and efforts of the full team</w:t>
      </w:r>
      <w:r w:rsidR="00E21099" w:rsidRPr="00A66C5D">
        <w:rPr>
          <w:rFonts w:ascii="Arial" w:hAnsi="Arial" w:cs="Arial"/>
          <w:sz w:val="24"/>
          <w:szCs w:val="24"/>
          <w:lang w:val="en-US"/>
        </w:rPr>
        <w:t xml:space="preserve"> (Eisenmann, 2020)</w:t>
      </w:r>
      <w:r w:rsidR="005860BD" w:rsidRPr="00A66C5D">
        <w:rPr>
          <w:rFonts w:ascii="Arial" w:hAnsi="Arial" w:cs="Arial"/>
          <w:sz w:val="24"/>
          <w:szCs w:val="24"/>
          <w:lang w:val="en-US"/>
        </w:rPr>
        <w:t xml:space="preserve">. Without the support of team members and irresponsible behavior of </w:t>
      </w:r>
      <w:r w:rsidR="006C3FCF" w:rsidRPr="00A66C5D">
        <w:rPr>
          <w:rFonts w:ascii="Arial" w:hAnsi="Arial" w:cs="Arial"/>
          <w:sz w:val="24"/>
          <w:szCs w:val="24"/>
          <w:lang w:val="en-US"/>
        </w:rPr>
        <w:t>professionals</w:t>
      </w:r>
      <w:r w:rsidR="005860BD" w:rsidRPr="00A66C5D">
        <w:rPr>
          <w:rFonts w:ascii="Arial" w:hAnsi="Arial" w:cs="Arial"/>
          <w:sz w:val="24"/>
          <w:szCs w:val="24"/>
          <w:lang w:val="en-US"/>
        </w:rPr>
        <w:t xml:space="preserve"> is risky and unfaithful because cancer is a lethal disorder any </w:t>
      </w:r>
      <w:r w:rsidR="006C3FCF" w:rsidRPr="00A66C5D">
        <w:rPr>
          <w:rFonts w:ascii="Arial" w:hAnsi="Arial" w:cs="Arial"/>
          <w:sz w:val="24"/>
          <w:szCs w:val="24"/>
          <w:lang w:val="en-US"/>
        </w:rPr>
        <w:t>consequences reduce the life span of the recipient, so a person-centered approach with honesty is essential for better outcomes in these diseases (</w:t>
      </w:r>
      <w:r w:rsidRPr="00A66C5D">
        <w:rPr>
          <w:rFonts w:ascii="Arial" w:hAnsi="Arial" w:cs="Arial"/>
          <w:sz w:val="24"/>
          <w:szCs w:val="24"/>
          <w:lang w:val="en-US"/>
        </w:rPr>
        <w:t>Williams et al., 2015).</w:t>
      </w:r>
    </w:p>
    <w:p w14:paraId="6BD7DCE3" w14:textId="63E169C7" w:rsidR="006C3FCF" w:rsidRPr="00A66C5D" w:rsidRDefault="006C3FCF" w:rsidP="00A66C5D">
      <w:pPr>
        <w:pStyle w:val="Titlu2"/>
        <w:rPr>
          <w:lang w:val="en-US"/>
        </w:rPr>
      </w:pPr>
      <w:bookmarkStart w:id="6" w:name="_Toc90410747"/>
      <w:r w:rsidRPr="00A66C5D">
        <w:rPr>
          <w:lang w:val="en-US"/>
        </w:rPr>
        <w:t>Safety and security</w:t>
      </w:r>
      <w:bookmarkEnd w:id="6"/>
    </w:p>
    <w:p w14:paraId="4977ACA9" w14:textId="0B510409" w:rsidR="00370E55" w:rsidRPr="00A66C5D" w:rsidRDefault="00370E55"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Health and safety system is decent wellbeing and security the board framework contains a progression of down to earth strategies, plans and methods which reflect health care services and make an essential framework intended to diminish hazard and ensure individuals. </w:t>
      </w:r>
      <w:r w:rsidR="005860BD" w:rsidRPr="00A66C5D">
        <w:rPr>
          <w:rFonts w:ascii="Arial" w:hAnsi="Arial" w:cs="Arial"/>
          <w:sz w:val="24"/>
          <w:szCs w:val="24"/>
          <w:lang w:val="en-US"/>
        </w:rPr>
        <w:t>Security</w:t>
      </w:r>
      <w:r w:rsidRPr="00A66C5D">
        <w:rPr>
          <w:rFonts w:ascii="Arial" w:hAnsi="Arial" w:cs="Arial"/>
          <w:sz w:val="24"/>
          <w:szCs w:val="24"/>
          <w:lang w:val="en-US"/>
        </w:rPr>
        <w:t xml:space="preserve"> is a lawful necessity for a service and in </w:t>
      </w:r>
      <w:r w:rsidR="005860BD" w:rsidRPr="00A66C5D">
        <w:rPr>
          <w:rFonts w:ascii="Arial" w:hAnsi="Arial" w:cs="Arial"/>
          <w:sz w:val="24"/>
          <w:szCs w:val="24"/>
          <w:lang w:val="en-US"/>
        </w:rPr>
        <w:t xml:space="preserve">the </w:t>
      </w:r>
      <w:r w:rsidRPr="00A66C5D">
        <w:rPr>
          <w:rFonts w:ascii="Arial" w:hAnsi="Arial" w:cs="Arial"/>
          <w:sz w:val="24"/>
          <w:szCs w:val="24"/>
          <w:lang w:val="en-US"/>
        </w:rPr>
        <w:t xml:space="preserve">point of view of team members, utilizing at least five staff to have a recorded wellbeing and security strategy and reported danger appraisals. The significance of </w:t>
      </w:r>
      <w:r w:rsidR="006C3FCF" w:rsidRPr="00A66C5D">
        <w:rPr>
          <w:rFonts w:ascii="Arial" w:hAnsi="Arial" w:cs="Arial"/>
          <w:sz w:val="24"/>
          <w:szCs w:val="24"/>
          <w:lang w:val="en-US"/>
        </w:rPr>
        <w:t>enthusiastic</w:t>
      </w:r>
      <w:r w:rsidRPr="00A66C5D">
        <w:rPr>
          <w:rFonts w:ascii="Arial" w:hAnsi="Arial" w:cs="Arial"/>
          <w:sz w:val="24"/>
          <w:szCs w:val="24"/>
          <w:lang w:val="en-US"/>
        </w:rPr>
        <w:t xml:space="preserve"> and extensive wellbeing and security </w:t>
      </w:r>
      <w:r w:rsidR="005860BD" w:rsidRPr="00A66C5D">
        <w:rPr>
          <w:rFonts w:ascii="Arial" w:hAnsi="Arial" w:cs="Arial"/>
          <w:sz w:val="24"/>
          <w:szCs w:val="24"/>
          <w:lang w:val="en-US"/>
        </w:rPr>
        <w:t xml:space="preserve">in </w:t>
      </w:r>
      <w:r w:rsidRPr="00A66C5D">
        <w:rPr>
          <w:rFonts w:ascii="Arial" w:hAnsi="Arial" w:cs="Arial"/>
          <w:sz w:val="24"/>
          <w:szCs w:val="24"/>
          <w:lang w:val="en-US"/>
        </w:rPr>
        <w:t>the executive’s framework can be arranged into the accompanying regions: Moral, Legal</w:t>
      </w:r>
      <w:r w:rsidR="005860BD" w:rsidRPr="00A66C5D">
        <w:rPr>
          <w:rFonts w:ascii="Arial" w:hAnsi="Arial" w:cs="Arial"/>
          <w:sz w:val="24"/>
          <w:szCs w:val="24"/>
          <w:lang w:val="en-US"/>
        </w:rPr>
        <w:t>,</w:t>
      </w:r>
      <w:r w:rsidRPr="00A66C5D">
        <w:rPr>
          <w:rFonts w:ascii="Arial" w:hAnsi="Arial" w:cs="Arial"/>
          <w:sz w:val="24"/>
          <w:szCs w:val="24"/>
          <w:lang w:val="en-US"/>
        </w:rPr>
        <w:t xml:space="preserve"> and Financial</w:t>
      </w:r>
      <w:r w:rsidR="00E21099" w:rsidRPr="00A66C5D">
        <w:rPr>
          <w:rFonts w:ascii="Arial" w:hAnsi="Arial" w:cs="Arial"/>
          <w:sz w:val="24"/>
          <w:szCs w:val="24"/>
          <w:lang w:val="en-US"/>
        </w:rPr>
        <w:t xml:space="preserve"> (Lloyd et al., 2018)</w:t>
      </w:r>
      <w:r w:rsidRPr="00A66C5D">
        <w:rPr>
          <w:rFonts w:ascii="Arial" w:hAnsi="Arial" w:cs="Arial"/>
          <w:sz w:val="24"/>
          <w:szCs w:val="24"/>
          <w:lang w:val="en-US"/>
        </w:rPr>
        <w:t>.</w:t>
      </w:r>
    </w:p>
    <w:p w14:paraId="0F27A02C" w14:textId="77777777" w:rsidR="00370E55" w:rsidRPr="00A66C5D" w:rsidRDefault="00370E55" w:rsidP="00A66C5D">
      <w:pPr>
        <w:pStyle w:val="Titlu2"/>
        <w:rPr>
          <w:lang w:val="en-US"/>
        </w:rPr>
      </w:pPr>
      <w:bookmarkStart w:id="7" w:name="_Toc90410748"/>
      <w:r w:rsidRPr="00A66C5D">
        <w:rPr>
          <w:lang w:val="en-US"/>
        </w:rPr>
        <w:t>Moral</w:t>
      </w:r>
      <w:bookmarkEnd w:id="7"/>
    </w:p>
    <w:p w14:paraId="3846D109" w14:textId="44414263" w:rsidR="00370E55" w:rsidRPr="00A66C5D" w:rsidRDefault="00370E55" w:rsidP="00A66C5D">
      <w:pPr>
        <w:spacing w:line="240" w:lineRule="auto"/>
        <w:jc w:val="both"/>
        <w:rPr>
          <w:rFonts w:ascii="Arial" w:hAnsi="Arial" w:cs="Arial"/>
          <w:b/>
          <w:sz w:val="24"/>
          <w:szCs w:val="24"/>
          <w:lang w:val="en-US"/>
        </w:rPr>
      </w:pPr>
      <w:r w:rsidRPr="00A66C5D">
        <w:rPr>
          <w:rFonts w:ascii="Arial" w:hAnsi="Arial" w:cs="Arial"/>
          <w:sz w:val="24"/>
          <w:szCs w:val="24"/>
          <w:lang w:val="en-US"/>
        </w:rPr>
        <w:t xml:space="preserve">Inspirational perspectives towards wellbeing can assist with further developing work environment culture and produce a superior comprehension of </w:t>
      </w:r>
      <w:r w:rsidR="006C3FCF" w:rsidRPr="00A66C5D">
        <w:rPr>
          <w:rFonts w:ascii="Arial" w:hAnsi="Arial" w:cs="Arial"/>
          <w:sz w:val="24"/>
          <w:szCs w:val="24"/>
          <w:lang w:val="en-US"/>
        </w:rPr>
        <w:t>hazards</w:t>
      </w:r>
      <w:r w:rsidRPr="00A66C5D">
        <w:rPr>
          <w:rFonts w:ascii="Arial" w:hAnsi="Arial" w:cs="Arial"/>
          <w:sz w:val="24"/>
          <w:szCs w:val="24"/>
          <w:lang w:val="en-US"/>
        </w:rPr>
        <w:t xml:space="preserve"> inside the group. Health professionals and consumers have an ethical obligation to guard their kin. </w:t>
      </w:r>
      <w:r w:rsidR="006C3FCF" w:rsidRPr="00A66C5D">
        <w:rPr>
          <w:rFonts w:ascii="Arial" w:hAnsi="Arial" w:cs="Arial"/>
          <w:sz w:val="24"/>
          <w:szCs w:val="24"/>
          <w:lang w:val="en-US"/>
        </w:rPr>
        <w:t>Decent</w:t>
      </w:r>
      <w:r w:rsidRPr="00A66C5D">
        <w:rPr>
          <w:rFonts w:ascii="Arial" w:hAnsi="Arial" w:cs="Arial"/>
          <w:sz w:val="24"/>
          <w:szCs w:val="24"/>
          <w:lang w:val="en-US"/>
        </w:rPr>
        <w:t xml:space="preserve"> wellbeing and security </w:t>
      </w:r>
      <w:r w:rsidR="006C3FCF" w:rsidRPr="00A66C5D">
        <w:rPr>
          <w:rFonts w:ascii="Arial" w:hAnsi="Arial" w:cs="Arial"/>
          <w:sz w:val="24"/>
          <w:szCs w:val="24"/>
          <w:lang w:val="en-US"/>
        </w:rPr>
        <w:t xml:space="preserve">in </w:t>
      </w:r>
      <w:r w:rsidRPr="00A66C5D">
        <w:rPr>
          <w:rFonts w:ascii="Arial" w:hAnsi="Arial" w:cs="Arial"/>
          <w:sz w:val="24"/>
          <w:szCs w:val="24"/>
          <w:lang w:val="en-US"/>
        </w:rPr>
        <w:t xml:space="preserve">the executive’s framework can assist with limiting </w:t>
      </w:r>
      <w:r w:rsidR="006C3FCF" w:rsidRPr="00A66C5D">
        <w:rPr>
          <w:rFonts w:ascii="Arial" w:hAnsi="Arial" w:cs="Arial"/>
          <w:sz w:val="24"/>
          <w:szCs w:val="24"/>
          <w:lang w:val="en-US"/>
        </w:rPr>
        <w:t xml:space="preserve">the </w:t>
      </w:r>
      <w:r w:rsidRPr="00A66C5D">
        <w:rPr>
          <w:rFonts w:ascii="Arial" w:hAnsi="Arial" w:cs="Arial"/>
          <w:sz w:val="24"/>
          <w:szCs w:val="24"/>
          <w:lang w:val="en-US"/>
        </w:rPr>
        <w:t xml:space="preserve">danger and ensure against mishaps in the work environment. It is not satisfactory for anybody to be harmed or lethally harmed </w:t>
      </w:r>
      <w:r w:rsidR="006C3FCF" w:rsidRPr="00A66C5D">
        <w:rPr>
          <w:rFonts w:ascii="Arial" w:hAnsi="Arial" w:cs="Arial"/>
          <w:sz w:val="24"/>
          <w:szCs w:val="24"/>
          <w:lang w:val="en-US"/>
        </w:rPr>
        <w:t>in</w:t>
      </w:r>
      <w:r w:rsidRPr="00A66C5D">
        <w:rPr>
          <w:rFonts w:ascii="Arial" w:hAnsi="Arial" w:cs="Arial"/>
          <w:sz w:val="24"/>
          <w:szCs w:val="24"/>
          <w:lang w:val="en-US"/>
        </w:rPr>
        <w:t xml:space="preserve"> their work environment. Carrying out a wellbeing and security framework can assist with lessening mishaps and lift </w:t>
      </w:r>
      <w:r w:rsidR="006C3FCF" w:rsidRPr="00A66C5D">
        <w:rPr>
          <w:rFonts w:ascii="Arial" w:hAnsi="Arial" w:cs="Arial"/>
          <w:sz w:val="24"/>
          <w:szCs w:val="24"/>
          <w:lang w:val="en-US"/>
        </w:rPr>
        <w:t xml:space="preserve">the </w:t>
      </w:r>
      <w:r w:rsidRPr="00A66C5D">
        <w:rPr>
          <w:rFonts w:ascii="Arial" w:hAnsi="Arial" w:cs="Arial"/>
          <w:sz w:val="24"/>
          <w:szCs w:val="24"/>
          <w:lang w:val="en-US"/>
        </w:rPr>
        <w:t>spirit inside the health and social care services in concern with consumers and practitioners (Mendelson et al., 2017).</w:t>
      </w:r>
    </w:p>
    <w:p w14:paraId="0FCE11E0" w14:textId="2FFCF925" w:rsidR="00370E55" w:rsidRPr="00A66C5D" w:rsidRDefault="00370E55" w:rsidP="00A66C5D">
      <w:pPr>
        <w:pStyle w:val="Titlu2"/>
        <w:rPr>
          <w:lang w:val="en-US"/>
        </w:rPr>
      </w:pPr>
      <w:bookmarkStart w:id="8" w:name="_Toc90410749"/>
      <w:r w:rsidRPr="00A66C5D">
        <w:rPr>
          <w:lang w:val="en-US"/>
        </w:rPr>
        <w:t>Legal</w:t>
      </w:r>
      <w:bookmarkEnd w:id="8"/>
      <w:r w:rsidR="00E21099" w:rsidRPr="00A66C5D">
        <w:rPr>
          <w:lang w:val="en-US"/>
        </w:rPr>
        <w:t xml:space="preserve"> </w:t>
      </w:r>
    </w:p>
    <w:p w14:paraId="6F907C6A" w14:textId="6E21D5B3" w:rsidR="00370E55" w:rsidRPr="00A66C5D" w:rsidRDefault="00370E55"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A recorded wellbeing and security board framework will assist with guaranteeing </w:t>
      </w:r>
      <w:r w:rsidR="006C3FCF" w:rsidRPr="00A66C5D">
        <w:rPr>
          <w:rFonts w:ascii="Arial" w:hAnsi="Arial" w:cs="Arial"/>
          <w:sz w:val="24"/>
          <w:szCs w:val="24"/>
          <w:lang w:val="en-US"/>
        </w:rPr>
        <w:t>consistency</w:t>
      </w:r>
      <w:r w:rsidRPr="00A66C5D">
        <w:rPr>
          <w:rFonts w:ascii="Arial" w:hAnsi="Arial" w:cs="Arial"/>
          <w:sz w:val="24"/>
          <w:szCs w:val="24"/>
          <w:lang w:val="en-US"/>
        </w:rPr>
        <w:t xml:space="preserve"> with a framework of </w:t>
      </w:r>
      <w:r w:rsidR="006C3FCF" w:rsidRPr="00A66C5D">
        <w:rPr>
          <w:rFonts w:ascii="Arial" w:hAnsi="Arial" w:cs="Arial"/>
          <w:sz w:val="24"/>
          <w:szCs w:val="24"/>
          <w:lang w:val="en-US"/>
        </w:rPr>
        <w:t xml:space="preserve">the </w:t>
      </w:r>
      <w:r w:rsidRPr="00A66C5D">
        <w:rPr>
          <w:rFonts w:ascii="Arial" w:hAnsi="Arial" w:cs="Arial"/>
          <w:sz w:val="24"/>
          <w:szCs w:val="24"/>
          <w:lang w:val="en-US"/>
        </w:rPr>
        <w:t xml:space="preserve">person-centered approach, and health and social care act legislation.  along these lines, lessening the chance for </w:t>
      </w:r>
      <w:r w:rsidR="006C3FCF" w:rsidRPr="00A66C5D">
        <w:rPr>
          <w:rFonts w:ascii="Arial" w:hAnsi="Arial" w:cs="Arial"/>
          <w:sz w:val="24"/>
          <w:szCs w:val="24"/>
          <w:lang w:val="en-US"/>
        </w:rPr>
        <w:t xml:space="preserve">the </w:t>
      </w:r>
      <w:r w:rsidRPr="00A66C5D">
        <w:rPr>
          <w:rFonts w:ascii="Arial" w:hAnsi="Arial" w:cs="Arial"/>
          <w:sz w:val="24"/>
          <w:szCs w:val="24"/>
          <w:lang w:val="en-US"/>
        </w:rPr>
        <w:t>criminal or common lawful activity for breaks bringing about fines, detainment, medicinal orders</w:t>
      </w:r>
      <w:r w:rsidR="006C3FCF" w:rsidRPr="00A66C5D">
        <w:rPr>
          <w:rFonts w:ascii="Arial" w:hAnsi="Arial" w:cs="Arial"/>
          <w:sz w:val="24"/>
          <w:szCs w:val="24"/>
          <w:lang w:val="en-US"/>
        </w:rPr>
        <w:t>,</w:t>
      </w:r>
      <w:r w:rsidRPr="00A66C5D">
        <w:rPr>
          <w:rFonts w:ascii="Arial" w:hAnsi="Arial" w:cs="Arial"/>
          <w:sz w:val="24"/>
          <w:szCs w:val="24"/>
          <w:lang w:val="en-US"/>
        </w:rPr>
        <w:t xml:space="preserve"> or pay-outs. A thorough framework will likewise permit you to make a comprehensive and signed up way to deal with your wellbeing and security the board by assisting with bringing all lawful </w:t>
      </w:r>
      <w:r w:rsidR="006C3FCF" w:rsidRPr="00A66C5D">
        <w:rPr>
          <w:rFonts w:ascii="Arial" w:hAnsi="Arial" w:cs="Arial"/>
          <w:sz w:val="24"/>
          <w:szCs w:val="24"/>
          <w:lang w:val="en-US"/>
        </w:rPr>
        <w:t>consistency</w:t>
      </w:r>
      <w:r w:rsidRPr="00A66C5D">
        <w:rPr>
          <w:rFonts w:ascii="Arial" w:hAnsi="Arial" w:cs="Arial"/>
          <w:sz w:val="24"/>
          <w:szCs w:val="24"/>
          <w:lang w:val="en-US"/>
        </w:rPr>
        <w:t xml:space="preserve"> prerequisites</w:t>
      </w:r>
      <w:r w:rsidR="00E21099" w:rsidRPr="00A66C5D">
        <w:rPr>
          <w:rFonts w:ascii="Arial" w:hAnsi="Arial" w:cs="Arial"/>
          <w:sz w:val="24"/>
          <w:szCs w:val="24"/>
          <w:lang w:val="en-US"/>
        </w:rPr>
        <w:t xml:space="preserve"> (Lynch et al., 2018)</w:t>
      </w:r>
      <w:r w:rsidRPr="00A66C5D">
        <w:rPr>
          <w:rFonts w:ascii="Arial" w:hAnsi="Arial" w:cs="Arial"/>
          <w:sz w:val="24"/>
          <w:szCs w:val="24"/>
          <w:lang w:val="en-US"/>
        </w:rPr>
        <w:t>.</w:t>
      </w:r>
    </w:p>
    <w:p w14:paraId="1E54136A" w14:textId="231EE5A1" w:rsidR="00844A08" w:rsidRPr="00A66C5D" w:rsidRDefault="00844A08" w:rsidP="00A66C5D">
      <w:pPr>
        <w:pStyle w:val="Titlu2"/>
        <w:rPr>
          <w:lang w:val="en-US"/>
        </w:rPr>
      </w:pPr>
      <w:bookmarkStart w:id="9" w:name="_Toc90410750"/>
      <w:r w:rsidRPr="00A66C5D">
        <w:rPr>
          <w:lang w:val="en-US"/>
        </w:rPr>
        <w:lastRenderedPageBreak/>
        <w:t>Theoretical approaches</w:t>
      </w:r>
      <w:r w:rsidR="00A60C2F" w:rsidRPr="00A66C5D">
        <w:rPr>
          <w:lang w:val="en-US"/>
        </w:rPr>
        <w:t xml:space="preserve"> or principals</w:t>
      </w:r>
      <w:bookmarkEnd w:id="9"/>
      <w:r w:rsidR="00A60C2F" w:rsidRPr="00A66C5D">
        <w:rPr>
          <w:lang w:val="en-US"/>
        </w:rPr>
        <w:t xml:space="preserve"> </w:t>
      </w:r>
    </w:p>
    <w:p w14:paraId="27304807" w14:textId="5244F048" w:rsidR="002C5A9D" w:rsidRPr="00A66C5D" w:rsidRDefault="002C5A9D" w:rsidP="00A66C5D">
      <w:pPr>
        <w:spacing w:line="240" w:lineRule="auto"/>
        <w:jc w:val="both"/>
        <w:rPr>
          <w:rFonts w:ascii="Arial" w:hAnsi="Arial" w:cs="Arial"/>
          <w:sz w:val="24"/>
          <w:szCs w:val="24"/>
          <w:lang w:val="en-US"/>
        </w:rPr>
      </w:pPr>
      <w:r w:rsidRPr="00A66C5D">
        <w:rPr>
          <w:rFonts w:ascii="Arial" w:hAnsi="Arial" w:cs="Arial"/>
          <w:sz w:val="24"/>
          <w:szCs w:val="24"/>
          <w:lang w:val="en-US"/>
        </w:rPr>
        <w:t>In their interactions with clients, health and social workers might use elements from a variety of therapeutic theories. Theories of systems, social cognition, social-emotional development, psychoanalytic, transpersonal, and cognitive choice are some of the most common methods for social and health care workers</w:t>
      </w:r>
      <w:r w:rsidR="00E21099" w:rsidRPr="00A66C5D">
        <w:rPr>
          <w:rFonts w:ascii="Arial" w:hAnsi="Arial" w:cs="Arial"/>
          <w:sz w:val="24"/>
          <w:szCs w:val="24"/>
          <w:lang w:val="en-US"/>
        </w:rPr>
        <w:t xml:space="preserve"> (Rosengern, Brannefors, Carlstorm, 2021)</w:t>
      </w:r>
      <w:r w:rsidRPr="00A66C5D">
        <w:rPr>
          <w:rFonts w:ascii="Arial" w:hAnsi="Arial" w:cs="Arial"/>
          <w:sz w:val="24"/>
          <w:szCs w:val="24"/>
          <w:lang w:val="en-US"/>
        </w:rPr>
        <w:t>.</w:t>
      </w:r>
    </w:p>
    <w:p w14:paraId="7CD3DB37" w14:textId="08613806" w:rsidR="001C6983" w:rsidRPr="001C6983" w:rsidRDefault="002C5A9D" w:rsidP="001C6983">
      <w:pPr>
        <w:spacing w:line="240" w:lineRule="auto"/>
        <w:jc w:val="both"/>
        <w:rPr>
          <w:rFonts w:ascii="Arial" w:hAnsi="Arial" w:cs="Arial"/>
          <w:sz w:val="24"/>
          <w:szCs w:val="24"/>
        </w:rPr>
      </w:pPr>
      <w:r w:rsidRPr="00A66C5D">
        <w:rPr>
          <w:rFonts w:ascii="Arial" w:hAnsi="Arial" w:cs="Arial"/>
          <w:b/>
          <w:bCs/>
          <w:sz w:val="24"/>
          <w:szCs w:val="24"/>
          <w:lang w:val="en-US"/>
        </w:rPr>
        <w:t>Systems theory</w:t>
      </w:r>
      <w:r w:rsidRPr="00A66C5D">
        <w:rPr>
          <w:rFonts w:ascii="Arial" w:hAnsi="Arial" w:cs="Arial"/>
          <w:sz w:val="24"/>
          <w:szCs w:val="24"/>
          <w:lang w:val="en-US"/>
        </w:rPr>
        <w:t xml:space="preserve">: </w:t>
      </w:r>
      <w:r w:rsidR="001C6983" w:rsidRPr="001C6983">
        <w:rPr>
          <w:rFonts w:ascii="Arial" w:hAnsi="Arial" w:cs="Arial"/>
          <w:sz w:val="24"/>
          <w:szCs w:val="24"/>
        </w:rPr>
        <w:t xml:space="preserve">human </w:t>
      </w:r>
      <w:r w:rsidR="005C2B44" w:rsidRPr="001C6983">
        <w:rPr>
          <w:rFonts w:ascii="Arial" w:hAnsi="Arial" w:cs="Arial"/>
          <w:sz w:val="24"/>
          <w:szCs w:val="24"/>
        </w:rPr>
        <w:t>behaviour</w:t>
      </w:r>
      <w:r w:rsidR="001C6983" w:rsidRPr="001C6983">
        <w:rPr>
          <w:rFonts w:ascii="Arial" w:hAnsi="Arial" w:cs="Arial"/>
          <w:sz w:val="24"/>
          <w:szCs w:val="24"/>
        </w:rPr>
        <w:t xml:space="preserve">, as per this framework theory, is the result of a larger system comprised of numerous components, involving internal influences and external influences such as the environment. A person's family, peers, school, work, and </w:t>
      </w:r>
      <w:r w:rsidR="005C2B44" w:rsidRPr="001C6983">
        <w:rPr>
          <w:rFonts w:ascii="Arial" w:hAnsi="Arial" w:cs="Arial"/>
          <w:sz w:val="24"/>
          <w:szCs w:val="24"/>
        </w:rPr>
        <w:t>neighbourhood</w:t>
      </w:r>
      <w:r w:rsidR="001C6983" w:rsidRPr="001C6983">
        <w:rPr>
          <w:rFonts w:ascii="Arial" w:hAnsi="Arial" w:cs="Arial"/>
          <w:sz w:val="24"/>
          <w:szCs w:val="24"/>
        </w:rPr>
        <w:t xml:space="preserve"> may all have a contribution. Sociologists acknowledge several sorts of systems, including systems biology, macro-system, growth stages, and mesosystem. Social workers explore how the systems in which their patients live impact their behavior. Living in a poor area, for instance, may have a significant impact on how a person makes decisions. Social workers may develop approaches based on such systems to provide a more concise therapy regimen for their clients (Grotz, Ledgard, Poland, 2020).</w:t>
      </w:r>
    </w:p>
    <w:p w14:paraId="3060294D" w14:textId="77777777" w:rsidR="006C7F50" w:rsidRPr="001C6983" w:rsidRDefault="002C5A9D" w:rsidP="006C7F50">
      <w:pPr>
        <w:spacing w:line="240" w:lineRule="auto"/>
        <w:jc w:val="both"/>
        <w:rPr>
          <w:rFonts w:ascii="Arial" w:hAnsi="Arial" w:cs="Arial"/>
          <w:sz w:val="24"/>
          <w:szCs w:val="24"/>
        </w:rPr>
      </w:pPr>
      <w:r w:rsidRPr="00A66C5D">
        <w:rPr>
          <w:rFonts w:ascii="Arial" w:hAnsi="Arial" w:cs="Arial"/>
          <w:b/>
          <w:bCs/>
          <w:sz w:val="24"/>
          <w:szCs w:val="24"/>
          <w:lang w:val="en-US"/>
        </w:rPr>
        <w:t>Social learning theory</w:t>
      </w:r>
      <w:r w:rsidR="00D93C52" w:rsidRPr="00A66C5D">
        <w:rPr>
          <w:rFonts w:ascii="Arial" w:hAnsi="Arial" w:cs="Arial"/>
          <w:b/>
          <w:bCs/>
          <w:sz w:val="24"/>
          <w:szCs w:val="24"/>
          <w:lang w:val="en-US"/>
        </w:rPr>
        <w:t>:</w:t>
      </w:r>
      <w:r w:rsidR="00D93C52" w:rsidRPr="00A66C5D">
        <w:rPr>
          <w:rFonts w:ascii="Arial" w:hAnsi="Arial" w:cs="Arial"/>
          <w:sz w:val="24"/>
          <w:szCs w:val="24"/>
          <w:lang w:val="en-US"/>
        </w:rPr>
        <w:t xml:space="preserve"> </w:t>
      </w:r>
      <w:r w:rsidR="006C7F50" w:rsidRPr="001C6983">
        <w:rPr>
          <w:rFonts w:ascii="Arial" w:hAnsi="Arial" w:cs="Arial"/>
          <w:sz w:val="24"/>
          <w:szCs w:val="24"/>
        </w:rPr>
        <w:t>The theory of social learning, developed by American psychologist Albert Bandura in the 1970s, describes how the behaviors of others may impact one's own behavior. As per   Bandura, individuals form routines by observing and emulating the people around them. Unlike behavioral theories, social learning theory proposes that individuals intentionally and cognitively examine other people's conduct before duplicating it. When working with children that exhibit violent or disruptive conduct, social workers may apply social learning theory. Children may imitate their parents or other key people in their lives. When professionals can establish the cause of a child's growth, they can devise an effective treatment strategy (Illingworth, 2020).</w:t>
      </w:r>
    </w:p>
    <w:p w14:paraId="218F360F" w14:textId="77777777" w:rsidR="006C7F50" w:rsidRPr="001C6983" w:rsidRDefault="00D93C52" w:rsidP="006C7F50">
      <w:pPr>
        <w:spacing w:line="240" w:lineRule="auto"/>
        <w:jc w:val="both"/>
        <w:rPr>
          <w:rFonts w:ascii="Arial" w:hAnsi="Arial" w:cs="Arial"/>
          <w:sz w:val="24"/>
          <w:szCs w:val="24"/>
        </w:rPr>
      </w:pPr>
      <w:r w:rsidRPr="00A66C5D">
        <w:rPr>
          <w:rFonts w:ascii="Arial" w:hAnsi="Arial" w:cs="Arial"/>
          <w:b/>
          <w:bCs/>
          <w:sz w:val="24"/>
          <w:szCs w:val="24"/>
          <w:lang w:val="en-US"/>
        </w:rPr>
        <w:t>Rational choice theory:</w:t>
      </w:r>
      <w:r w:rsidRPr="00A66C5D">
        <w:rPr>
          <w:rFonts w:ascii="Arial" w:hAnsi="Arial" w:cs="Arial"/>
          <w:sz w:val="24"/>
          <w:szCs w:val="24"/>
          <w:lang w:val="en-US"/>
        </w:rPr>
        <w:t xml:space="preserve"> </w:t>
      </w:r>
      <w:r w:rsidR="006C7F50" w:rsidRPr="001C6983">
        <w:rPr>
          <w:rFonts w:ascii="Arial" w:hAnsi="Arial" w:cs="Arial"/>
          <w:sz w:val="24"/>
          <w:szCs w:val="24"/>
        </w:rPr>
        <w:t>According to rational choice theory, people make judgments and take acts based on their logical thinking processes, especially when such choices benefit the person. This idea contradicts other healthcare ideas that claim people make decisions based on implicit cognitive abilities. While the rational choice theory is most frequently linked with economics, caseworkers may also employ these concepts in their practice. To properly know why people, make certain decisions, social workers may assess how customers believe their choices will benefit them. Psychologists can also assist people in achieving their goals by generating alternatives and offering resources (Carey, 2017).</w:t>
      </w:r>
    </w:p>
    <w:p w14:paraId="486FE8F6" w14:textId="0E1994F9" w:rsidR="002C5A9D" w:rsidRPr="00A66C5D" w:rsidRDefault="002C5A9D" w:rsidP="00A66C5D">
      <w:pPr>
        <w:spacing w:line="240" w:lineRule="auto"/>
        <w:jc w:val="both"/>
        <w:rPr>
          <w:rFonts w:ascii="Arial" w:hAnsi="Arial" w:cs="Arial"/>
          <w:sz w:val="24"/>
          <w:szCs w:val="24"/>
          <w:lang w:val="en-US"/>
        </w:rPr>
      </w:pPr>
    </w:p>
    <w:p w14:paraId="78F01CAF" w14:textId="46C9E19B" w:rsidR="00D93C52" w:rsidRPr="00A66C5D" w:rsidRDefault="00D93C52"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All these theories are helpful for the professional to deal with the issue related to dementia and cancer patients. </w:t>
      </w:r>
    </w:p>
    <w:p w14:paraId="4BBA8135" w14:textId="77777777" w:rsidR="002C5A9D" w:rsidRPr="00A66C5D" w:rsidRDefault="002C5A9D" w:rsidP="00A66C5D">
      <w:pPr>
        <w:spacing w:line="240" w:lineRule="auto"/>
        <w:jc w:val="both"/>
        <w:rPr>
          <w:rFonts w:ascii="Arial" w:hAnsi="Arial" w:cs="Arial"/>
          <w:sz w:val="24"/>
          <w:szCs w:val="24"/>
          <w:lang w:val="en-US"/>
        </w:rPr>
      </w:pPr>
    </w:p>
    <w:p w14:paraId="03DEDB86" w14:textId="5C32A796" w:rsidR="00844A08" w:rsidRPr="00A66C5D" w:rsidRDefault="00844A08" w:rsidP="00A66C5D">
      <w:pPr>
        <w:spacing w:line="240" w:lineRule="auto"/>
        <w:jc w:val="both"/>
        <w:rPr>
          <w:rFonts w:ascii="Arial" w:hAnsi="Arial" w:cs="Arial"/>
          <w:sz w:val="24"/>
          <w:szCs w:val="24"/>
          <w:lang w:val="en-US"/>
        </w:rPr>
      </w:pPr>
      <w:r w:rsidRPr="00A66C5D">
        <w:rPr>
          <w:rFonts w:ascii="Arial" w:hAnsi="Arial" w:cs="Arial"/>
          <w:sz w:val="24"/>
          <w:szCs w:val="24"/>
          <w:lang w:val="en-US"/>
        </w:rPr>
        <w:br w:type="page"/>
      </w:r>
    </w:p>
    <w:p w14:paraId="2E9EAA7C" w14:textId="0723CF92" w:rsidR="00FE5E08" w:rsidRPr="00A66C5D" w:rsidRDefault="00FE5E08" w:rsidP="00A66C5D">
      <w:pPr>
        <w:pStyle w:val="Titlu1"/>
        <w:rPr>
          <w:lang w:val="en-US"/>
        </w:rPr>
      </w:pPr>
      <w:bookmarkStart w:id="10" w:name="_Toc90410751"/>
      <w:r w:rsidRPr="00A66C5D">
        <w:rPr>
          <w:lang w:val="en-US"/>
        </w:rPr>
        <w:lastRenderedPageBreak/>
        <w:t>Recommendations</w:t>
      </w:r>
      <w:bookmarkEnd w:id="10"/>
      <w:r w:rsidRPr="00A66C5D">
        <w:rPr>
          <w:lang w:val="en-US"/>
        </w:rPr>
        <w:t xml:space="preserve"> </w:t>
      </w:r>
    </w:p>
    <w:p w14:paraId="1501D7A3" w14:textId="103C7F8C" w:rsidR="00370E55" w:rsidRPr="00A66C5D" w:rsidRDefault="006C3FCF" w:rsidP="00A66C5D">
      <w:pPr>
        <w:spacing w:line="240" w:lineRule="auto"/>
        <w:jc w:val="both"/>
        <w:rPr>
          <w:rFonts w:ascii="Arial" w:hAnsi="Arial" w:cs="Arial"/>
          <w:sz w:val="24"/>
          <w:szCs w:val="24"/>
          <w:lang w:val="en-US"/>
        </w:rPr>
      </w:pPr>
      <w:r w:rsidRPr="00A66C5D">
        <w:rPr>
          <w:rFonts w:ascii="Arial" w:hAnsi="Arial" w:cs="Arial"/>
          <w:sz w:val="24"/>
          <w:szCs w:val="24"/>
          <w:lang w:val="en-US"/>
        </w:rPr>
        <w:t>An appropriate</w:t>
      </w:r>
      <w:r w:rsidR="00370E55" w:rsidRPr="00A66C5D">
        <w:rPr>
          <w:rFonts w:ascii="Arial" w:hAnsi="Arial" w:cs="Arial"/>
          <w:sz w:val="24"/>
          <w:szCs w:val="24"/>
          <w:lang w:val="en-US"/>
        </w:rPr>
        <w:t xml:space="preserve"> solution for this, create a framework: a framework for anything </w:t>
      </w:r>
      <w:r w:rsidRPr="00A66C5D">
        <w:rPr>
          <w:rFonts w:ascii="Arial" w:hAnsi="Arial" w:cs="Arial"/>
          <w:sz w:val="24"/>
          <w:szCs w:val="24"/>
          <w:lang w:val="en-US"/>
        </w:rPr>
        <w:t xml:space="preserve">that </w:t>
      </w:r>
      <w:r w:rsidR="00370E55" w:rsidRPr="00A66C5D">
        <w:rPr>
          <w:rFonts w:ascii="Arial" w:hAnsi="Arial" w:cs="Arial"/>
          <w:sz w:val="24"/>
          <w:szCs w:val="24"/>
          <w:lang w:val="en-US"/>
        </w:rPr>
        <w:t xml:space="preserve">makes it easier for others to embrace the item, rules, and recommendations. A health professional might reframe the framework with certain revisions and basic core policies to encourage staff members and health care practitioners to embrace the approach-based evidence-based or person-centered approach, as indicated above (Lynch et al., 2018). </w:t>
      </w:r>
      <w:r w:rsidRPr="00A66C5D">
        <w:rPr>
          <w:rFonts w:ascii="Arial" w:hAnsi="Arial" w:cs="Arial"/>
          <w:sz w:val="24"/>
          <w:szCs w:val="24"/>
          <w:lang w:val="en-US"/>
        </w:rPr>
        <w:t>C</w:t>
      </w:r>
      <w:r w:rsidR="00370E55" w:rsidRPr="00A66C5D">
        <w:rPr>
          <w:rFonts w:ascii="Arial" w:hAnsi="Arial" w:cs="Arial"/>
          <w:sz w:val="24"/>
          <w:szCs w:val="24"/>
          <w:lang w:val="en-US"/>
        </w:rPr>
        <w:t xml:space="preserve">larification of roles and responsibilities: this facilitates individual or team acceptance of the method. A </w:t>
      </w:r>
      <w:r w:rsidR="00FE5E08" w:rsidRPr="00A66C5D">
        <w:rPr>
          <w:rFonts w:ascii="Arial" w:hAnsi="Arial" w:cs="Arial"/>
          <w:sz w:val="24"/>
          <w:szCs w:val="24"/>
          <w:lang w:val="en-US"/>
        </w:rPr>
        <w:t>professional</w:t>
      </w:r>
      <w:r w:rsidR="00370E55" w:rsidRPr="00A66C5D">
        <w:rPr>
          <w:rFonts w:ascii="Arial" w:hAnsi="Arial" w:cs="Arial"/>
          <w:sz w:val="24"/>
          <w:szCs w:val="24"/>
          <w:lang w:val="en-US"/>
        </w:rPr>
        <w:t xml:space="preserve"> attend a training session through </w:t>
      </w:r>
      <w:r w:rsidRPr="00A66C5D">
        <w:rPr>
          <w:rFonts w:ascii="Arial" w:hAnsi="Arial" w:cs="Arial"/>
          <w:sz w:val="24"/>
          <w:szCs w:val="24"/>
          <w:lang w:val="en-US"/>
        </w:rPr>
        <w:t>seminars</w:t>
      </w:r>
      <w:r w:rsidR="00370E55" w:rsidRPr="00A66C5D">
        <w:rPr>
          <w:rFonts w:ascii="Arial" w:hAnsi="Arial" w:cs="Arial"/>
          <w:sz w:val="24"/>
          <w:szCs w:val="24"/>
          <w:lang w:val="en-US"/>
        </w:rPr>
        <w:t xml:space="preserve">, webinar, or meeting to better understand and resolve the issue of practitioner-respondent contact, as well as encourage colleagues in adopting the strategy and </w:t>
      </w:r>
      <w:r w:rsidR="00FE5E08" w:rsidRPr="00A66C5D">
        <w:rPr>
          <w:rFonts w:ascii="Arial" w:hAnsi="Arial" w:cs="Arial"/>
          <w:sz w:val="24"/>
          <w:szCs w:val="24"/>
          <w:lang w:val="en-US"/>
        </w:rPr>
        <w:t xml:space="preserve">understanding </w:t>
      </w:r>
      <w:r w:rsidR="00370E55" w:rsidRPr="00A66C5D">
        <w:rPr>
          <w:rFonts w:ascii="Arial" w:hAnsi="Arial" w:cs="Arial"/>
          <w:sz w:val="24"/>
          <w:szCs w:val="24"/>
          <w:lang w:val="en-US"/>
        </w:rPr>
        <w:t>their roles and duties</w:t>
      </w:r>
      <w:r w:rsidR="00AC7987" w:rsidRPr="00A66C5D">
        <w:rPr>
          <w:rFonts w:ascii="Arial" w:hAnsi="Arial" w:cs="Arial"/>
          <w:sz w:val="24"/>
          <w:szCs w:val="24"/>
          <w:lang w:val="en-US"/>
        </w:rPr>
        <w:t xml:space="preserve"> (Teeling, Dewing, and Baldie, 2020</w:t>
      </w:r>
      <w:r w:rsidR="00370E55" w:rsidRPr="00A66C5D">
        <w:rPr>
          <w:rFonts w:ascii="Arial" w:hAnsi="Arial" w:cs="Arial"/>
          <w:sz w:val="24"/>
          <w:szCs w:val="24"/>
          <w:lang w:val="en-US"/>
        </w:rPr>
        <w:t xml:space="preserve">). </w:t>
      </w:r>
      <w:r w:rsidR="00FE5E08" w:rsidRPr="00A66C5D">
        <w:rPr>
          <w:rFonts w:ascii="Arial" w:hAnsi="Arial" w:cs="Arial"/>
          <w:sz w:val="24"/>
          <w:szCs w:val="24"/>
          <w:lang w:val="en-US"/>
        </w:rPr>
        <w:t>I</w:t>
      </w:r>
      <w:r w:rsidR="00370E55" w:rsidRPr="00A66C5D">
        <w:rPr>
          <w:rFonts w:ascii="Arial" w:hAnsi="Arial" w:cs="Arial"/>
          <w:sz w:val="24"/>
          <w:szCs w:val="24"/>
          <w:lang w:val="en-US"/>
        </w:rPr>
        <w:t xml:space="preserve">n the person-centered process, a health professional should follow a plan, manage the problem, connect with persons and practitioners, monitor, assess, and reframe the planning from time to time </w:t>
      </w:r>
      <w:r w:rsidR="00D93C52" w:rsidRPr="00A66C5D">
        <w:rPr>
          <w:rFonts w:ascii="Arial" w:hAnsi="Arial" w:cs="Arial"/>
          <w:sz w:val="24"/>
          <w:szCs w:val="24"/>
          <w:lang w:val="en-US"/>
        </w:rPr>
        <w:t>to</w:t>
      </w:r>
      <w:r w:rsidR="00370E55" w:rsidRPr="00A66C5D">
        <w:rPr>
          <w:rFonts w:ascii="Arial" w:hAnsi="Arial" w:cs="Arial"/>
          <w:sz w:val="24"/>
          <w:szCs w:val="24"/>
          <w:lang w:val="en-US"/>
        </w:rPr>
        <w:t xml:space="preserve"> assist staff members in adopting the approach </w:t>
      </w:r>
      <w:r w:rsidR="00FE5E08" w:rsidRPr="00A66C5D">
        <w:rPr>
          <w:rFonts w:ascii="Arial" w:hAnsi="Arial" w:cs="Arial"/>
          <w:sz w:val="24"/>
          <w:szCs w:val="24"/>
          <w:lang w:val="en-US"/>
        </w:rPr>
        <w:t>this is must towards resolve the public health issue in the United Kingdom related to dementia and cancer</w:t>
      </w:r>
      <w:r w:rsidR="00E21099" w:rsidRPr="00A66C5D">
        <w:rPr>
          <w:rFonts w:ascii="Arial" w:hAnsi="Arial" w:cs="Arial"/>
          <w:sz w:val="24"/>
          <w:szCs w:val="24"/>
          <w:lang w:val="en-US"/>
        </w:rPr>
        <w:t xml:space="preserve"> (Santana et al., 2018).</w:t>
      </w:r>
    </w:p>
    <w:p w14:paraId="02BA35B3" w14:textId="5D2BCE44" w:rsidR="00A66C5D" w:rsidRDefault="00370E55" w:rsidP="00A66C5D">
      <w:pPr>
        <w:spacing w:line="240" w:lineRule="auto"/>
        <w:jc w:val="both"/>
        <w:rPr>
          <w:rFonts w:ascii="Arial" w:hAnsi="Arial" w:cs="Arial"/>
          <w:sz w:val="24"/>
          <w:szCs w:val="24"/>
          <w:lang w:val="en-US"/>
        </w:rPr>
      </w:pPr>
      <w:r w:rsidRPr="00A66C5D">
        <w:rPr>
          <w:rFonts w:ascii="Arial" w:hAnsi="Arial" w:cs="Arial"/>
          <w:sz w:val="24"/>
          <w:szCs w:val="24"/>
          <w:lang w:val="en-US"/>
        </w:rPr>
        <w:t xml:space="preserve">Other solutions for the situation at different </w:t>
      </w:r>
      <w:r w:rsidR="00FE5E08" w:rsidRPr="00A66C5D">
        <w:rPr>
          <w:rFonts w:ascii="Arial" w:hAnsi="Arial" w:cs="Arial"/>
          <w:sz w:val="24"/>
          <w:szCs w:val="24"/>
          <w:lang w:val="en-US"/>
        </w:rPr>
        <w:t>workplaces</w:t>
      </w:r>
      <w:r w:rsidRPr="00A66C5D">
        <w:rPr>
          <w:rFonts w:ascii="Arial" w:hAnsi="Arial" w:cs="Arial"/>
          <w:sz w:val="24"/>
          <w:szCs w:val="24"/>
          <w:lang w:val="en-US"/>
        </w:rPr>
        <w:t xml:space="preserve"> just like, Prerequisites is a technique that focuses on the traits of </w:t>
      </w:r>
      <w:r w:rsidR="00FE5E08" w:rsidRPr="00A66C5D">
        <w:rPr>
          <w:rFonts w:ascii="Arial" w:hAnsi="Arial" w:cs="Arial"/>
          <w:sz w:val="24"/>
          <w:szCs w:val="24"/>
          <w:lang w:val="en-US"/>
        </w:rPr>
        <w:t>healthcare</w:t>
      </w:r>
      <w:r w:rsidRPr="00A66C5D">
        <w:rPr>
          <w:rFonts w:ascii="Arial" w:hAnsi="Arial" w:cs="Arial"/>
          <w:sz w:val="24"/>
          <w:szCs w:val="24"/>
          <w:lang w:val="en-US"/>
        </w:rPr>
        <w:t xml:space="preserve"> workers like nurses, such as professional competency, interpersonal skills development, dedication to their duties, substantiating norms, values, and beliefs, and self-awareness (McCormack, and McCance, 2016). Another strategy, known as care environment, is related to caring </w:t>
      </w:r>
      <w:r w:rsidR="00FE5E08" w:rsidRPr="00A66C5D">
        <w:rPr>
          <w:rFonts w:ascii="Arial" w:hAnsi="Arial" w:cs="Arial"/>
          <w:sz w:val="24"/>
          <w:szCs w:val="24"/>
          <w:lang w:val="en-US"/>
        </w:rPr>
        <w:t>practice</w:t>
      </w:r>
      <w:r w:rsidRPr="00A66C5D">
        <w:rPr>
          <w:rFonts w:ascii="Arial" w:hAnsi="Arial" w:cs="Arial"/>
          <w:sz w:val="24"/>
          <w:szCs w:val="24"/>
          <w:lang w:val="en-US"/>
        </w:rPr>
        <w:t xml:space="preserve">, which involves several skills such as decision-making quality, relationships with coworkers, power-sharing capacity, a supportive working environment, innovation, and some risk-taking </w:t>
      </w:r>
      <w:r w:rsidR="00FE5E08" w:rsidRPr="00A66C5D">
        <w:rPr>
          <w:rFonts w:ascii="Arial" w:hAnsi="Arial" w:cs="Arial"/>
          <w:sz w:val="24"/>
          <w:szCs w:val="24"/>
          <w:lang w:val="en-US"/>
        </w:rPr>
        <w:t>practices</w:t>
      </w:r>
      <w:r w:rsidRPr="00A66C5D">
        <w:rPr>
          <w:rFonts w:ascii="Arial" w:hAnsi="Arial" w:cs="Arial"/>
          <w:sz w:val="24"/>
          <w:szCs w:val="24"/>
          <w:lang w:val="en-US"/>
        </w:rPr>
        <w:t xml:space="preserve"> that make the caring process effective </w:t>
      </w:r>
      <w:r w:rsidR="00AC7987" w:rsidRPr="00A66C5D">
        <w:rPr>
          <w:rFonts w:ascii="Arial" w:hAnsi="Arial" w:cs="Arial"/>
          <w:sz w:val="24"/>
          <w:szCs w:val="24"/>
          <w:lang w:val="en-US"/>
        </w:rPr>
        <w:t>(Naldemirci, et al 2017).</w:t>
      </w:r>
    </w:p>
    <w:p w14:paraId="7494EDE0" w14:textId="77777777" w:rsidR="00A66C5D" w:rsidRDefault="00A66C5D">
      <w:pPr>
        <w:rPr>
          <w:rFonts w:ascii="Arial" w:hAnsi="Arial" w:cs="Arial"/>
          <w:sz w:val="24"/>
          <w:szCs w:val="24"/>
          <w:lang w:val="en-US"/>
        </w:rPr>
      </w:pPr>
      <w:r>
        <w:rPr>
          <w:rFonts w:ascii="Arial" w:hAnsi="Arial" w:cs="Arial"/>
          <w:sz w:val="24"/>
          <w:szCs w:val="24"/>
          <w:lang w:val="en-US"/>
        </w:rPr>
        <w:br w:type="page"/>
      </w:r>
    </w:p>
    <w:p w14:paraId="744A304C" w14:textId="77777777" w:rsidR="00370E55" w:rsidRPr="00A66C5D" w:rsidRDefault="00370E55" w:rsidP="00A66C5D">
      <w:pPr>
        <w:spacing w:line="240" w:lineRule="auto"/>
        <w:jc w:val="both"/>
        <w:rPr>
          <w:rFonts w:ascii="Arial" w:hAnsi="Arial" w:cs="Arial"/>
          <w:sz w:val="24"/>
          <w:szCs w:val="24"/>
          <w:lang w:val="en-US"/>
        </w:rPr>
      </w:pPr>
    </w:p>
    <w:p w14:paraId="3CAAD152" w14:textId="1E2037C7" w:rsidR="00370E55" w:rsidRPr="00A66C5D" w:rsidRDefault="00FC59E6" w:rsidP="00A66C5D">
      <w:pPr>
        <w:pStyle w:val="Titlu1"/>
        <w:rPr>
          <w:lang w:val="en-US"/>
        </w:rPr>
      </w:pPr>
      <w:bookmarkStart w:id="11" w:name="_Toc90410752"/>
      <w:r w:rsidRPr="00A66C5D">
        <w:rPr>
          <w:lang w:val="en-US"/>
        </w:rPr>
        <w:t>Conclusion</w:t>
      </w:r>
      <w:bookmarkEnd w:id="11"/>
    </w:p>
    <w:p w14:paraId="0031CDF0" w14:textId="00D22028" w:rsidR="00C22476" w:rsidRPr="00A66C5D" w:rsidRDefault="00FC59E6" w:rsidP="00A66C5D">
      <w:pPr>
        <w:spacing w:line="240" w:lineRule="auto"/>
        <w:jc w:val="both"/>
        <w:rPr>
          <w:rFonts w:ascii="Arial" w:hAnsi="Arial" w:cs="Arial"/>
          <w:sz w:val="24"/>
          <w:szCs w:val="24"/>
          <w:lang w:val="en-US"/>
        </w:rPr>
      </w:pPr>
      <w:r w:rsidRPr="00A66C5D">
        <w:rPr>
          <w:rFonts w:ascii="Arial" w:hAnsi="Arial" w:cs="Arial"/>
          <w:sz w:val="24"/>
          <w:szCs w:val="24"/>
          <w:lang w:val="en-US"/>
        </w:rPr>
        <w:t>Although individuals with cancer–dementia are active in the medical decisions, primary caregivers play a critical role in this procedure. In the perspective of dementia prediction, individual patient requirements and situations connected to their disease must be examined, underlining the difficulties of decision-making in this group. Cancer care groups, social and health care professionals should try to include dementia experts as early as feasible in the cancer treatment process.</w:t>
      </w:r>
      <w:r w:rsidR="00372AFD" w:rsidRPr="00A66C5D">
        <w:rPr>
          <w:rFonts w:ascii="Arial" w:hAnsi="Arial" w:cs="Arial"/>
          <w:sz w:val="24"/>
          <w:szCs w:val="24"/>
          <w:lang w:val="en-US"/>
        </w:rPr>
        <w:t xml:space="preserve"> </w:t>
      </w:r>
      <w:r w:rsidR="00C22476" w:rsidRPr="00A66C5D">
        <w:rPr>
          <w:rFonts w:ascii="Arial" w:hAnsi="Arial" w:cs="Arial"/>
          <w:sz w:val="24"/>
          <w:szCs w:val="24"/>
          <w:lang w:val="en-US"/>
        </w:rPr>
        <w:t>Dementia is indeed a life-limiting sickness that causes ambiguity about the phase of the illness in the person and makes it difficult to estimate lifespan after identification but as the patient approaches the inevitable death. Healthcare practitioners should notice indicators of impending death and provide supportive care</w:t>
      </w:r>
      <w:r w:rsidR="00372AFD" w:rsidRPr="00A66C5D">
        <w:rPr>
          <w:rFonts w:ascii="Arial" w:hAnsi="Arial" w:cs="Arial"/>
          <w:sz w:val="24"/>
          <w:szCs w:val="24"/>
          <w:lang w:val="en-US"/>
        </w:rPr>
        <w:t xml:space="preserve"> with the help of a person-centered approach</w:t>
      </w:r>
      <w:r w:rsidR="00C22476" w:rsidRPr="00A66C5D">
        <w:rPr>
          <w:rFonts w:ascii="Arial" w:hAnsi="Arial" w:cs="Arial"/>
          <w:sz w:val="24"/>
          <w:szCs w:val="24"/>
          <w:lang w:val="en-US"/>
        </w:rPr>
        <w:t xml:space="preserve"> to an individual with advanced dementia and their caregivers</w:t>
      </w:r>
      <w:r w:rsidR="00372AFD" w:rsidRPr="00A66C5D">
        <w:rPr>
          <w:rFonts w:ascii="Arial" w:hAnsi="Arial" w:cs="Arial"/>
          <w:sz w:val="24"/>
          <w:szCs w:val="24"/>
          <w:lang w:val="en-US"/>
        </w:rPr>
        <w:t xml:space="preserve"> to provide the best care to patients for early recovery.</w:t>
      </w:r>
    </w:p>
    <w:p w14:paraId="3AA5D4C7" w14:textId="5F1946B4" w:rsidR="00372AFD" w:rsidRPr="00A66C5D" w:rsidRDefault="00372AFD" w:rsidP="00A66C5D">
      <w:pPr>
        <w:spacing w:line="240" w:lineRule="auto"/>
        <w:jc w:val="both"/>
        <w:rPr>
          <w:rFonts w:ascii="Arial" w:hAnsi="Arial" w:cs="Arial"/>
          <w:sz w:val="24"/>
          <w:szCs w:val="24"/>
          <w:lang w:val="en-US"/>
        </w:rPr>
      </w:pPr>
      <w:r w:rsidRPr="00A66C5D">
        <w:rPr>
          <w:rFonts w:ascii="Arial" w:hAnsi="Arial" w:cs="Arial"/>
          <w:sz w:val="24"/>
          <w:szCs w:val="24"/>
          <w:lang w:val="en-US"/>
        </w:rPr>
        <w:t>A documented health and safety board structure will aid in ensuring compatibility with the person-centered approach framework and health and social care act laws. Anyone being hurt or lethally harmed in their workplace is unacceptable. A well-thought-out framework will also enable you to devise a comprehensive and well-organized strategy for dealing with this. Social workers look at how the systems in which their patients live impact their behavior. Living in a low-income setting may have a significant impact on how a person makes decisions. When working with respondents who are violent or destructive, social workers may use social learning theory.</w:t>
      </w:r>
    </w:p>
    <w:p w14:paraId="5586CD4B" w14:textId="77777777" w:rsidR="00370E55" w:rsidRPr="00A66C5D" w:rsidRDefault="00370E55" w:rsidP="00A66C5D">
      <w:pPr>
        <w:spacing w:line="240" w:lineRule="auto"/>
        <w:jc w:val="both"/>
        <w:rPr>
          <w:rFonts w:ascii="Arial" w:hAnsi="Arial" w:cs="Arial"/>
          <w:sz w:val="24"/>
          <w:szCs w:val="24"/>
          <w:lang w:val="en-US"/>
        </w:rPr>
      </w:pPr>
    </w:p>
    <w:p w14:paraId="2A83B6BC" w14:textId="77777777" w:rsidR="00BF1592" w:rsidRPr="00A66C5D" w:rsidRDefault="00BF1592" w:rsidP="00A66C5D">
      <w:pPr>
        <w:spacing w:line="240" w:lineRule="auto"/>
        <w:jc w:val="both"/>
        <w:rPr>
          <w:rFonts w:ascii="Arial" w:hAnsi="Arial" w:cs="Arial"/>
          <w:sz w:val="24"/>
          <w:szCs w:val="24"/>
          <w:lang w:val="en-US"/>
        </w:rPr>
      </w:pPr>
    </w:p>
    <w:p w14:paraId="342A198D" w14:textId="77777777" w:rsidR="00A66C5D" w:rsidRDefault="00A66C5D">
      <w:pPr>
        <w:rPr>
          <w:rFonts w:ascii="Arial" w:hAnsi="Arial" w:cs="Arial"/>
          <w:sz w:val="24"/>
          <w:szCs w:val="24"/>
          <w:lang w:val="en-US"/>
        </w:rPr>
      </w:pPr>
      <w:r>
        <w:rPr>
          <w:rFonts w:ascii="Arial" w:hAnsi="Arial" w:cs="Arial"/>
          <w:sz w:val="24"/>
          <w:szCs w:val="24"/>
          <w:lang w:val="en-US"/>
        </w:rPr>
        <w:br w:type="page"/>
      </w:r>
    </w:p>
    <w:p w14:paraId="7857B70A" w14:textId="426A6053" w:rsidR="00A66C5D" w:rsidRDefault="00A66C5D" w:rsidP="00A66C5D">
      <w:pPr>
        <w:pStyle w:val="Titlu1"/>
        <w:rPr>
          <w:lang w:val="en-US"/>
        </w:rPr>
      </w:pPr>
      <w:bookmarkStart w:id="12" w:name="_Toc90410753"/>
      <w:r>
        <w:rPr>
          <w:lang w:val="en-US"/>
        </w:rPr>
        <w:lastRenderedPageBreak/>
        <w:t>Appendix</w:t>
      </w:r>
      <w:bookmarkEnd w:id="12"/>
    </w:p>
    <w:p w14:paraId="2C7EC678" w14:textId="77777777" w:rsidR="00E37112" w:rsidRDefault="00E37112">
      <w:pPr>
        <w:rPr>
          <w:lang w:val="en-US"/>
        </w:rPr>
      </w:pPr>
      <w:r>
        <w:rPr>
          <w:noProof/>
        </w:rPr>
        <w:drawing>
          <wp:inline distT="0" distB="0" distL="0" distR="0" wp14:anchorId="7FDC9A55" wp14:editId="06289844">
            <wp:extent cx="5983981" cy="5448300"/>
            <wp:effectExtent l="0" t="0" r="0" b="0"/>
            <wp:docPr id="1" name="Picture 1" descr="Frontiers | A Persons-Centered Approach for Prevention of COVID-19 Disease  and Its Impacts in Persons With Disabilities | Public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tiers | A Persons-Centered Approach for Prevention of COVID-19 Disease  and Its Impacts in Persons With Disabilities | Public Healt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7806" cy="5451783"/>
                    </a:xfrm>
                    <a:prstGeom prst="rect">
                      <a:avLst/>
                    </a:prstGeom>
                    <a:noFill/>
                    <a:ln>
                      <a:noFill/>
                    </a:ln>
                  </pic:spPr>
                </pic:pic>
              </a:graphicData>
            </a:graphic>
          </wp:inline>
        </w:drawing>
      </w:r>
    </w:p>
    <w:p w14:paraId="05FE299F" w14:textId="400DDF68" w:rsidR="00A66C5D" w:rsidRPr="00E37112" w:rsidRDefault="00E37112" w:rsidP="00E37112">
      <w:pPr>
        <w:jc w:val="center"/>
        <w:rPr>
          <w:rFonts w:ascii="Arial" w:eastAsiaTheme="majorEastAsia" w:hAnsi="Arial" w:cs="Arial"/>
          <w:b/>
          <w:bCs/>
          <w:sz w:val="24"/>
          <w:szCs w:val="24"/>
          <w:lang w:val="en-US"/>
        </w:rPr>
      </w:pPr>
      <w:r w:rsidRPr="00E37112">
        <w:rPr>
          <w:rFonts w:ascii="Arial" w:hAnsi="Arial" w:cs="Arial"/>
          <w:b/>
          <w:bCs/>
          <w:sz w:val="24"/>
          <w:szCs w:val="24"/>
          <w:lang w:val="en-US"/>
        </w:rPr>
        <w:t>Source: Person-centered approach, 2021</w:t>
      </w:r>
      <w:r w:rsidR="00A66C5D" w:rsidRPr="00E37112">
        <w:rPr>
          <w:rFonts w:ascii="Arial" w:hAnsi="Arial" w:cs="Arial"/>
          <w:b/>
          <w:bCs/>
          <w:sz w:val="24"/>
          <w:szCs w:val="24"/>
          <w:lang w:val="en-US"/>
        </w:rPr>
        <w:br w:type="page"/>
      </w:r>
    </w:p>
    <w:p w14:paraId="19A0A1C2" w14:textId="6C43CE56" w:rsidR="00A66C5D" w:rsidRDefault="00A66C5D" w:rsidP="00A66C5D">
      <w:pPr>
        <w:pStyle w:val="Titlu1"/>
      </w:pPr>
      <w:bookmarkStart w:id="13" w:name="_Toc90410754"/>
      <w:r w:rsidRPr="00A66C5D">
        <w:lastRenderedPageBreak/>
        <w:t>References</w:t>
      </w:r>
      <w:bookmarkEnd w:id="13"/>
    </w:p>
    <w:p w14:paraId="5E7F53DC" w14:textId="77777777" w:rsidR="00E37112" w:rsidRPr="00E37112" w:rsidRDefault="00E37112" w:rsidP="00E37112">
      <w:pPr>
        <w:spacing w:line="240" w:lineRule="auto"/>
        <w:jc w:val="both"/>
        <w:rPr>
          <w:rFonts w:ascii="Arial" w:hAnsi="Arial" w:cs="Arial"/>
          <w:sz w:val="24"/>
          <w:szCs w:val="24"/>
        </w:rPr>
      </w:pPr>
    </w:p>
    <w:p w14:paraId="55C11229" w14:textId="2574117A"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Byrne, A.L., Baldwin, A. and Harvey, C., </w:t>
      </w:r>
      <w:r w:rsidR="001C6983">
        <w:rPr>
          <w:rFonts w:ascii="Arial" w:hAnsi="Arial" w:cs="Arial"/>
          <w:sz w:val="24"/>
          <w:szCs w:val="24"/>
        </w:rPr>
        <w:t>(</w:t>
      </w:r>
      <w:r w:rsidRPr="00E37112">
        <w:rPr>
          <w:rFonts w:ascii="Arial" w:hAnsi="Arial" w:cs="Arial"/>
          <w:sz w:val="24"/>
          <w:szCs w:val="24"/>
        </w:rPr>
        <w:t>2020</w:t>
      </w:r>
      <w:r w:rsidR="001C6983">
        <w:rPr>
          <w:rFonts w:ascii="Arial" w:hAnsi="Arial" w:cs="Arial"/>
          <w:sz w:val="24"/>
          <w:szCs w:val="24"/>
        </w:rPr>
        <w:t>)</w:t>
      </w:r>
      <w:r w:rsidRPr="00E37112">
        <w:rPr>
          <w:rFonts w:ascii="Arial" w:hAnsi="Arial" w:cs="Arial"/>
          <w:sz w:val="24"/>
          <w:szCs w:val="24"/>
        </w:rPr>
        <w:t xml:space="preserve">. Whose </w:t>
      </w:r>
      <w:r>
        <w:rPr>
          <w:rFonts w:ascii="Arial" w:hAnsi="Arial" w:cs="Arial"/>
          <w:sz w:val="24"/>
          <w:szCs w:val="24"/>
        </w:rPr>
        <w:t>center</w:t>
      </w:r>
      <w:r w:rsidRPr="00E37112">
        <w:rPr>
          <w:rFonts w:ascii="Arial" w:hAnsi="Arial" w:cs="Arial"/>
          <w:sz w:val="24"/>
          <w:szCs w:val="24"/>
        </w:rPr>
        <w:t xml:space="preserve"> is it anyway? Defining person-centred care in nursing: An integrative review. </w:t>
      </w:r>
      <w:r w:rsidRPr="00E37112">
        <w:rPr>
          <w:rFonts w:ascii="Arial" w:hAnsi="Arial" w:cs="Arial"/>
          <w:i/>
          <w:iCs/>
          <w:sz w:val="24"/>
          <w:szCs w:val="24"/>
        </w:rPr>
        <w:t>PloS one</w:t>
      </w:r>
      <w:r w:rsidRPr="00E37112">
        <w:rPr>
          <w:rFonts w:ascii="Arial" w:hAnsi="Arial" w:cs="Arial"/>
          <w:sz w:val="24"/>
          <w:szCs w:val="24"/>
        </w:rPr>
        <w:t>, </w:t>
      </w:r>
      <w:r w:rsidRPr="00E37112">
        <w:rPr>
          <w:rFonts w:ascii="Arial" w:hAnsi="Arial" w:cs="Arial"/>
          <w:i/>
          <w:iCs/>
          <w:sz w:val="24"/>
          <w:szCs w:val="24"/>
        </w:rPr>
        <w:t>15</w:t>
      </w:r>
      <w:r w:rsidRPr="00E37112">
        <w:rPr>
          <w:rFonts w:ascii="Arial" w:hAnsi="Arial" w:cs="Arial"/>
          <w:sz w:val="24"/>
          <w:szCs w:val="24"/>
        </w:rPr>
        <w:t>(3), p.e0229923.</w:t>
      </w:r>
    </w:p>
    <w:p w14:paraId="6AE296AB" w14:textId="1173D6E3"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Carey, M., </w:t>
      </w:r>
      <w:r w:rsidR="001C6983">
        <w:rPr>
          <w:rFonts w:ascii="Arial" w:hAnsi="Arial" w:cs="Arial"/>
          <w:sz w:val="24"/>
          <w:szCs w:val="24"/>
        </w:rPr>
        <w:t>(</w:t>
      </w:r>
      <w:r w:rsidRPr="00E37112">
        <w:rPr>
          <w:rFonts w:ascii="Arial" w:hAnsi="Arial" w:cs="Arial"/>
          <w:sz w:val="24"/>
          <w:szCs w:val="24"/>
        </w:rPr>
        <w:t>2017</w:t>
      </w:r>
      <w:r w:rsidR="001C6983">
        <w:rPr>
          <w:rFonts w:ascii="Arial" w:hAnsi="Arial" w:cs="Arial"/>
          <w:sz w:val="24"/>
          <w:szCs w:val="24"/>
        </w:rPr>
        <w:t>)</w:t>
      </w:r>
      <w:r w:rsidRPr="00E37112">
        <w:rPr>
          <w:rFonts w:ascii="Arial" w:hAnsi="Arial" w:cs="Arial"/>
          <w:sz w:val="24"/>
          <w:szCs w:val="24"/>
        </w:rPr>
        <w:t>. </w:t>
      </w:r>
      <w:r w:rsidRPr="00E37112">
        <w:rPr>
          <w:rFonts w:ascii="Arial" w:hAnsi="Arial" w:cs="Arial"/>
          <w:i/>
          <w:iCs/>
          <w:sz w:val="24"/>
          <w:szCs w:val="24"/>
        </w:rPr>
        <w:t>Qualitative research skills for social work: Theory and practice</w:t>
      </w:r>
      <w:r w:rsidRPr="00E37112">
        <w:rPr>
          <w:rFonts w:ascii="Arial" w:hAnsi="Arial" w:cs="Arial"/>
          <w:sz w:val="24"/>
          <w:szCs w:val="24"/>
        </w:rPr>
        <w:t>. Routledge.</w:t>
      </w:r>
    </w:p>
    <w:p w14:paraId="11BB0DEB" w14:textId="7C90148E"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Chang, J., Peysakhovich, F., Wang, W. and Zhu, J., </w:t>
      </w:r>
      <w:r w:rsidR="001C6983">
        <w:rPr>
          <w:rFonts w:ascii="Arial" w:hAnsi="Arial" w:cs="Arial"/>
          <w:sz w:val="24"/>
          <w:szCs w:val="24"/>
        </w:rPr>
        <w:t>(</w:t>
      </w:r>
      <w:r w:rsidRPr="00E37112">
        <w:rPr>
          <w:rFonts w:ascii="Arial" w:hAnsi="Arial" w:cs="Arial"/>
          <w:sz w:val="24"/>
          <w:szCs w:val="24"/>
        </w:rPr>
        <w:t>2011</w:t>
      </w:r>
      <w:r w:rsidR="001C6983">
        <w:rPr>
          <w:rFonts w:ascii="Arial" w:hAnsi="Arial" w:cs="Arial"/>
          <w:sz w:val="24"/>
          <w:szCs w:val="24"/>
        </w:rPr>
        <w:t>)</w:t>
      </w:r>
      <w:r w:rsidRPr="00E37112">
        <w:rPr>
          <w:rFonts w:ascii="Arial" w:hAnsi="Arial" w:cs="Arial"/>
          <w:sz w:val="24"/>
          <w:szCs w:val="24"/>
        </w:rPr>
        <w:t>. The UK health care system. </w:t>
      </w:r>
      <w:r w:rsidRPr="00E37112">
        <w:rPr>
          <w:rFonts w:ascii="Arial" w:hAnsi="Arial" w:cs="Arial"/>
          <w:i/>
          <w:iCs/>
          <w:sz w:val="24"/>
          <w:szCs w:val="24"/>
        </w:rPr>
        <w:t>The United Kingdom</w:t>
      </w:r>
      <w:r w:rsidRPr="00E37112">
        <w:rPr>
          <w:rFonts w:ascii="Arial" w:hAnsi="Arial" w:cs="Arial"/>
          <w:sz w:val="24"/>
          <w:szCs w:val="24"/>
        </w:rPr>
        <w:t>, </w:t>
      </w:r>
      <w:r w:rsidRPr="00E37112">
        <w:rPr>
          <w:rFonts w:ascii="Arial" w:hAnsi="Arial" w:cs="Arial"/>
          <w:i/>
          <w:iCs/>
          <w:sz w:val="24"/>
          <w:szCs w:val="24"/>
        </w:rPr>
        <w:t>30</w:t>
      </w:r>
      <w:r w:rsidRPr="00E37112">
        <w:rPr>
          <w:rFonts w:ascii="Arial" w:hAnsi="Arial" w:cs="Arial"/>
          <w:sz w:val="24"/>
          <w:szCs w:val="24"/>
        </w:rPr>
        <w:t>, p.2019.</w:t>
      </w:r>
    </w:p>
    <w:p w14:paraId="5011A425" w14:textId="32C500EE"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Comparison of Social and Medical Models of Health, 2018.                                                                           Available from: https://nursinganswers.net/essays/definition-and-comparison-of-social-and-medical-model-of-health.php?vref=1 [Accessed 1 December </w:t>
      </w:r>
      <w:r w:rsidR="001C6983">
        <w:rPr>
          <w:rFonts w:ascii="Arial" w:hAnsi="Arial" w:cs="Arial"/>
          <w:sz w:val="24"/>
          <w:szCs w:val="24"/>
        </w:rPr>
        <w:t>(</w:t>
      </w:r>
      <w:r w:rsidRPr="00E37112">
        <w:rPr>
          <w:rFonts w:ascii="Arial" w:hAnsi="Arial" w:cs="Arial"/>
          <w:sz w:val="24"/>
          <w:szCs w:val="24"/>
        </w:rPr>
        <w:t>2021</w:t>
      </w:r>
      <w:r w:rsidR="001C6983">
        <w:rPr>
          <w:rFonts w:ascii="Arial" w:hAnsi="Arial" w:cs="Arial"/>
          <w:sz w:val="24"/>
          <w:szCs w:val="24"/>
        </w:rPr>
        <w:t>)</w:t>
      </w:r>
      <w:r w:rsidRPr="00E37112">
        <w:rPr>
          <w:rFonts w:ascii="Arial" w:hAnsi="Arial" w:cs="Arial"/>
          <w:sz w:val="24"/>
          <w:szCs w:val="24"/>
        </w:rPr>
        <w:t>].</w:t>
      </w:r>
    </w:p>
    <w:p w14:paraId="4FD30CFC" w14:textId="698F69A7"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Eisenmann, Y., Golla, H., Schmidt, H., Voltz, R. and Perrar, K.M., </w:t>
      </w:r>
      <w:r w:rsidR="001C6983">
        <w:rPr>
          <w:rFonts w:ascii="Arial" w:hAnsi="Arial" w:cs="Arial"/>
          <w:sz w:val="24"/>
          <w:szCs w:val="24"/>
        </w:rPr>
        <w:t>(</w:t>
      </w:r>
      <w:r w:rsidRPr="00E37112">
        <w:rPr>
          <w:rFonts w:ascii="Arial" w:hAnsi="Arial" w:cs="Arial"/>
          <w:sz w:val="24"/>
          <w:szCs w:val="24"/>
        </w:rPr>
        <w:t>2020</w:t>
      </w:r>
      <w:r w:rsidR="001C6983">
        <w:rPr>
          <w:rFonts w:ascii="Arial" w:hAnsi="Arial" w:cs="Arial"/>
          <w:sz w:val="24"/>
          <w:szCs w:val="24"/>
        </w:rPr>
        <w:t>)</w:t>
      </w:r>
      <w:r w:rsidRPr="00E37112">
        <w:rPr>
          <w:rFonts w:ascii="Arial" w:hAnsi="Arial" w:cs="Arial"/>
          <w:sz w:val="24"/>
          <w:szCs w:val="24"/>
        </w:rPr>
        <w:t>. Palliative care in advanced dementia. </w:t>
      </w:r>
      <w:r w:rsidRPr="00E37112">
        <w:rPr>
          <w:rFonts w:ascii="Arial" w:hAnsi="Arial" w:cs="Arial"/>
          <w:i/>
          <w:iCs/>
          <w:sz w:val="24"/>
          <w:szCs w:val="24"/>
        </w:rPr>
        <w:t>Frontiers in Psychiatry</w:t>
      </w:r>
      <w:r w:rsidRPr="00E37112">
        <w:rPr>
          <w:rFonts w:ascii="Arial" w:hAnsi="Arial" w:cs="Arial"/>
          <w:sz w:val="24"/>
          <w:szCs w:val="24"/>
        </w:rPr>
        <w:t>, </w:t>
      </w:r>
      <w:r w:rsidRPr="00E37112">
        <w:rPr>
          <w:rFonts w:ascii="Arial" w:hAnsi="Arial" w:cs="Arial"/>
          <w:i/>
          <w:iCs/>
          <w:sz w:val="24"/>
          <w:szCs w:val="24"/>
        </w:rPr>
        <w:t>11</w:t>
      </w:r>
      <w:r w:rsidRPr="00E37112">
        <w:rPr>
          <w:rFonts w:ascii="Arial" w:hAnsi="Arial" w:cs="Arial"/>
          <w:sz w:val="24"/>
          <w:szCs w:val="24"/>
        </w:rPr>
        <w:t>.</w:t>
      </w:r>
    </w:p>
    <w:p w14:paraId="6EA60ED0" w14:textId="4F723C1A"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Fang, C. and Tanaka, M., </w:t>
      </w:r>
      <w:r w:rsidR="001C6983">
        <w:rPr>
          <w:rFonts w:ascii="Arial" w:hAnsi="Arial" w:cs="Arial"/>
          <w:sz w:val="24"/>
          <w:szCs w:val="24"/>
        </w:rPr>
        <w:t>(</w:t>
      </w:r>
      <w:r w:rsidRPr="00E37112">
        <w:rPr>
          <w:rFonts w:ascii="Arial" w:hAnsi="Arial" w:cs="Arial"/>
          <w:sz w:val="24"/>
          <w:szCs w:val="24"/>
        </w:rPr>
        <w:t>2021</w:t>
      </w:r>
      <w:r w:rsidR="001C6983">
        <w:rPr>
          <w:rFonts w:ascii="Arial" w:hAnsi="Arial" w:cs="Arial"/>
          <w:sz w:val="24"/>
          <w:szCs w:val="24"/>
        </w:rPr>
        <w:t>)</w:t>
      </w:r>
      <w:r w:rsidRPr="00E37112">
        <w:rPr>
          <w:rFonts w:ascii="Arial" w:hAnsi="Arial" w:cs="Arial"/>
          <w:sz w:val="24"/>
          <w:szCs w:val="24"/>
        </w:rPr>
        <w:t>. An Exploration of Person-Centred Approach in End-of-Life Care Policies in England and Japan.</w:t>
      </w:r>
    </w:p>
    <w:p w14:paraId="739337A6" w14:textId="5602830F"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Griffiths, A.W., Ashley, L., Kelley, R., Cowdell, F., Collinson, M., Mason, E., Inman, H., Henry, A., Farrin, A. and Surr, C., </w:t>
      </w:r>
      <w:r w:rsidR="001C6983">
        <w:rPr>
          <w:rFonts w:ascii="Arial" w:hAnsi="Arial" w:cs="Arial"/>
          <w:sz w:val="24"/>
          <w:szCs w:val="24"/>
        </w:rPr>
        <w:t>(</w:t>
      </w:r>
      <w:r w:rsidRPr="00E37112">
        <w:rPr>
          <w:rFonts w:ascii="Arial" w:hAnsi="Arial" w:cs="Arial"/>
          <w:sz w:val="24"/>
          <w:szCs w:val="24"/>
        </w:rPr>
        <w:t>2021</w:t>
      </w:r>
      <w:r w:rsidR="001C6983">
        <w:rPr>
          <w:rFonts w:ascii="Arial" w:hAnsi="Arial" w:cs="Arial"/>
          <w:sz w:val="24"/>
          <w:szCs w:val="24"/>
        </w:rPr>
        <w:t>)</w:t>
      </w:r>
      <w:r w:rsidRPr="00E37112">
        <w:rPr>
          <w:rFonts w:ascii="Arial" w:hAnsi="Arial" w:cs="Arial"/>
          <w:sz w:val="24"/>
          <w:szCs w:val="24"/>
        </w:rPr>
        <w:t>. Balancing the needs of individuals and services in cancer treatment for people with dementia: an ethnographic study. </w:t>
      </w:r>
      <w:r w:rsidRPr="00E37112">
        <w:rPr>
          <w:rFonts w:ascii="Arial" w:hAnsi="Arial" w:cs="Arial"/>
          <w:i/>
          <w:iCs/>
          <w:sz w:val="24"/>
          <w:szCs w:val="24"/>
        </w:rPr>
        <w:t>International Journal of Nursing Studies</w:t>
      </w:r>
      <w:r w:rsidRPr="00E37112">
        <w:rPr>
          <w:rFonts w:ascii="Arial" w:hAnsi="Arial" w:cs="Arial"/>
          <w:sz w:val="24"/>
          <w:szCs w:val="24"/>
        </w:rPr>
        <w:t>, p.104006.</w:t>
      </w:r>
    </w:p>
    <w:p w14:paraId="71CABF55" w14:textId="7CB96A03"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Grotz, J., Ledgard, M. and Poland, F., </w:t>
      </w:r>
      <w:r w:rsidR="001C6983">
        <w:rPr>
          <w:rFonts w:ascii="Arial" w:hAnsi="Arial" w:cs="Arial"/>
          <w:sz w:val="24"/>
          <w:szCs w:val="24"/>
        </w:rPr>
        <w:t>(</w:t>
      </w:r>
      <w:r w:rsidRPr="00E37112">
        <w:rPr>
          <w:rFonts w:ascii="Arial" w:hAnsi="Arial" w:cs="Arial"/>
          <w:sz w:val="24"/>
          <w:szCs w:val="24"/>
        </w:rPr>
        <w:t>2020</w:t>
      </w:r>
      <w:r w:rsidR="001C6983">
        <w:rPr>
          <w:rFonts w:ascii="Arial" w:hAnsi="Arial" w:cs="Arial"/>
          <w:sz w:val="24"/>
          <w:szCs w:val="24"/>
        </w:rPr>
        <w:t>)</w:t>
      </w:r>
      <w:r w:rsidRPr="00E37112">
        <w:rPr>
          <w:rFonts w:ascii="Arial" w:hAnsi="Arial" w:cs="Arial"/>
          <w:sz w:val="24"/>
          <w:szCs w:val="24"/>
        </w:rPr>
        <w:t>. </w:t>
      </w:r>
      <w:r w:rsidRPr="00E37112">
        <w:rPr>
          <w:rFonts w:ascii="Arial" w:hAnsi="Arial" w:cs="Arial"/>
          <w:i/>
          <w:iCs/>
          <w:sz w:val="24"/>
          <w:szCs w:val="24"/>
        </w:rPr>
        <w:t>Patient and Public Involvement in Health and Social Care Research: An Introduction to Theory and Practice</w:t>
      </w:r>
      <w:r w:rsidRPr="00E37112">
        <w:rPr>
          <w:rFonts w:ascii="Arial" w:hAnsi="Arial" w:cs="Arial"/>
          <w:sz w:val="24"/>
          <w:szCs w:val="24"/>
        </w:rPr>
        <w:t>. Springer Nature.</w:t>
      </w:r>
    </w:p>
    <w:p w14:paraId="0A1B0C9A" w14:textId="1ADB9ECB"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Illingworth, P., </w:t>
      </w:r>
      <w:r w:rsidR="001C6983">
        <w:rPr>
          <w:rFonts w:ascii="Arial" w:hAnsi="Arial" w:cs="Arial"/>
          <w:sz w:val="24"/>
          <w:szCs w:val="24"/>
        </w:rPr>
        <w:t>(</w:t>
      </w:r>
      <w:r w:rsidRPr="00E37112">
        <w:rPr>
          <w:rFonts w:ascii="Arial" w:hAnsi="Arial" w:cs="Arial"/>
          <w:sz w:val="24"/>
          <w:szCs w:val="24"/>
        </w:rPr>
        <w:t>2020</w:t>
      </w:r>
      <w:r w:rsidR="001C6983">
        <w:rPr>
          <w:rFonts w:ascii="Arial" w:hAnsi="Arial" w:cs="Arial"/>
          <w:sz w:val="24"/>
          <w:szCs w:val="24"/>
        </w:rPr>
        <w:t>)</w:t>
      </w:r>
      <w:r w:rsidRPr="00E37112">
        <w:rPr>
          <w:rFonts w:ascii="Arial" w:hAnsi="Arial" w:cs="Arial"/>
          <w:sz w:val="24"/>
          <w:szCs w:val="24"/>
        </w:rPr>
        <w:t>. Global citizenship: an exploration of the relevance to UK health and social care professions. </w:t>
      </w:r>
      <w:r w:rsidRPr="00E37112">
        <w:rPr>
          <w:rFonts w:ascii="Arial" w:hAnsi="Arial" w:cs="Arial"/>
          <w:i/>
          <w:iCs/>
          <w:sz w:val="24"/>
          <w:szCs w:val="24"/>
        </w:rPr>
        <w:t>British Journal of Nursing</w:t>
      </w:r>
      <w:r w:rsidRPr="00E37112">
        <w:rPr>
          <w:rFonts w:ascii="Arial" w:hAnsi="Arial" w:cs="Arial"/>
          <w:sz w:val="24"/>
          <w:szCs w:val="24"/>
        </w:rPr>
        <w:t>, </w:t>
      </w:r>
      <w:r w:rsidRPr="00E37112">
        <w:rPr>
          <w:rFonts w:ascii="Arial" w:hAnsi="Arial" w:cs="Arial"/>
          <w:i/>
          <w:iCs/>
          <w:sz w:val="24"/>
          <w:szCs w:val="24"/>
        </w:rPr>
        <w:t>29</w:t>
      </w:r>
      <w:r w:rsidRPr="00E37112">
        <w:rPr>
          <w:rFonts w:ascii="Arial" w:hAnsi="Arial" w:cs="Arial"/>
          <w:sz w:val="24"/>
          <w:szCs w:val="24"/>
        </w:rPr>
        <w:t>(4), pp.242-244.</w:t>
      </w:r>
    </w:p>
    <w:p w14:paraId="4ABF3900" w14:textId="08A65E71"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Lee, R.P., Bamford, C., Poole, M., McLellan, E., Exley, C. and Robinson, L., </w:t>
      </w:r>
      <w:r w:rsidR="001C6983">
        <w:rPr>
          <w:rFonts w:ascii="Arial" w:hAnsi="Arial" w:cs="Arial"/>
          <w:sz w:val="24"/>
          <w:szCs w:val="24"/>
        </w:rPr>
        <w:t>(</w:t>
      </w:r>
      <w:r w:rsidRPr="00E37112">
        <w:rPr>
          <w:rFonts w:ascii="Arial" w:hAnsi="Arial" w:cs="Arial"/>
          <w:sz w:val="24"/>
          <w:szCs w:val="24"/>
        </w:rPr>
        <w:t>2017</w:t>
      </w:r>
      <w:r w:rsidR="001C6983">
        <w:rPr>
          <w:rFonts w:ascii="Arial" w:hAnsi="Arial" w:cs="Arial"/>
          <w:sz w:val="24"/>
          <w:szCs w:val="24"/>
        </w:rPr>
        <w:t>)</w:t>
      </w:r>
      <w:r w:rsidRPr="00E37112">
        <w:rPr>
          <w:rFonts w:ascii="Arial" w:hAnsi="Arial" w:cs="Arial"/>
          <w:sz w:val="24"/>
          <w:szCs w:val="24"/>
        </w:rPr>
        <w:t>. End of life care for people with dementia: The views of health professionals, social care service managers and frontline staff on key requirements for good practice. </w:t>
      </w:r>
      <w:r w:rsidRPr="00E37112">
        <w:rPr>
          <w:rFonts w:ascii="Arial" w:hAnsi="Arial" w:cs="Arial"/>
          <w:i/>
          <w:iCs/>
          <w:sz w:val="24"/>
          <w:szCs w:val="24"/>
        </w:rPr>
        <w:t>PLoS One</w:t>
      </w:r>
      <w:r w:rsidRPr="00E37112">
        <w:rPr>
          <w:rFonts w:ascii="Arial" w:hAnsi="Arial" w:cs="Arial"/>
          <w:sz w:val="24"/>
          <w:szCs w:val="24"/>
        </w:rPr>
        <w:t>, </w:t>
      </w:r>
      <w:r w:rsidRPr="00E37112">
        <w:rPr>
          <w:rFonts w:ascii="Arial" w:hAnsi="Arial" w:cs="Arial"/>
          <w:i/>
          <w:iCs/>
          <w:sz w:val="24"/>
          <w:szCs w:val="24"/>
        </w:rPr>
        <w:t>12</w:t>
      </w:r>
      <w:r w:rsidRPr="00E37112">
        <w:rPr>
          <w:rFonts w:ascii="Arial" w:hAnsi="Arial" w:cs="Arial"/>
          <w:sz w:val="24"/>
          <w:szCs w:val="24"/>
        </w:rPr>
        <w:t>(6), p.e0179355.</w:t>
      </w:r>
    </w:p>
    <w:p w14:paraId="24FA92AA" w14:textId="721A3A2A"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Lee, S., Vibhuti, M. and Sudmann, T.T., </w:t>
      </w:r>
      <w:r w:rsidR="001C6983">
        <w:rPr>
          <w:rFonts w:ascii="Arial" w:hAnsi="Arial" w:cs="Arial"/>
          <w:sz w:val="24"/>
          <w:szCs w:val="24"/>
        </w:rPr>
        <w:t>(</w:t>
      </w:r>
      <w:r w:rsidRPr="00E37112">
        <w:rPr>
          <w:rFonts w:ascii="Arial" w:hAnsi="Arial" w:cs="Arial"/>
          <w:sz w:val="24"/>
          <w:szCs w:val="24"/>
        </w:rPr>
        <w:t>2021</w:t>
      </w:r>
      <w:r w:rsidR="001C6983">
        <w:rPr>
          <w:rFonts w:ascii="Arial" w:hAnsi="Arial" w:cs="Arial"/>
          <w:sz w:val="24"/>
          <w:szCs w:val="24"/>
        </w:rPr>
        <w:t>)</w:t>
      </w:r>
      <w:r w:rsidRPr="00E37112">
        <w:rPr>
          <w:rFonts w:ascii="Arial" w:hAnsi="Arial" w:cs="Arial"/>
          <w:sz w:val="24"/>
          <w:szCs w:val="24"/>
        </w:rPr>
        <w:t>. Sustainable Person</w:t>
      </w:r>
      <w:r w:rsidRPr="00E37112">
        <w:rPr>
          <w:rFonts w:ascii="Cambria Math" w:hAnsi="Cambria Math" w:cs="Cambria Math"/>
          <w:sz w:val="24"/>
          <w:szCs w:val="24"/>
        </w:rPr>
        <w:t>‐</w:t>
      </w:r>
      <w:r w:rsidRPr="00E37112">
        <w:rPr>
          <w:rFonts w:ascii="Arial" w:hAnsi="Arial" w:cs="Arial"/>
          <w:sz w:val="24"/>
          <w:szCs w:val="24"/>
        </w:rPr>
        <w:t>Centred Communities Design and Practice. </w:t>
      </w:r>
      <w:r w:rsidRPr="00E37112">
        <w:rPr>
          <w:rFonts w:ascii="Arial" w:hAnsi="Arial" w:cs="Arial"/>
          <w:i/>
          <w:iCs/>
          <w:sz w:val="24"/>
          <w:szCs w:val="24"/>
        </w:rPr>
        <w:t>International Practice Development in Health and Social Care</w:t>
      </w:r>
      <w:r w:rsidRPr="00E37112">
        <w:rPr>
          <w:rFonts w:ascii="Arial" w:hAnsi="Arial" w:cs="Arial"/>
          <w:sz w:val="24"/>
          <w:szCs w:val="24"/>
        </w:rPr>
        <w:t>, pp.39-51.</w:t>
      </w:r>
    </w:p>
    <w:p w14:paraId="3BD9392F" w14:textId="0D69C639"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Lloyd, H., Wheat, H., Horrell, J., Sugavanam, T., Fosh, B., Valderas, J.M. and Close, J., </w:t>
      </w:r>
      <w:r w:rsidR="001C6983">
        <w:rPr>
          <w:rFonts w:ascii="Arial" w:hAnsi="Arial" w:cs="Arial"/>
          <w:sz w:val="24"/>
          <w:szCs w:val="24"/>
        </w:rPr>
        <w:t>(</w:t>
      </w:r>
      <w:r w:rsidRPr="00E37112">
        <w:rPr>
          <w:rFonts w:ascii="Arial" w:hAnsi="Arial" w:cs="Arial"/>
          <w:sz w:val="24"/>
          <w:szCs w:val="24"/>
        </w:rPr>
        <w:t>2018</w:t>
      </w:r>
      <w:r w:rsidR="001C6983">
        <w:rPr>
          <w:rFonts w:ascii="Arial" w:hAnsi="Arial" w:cs="Arial"/>
          <w:sz w:val="24"/>
          <w:szCs w:val="24"/>
        </w:rPr>
        <w:t>)</w:t>
      </w:r>
      <w:r w:rsidRPr="00E37112">
        <w:rPr>
          <w:rFonts w:ascii="Arial" w:hAnsi="Arial" w:cs="Arial"/>
          <w:sz w:val="24"/>
          <w:szCs w:val="24"/>
        </w:rPr>
        <w:t>. Patient-reported measures for person-centered coordinated care: a comparative domain map and web-based compendium for supporting policy development and implementation. </w:t>
      </w:r>
      <w:r w:rsidRPr="00E37112">
        <w:rPr>
          <w:rFonts w:ascii="Arial" w:hAnsi="Arial" w:cs="Arial"/>
          <w:i/>
          <w:iCs/>
          <w:sz w:val="24"/>
          <w:szCs w:val="24"/>
        </w:rPr>
        <w:t>Journal of medical Internet research</w:t>
      </w:r>
      <w:r w:rsidRPr="00E37112">
        <w:rPr>
          <w:rFonts w:ascii="Arial" w:hAnsi="Arial" w:cs="Arial"/>
          <w:sz w:val="24"/>
          <w:szCs w:val="24"/>
        </w:rPr>
        <w:t>, </w:t>
      </w:r>
      <w:r w:rsidRPr="00E37112">
        <w:rPr>
          <w:rFonts w:ascii="Arial" w:hAnsi="Arial" w:cs="Arial"/>
          <w:i/>
          <w:iCs/>
          <w:sz w:val="24"/>
          <w:szCs w:val="24"/>
        </w:rPr>
        <w:t>20</w:t>
      </w:r>
      <w:r w:rsidRPr="00E37112">
        <w:rPr>
          <w:rFonts w:ascii="Arial" w:hAnsi="Arial" w:cs="Arial"/>
          <w:sz w:val="24"/>
          <w:szCs w:val="24"/>
        </w:rPr>
        <w:t>(2), p.e54.</w:t>
      </w:r>
    </w:p>
    <w:p w14:paraId="1773871C" w14:textId="77777777" w:rsidR="00E37112" w:rsidRPr="00E37112" w:rsidRDefault="00E37112" w:rsidP="00E37112">
      <w:pPr>
        <w:spacing w:line="240" w:lineRule="auto"/>
        <w:jc w:val="both"/>
        <w:rPr>
          <w:rFonts w:ascii="Arial" w:hAnsi="Arial" w:cs="Arial"/>
          <w:sz w:val="24"/>
          <w:szCs w:val="24"/>
          <w:lang w:val="en-US"/>
        </w:rPr>
      </w:pPr>
      <w:r w:rsidRPr="00E37112">
        <w:rPr>
          <w:rFonts w:ascii="Arial" w:hAnsi="Arial" w:cs="Arial"/>
          <w:sz w:val="24"/>
          <w:szCs w:val="24"/>
        </w:rPr>
        <w:t>Lodge, H., 2015. UK PUBLIC HEALTH LEGISLATION.</w:t>
      </w:r>
    </w:p>
    <w:p w14:paraId="4612F824" w14:textId="4954CD1A"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Lynch, B.M., McCance, T., McCormack, B. and Brown, D., </w:t>
      </w:r>
      <w:r w:rsidR="001C6983">
        <w:rPr>
          <w:rFonts w:ascii="Arial" w:hAnsi="Arial" w:cs="Arial"/>
          <w:sz w:val="24"/>
          <w:szCs w:val="24"/>
        </w:rPr>
        <w:t>(</w:t>
      </w:r>
      <w:r w:rsidRPr="00E37112">
        <w:rPr>
          <w:rFonts w:ascii="Arial" w:hAnsi="Arial" w:cs="Arial"/>
          <w:sz w:val="24"/>
          <w:szCs w:val="24"/>
        </w:rPr>
        <w:t>2018</w:t>
      </w:r>
      <w:r w:rsidR="001C6983">
        <w:rPr>
          <w:rFonts w:ascii="Arial" w:hAnsi="Arial" w:cs="Arial"/>
          <w:sz w:val="24"/>
          <w:szCs w:val="24"/>
        </w:rPr>
        <w:t>)</w:t>
      </w:r>
      <w:r w:rsidRPr="00E37112">
        <w:rPr>
          <w:rFonts w:ascii="Arial" w:hAnsi="Arial" w:cs="Arial"/>
          <w:sz w:val="24"/>
          <w:szCs w:val="24"/>
        </w:rPr>
        <w:t>. The development of the Person</w:t>
      </w:r>
      <w:r w:rsidRPr="00E37112">
        <w:rPr>
          <w:rFonts w:ascii="Cambria Math" w:hAnsi="Cambria Math" w:cs="Cambria Math"/>
          <w:sz w:val="24"/>
          <w:szCs w:val="24"/>
        </w:rPr>
        <w:t>‐</w:t>
      </w:r>
      <w:r w:rsidRPr="00E37112">
        <w:rPr>
          <w:rFonts w:ascii="Arial" w:hAnsi="Arial" w:cs="Arial"/>
          <w:sz w:val="24"/>
          <w:szCs w:val="24"/>
        </w:rPr>
        <w:t>Centred Situational Leadership Framework: Revealing the being of person</w:t>
      </w:r>
      <w:r w:rsidRPr="00E37112">
        <w:rPr>
          <w:rFonts w:ascii="Cambria Math" w:hAnsi="Cambria Math" w:cs="Cambria Math"/>
          <w:sz w:val="24"/>
          <w:szCs w:val="24"/>
        </w:rPr>
        <w:t>‐</w:t>
      </w:r>
      <w:r w:rsidRPr="00E37112">
        <w:rPr>
          <w:rFonts w:ascii="Arial" w:hAnsi="Arial" w:cs="Arial"/>
          <w:sz w:val="24"/>
          <w:szCs w:val="24"/>
        </w:rPr>
        <w:t>centredness in nursing homes. </w:t>
      </w:r>
      <w:r w:rsidRPr="00E37112">
        <w:rPr>
          <w:rFonts w:ascii="Arial" w:hAnsi="Arial" w:cs="Arial"/>
          <w:i/>
          <w:iCs/>
          <w:sz w:val="24"/>
          <w:szCs w:val="24"/>
        </w:rPr>
        <w:t>Journal of Clinical Nursing</w:t>
      </w:r>
      <w:r w:rsidRPr="00E37112">
        <w:rPr>
          <w:rFonts w:ascii="Arial" w:hAnsi="Arial" w:cs="Arial"/>
          <w:sz w:val="24"/>
          <w:szCs w:val="24"/>
        </w:rPr>
        <w:t>, </w:t>
      </w:r>
      <w:r w:rsidRPr="00E37112">
        <w:rPr>
          <w:rFonts w:ascii="Arial" w:hAnsi="Arial" w:cs="Arial"/>
          <w:i/>
          <w:iCs/>
          <w:sz w:val="24"/>
          <w:szCs w:val="24"/>
        </w:rPr>
        <w:t>27</w:t>
      </w:r>
      <w:r w:rsidRPr="00E37112">
        <w:rPr>
          <w:rFonts w:ascii="Arial" w:hAnsi="Arial" w:cs="Arial"/>
          <w:sz w:val="24"/>
          <w:szCs w:val="24"/>
        </w:rPr>
        <w:t>(1-2), pp.427-440.</w:t>
      </w:r>
    </w:p>
    <w:p w14:paraId="60C6550B" w14:textId="000D83FF"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McCormack, B. and McCance, T. eds., </w:t>
      </w:r>
      <w:r w:rsidR="001C6983">
        <w:rPr>
          <w:rFonts w:ascii="Arial" w:hAnsi="Arial" w:cs="Arial"/>
          <w:sz w:val="24"/>
          <w:szCs w:val="24"/>
        </w:rPr>
        <w:t>(</w:t>
      </w:r>
      <w:r w:rsidRPr="00E37112">
        <w:rPr>
          <w:rFonts w:ascii="Arial" w:hAnsi="Arial" w:cs="Arial"/>
          <w:sz w:val="24"/>
          <w:szCs w:val="24"/>
        </w:rPr>
        <w:t>2016</w:t>
      </w:r>
      <w:r w:rsidR="001C6983">
        <w:rPr>
          <w:rFonts w:ascii="Arial" w:hAnsi="Arial" w:cs="Arial"/>
          <w:sz w:val="24"/>
          <w:szCs w:val="24"/>
        </w:rPr>
        <w:t>)</w:t>
      </w:r>
      <w:r w:rsidRPr="00E37112">
        <w:rPr>
          <w:rFonts w:ascii="Arial" w:hAnsi="Arial" w:cs="Arial"/>
          <w:sz w:val="24"/>
          <w:szCs w:val="24"/>
        </w:rPr>
        <w:t>. </w:t>
      </w:r>
      <w:r w:rsidRPr="00E37112">
        <w:rPr>
          <w:rFonts w:ascii="Arial" w:hAnsi="Arial" w:cs="Arial"/>
          <w:i/>
          <w:iCs/>
          <w:sz w:val="24"/>
          <w:szCs w:val="24"/>
        </w:rPr>
        <w:t>Person-centred practice in nursing and health care: theory and practice</w:t>
      </w:r>
      <w:r w:rsidRPr="00E37112">
        <w:rPr>
          <w:rFonts w:ascii="Arial" w:hAnsi="Arial" w:cs="Arial"/>
          <w:sz w:val="24"/>
          <w:szCs w:val="24"/>
        </w:rPr>
        <w:t>. John Wiley &amp; Sons.</w:t>
      </w:r>
    </w:p>
    <w:p w14:paraId="33B96A47" w14:textId="3E1E3371"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lastRenderedPageBreak/>
        <w:t xml:space="preserve">McWilliams, L., Farrell, C., Keady, J., Swarbrick, C., Burgess, L., Grande, G., Bellhouse, S. and Yorke, J., </w:t>
      </w:r>
      <w:r w:rsidR="001C6983">
        <w:rPr>
          <w:rFonts w:ascii="Arial" w:hAnsi="Arial" w:cs="Arial"/>
          <w:sz w:val="24"/>
          <w:szCs w:val="24"/>
        </w:rPr>
        <w:t>(</w:t>
      </w:r>
      <w:r w:rsidRPr="00E37112">
        <w:rPr>
          <w:rFonts w:ascii="Arial" w:hAnsi="Arial" w:cs="Arial"/>
          <w:sz w:val="24"/>
          <w:szCs w:val="24"/>
        </w:rPr>
        <w:t>2018</w:t>
      </w:r>
      <w:r w:rsidR="001C6983">
        <w:rPr>
          <w:rFonts w:ascii="Arial" w:hAnsi="Arial" w:cs="Arial"/>
          <w:sz w:val="24"/>
          <w:szCs w:val="24"/>
        </w:rPr>
        <w:t>)</w:t>
      </w:r>
      <w:r w:rsidRPr="00E37112">
        <w:rPr>
          <w:rFonts w:ascii="Arial" w:hAnsi="Arial" w:cs="Arial"/>
          <w:sz w:val="24"/>
          <w:szCs w:val="24"/>
        </w:rPr>
        <w:t>. Cancer-related information needs and treatment decision-making experiences of people with dementia in England: a multiple perspective qualitative study. </w:t>
      </w:r>
      <w:r w:rsidRPr="00E37112">
        <w:rPr>
          <w:rFonts w:ascii="Arial" w:hAnsi="Arial" w:cs="Arial"/>
          <w:i/>
          <w:iCs/>
          <w:sz w:val="24"/>
          <w:szCs w:val="24"/>
        </w:rPr>
        <w:t>BMJ open</w:t>
      </w:r>
      <w:r w:rsidRPr="00E37112">
        <w:rPr>
          <w:rFonts w:ascii="Arial" w:hAnsi="Arial" w:cs="Arial"/>
          <w:sz w:val="24"/>
          <w:szCs w:val="24"/>
        </w:rPr>
        <w:t>, </w:t>
      </w:r>
      <w:r w:rsidRPr="00E37112">
        <w:rPr>
          <w:rFonts w:ascii="Arial" w:hAnsi="Arial" w:cs="Arial"/>
          <w:i/>
          <w:iCs/>
          <w:sz w:val="24"/>
          <w:szCs w:val="24"/>
        </w:rPr>
        <w:t>8</w:t>
      </w:r>
      <w:r w:rsidRPr="00E37112">
        <w:rPr>
          <w:rFonts w:ascii="Arial" w:hAnsi="Arial" w:cs="Arial"/>
          <w:sz w:val="24"/>
          <w:szCs w:val="24"/>
        </w:rPr>
        <w:t>(4), p.e020250.</w:t>
      </w:r>
    </w:p>
    <w:p w14:paraId="6B2EF31E" w14:textId="6DD04A4B" w:rsidR="00E37112" w:rsidRPr="00E37112" w:rsidRDefault="00E37112" w:rsidP="00E37112">
      <w:pPr>
        <w:spacing w:line="240" w:lineRule="auto"/>
        <w:jc w:val="both"/>
        <w:rPr>
          <w:rFonts w:ascii="Arial" w:hAnsi="Arial" w:cs="Arial"/>
          <w:sz w:val="24"/>
          <w:szCs w:val="24"/>
          <w:lang w:val="en-US"/>
        </w:rPr>
      </w:pPr>
      <w:r w:rsidRPr="00E37112">
        <w:rPr>
          <w:rFonts w:ascii="Arial" w:hAnsi="Arial" w:cs="Arial"/>
          <w:sz w:val="24"/>
          <w:szCs w:val="24"/>
        </w:rPr>
        <w:t xml:space="preserve">Mendelson, A., Kondo, K., Damberg, C., Low, A., Motúapuaka, M., Freeman, M., O'neil, M., Relevo, R. and Kansagara, D., </w:t>
      </w:r>
      <w:r w:rsidR="001C6983">
        <w:rPr>
          <w:rFonts w:ascii="Arial" w:hAnsi="Arial" w:cs="Arial"/>
          <w:sz w:val="24"/>
          <w:szCs w:val="24"/>
        </w:rPr>
        <w:t>(</w:t>
      </w:r>
      <w:r w:rsidRPr="00E37112">
        <w:rPr>
          <w:rFonts w:ascii="Arial" w:hAnsi="Arial" w:cs="Arial"/>
          <w:sz w:val="24"/>
          <w:szCs w:val="24"/>
        </w:rPr>
        <w:t>2017</w:t>
      </w:r>
      <w:r w:rsidR="001C6983">
        <w:rPr>
          <w:rFonts w:ascii="Arial" w:hAnsi="Arial" w:cs="Arial"/>
          <w:sz w:val="24"/>
          <w:szCs w:val="24"/>
        </w:rPr>
        <w:t>)</w:t>
      </w:r>
      <w:r w:rsidRPr="00E37112">
        <w:rPr>
          <w:rFonts w:ascii="Arial" w:hAnsi="Arial" w:cs="Arial"/>
          <w:sz w:val="24"/>
          <w:szCs w:val="24"/>
        </w:rPr>
        <w:t>. The effects of pay-for-performance programs on health, health care use, and processes of care: a systematic review. </w:t>
      </w:r>
      <w:r w:rsidRPr="00E37112">
        <w:rPr>
          <w:rFonts w:ascii="Arial" w:hAnsi="Arial" w:cs="Arial"/>
          <w:i/>
          <w:iCs/>
          <w:sz w:val="24"/>
          <w:szCs w:val="24"/>
        </w:rPr>
        <w:t>Annals of internal medicine</w:t>
      </w:r>
      <w:r w:rsidRPr="00E37112">
        <w:rPr>
          <w:rFonts w:ascii="Arial" w:hAnsi="Arial" w:cs="Arial"/>
          <w:sz w:val="24"/>
          <w:szCs w:val="24"/>
        </w:rPr>
        <w:t>, </w:t>
      </w:r>
      <w:r w:rsidRPr="00E37112">
        <w:rPr>
          <w:rFonts w:ascii="Arial" w:hAnsi="Arial" w:cs="Arial"/>
          <w:i/>
          <w:iCs/>
          <w:sz w:val="24"/>
          <w:szCs w:val="24"/>
        </w:rPr>
        <w:t>166</w:t>
      </w:r>
      <w:r w:rsidRPr="00E37112">
        <w:rPr>
          <w:rFonts w:ascii="Arial" w:hAnsi="Arial" w:cs="Arial"/>
          <w:sz w:val="24"/>
          <w:szCs w:val="24"/>
        </w:rPr>
        <w:t>(5), pp.341-353.</w:t>
      </w:r>
    </w:p>
    <w:p w14:paraId="0331B120" w14:textId="24DB8BEF"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Naldemirci, Ö., Wolf, A., Elam, M., Lydahl, D., Moore, L. and Britten, N., </w:t>
      </w:r>
      <w:r w:rsidR="001C6983">
        <w:rPr>
          <w:rFonts w:ascii="Arial" w:hAnsi="Arial" w:cs="Arial"/>
          <w:sz w:val="24"/>
          <w:szCs w:val="24"/>
        </w:rPr>
        <w:t>(</w:t>
      </w:r>
      <w:r w:rsidRPr="00E37112">
        <w:rPr>
          <w:rFonts w:ascii="Arial" w:hAnsi="Arial" w:cs="Arial"/>
          <w:sz w:val="24"/>
          <w:szCs w:val="24"/>
        </w:rPr>
        <w:t>2017</w:t>
      </w:r>
      <w:r w:rsidR="001C6983">
        <w:rPr>
          <w:rFonts w:ascii="Arial" w:hAnsi="Arial" w:cs="Arial"/>
          <w:sz w:val="24"/>
          <w:szCs w:val="24"/>
        </w:rPr>
        <w:t>)</w:t>
      </w:r>
      <w:r w:rsidRPr="00E37112">
        <w:rPr>
          <w:rFonts w:ascii="Arial" w:hAnsi="Arial" w:cs="Arial"/>
          <w:sz w:val="24"/>
          <w:szCs w:val="24"/>
        </w:rPr>
        <w:t>. Deliberate and emergent strategies for implementing person-centred care: a qualitative interview study with researchers, professionals and patients. </w:t>
      </w:r>
      <w:r w:rsidRPr="00E37112">
        <w:rPr>
          <w:rFonts w:ascii="Arial" w:hAnsi="Arial" w:cs="Arial"/>
          <w:i/>
          <w:iCs/>
          <w:sz w:val="24"/>
          <w:szCs w:val="24"/>
        </w:rPr>
        <w:t>BMC health services research</w:t>
      </w:r>
      <w:r w:rsidRPr="00E37112">
        <w:rPr>
          <w:rFonts w:ascii="Arial" w:hAnsi="Arial" w:cs="Arial"/>
          <w:sz w:val="24"/>
          <w:szCs w:val="24"/>
        </w:rPr>
        <w:t>, </w:t>
      </w:r>
      <w:r w:rsidRPr="00E37112">
        <w:rPr>
          <w:rFonts w:ascii="Arial" w:hAnsi="Arial" w:cs="Arial"/>
          <w:i/>
          <w:iCs/>
          <w:sz w:val="24"/>
          <w:szCs w:val="24"/>
        </w:rPr>
        <w:t>17</w:t>
      </w:r>
      <w:r w:rsidRPr="00E37112">
        <w:rPr>
          <w:rFonts w:ascii="Arial" w:hAnsi="Arial" w:cs="Arial"/>
          <w:sz w:val="24"/>
          <w:szCs w:val="24"/>
        </w:rPr>
        <w:t>(1), pp.1-10.</w:t>
      </w:r>
    </w:p>
    <w:p w14:paraId="2464C968" w14:textId="7C12F6D7"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Riachi, R., </w:t>
      </w:r>
      <w:r w:rsidR="001C6983">
        <w:rPr>
          <w:rFonts w:ascii="Arial" w:hAnsi="Arial" w:cs="Arial"/>
          <w:sz w:val="24"/>
          <w:szCs w:val="24"/>
        </w:rPr>
        <w:t>(</w:t>
      </w:r>
      <w:r w:rsidRPr="00E37112">
        <w:rPr>
          <w:rFonts w:ascii="Arial" w:hAnsi="Arial" w:cs="Arial"/>
          <w:sz w:val="24"/>
          <w:szCs w:val="24"/>
        </w:rPr>
        <w:t>2018</w:t>
      </w:r>
      <w:r w:rsidR="001C6983">
        <w:rPr>
          <w:rFonts w:ascii="Arial" w:hAnsi="Arial" w:cs="Arial"/>
          <w:sz w:val="24"/>
          <w:szCs w:val="24"/>
        </w:rPr>
        <w:t>)</w:t>
      </w:r>
      <w:r w:rsidRPr="00E37112">
        <w:rPr>
          <w:rFonts w:ascii="Arial" w:hAnsi="Arial" w:cs="Arial"/>
          <w:sz w:val="24"/>
          <w:szCs w:val="24"/>
        </w:rPr>
        <w:t>. Person-centred communication in dementia care: a qualitative study of the use of the SPECAL® method by care workers in the UK. </w:t>
      </w:r>
      <w:r w:rsidRPr="00E37112">
        <w:rPr>
          <w:rFonts w:ascii="Arial" w:hAnsi="Arial" w:cs="Arial"/>
          <w:i/>
          <w:iCs/>
          <w:sz w:val="24"/>
          <w:szCs w:val="24"/>
        </w:rPr>
        <w:t>Journal of Social Work Practice</w:t>
      </w:r>
      <w:r w:rsidRPr="00E37112">
        <w:rPr>
          <w:rFonts w:ascii="Arial" w:hAnsi="Arial" w:cs="Arial"/>
          <w:sz w:val="24"/>
          <w:szCs w:val="24"/>
        </w:rPr>
        <w:t>, </w:t>
      </w:r>
      <w:r w:rsidRPr="00E37112">
        <w:rPr>
          <w:rFonts w:ascii="Arial" w:hAnsi="Arial" w:cs="Arial"/>
          <w:i/>
          <w:iCs/>
          <w:sz w:val="24"/>
          <w:szCs w:val="24"/>
        </w:rPr>
        <w:t>32</w:t>
      </w:r>
      <w:r w:rsidRPr="00E37112">
        <w:rPr>
          <w:rFonts w:ascii="Arial" w:hAnsi="Arial" w:cs="Arial"/>
          <w:sz w:val="24"/>
          <w:szCs w:val="24"/>
        </w:rPr>
        <w:t>(3), pp.303-321.</w:t>
      </w:r>
    </w:p>
    <w:p w14:paraId="498F57C6" w14:textId="53EE99F2"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Roe, L. and Galvin, M., </w:t>
      </w:r>
      <w:r w:rsidR="001C6983">
        <w:rPr>
          <w:rFonts w:ascii="Arial" w:hAnsi="Arial" w:cs="Arial"/>
          <w:sz w:val="24"/>
          <w:szCs w:val="24"/>
        </w:rPr>
        <w:t>(</w:t>
      </w:r>
      <w:r w:rsidRPr="00E37112">
        <w:rPr>
          <w:rFonts w:ascii="Arial" w:hAnsi="Arial" w:cs="Arial"/>
          <w:sz w:val="24"/>
          <w:szCs w:val="24"/>
        </w:rPr>
        <w:t>2021</w:t>
      </w:r>
      <w:r w:rsidR="001C6983">
        <w:rPr>
          <w:rFonts w:ascii="Arial" w:hAnsi="Arial" w:cs="Arial"/>
          <w:sz w:val="24"/>
          <w:szCs w:val="24"/>
        </w:rPr>
        <w:t>)</w:t>
      </w:r>
      <w:r w:rsidRPr="00E37112">
        <w:rPr>
          <w:rFonts w:ascii="Arial" w:hAnsi="Arial" w:cs="Arial"/>
          <w:sz w:val="24"/>
          <w:szCs w:val="24"/>
        </w:rPr>
        <w:t>. Providing inclusive, person</w:t>
      </w:r>
      <w:r w:rsidRPr="00E37112">
        <w:rPr>
          <w:rFonts w:ascii="Cambria Math" w:hAnsi="Cambria Math" w:cs="Cambria Math"/>
          <w:sz w:val="24"/>
          <w:szCs w:val="24"/>
        </w:rPr>
        <w:t>‐</w:t>
      </w:r>
      <w:r w:rsidRPr="00E37112">
        <w:rPr>
          <w:rFonts w:ascii="Arial" w:hAnsi="Arial" w:cs="Arial"/>
          <w:sz w:val="24"/>
          <w:szCs w:val="24"/>
        </w:rPr>
        <w:t>centred care for LGBT+ older adults: A discussion on health and social care design and delivery. </w:t>
      </w:r>
      <w:r w:rsidRPr="00E37112">
        <w:rPr>
          <w:rFonts w:ascii="Arial" w:hAnsi="Arial" w:cs="Arial"/>
          <w:i/>
          <w:iCs/>
          <w:sz w:val="24"/>
          <w:szCs w:val="24"/>
        </w:rPr>
        <w:t>Journal of Nursing Management</w:t>
      </w:r>
      <w:r w:rsidRPr="00E37112">
        <w:rPr>
          <w:rFonts w:ascii="Arial" w:hAnsi="Arial" w:cs="Arial"/>
          <w:sz w:val="24"/>
          <w:szCs w:val="24"/>
        </w:rPr>
        <w:t>, </w:t>
      </w:r>
      <w:r w:rsidRPr="00E37112">
        <w:rPr>
          <w:rFonts w:ascii="Arial" w:hAnsi="Arial" w:cs="Arial"/>
          <w:i/>
          <w:iCs/>
          <w:sz w:val="24"/>
          <w:szCs w:val="24"/>
        </w:rPr>
        <w:t>29</w:t>
      </w:r>
      <w:r w:rsidRPr="00E37112">
        <w:rPr>
          <w:rFonts w:ascii="Arial" w:hAnsi="Arial" w:cs="Arial"/>
          <w:sz w:val="24"/>
          <w:szCs w:val="24"/>
        </w:rPr>
        <w:t>(1), pp.104-108.</w:t>
      </w:r>
    </w:p>
    <w:p w14:paraId="1B27323B" w14:textId="2F68CF9A"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Rosengren, K., Brannefors, P. and Carlstrom, E., </w:t>
      </w:r>
      <w:r w:rsidR="001C6983">
        <w:rPr>
          <w:rFonts w:ascii="Arial" w:hAnsi="Arial" w:cs="Arial"/>
          <w:sz w:val="24"/>
          <w:szCs w:val="24"/>
        </w:rPr>
        <w:t>(</w:t>
      </w:r>
      <w:r w:rsidRPr="00E37112">
        <w:rPr>
          <w:rFonts w:ascii="Arial" w:hAnsi="Arial" w:cs="Arial"/>
          <w:sz w:val="24"/>
          <w:szCs w:val="24"/>
        </w:rPr>
        <w:t>2021</w:t>
      </w:r>
      <w:r w:rsidR="001C6983">
        <w:rPr>
          <w:rFonts w:ascii="Arial" w:hAnsi="Arial" w:cs="Arial"/>
          <w:sz w:val="24"/>
          <w:szCs w:val="24"/>
        </w:rPr>
        <w:t>)</w:t>
      </w:r>
      <w:r w:rsidRPr="00E37112">
        <w:rPr>
          <w:rFonts w:ascii="Arial" w:hAnsi="Arial" w:cs="Arial"/>
          <w:sz w:val="24"/>
          <w:szCs w:val="24"/>
        </w:rPr>
        <w:t>. Adoption of the concept of person-centred care into discourse in Europe: a systematic literature review. </w:t>
      </w:r>
      <w:r w:rsidRPr="00E37112">
        <w:rPr>
          <w:rFonts w:ascii="Arial" w:hAnsi="Arial" w:cs="Arial"/>
          <w:i/>
          <w:iCs/>
          <w:sz w:val="24"/>
          <w:szCs w:val="24"/>
        </w:rPr>
        <w:t>Journal of Health Organization and Management</w:t>
      </w:r>
      <w:r w:rsidRPr="00E37112">
        <w:rPr>
          <w:rFonts w:ascii="Arial" w:hAnsi="Arial" w:cs="Arial"/>
          <w:sz w:val="24"/>
          <w:szCs w:val="24"/>
        </w:rPr>
        <w:t>.</w:t>
      </w:r>
    </w:p>
    <w:p w14:paraId="49BEB91B" w14:textId="600B67C8"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Santana, M.J., Manalili, K., Jolley, R.J., Zelinsky, S., Quan, H. and Lu, M., </w:t>
      </w:r>
      <w:r w:rsidR="001C6983">
        <w:rPr>
          <w:rFonts w:ascii="Arial" w:hAnsi="Arial" w:cs="Arial"/>
          <w:sz w:val="24"/>
          <w:szCs w:val="24"/>
        </w:rPr>
        <w:t>(</w:t>
      </w:r>
      <w:r w:rsidRPr="00E37112">
        <w:rPr>
          <w:rFonts w:ascii="Arial" w:hAnsi="Arial" w:cs="Arial"/>
          <w:sz w:val="24"/>
          <w:szCs w:val="24"/>
        </w:rPr>
        <w:t>2018</w:t>
      </w:r>
      <w:r w:rsidR="001C6983">
        <w:rPr>
          <w:rFonts w:ascii="Arial" w:hAnsi="Arial" w:cs="Arial"/>
          <w:sz w:val="24"/>
          <w:szCs w:val="24"/>
        </w:rPr>
        <w:t>)</w:t>
      </w:r>
      <w:r w:rsidRPr="00E37112">
        <w:rPr>
          <w:rFonts w:ascii="Arial" w:hAnsi="Arial" w:cs="Arial"/>
          <w:sz w:val="24"/>
          <w:szCs w:val="24"/>
        </w:rPr>
        <w:t>. How to practice person</w:t>
      </w:r>
      <w:r w:rsidRPr="00E37112">
        <w:rPr>
          <w:rFonts w:ascii="Cambria Math" w:hAnsi="Cambria Math" w:cs="Cambria Math"/>
          <w:sz w:val="24"/>
          <w:szCs w:val="24"/>
        </w:rPr>
        <w:t>‐</w:t>
      </w:r>
      <w:r w:rsidRPr="00E37112">
        <w:rPr>
          <w:rFonts w:ascii="Arial" w:hAnsi="Arial" w:cs="Arial"/>
          <w:sz w:val="24"/>
          <w:szCs w:val="24"/>
        </w:rPr>
        <w:t>centred care: A conceptual framework. </w:t>
      </w:r>
      <w:r w:rsidRPr="00E37112">
        <w:rPr>
          <w:rFonts w:ascii="Arial" w:hAnsi="Arial" w:cs="Arial"/>
          <w:i/>
          <w:iCs/>
          <w:sz w:val="24"/>
          <w:szCs w:val="24"/>
        </w:rPr>
        <w:t>Health Expectations</w:t>
      </w:r>
      <w:r w:rsidRPr="00E37112">
        <w:rPr>
          <w:rFonts w:ascii="Arial" w:hAnsi="Arial" w:cs="Arial"/>
          <w:sz w:val="24"/>
          <w:szCs w:val="24"/>
        </w:rPr>
        <w:t>, </w:t>
      </w:r>
      <w:r w:rsidRPr="00E37112">
        <w:rPr>
          <w:rFonts w:ascii="Arial" w:hAnsi="Arial" w:cs="Arial"/>
          <w:i/>
          <w:iCs/>
          <w:sz w:val="24"/>
          <w:szCs w:val="24"/>
        </w:rPr>
        <w:t>21</w:t>
      </w:r>
      <w:r w:rsidRPr="00E37112">
        <w:rPr>
          <w:rFonts w:ascii="Arial" w:hAnsi="Arial" w:cs="Arial"/>
          <w:sz w:val="24"/>
          <w:szCs w:val="24"/>
        </w:rPr>
        <w:t>(2), pp.429-440.</w:t>
      </w:r>
    </w:p>
    <w:p w14:paraId="34D01913" w14:textId="3DE733A4"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Slater, P., McCance, T. and McCormack, B., </w:t>
      </w:r>
      <w:r w:rsidR="001C6983">
        <w:rPr>
          <w:rFonts w:ascii="Arial" w:hAnsi="Arial" w:cs="Arial"/>
          <w:sz w:val="24"/>
          <w:szCs w:val="24"/>
        </w:rPr>
        <w:t>(</w:t>
      </w:r>
      <w:r w:rsidRPr="00E37112">
        <w:rPr>
          <w:rFonts w:ascii="Arial" w:hAnsi="Arial" w:cs="Arial"/>
          <w:sz w:val="24"/>
          <w:szCs w:val="24"/>
        </w:rPr>
        <w:t>2017</w:t>
      </w:r>
      <w:r w:rsidR="001C6983">
        <w:rPr>
          <w:rFonts w:ascii="Arial" w:hAnsi="Arial" w:cs="Arial"/>
          <w:sz w:val="24"/>
          <w:szCs w:val="24"/>
        </w:rPr>
        <w:t>)</w:t>
      </w:r>
      <w:r w:rsidRPr="00E37112">
        <w:rPr>
          <w:rFonts w:ascii="Arial" w:hAnsi="Arial" w:cs="Arial"/>
          <w:sz w:val="24"/>
          <w:szCs w:val="24"/>
        </w:rPr>
        <w:t>. The development and testing of the Person-centred Practice Inventory–Staff (PCPI-S). International Journal for Quality in Health Care, 29(4), pp.541-547.</w:t>
      </w:r>
    </w:p>
    <w:p w14:paraId="2E5EC6B2" w14:textId="372D6A84"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Teeling, S.P., Dewing, J. and Baldie, D., </w:t>
      </w:r>
      <w:r w:rsidR="001C6983">
        <w:rPr>
          <w:rFonts w:ascii="Arial" w:hAnsi="Arial" w:cs="Arial"/>
          <w:sz w:val="24"/>
          <w:szCs w:val="24"/>
        </w:rPr>
        <w:t>(</w:t>
      </w:r>
      <w:r w:rsidRPr="00E37112">
        <w:rPr>
          <w:rFonts w:ascii="Arial" w:hAnsi="Arial" w:cs="Arial"/>
          <w:sz w:val="24"/>
          <w:szCs w:val="24"/>
        </w:rPr>
        <w:t>2020</w:t>
      </w:r>
      <w:r w:rsidR="001C6983">
        <w:rPr>
          <w:rFonts w:ascii="Arial" w:hAnsi="Arial" w:cs="Arial"/>
          <w:sz w:val="24"/>
          <w:szCs w:val="24"/>
        </w:rPr>
        <w:t>)</w:t>
      </w:r>
      <w:r w:rsidRPr="00E37112">
        <w:rPr>
          <w:rFonts w:ascii="Arial" w:hAnsi="Arial" w:cs="Arial"/>
          <w:sz w:val="24"/>
          <w:szCs w:val="24"/>
        </w:rPr>
        <w:t>. A discussion of the synergy and divergence between Lean Six Sigma and person-centred improvement sciences. International Journal of Research in Nursing.</w:t>
      </w:r>
    </w:p>
    <w:p w14:paraId="04F95783" w14:textId="2C345C6A"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Walker, B., </w:t>
      </w:r>
      <w:r w:rsidR="001C6983">
        <w:rPr>
          <w:rFonts w:ascii="Arial" w:hAnsi="Arial" w:cs="Arial"/>
          <w:sz w:val="24"/>
          <w:szCs w:val="24"/>
        </w:rPr>
        <w:t>(</w:t>
      </w:r>
      <w:r w:rsidRPr="00E37112">
        <w:rPr>
          <w:rFonts w:ascii="Arial" w:hAnsi="Arial" w:cs="Arial"/>
          <w:sz w:val="24"/>
          <w:szCs w:val="24"/>
        </w:rPr>
        <w:t>2020</w:t>
      </w:r>
      <w:r w:rsidR="001C6983">
        <w:rPr>
          <w:rFonts w:ascii="Arial" w:hAnsi="Arial" w:cs="Arial"/>
          <w:sz w:val="24"/>
          <w:szCs w:val="24"/>
        </w:rPr>
        <w:t>)</w:t>
      </w:r>
      <w:r w:rsidRPr="00E37112">
        <w:rPr>
          <w:rFonts w:ascii="Arial" w:hAnsi="Arial" w:cs="Arial"/>
          <w:sz w:val="24"/>
          <w:szCs w:val="24"/>
        </w:rPr>
        <w:t>. Know how to work in a person-centred way. In </w:t>
      </w:r>
      <w:r w:rsidRPr="00E37112">
        <w:rPr>
          <w:rFonts w:ascii="Arial" w:hAnsi="Arial" w:cs="Arial"/>
          <w:i/>
          <w:iCs/>
          <w:sz w:val="24"/>
          <w:szCs w:val="24"/>
        </w:rPr>
        <w:t>A Handbook for Support Workers in Health and SocialCare</w:t>
      </w:r>
      <w:r w:rsidRPr="00E37112">
        <w:rPr>
          <w:rFonts w:ascii="Arial" w:hAnsi="Arial" w:cs="Arial"/>
          <w:sz w:val="24"/>
          <w:szCs w:val="24"/>
        </w:rPr>
        <w:t> (pp. 68-80). Routledge.</w:t>
      </w:r>
    </w:p>
    <w:p w14:paraId="6C9EDC95" w14:textId="76DACD43" w:rsidR="00E37112" w:rsidRPr="00E37112" w:rsidRDefault="00E37112" w:rsidP="00E37112">
      <w:pPr>
        <w:spacing w:line="240" w:lineRule="auto"/>
        <w:jc w:val="both"/>
        <w:rPr>
          <w:rFonts w:ascii="Arial" w:hAnsi="Arial" w:cs="Arial"/>
          <w:sz w:val="24"/>
          <w:szCs w:val="24"/>
          <w:lang w:val="en-US"/>
        </w:rPr>
      </w:pPr>
      <w:r w:rsidRPr="00E37112">
        <w:rPr>
          <w:rFonts w:ascii="Arial" w:hAnsi="Arial" w:cs="Arial"/>
          <w:sz w:val="24"/>
          <w:szCs w:val="24"/>
        </w:rPr>
        <w:t xml:space="preserve">Williams, B., Perillo, S. and Brown, T., </w:t>
      </w:r>
      <w:r w:rsidR="001C6983">
        <w:rPr>
          <w:rFonts w:ascii="Arial" w:hAnsi="Arial" w:cs="Arial"/>
          <w:sz w:val="24"/>
          <w:szCs w:val="24"/>
        </w:rPr>
        <w:t>(</w:t>
      </w:r>
      <w:r w:rsidRPr="00E37112">
        <w:rPr>
          <w:rFonts w:ascii="Arial" w:hAnsi="Arial" w:cs="Arial"/>
          <w:sz w:val="24"/>
          <w:szCs w:val="24"/>
        </w:rPr>
        <w:t>2015</w:t>
      </w:r>
      <w:r w:rsidR="001C6983">
        <w:rPr>
          <w:rFonts w:ascii="Arial" w:hAnsi="Arial" w:cs="Arial"/>
          <w:sz w:val="24"/>
          <w:szCs w:val="24"/>
        </w:rPr>
        <w:t>)</w:t>
      </w:r>
      <w:r w:rsidRPr="00E37112">
        <w:rPr>
          <w:rFonts w:ascii="Arial" w:hAnsi="Arial" w:cs="Arial"/>
          <w:sz w:val="24"/>
          <w:szCs w:val="24"/>
        </w:rPr>
        <w:t>. What are the factors of organisational culture in health care settings that act as barriers to the implementation of evidence-based practice? A scoping review. </w:t>
      </w:r>
      <w:r w:rsidRPr="00E37112">
        <w:rPr>
          <w:rFonts w:ascii="Arial" w:hAnsi="Arial" w:cs="Arial"/>
          <w:i/>
          <w:iCs/>
          <w:sz w:val="24"/>
          <w:szCs w:val="24"/>
        </w:rPr>
        <w:t>Nurse education today</w:t>
      </w:r>
      <w:r w:rsidRPr="00E37112">
        <w:rPr>
          <w:rFonts w:ascii="Arial" w:hAnsi="Arial" w:cs="Arial"/>
          <w:sz w:val="24"/>
          <w:szCs w:val="24"/>
        </w:rPr>
        <w:t>, </w:t>
      </w:r>
      <w:r w:rsidRPr="00E37112">
        <w:rPr>
          <w:rFonts w:ascii="Arial" w:hAnsi="Arial" w:cs="Arial"/>
          <w:i/>
          <w:iCs/>
          <w:sz w:val="24"/>
          <w:szCs w:val="24"/>
        </w:rPr>
        <w:t>35</w:t>
      </w:r>
      <w:r w:rsidRPr="00E37112">
        <w:rPr>
          <w:rFonts w:ascii="Arial" w:hAnsi="Arial" w:cs="Arial"/>
          <w:sz w:val="24"/>
          <w:szCs w:val="24"/>
        </w:rPr>
        <w:t>(2), pp.e34-e41.</w:t>
      </w:r>
    </w:p>
    <w:p w14:paraId="25812F79" w14:textId="00F8986D" w:rsidR="00E37112" w:rsidRPr="00E37112" w:rsidRDefault="00E37112" w:rsidP="00E37112">
      <w:pPr>
        <w:spacing w:line="240" w:lineRule="auto"/>
        <w:jc w:val="both"/>
        <w:rPr>
          <w:rFonts w:ascii="Arial" w:hAnsi="Arial" w:cs="Arial"/>
          <w:sz w:val="24"/>
          <w:szCs w:val="24"/>
        </w:rPr>
      </w:pPr>
      <w:r w:rsidRPr="00E37112">
        <w:rPr>
          <w:rFonts w:ascii="Arial" w:hAnsi="Arial" w:cs="Arial"/>
          <w:sz w:val="24"/>
          <w:szCs w:val="24"/>
        </w:rPr>
        <w:t xml:space="preserve">Witham, G., Haigh, C., Mitchell, D. and Beddow, A., </w:t>
      </w:r>
      <w:r w:rsidR="001C6983">
        <w:rPr>
          <w:rFonts w:ascii="Arial" w:hAnsi="Arial" w:cs="Arial"/>
          <w:sz w:val="24"/>
          <w:szCs w:val="24"/>
        </w:rPr>
        <w:t>(</w:t>
      </w:r>
      <w:r w:rsidRPr="00E37112">
        <w:rPr>
          <w:rFonts w:ascii="Arial" w:hAnsi="Arial" w:cs="Arial"/>
          <w:sz w:val="24"/>
          <w:szCs w:val="24"/>
        </w:rPr>
        <w:t>2018</w:t>
      </w:r>
      <w:r w:rsidR="001C6983">
        <w:rPr>
          <w:rFonts w:ascii="Arial" w:hAnsi="Arial" w:cs="Arial"/>
          <w:sz w:val="24"/>
          <w:szCs w:val="24"/>
        </w:rPr>
        <w:t>)</w:t>
      </w:r>
      <w:r w:rsidRPr="00E37112">
        <w:rPr>
          <w:rFonts w:ascii="Arial" w:hAnsi="Arial" w:cs="Arial"/>
          <w:sz w:val="24"/>
          <w:szCs w:val="24"/>
        </w:rPr>
        <w:t>. Carer experience supporting someone with dementia and cancer: a narrative approach. </w:t>
      </w:r>
      <w:r w:rsidRPr="00E37112">
        <w:rPr>
          <w:rFonts w:ascii="Arial" w:hAnsi="Arial" w:cs="Arial"/>
          <w:i/>
          <w:iCs/>
          <w:sz w:val="24"/>
          <w:szCs w:val="24"/>
        </w:rPr>
        <w:t>Qualitative Health Research</w:t>
      </w:r>
      <w:r w:rsidRPr="00E37112">
        <w:rPr>
          <w:rFonts w:ascii="Arial" w:hAnsi="Arial" w:cs="Arial"/>
          <w:sz w:val="24"/>
          <w:szCs w:val="24"/>
        </w:rPr>
        <w:t>, </w:t>
      </w:r>
      <w:r w:rsidRPr="00E37112">
        <w:rPr>
          <w:rFonts w:ascii="Arial" w:hAnsi="Arial" w:cs="Arial"/>
          <w:i/>
          <w:iCs/>
          <w:sz w:val="24"/>
          <w:szCs w:val="24"/>
        </w:rPr>
        <w:t>28</w:t>
      </w:r>
      <w:r w:rsidRPr="00E37112">
        <w:rPr>
          <w:rFonts w:ascii="Arial" w:hAnsi="Arial" w:cs="Arial"/>
          <w:sz w:val="24"/>
          <w:szCs w:val="24"/>
        </w:rPr>
        <w:t>(5), pp.813-823.</w:t>
      </w:r>
    </w:p>
    <w:p w14:paraId="776EB25A" w14:textId="2C55F2FE" w:rsidR="00BF1592" w:rsidRPr="00A66C5D" w:rsidRDefault="00BF1592" w:rsidP="00A66C5D">
      <w:pPr>
        <w:spacing w:line="240" w:lineRule="auto"/>
        <w:jc w:val="both"/>
        <w:rPr>
          <w:rFonts w:ascii="Arial" w:hAnsi="Arial" w:cs="Arial"/>
          <w:sz w:val="24"/>
          <w:szCs w:val="24"/>
          <w:lang w:val="en-US"/>
        </w:rPr>
      </w:pPr>
      <w:r w:rsidRPr="00A66C5D">
        <w:rPr>
          <w:rFonts w:ascii="Arial" w:hAnsi="Arial" w:cs="Arial"/>
          <w:sz w:val="24"/>
          <w:szCs w:val="24"/>
          <w:lang w:val="en-US"/>
        </w:rPr>
        <w:br w:type="page"/>
      </w:r>
    </w:p>
    <w:p w14:paraId="6A98F446" w14:textId="77777777" w:rsidR="00DD375C" w:rsidRPr="00A66C5D" w:rsidRDefault="00DD375C" w:rsidP="00A66C5D">
      <w:pPr>
        <w:spacing w:line="240" w:lineRule="auto"/>
        <w:jc w:val="both"/>
        <w:rPr>
          <w:rFonts w:ascii="Arial" w:hAnsi="Arial" w:cs="Arial"/>
          <w:sz w:val="24"/>
          <w:szCs w:val="24"/>
          <w:lang w:val="en-US"/>
        </w:rPr>
      </w:pPr>
    </w:p>
    <w:sectPr w:rsidR="00DD375C" w:rsidRPr="00A66C5D" w:rsidSect="003649D0">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D5304" w14:textId="77777777" w:rsidR="00462A1D" w:rsidRDefault="00462A1D" w:rsidP="003649D0">
      <w:pPr>
        <w:spacing w:after="0" w:line="240" w:lineRule="auto"/>
      </w:pPr>
      <w:r>
        <w:separator/>
      </w:r>
    </w:p>
  </w:endnote>
  <w:endnote w:type="continuationSeparator" w:id="0">
    <w:p w14:paraId="48BC795D" w14:textId="77777777" w:rsidR="00462A1D" w:rsidRDefault="00462A1D" w:rsidP="00364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260056"/>
      <w:docPartObj>
        <w:docPartGallery w:val="Page Numbers (Bottom of Page)"/>
        <w:docPartUnique/>
      </w:docPartObj>
    </w:sdtPr>
    <w:sdtEndPr>
      <w:rPr>
        <w:noProof/>
      </w:rPr>
    </w:sdtEndPr>
    <w:sdtContent>
      <w:p w14:paraId="76A4B177" w14:textId="53E56559" w:rsidR="003649D0" w:rsidRDefault="003649D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BC3F816" w14:textId="77777777" w:rsidR="003649D0" w:rsidRDefault="003649D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3A486" w14:textId="77777777" w:rsidR="00462A1D" w:rsidRDefault="00462A1D" w:rsidP="003649D0">
      <w:pPr>
        <w:spacing w:after="0" w:line="240" w:lineRule="auto"/>
      </w:pPr>
      <w:r>
        <w:separator/>
      </w:r>
    </w:p>
  </w:footnote>
  <w:footnote w:type="continuationSeparator" w:id="0">
    <w:p w14:paraId="3C502265" w14:textId="77777777" w:rsidR="00462A1D" w:rsidRDefault="00462A1D" w:rsidP="003649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A1BCD"/>
    <w:multiLevelType w:val="hybridMultilevel"/>
    <w:tmpl w:val="8E1AFF1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C9"/>
    <w:rsid w:val="000A17BA"/>
    <w:rsid w:val="001C6983"/>
    <w:rsid w:val="0020576B"/>
    <w:rsid w:val="0022446C"/>
    <w:rsid w:val="00227DC9"/>
    <w:rsid w:val="002734E7"/>
    <w:rsid w:val="002C5A9D"/>
    <w:rsid w:val="0035287B"/>
    <w:rsid w:val="0036246D"/>
    <w:rsid w:val="003649D0"/>
    <w:rsid w:val="00370E55"/>
    <w:rsid w:val="00372AFD"/>
    <w:rsid w:val="00462A1D"/>
    <w:rsid w:val="00480245"/>
    <w:rsid w:val="004B4D49"/>
    <w:rsid w:val="004D7C49"/>
    <w:rsid w:val="005048E3"/>
    <w:rsid w:val="0052314A"/>
    <w:rsid w:val="00524C2C"/>
    <w:rsid w:val="00527A3F"/>
    <w:rsid w:val="005860BD"/>
    <w:rsid w:val="005A504E"/>
    <w:rsid w:val="005C2B44"/>
    <w:rsid w:val="00606770"/>
    <w:rsid w:val="006655E0"/>
    <w:rsid w:val="006C3FCF"/>
    <w:rsid w:val="006C7F50"/>
    <w:rsid w:val="007A0E88"/>
    <w:rsid w:val="00825D53"/>
    <w:rsid w:val="00844A08"/>
    <w:rsid w:val="008F0ECC"/>
    <w:rsid w:val="00930C36"/>
    <w:rsid w:val="009C4E9C"/>
    <w:rsid w:val="00A60C2F"/>
    <w:rsid w:val="00A66C5D"/>
    <w:rsid w:val="00AC7987"/>
    <w:rsid w:val="00B05C45"/>
    <w:rsid w:val="00BF1592"/>
    <w:rsid w:val="00C22476"/>
    <w:rsid w:val="00C51E8A"/>
    <w:rsid w:val="00D00484"/>
    <w:rsid w:val="00D93C52"/>
    <w:rsid w:val="00DD375C"/>
    <w:rsid w:val="00DF69E6"/>
    <w:rsid w:val="00E2022C"/>
    <w:rsid w:val="00E21099"/>
    <w:rsid w:val="00E37112"/>
    <w:rsid w:val="00F0507E"/>
    <w:rsid w:val="00FC59E6"/>
    <w:rsid w:val="00FE5E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217D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66C5D"/>
    <w:pPr>
      <w:keepNext/>
      <w:keepLines/>
      <w:spacing w:before="240" w:after="0" w:line="240" w:lineRule="auto"/>
      <w:outlineLvl w:val="0"/>
    </w:pPr>
    <w:rPr>
      <w:rFonts w:ascii="Arial" w:eastAsiaTheme="majorEastAsia" w:hAnsi="Arial" w:cstheme="majorBidi"/>
      <w:b/>
      <w:sz w:val="28"/>
      <w:szCs w:val="32"/>
    </w:rPr>
  </w:style>
  <w:style w:type="paragraph" w:styleId="Titlu2">
    <w:name w:val="heading 2"/>
    <w:basedOn w:val="Normal"/>
    <w:next w:val="Normal"/>
    <w:link w:val="Titlu2Caracter"/>
    <w:uiPriority w:val="9"/>
    <w:unhideWhenUsed/>
    <w:qFormat/>
    <w:rsid w:val="00A66C5D"/>
    <w:pPr>
      <w:keepNext/>
      <w:keepLines/>
      <w:spacing w:before="40" w:after="0" w:line="240" w:lineRule="auto"/>
      <w:outlineLvl w:val="1"/>
    </w:pPr>
    <w:rPr>
      <w:rFonts w:ascii="Arial" w:eastAsiaTheme="majorEastAsia" w:hAnsi="Arial"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22446C"/>
    <w:rPr>
      <w:color w:val="0563C1" w:themeColor="hyperlink"/>
      <w:u w:val="single"/>
    </w:rPr>
  </w:style>
  <w:style w:type="character" w:styleId="MeniuneNerezolvat">
    <w:name w:val="Unresolved Mention"/>
    <w:basedOn w:val="Fontdeparagrafimplicit"/>
    <w:uiPriority w:val="99"/>
    <w:semiHidden/>
    <w:unhideWhenUsed/>
    <w:rsid w:val="0022446C"/>
    <w:rPr>
      <w:color w:val="605E5C"/>
      <w:shd w:val="clear" w:color="auto" w:fill="E1DFDD"/>
    </w:rPr>
  </w:style>
  <w:style w:type="character" w:customStyle="1" w:styleId="Titlu1Caracter">
    <w:name w:val="Titlu 1 Caracter"/>
    <w:basedOn w:val="Fontdeparagrafimplicit"/>
    <w:link w:val="Titlu1"/>
    <w:uiPriority w:val="9"/>
    <w:rsid w:val="00A66C5D"/>
    <w:rPr>
      <w:rFonts w:ascii="Arial" w:eastAsiaTheme="majorEastAsia" w:hAnsi="Arial" w:cstheme="majorBidi"/>
      <w:b/>
      <w:sz w:val="28"/>
      <w:szCs w:val="32"/>
    </w:rPr>
  </w:style>
  <w:style w:type="character" w:customStyle="1" w:styleId="Titlu2Caracter">
    <w:name w:val="Titlu 2 Caracter"/>
    <w:basedOn w:val="Fontdeparagrafimplicit"/>
    <w:link w:val="Titlu2"/>
    <w:uiPriority w:val="9"/>
    <w:rsid w:val="00A66C5D"/>
    <w:rPr>
      <w:rFonts w:ascii="Arial" w:eastAsiaTheme="majorEastAsia" w:hAnsi="Arial" w:cstheme="majorBidi"/>
      <w:b/>
      <w:sz w:val="26"/>
      <w:szCs w:val="26"/>
    </w:rPr>
  </w:style>
  <w:style w:type="paragraph" w:styleId="Titlucuprins">
    <w:name w:val="TOC Heading"/>
    <w:basedOn w:val="Titlu1"/>
    <w:next w:val="Normal"/>
    <w:uiPriority w:val="39"/>
    <w:unhideWhenUsed/>
    <w:qFormat/>
    <w:rsid w:val="00E37112"/>
    <w:pPr>
      <w:spacing w:line="259" w:lineRule="auto"/>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E37112"/>
    <w:pPr>
      <w:spacing w:after="100"/>
    </w:pPr>
  </w:style>
  <w:style w:type="paragraph" w:styleId="Cuprins2">
    <w:name w:val="toc 2"/>
    <w:basedOn w:val="Normal"/>
    <w:next w:val="Normal"/>
    <w:autoRedefine/>
    <w:uiPriority w:val="39"/>
    <w:unhideWhenUsed/>
    <w:rsid w:val="00E37112"/>
    <w:pPr>
      <w:spacing w:after="100"/>
      <w:ind w:left="220"/>
    </w:pPr>
  </w:style>
  <w:style w:type="paragraph" w:styleId="Antet">
    <w:name w:val="header"/>
    <w:basedOn w:val="Normal"/>
    <w:link w:val="AntetCaracter"/>
    <w:uiPriority w:val="99"/>
    <w:unhideWhenUsed/>
    <w:rsid w:val="003649D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649D0"/>
  </w:style>
  <w:style w:type="paragraph" w:styleId="Subsol">
    <w:name w:val="footer"/>
    <w:basedOn w:val="Normal"/>
    <w:link w:val="SubsolCaracter"/>
    <w:uiPriority w:val="99"/>
    <w:unhideWhenUsed/>
    <w:rsid w:val="003649D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649D0"/>
  </w:style>
  <w:style w:type="paragraph" w:styleId="Corptext">
    <w:name w:val="Body Text"/>
    <w:basedOn w:val="Normal"/>
    <w:link w:val="CorptextCaracter"/>
    <w:uiPriority w:val="1"/>
    <w:semiHidden/>
    <w:unhideWhenUsed/>
    <w:qFormat/>
    <w:rsid w:val="00606770"/>
    <w:pPr>
      <w:widowControl w:val="0"/>
      <w:autoSpaceDE w:val="0"/>
      <w:autoSpaceDN w:val="0"/>
      <w:spacing w:after="0" w:line="240" w:lineRule="auto"/>
    </w:pPr>
    <w:rPr>
      <w:rFonts w:ascii="Arial MT" w:eastAsia="Arial MT" w:hAnsi="Arial MT" w:cs="Arial MT"/>
      <w:lang w:val="en-US"/>
    </w:rPr>
  </w:style>
  <w:style w:type="character" w:customStyle="1" w:styleId="CorptextCaracter">
    <w:name w:val="Corp text Caracter"/>
    <w:basedOn w:val="Fontdeparagrafimplicit"/>
    <w:link w:val="Corptext"/>
    <w:uiPriority w:val="1"/>
    <w:semiHidden/>
    <w:rsid w:val="00606770"/>
    <w:rPr>
      <w:rFonts w:ascii="Arial MT" w:eastAsia="Arial MT" w:hAnsi="Arial MT" w:cs="Arial MT"/>
      <w:lang w:val="en-US"/>
    </w:rPr>
  </w:style>
  <w:style w:type="paragraph" w:customStyle="1" w:styleId="TableParagraph">
    <w:name w:val="Table Paragraph"/>
    <w:basedOn w:val="Normal"/>
    <w:uiPriority w:val="1"/>
    <w:qFormat/>
    <w:rsid w:val="00606770"/>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956713">
      <w:bodyDiv w:val="1"/>
      <w:marLeft w:val="0"/>
      <w:marRight w:val="0"/>
      <w:marTop w:val="0"/>
      <w:marBottom w:val="0"/>
      <w:divBdr>
        <w:top w:val="none" w:sz="0" w:space="0" w:color="auto"/>
        <w:left w:val="none" w:sz="0" w:space="0" w:color="auto"/>
        <w:bottom w:val="none" w:sz="0" w:space="0" w:color="auto"/>
        <w:right w:val="none" w:sz="0" w:space="0" w:color="auto"/>
      </w:divBdr>
    </w:div>
    <w:div w:id="185875824">
      <w:bodyDiv w:val="1"/>
      <w:marLeft w:val="0"/>
      <w:marRight w:val="0"/>
      <w:marTop w:val="0"/>
      <w:marBottom w:val="0"/>
      <w:divBdr>
        <w:top w:val="none" w:sz="0" w:space="0" w:color="auto"/>
        <w:left w:val="none" w:sz="0" w:space="0" w:color="auto"/>
        <w:bottom w:val="none" w:sz="0" w:space="0" w:color="auto"/>
        <w:right w:val="none" w:sz="0" w:space="0" w:color="auto"/>
      </w:divBdr>
    </w:div>
    <w:div w:id="379090276">
      <w:bodyDiv w:val="1"/>
      <w:marLeft w:val="0"/>
      <w:marRight w:val="0"/>
      <w:marTop w:val="0"/>
      <w:marBottom w:val="0"/>
      <w:divBdr>
        <w:top w:val="none" w:sz="0" w:space="0" w:color="auto"/>
        <w:left w:val="none" w:sz="0" w:space="0" w:color="auto"/>
        <w:bottom w:val="none" w:sz="0" w:space="0" w:color="auto"/>
        <w:right w:val="none" w:sz="0" w:space="0" w:color="auto"/>
      </w:divBdr>
    </w:div>
    <w:div w:id="492185740">
      <w:bodyDiv w:val="1"/>
      <w:marLeft w:val="0"/>
      <w:marRight w:val="0"/>
      <w:marTop w:val="0"/>
      <w:marBottom w:val="0"/>
      <w:divBdr>
        <w:top w:val="none" w:sz="0" w:space="0" w:color="auto"/>
        <w:left w:val="none" w:sz="0" w:space="0" w:color="auto"/>
        <w:bottom w:val="none" w:sz="0" w:space="0" w:color="auto"/>
        <w:right w:val="none" w:sz="0" w:space="0" w:color="auto"/>
      </w:divBdr>
    </w:div>
    <w:div w:id="984898000">
      <w:bodyDiv w:val="1"/>
      <w:marLeft w:val="0"/>
      <w:marRight w:val="0"/>
      <w:marTop w:val="0"/>
      <w:marBottom w:val="0"/>
      <w:divBdr>
        <w:top w:val="none" w:sz="0" w:space="0" w:color="auto"/>
        <w:left w:val="none" w:sz="0" w:space="0" w:color="auto"/>
        <w:bottom w:val="none" w:sz="0" w:space="0" w:color="auto"/>
        <w:right w:val="none" w:sz="0" w:space="0" w:color="auto"/>
      </w:divBdr>
    </w:div>
    <w:div w:id="1084451021">
      <w:bodyDiv w:val="1"/>
      <w:marLeft w:val="0"/>
      <w:marRight w:val="0"/>
      <w:marTop w:val="0"/>
      <w:marBottom w:val="0"/>
      <w:divBdr>
        <w:top w:val="none" w:sz="0" w:space="0" w:color="auto"/>
        <w:left w:val="none" w:sz="0" w:space="0" w:color="auto"/>
        <w:bottom w:val="none" w:sz="0" w:space="0" w:color="auto"/>
        <w:right w:val="none" w:sz="0" w:space="0" w:color="auto"/>
      </w:divBdr>
    </w:div>
    <w:div w:id="1312366533">
      <w:bodyDiv w:val="1"/>
      <w:marLeft w:val="0"/>
      <w:marRight w:val="0"/>
      <w:marTop w:val="0"/>
      <w:marBottom w:val="0"/>
      <w:divBdr>
        <w:top w:val="none" w:sz="0" w:space="0" w:color="auto"/>
        <w:left w:val="none" w:sz="0" w:space="0" w:color="auto"/>
        <w:bottom w:val="none" w:sz="0" w:space="0" w:color="auto"/>
        <w:right w:val="none" w:sz="0" w:space="0" w:color="auto"/>
      </w:divBdr>
    </w:div>
    <w:div w:id="1363702212">
      <w:bodyDiv w:val="1"/>
      <w:marLeft w:val="0"/>
      <w:marRight w:val="0"/>
      <w:marTop w:val="0"/>
      <w:marBottom w:val="0"/>
      <w:divBdr>
        <w:top w:val="none" w:sz="0" w:space="0" w:color="auto"/>
        <w:left w:val="none" w:sz="0" w:space="0" w:color="auto"/>
        <w:bottom w:val="none" w:sz="0" w:space="0" w:color="auto"/>
        <w:right w:val="none" w:sz="0" w:space="0" w:color="auto"/>
      </w:divBdr>
    </w:div>
    <w:div w:id="1776897412">
      <w:bodyDiv w:val="1"/>
      <w:marLeft w:val="0"/>
      <w:marRight w:val="0"/>
      <w:marTop w:val="0"/>
      <w:marBottom w:val="0"/>
      <w:divBdr>
        <w:top w:val="none" w:sz="0" w:space="0" w:color="auto"/>
        <w:left w:val="none" w:sz="0" w:space="0" w:color="auto"/>
        <w:bottom w:val="none" w:sz="0" w:space="0" w:color="auto"/>
        <w:right w:val="none" w:sz="0" w:space="0" w:color="auto"/>
      </w:divBdr>
    </w:div>
    <w:div w:id="2003969666">
      <w:bodyDiv w:val="1"/>
      <w:marLeft w:val="0"/>
      <w:marRight w:val="0"/>
      <w:marTop w:val="0"/>
      <w:marBottom w:val="0"/>
      <w:divBdr>
        <w:top w:val="none" w:sz="0" w:space="0" w:color="auto"/>
        <w:left w:val="none" w:sz="0" w:space="0" w:color="auto"/>
        <w:bottom w:val="none" w:sz="0" w:space="0" w:color="auto"/>
        <w:right w:val="none" w:sz="0" w:space="0" w:color="auto"/>
      </w:divBdr>
    </w:div>
    <w:div w:id="207234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87165-AFF0-47A5-AB74-6E9500F22A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3653</Words>
  <Characters>21188</Characters>
  <Application>Microsoft Office Word</Application>
  <DocSecurity>0</DocSecurity>
  <Lines>176</Lines>
  <Paragraphs>49</Paragraphs>
  <ScaleCrop>false</ScaleCrop>
  <Company/>
  <LinksUpToDate>false</LinksUpToDate>
  <CharactersWithSpaces>24792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2022-01-02T13:14:00Z</dcterms:created>
  <dcterms:modified xsi:type="dcterms:W3CDTF">2022-01-02T13:14:00Z</dcterms:modified>
</cp:coreProperties>
</file>