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Attribution"/>
      </w:pPr>
      <w:r>
        <w:rPr>
          <w:rtl w:val="0"/>
          <w:lang w:val="en-US"/>
        </w:rPr>
        <w:t>Graeme Guthrie</w:t>
      </w:r>
    </w:p>
    <w:p>
      <w:pPr>
        <w:pStyle w:val="Body 2"/>
      </w:pPr>
      <w:r>
        <w:rPr>
          <w:rtl w:val="0"/>
          <w:lang w:val="en-US"/>
        </w:rPr>
        <w:t>Student 1805312</w:t>
      </w:r>
    </w:p>
    <w:p>
      <w:pPr>
        <w:pStyle w:val="Attribution"/>
      </w:pPr>
      <w:r>
        <w:rPr/>
        <w:fldChar w:fldCharType="begin" w:fldLock="0"/>
      </w:r>
      <w:r>
        <w:instrText xml:space="preserve"> DATE \@ "MMMM d, y" </w:instrText>
      </w:r>
      <w:r>
        <w:rPr/>
        <w:fldChar w:fldCharType="separate" w:fldLock="0"/>
      </w:r>
      <w:r>
        <w:rPr>
          <w:rtl w:val="0"/>
          <w:lang w:val="en-US"/>
        </w:rPr>
        <w:t>30 August 2019</w:t>
      </w:r>
      <w:r>
        <w:rPr/>
        <w:fldChar w:fldCharType="end" w:fldLock="0"/>
      </w:r>
    </w:p>
    <w:p>
      <w:pPr>
        <w:pStyle w:val="Attribution"/>
      </w:pPr>
    </w:p>
    <w:p>
      <w:pPr>
        <w:pStyle w:val="Attribution"/>
      </w:pPr>
    </w:p>
    <w:p>
      <w:pPr>
        <w:pStyle w:val="Subtitle"/>
      </w:pPr>
      <w:r>
        <w:rPr>
          <w:sz w:val="48"/>
          <w:szCs w:val="48"/>
          <w:rtl w:val="0"/>
          <w:lang w:val="en-US"/>
        </w:rPr>
        <w:t>Are biblical authority and feminist concerns mutually exclusive?</w:t>
      </w:r>
      <w:r>
        <w:rPr>
          <w:rtl w:val="0"/>
          <w:lang w:val="en-US"/>
        </w:rPr>
        <w:t xml:space="preserve"> </w:t>
      </w:r>
    </w:p>
    <w:p>
      <w:pPr>
        <w:pStyle w:val="Body A"/>
      </w:pPr>
    </w:p>
    <w:p>
      <w:pPr>
        <w:pStyle w:val="Body A"/>
      </w:pPr>
    </w:p>
    <w:p>
      <w:pPr>
        <w:pStyle w:val="Body A"/>
        <w:spacing w:line="240" w:lineRule="auto"/>
        <w:ind w:firstLine="0"/>
      </w:pPr>
    </w:p>
    <w:p>
      <w:pPr>
        <w:pStyle w:val="Body A"/>
        <w:spacing w:line="240" w:lineRule="auto"/>
        <w:ind w:firstLine="0"/>
        <w:rPr>
          <w:i w:val="1"/>
          <w:iCs w:val="1"/>
          <w:sz w:val="22"/>
          <w:szCs w:val="22"/>
        </w:rPr>
      </w:pPr>
      <w:r>
        <w:rPr>
          <w:i w:val="1"/>
          <w:iCs w:val="1"/>
          <w:sz w:val="22"/>
          <w:szCs w:val="22"/>
          <w:rtl w:val="0"/>
          <w:lang w:val="en-US"/>
        </w:rPr>
        <w:t>Introduction.</w:t>
      </w:r>
    </w:p>
    <w:p>
      <w:pPr>
        <w:pStyle w:val="Body A"/>
        <w:spacing w:line="240" w:lineRule="auto"/>
        <w:ind w:firstLine="0"/>
        <w:rPr>
          <w:sz w:val="22"/>
          <w:szCs w:val="22"/>
        </w:rPr>
      </w:pPr>
    </w:p>
    <w:p>
      <w:pPr>
        <w:pStyle w:val="Body A"/>
        <w:spacing w:line="240" w:lineRule="auto"/>
        <w:ind w:firstLine="0"/>
        <w:rPr>
          <w:rStyle w:val="None"/>
          <w:sz w:val="22"/>
          <w:szCs w:val="22"/>
        </w:rPr>
      </w:pPr>
      <w:r>
        <w:rPr>
          <w:sz w:val="22"/>
          <w:szCs w:val="22"/>
          <w:rtl w:val="0"/>
          <w:lang w:val="en-US"/>
        </w:rPr>
        <w:t xml:space="preserve">Debates concerning the nature of biblical authority are a relatively recent phenomena in church history. Prior to the Enlightenment and Protestant Reformation, little attention was given to such an analysis of scripture, with the Nicene Creed stating simply that Jesus was raised </w:t>
      </w:r>
      <w:r>
        <w:rPr>
          <w:sz w:val="22"/>
          <w:szCs w:val="22"/>
          <w:rtl w:val="0"/>
          <w:lang w:val="en-US"/>
        </w:rPr>
        <w:t>“</w:t>
      </w:r>
      <w:r>
        <w:rPr>
          <w:sz w:val="22"/>
          <w:szCs w:val="22"/>
          <w:rtl w:val="0"/>
          <w:lang w:val="en-US"/>
        </w:rPr>
        <w:t>according to the scriptures</w:t>
      </w:r>
      <w:r>
        <w:rPr>
          <w:sz w:val="22"/>
          <w:szCs w:val="22"/>
          <w:rtl w:val="0"/>
          <w:lang w:val="en-US"/>
        </w:rPr>
        <w:t xml:space="preserve">” </w:t>
      </w:r>
      <w:r>
        <w:rPr>
          <w:sz w:val="22"/>
          <w:szCs w:val="22"/>
          <w:rtl w:val="0"/>
          <w:lang w:val="en-US"/>
        </w:rPr>
        <w:t xml:space="preserve">and that the Holy Spirit </w:t>
      </w:r>
      <w:r>
        <w:rPr>
          <w:sz w:val="22"/>
          <w:szCs w:val="22"/>
          <w:rtl w:val="0"/>
          <w:lang w:val="en-US"/>
        </w:rPr>
        <w:t>“</w:t>
      </w:r>
      <w:r>
        <w:rPr>
          <w:sz w:val="22"/>
          <w:szCs w:val="22"/>
          <w:rtl w:val="0"/>
          <w:lang w:val="en-US"/>
        </w:rPr>
        <w:t>spoke through the prophets</w:t>
      </w:r>
      <w:r>
        <w:rPr>
          <w:sz w:val="22"/>
          <w:szCs w:val="22"/>
          <w:rtl w:val="0"/>
          <w:lang w:val="en-US"/>
        </w:rPr>
        <w:t>”</w:t>
      </w:r>
      <w:r>
        <w:rPr>
          <w:sz w:val="22"/>
          <w:szCs w:val="22"/>
          <w:rtl w:val="0"/>
          <w:lang w:val="en-US"/>
        </w:rPr>
        <w:t>.</w:t>
      </w:r>
      <w:r>
        <w:rPr>
          <w:sz w:val="22"/>
          <w:szCs w:val="22"/>
          <w:vertAlign w:val="superscript"/>
        </w:rPr>
        <w:footnoteReference w:id="1"/>
      </w:r>
      <w:r>
        <w:rPr>
          <w:rStyle w:val="None"/>
          <w:sz w:val="22"/>
          <w:szCs w:val="22"/>
          <w:rtl w:val="0"/>
          <w:lang w:val="en-US"/>
        </w:rPr>
        <w:t xml:space="preserve">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Similarly, whilst women throughout history have read and interpreted the Bible, a theory of feminist hermeneutics and biblical interpretation in support of women is </w:t>
      </w:r>
      <w:r>
        <w:rPr>
          <w:rStyle w:val="None"/>
          <w:sz w:val="22"/>
          <w:szCs w:val="22"/>
          <w:rtl w:val="0"/>
          <w:lang w:val="en-US"/>
        </w:rPr>
        <w:t>“</w:t>
      </w:r>
      <w:r>
        <w:rPr>
          <w:rStyle w:val="None"/>
          <w:sz w:val="22"/>
          <w:szCs w:val="22"/>
          <w:rtl w:val="0"/>
          <w:lang w:val="en-US"/>
        </w:rPr>
        <w:t>of very recent vintage</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2"/>
      </w:r>
      <w:r>
        <w:rPr>
          <w:rStyle w:val="None"/>
          <w:sz w:val="22"/>
          <w:szCs w:val="22"/>
          <w:rtl w:val="0"/>
          <w:lang w:val="en-US"/>
        </w:rPr>
        <w:t xml:space="preserve">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In considering the interaction of biblical authority and feminist concerns I shall begin by outlining the meaning of these terms. I shall then describe various approaches to biblical interpretation found among feminist theologians with some worked examples, before concluding whether or not one must dismiss the bible as an authoritative text if one is to hold to feminist convictions. </w:t>
      </w: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i w:val="1"/>
          <w:iCs w:val="1"/>
          <w:sz w:val="22"/>
          <w:szCs w:val="22"/>
        </w:rPr>
      </w:pPr>
      <w:r>
        <w:rPr>
          <w:rStyle w:val="None"/>
          <w:i w:val="1"/>
          <w:iCs w:val="1"/>
          <w:sz w:val="22"/>
          <w:szCs w:val="22"/>
          <w:rtl w:val="0"/>
          <w:lang w:val="en-US"/>
        </w:rPr>
        <w:t>Authority and biblical authority.</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In the introduction to </w:t>
      </w:r>
      <w:r>
        <w:rPr>
          <w:rStyle w:val="None"/>
          <w:i w:val="1"/>
          <w:iCs w:val="1"/>
          <w:sz w:val="22"/>
          <w:szCs w:val="22"/>
          <w:rtl w:val="0"/>
          <w:lang w:val="en-US"/>
        </w:rPr>
        <w:t xml:space="preserve">Engaging Biblical Authority, </w:t>
      </w:r>
      <w:r>
        <w:rPr>
          <w:rStyle w:val="None"/>
          <w:sz w:val="22"/>
          <w:szCs w:val="22"/>
          <w:rtl w:val="0"/>
          <w:lang w:val="en-US"/>
        </w:rPr>
        <w:t xml:space="preserve">William Brown highlights the complex and multi-faceted problem of conceptualising scriptural authority. Quoting two contemporary dictionary definitions, he notes that the key term throughout is that of </w:t>
      </w:r>
      <w:r>
        <w:rPr>
          <w:rStyle w:val="None"/>
          <w:sz w:val="22"/>
          <w:szCs w:val="22"/>
          <w:rtl w:val="0"/>
          <w:lang w:val="en-US"/>
        </w:rPr>
        <w:t>“</w:t>
      </w:r>
      <w:r>
        <w:rPr>
          <w:rStyle w:val="None"/>
          <w:sz w:val="22"/>
          <w:szCs w:val="22"/>
          <w:rtl w:val="0"/>
          <w:lang w:val="en-US"/>
        </w:rPr>
        <w:t>power</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3"/>
      </w:r>
      <w:r>
        <w:rPr>
          <w:rStyle w:val="None"/>
          <w:sz w:val="22"/>
          <w:szCs w:val="22"/>
          <w:rtl w:val="0"/>
          <w:lang w:val="en-US"/>
        </w:rPr>
        <w:t xml:space="preserve">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In the same volume, Sarah Lancaster, drawing upon the work of Robert De George, describes several helpful observations relating to the notions of power and authority relevant to the present task.</w:t>
      </w:r>
      <w:r>
        <w:rPr>
          <w:rStyle w:val="None"/>
          <w:sz w:val="22"/>
          <w:szCs w:val="22"/>
          <w:vertAlign w:val="superscript"/>
        </w:rPr>
        <w:footnoteReference w:id="4"/>
      </w:r>
      <w:r>
        <w:rPr>
          <w:rStyle w:val="None"/>
          <w:sz w:val="22"/>
          <w:szCs w:val="22"/>
          <w:rtl w:val="0"/>
          <w:lang w:val="en-US"/>
        </w:rPr>
        <w:t xml:space="preserve"> She readily acknowledges that the word </w:t>
      </w:r>
      <w:r>
        <w:rPr>
          <w:rStyle w:val="None"/>
          <w:sz w:val="22"/>
          <w:szCs w:val="22"/>
          <w:rtl w:val="0"/>
          <w:lang w:val="en-US"/>
        </w:rPr>
        <w:t>“</w:t>
      </w:r>
      <w:r>
        <w:rPr>
          <w:rStyle w:val="None"/>
          <w:sz w:val="22"/>
          <w:szCs w:val="22"/>
          <w:rtl w:val="0"/>
          <w:lang w:val="en-US"/>
        </w:rPr>
        <w:t>authority</w:t>
      </w:r>
      <w:r>
        <w:rPr>
          <w:rStyle w:val="None"/>
          <w:sz w:val="22"/>
          <w:szCs w:val="22"/>
          <w:rtl w:val="0"/>
          <w:lang w:val="en-US"/>
        </w:rPr>
        <w:t xml:space="preserve">” </w:t>
      </w:r>
      <w:r>
        <w:rPr>
          <w:rStyle w:val="None"/>
          <w:sz w:val="22"/>
          <w:szCs w:val="22"/>
          <w:rtl w:val="0"/>
          <w:lang w:val="en-US"/>
        </w:rPr>
        <w:t>is problematic today, due largely to a history of proper use of authority sliding into the abuse of authoritarianism. Conversely, she offers several pointers in which authority, properly understood, can be beneficial.</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First, authority must be relational. It cannot exist in a vacuum, there must be an interaction between the party in authority and the one who is </w:t>
      </w:r>
      <w:r>
        <w:rPr>
          <w:rStyle w:val="None"/>
          <w:sz w:val="22"/>
          <w:szCs w:val="22"/>
          <w:rtl w:val="0"/>
          <w:lang w:val="en-US"/>
        </w:rPr>
        <w:t>“</w:t>
      </w:r>
      <w:r>
        <w:rPr>
          <w:rStyle w:val="None"/>
          <w:sz w:val="22"/>
          <w:szCs w:val="22"/>
          <w:rtl w:val="0"/>
          <w:lang w:val="en-US"/>
        </w:rPr>
        <w:t>subject</w:t>
      </w:r>
      <w:r>
        <w:rPr>
          <w:rStyle w:val="None"/>
          <w:sz w:val="22"/>
          <w:szCs w:val="22"/>
          <w:rtl w:val="0"/>
          <w:lang w:val="en-US"/>
        </w:rPr>
        <w:t xml:space="preserve">” </w:t>
      </w:r>
      <w:r>
        <w:rPr>
          <w:rStyle w:val="None"/>
          <w:sz w:val="22"/>
          <w:szCs w:val="22"/>
          <w:rtl w:val="0"/>
          <w:lang w:val="en-US"/>
        </w:rPr>
        <w:t>to it. Second, authority exists for the benefit of the one who is subject to it. Whilst this may seem counterintuitive given the history of various forms of domination (in this case women being forced to submit to men), Lancaster uses the example of a student benefiting from the wisdom of the teacher: the teacher has authority over the student, but uses it to cause the student to flourish and grow in knowledge. Third, authority in human life is not equated with authority in general. That is, there are specific domains and types of authority (e.g. mathematics or political science), but each domain does not have authority in the other. Finally, and following on from the previous observation, in a given community there will be more than one authority, given that each authority must exercise in a discrete domain.</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w:t>
      </w:r>
      <w:r>
        <w:rPr>
          <w:rStyle w:val="None"/>
          <w:sz w:val="22"/>
          <w:szCs w:val="22"/>
          <w:rtl w:val="0"/>
          <w:lang w:val="en-US"/>
        </w:rPr>
        <w:t>Authority</w:t>
      </w:r>
      <w:r>
        <w:rPr>
          <w:rStyle w:val="None"/>
          <w:sz w:val="22"/>
          <w:szCs w:val="22"/>
          <w:rtl w:val="0"/>
          <w:lang w:val="en-US"/>
        </w:rPr>
        <w:t xml:space="preserve">” </w:t>
      </w:r>
      <w:r>
        <w:rPr>
          <w:rStyle w:val="None"/>
          <w:sz w:val="22"/>
          <w:szCs w:val="22"/>
          <w:rtl w:val="0"/>
          <w:lang w:val="en-US"/>
        </w:rPr>
        <w:t>then, despite various negative connotations throughout history, can be reconsidered as something beneficial for the one subject to it, pertaining to a specific domain, and not ruling out other sources or means of authoritative action for a given community.</w:t>
      </w: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r>
        <w:rPr>
          <w:rStyle w:val="None"/>
          <w:sz w:val="22"/>
          <w:szCs w:val="22"/>
          <w:rtl w:val="0"/>
          <w:lang w:val="en-US"/>
        </w:rPr>
        <w:t xml:space="preserve">An alternative approach can be shown in the work of New Testament scholar N.T Wright. Rather than begin with a consideration of </w:t>
      </w:r>
      <w:r>
        <w:rPr>
          <w:rStyle w:val="None"/>
          <w:sz w:val="22"/>
          <w:szCs w:val="22"/>
          <w:rtl w:val="0"/>
          <w:lang w:val="en-US"/>
        </w:rPr>
        <w:t>“</w:t>
      </w:r>
      <w:r>
        <w:rPr>
          <w:rStyle w:val="None"/>
          <w:sz w:val="22"/>
          <w:szCs w:val="22"/>
          <w:rtl w:val="0"/>
          <w:lang w:val="en-US"/>
        </w:rPr>
        <w:t>authority</w:t>
      </w:r>
      <w:r>
        <w:rPr>
          <w:rStyle w:val="None"/>
          <w:sz w:val="22"/>
          <w:szCs w:val="22"/>
          <w:rtl w:val="0"/>
          <w:lang w:val="en-US"/>
        </w:rPr>
        <w:t xml:space="preserve">” </w:t>
      </w:r>
      <w:r>
        <w:rPr>
          <w:rStyle w:val="None"/>
          <w:sz w:val="22"/>
          <w:szCs w:val="22"/>
          <w:rtl w:val="0"/>
          <w:lang w:val="en-US"/>
        </w:rPr>
        <w:t xml:space="preserve">and then an application to biblical texts, Wright reverses the process. For Wright, the authority of scripture is short hand for the </w:t>
      </w:r>
      <w:r>
        <w:rPr>
          <w:rStyle w:val="None"/>
          <w:sz w:val="22"/>
          <w:szCs w:val="22"/>
          <w:rtl w:val="0"/>
          <w:lang w:val="en-US"/>
        </w:rPr>
        <w:t>“</w:t>
      </w:r>
      <w:r>
        <w:rPr>
          <w:rStyle w:val="None"/>
          <w:sz w:val="22"/>
          <w:szCs w:val="22"/>
          <w:rtl w:val="0"/>
          <w:lang w:val="en-US"/>
        </w:rPr>
        <w:t>authority of the triune God, exercised somehow through scripture</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5"/>
      </w:r>
      <w:r>
        <w:rPr>
          <w:rStyle w:val="None"/>
          <w:sz w:val="22"/>
          <w:szCs w:val="22"/>
          <w:rtl w:val="0"/>
          <w:lang w:val="en-US"/>
        </w:rPr>
        <w:t xml:space="preserve"> He points out that the bible itself attributes authority to God (Rom 13:1; John 19:11) and ultimately Jesus (Matt 28:18), and that </w:t>
      </w:r>
      <w:r>
        <w:rPr>
          <w:rStyle w:val="None"/>
          <w:sz w:val="22"/>
          <w:szCs w:val="22"/>
          <w:rtl w:val="0"/>
          <w:lang w:val="en-US"/>
        </w:rPr>
        <w:t>“</w:t>
      </w:r>
      <w:r>
        <w:rPr>
          <w:rStyle w:val="None"/>
          <w:sz w:val="22"/>
          <w:szCs w:val="22"/>
          <w:rtl w:val="0"/>
          <w:lang w:val="en-US"/>
        </w:rPr>
        <w:t>scripture itself points</w:t>
      </w:r>
      <w:r>
        <w:rPr>
          <w:rStyle w:val="None"/>
          <w:sz w:val="22"/>
          <w:szCs w:val="22"/>
          <w:rtl w:val="0"/>
          <w:lang w:val="en-US"/>
        </w:rPr>
        <w:t>…</w:t>
      </w:r>
      <w:r>
        <w:rPr>
          <w:rStyle w:val="None"/>
          <w:sz w:val="22"/>
          <w:szCs w:val="22"/>
          <w:rtl w:val="0"/>
          <w:lang w:val="en-US"/>
        </w:rPr>
        <w:t>away from itself and to the fact that final and true authority belongs to God himself, now delegated to Jesus Christ</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6"/>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He elsewhere argues that this authority must then inform our concept of biblical authority, and that rather than being a tool for manipulation or control:</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w:t>
      </w:r>
      <w:r>
        <w:rPr>
          <w:rStyle w:val="None"/>
          <w:sz w:val="22"/>
          <w:szCs w:val="22"/>
          <w:rtl w:val="0"/>
        </w:rPr>
        <w:t>God</w:t>
      </w:r>
      <w:r>
        <w:rPr>
          <w:rStyle w:val="None"/>
          <w:sz w:val="22"/>
          <w:szCs w:val="22"/>
          <w:rtl w:val="0"/>
        </w:rPr>
        <w:t>’</w:t>
      </w:r>
      <w:r>
        <w:rPr>
          <w:rStyle w:val="None"/>
          <w:sz w:val="22"/>
          <w:szCs w:val="22"/>
          <w:rtl w:val="0"/>
          <w:lang w:val="en-US"/>
        </w:rPr>
        <w:t>s authority vested in scripture is designed, as all God</w:t>
      </w:r>
      <w:r>
        <w:rPr>
          <w:rStyle w:val="None"/>
          <w:sz w:val="22"/>
          <w:szCs w:val="22"/>
          <w:rtl w:val="0"/>
        </w:rPr>
        <w:t>’</w:t>
      </w:r>
      <w:r>
        <w:rPr>
          <w:rStyle w:val="None"/>
          <w:sz w:val="22"/>
          <w:szCs w:val="22"/>
          <w:rtl w:val="0"/>
          <w:lang w:val="en-US"/>
        </w:rPr>
        <w:t>s authority is designed, to liberate human beings, to judge and condemn evil and sin in the world in order to set people free to be fully human</w:t>
      </w:r>
      <w:r>
        <w:rPr>
          <w:rStyle w:val="None"/>
          <w:sz w:val="22"/>
          <w:szCs w:val="22"/>
          <w:rtl w:val="0"/>
          <w:lang w:val="en-US"/>
        </w:rPr>
        <w:t>…</w:t>
      </w:r>
      <w:r>
        <w:rPr>
          <w:rStyle w:val="None"/>
          <w:sz w:val="22"/>
          <w:szCs w:val="22"/>
          <w:rtl w:val="0"/>
          <w:lang w:val="en-US"/>
        </w:rPr>
        <w:t xml:space="preserve">.And when we use a shorthand phrase like </w:t>
      </w:r>
      <w:r>
        <w:rPr>
          <w:rStyle w:val="None"/>
          <w:sz w:val="22"/>
          <w:szCs w:val="22"/>
          <w:rtl w:val="0"/>
        </w:rPr>
        <w:t>‘</w:t>
      </w:r>
      <w:r>
        <w:rPr>
          <w:rStyle w:val="None"/>
          <w:sz w:val="22"/>
          <w:szCs w:val="22"/>
          <w:rtl w:val="0"/>
          <w:lang w:val="en-US"/>
        </w:rPr>
        <w:t>authority of scripture</w:t>
      </w:r>
      <w:r>
        <w:rPr>
          <w:rStyle w:val="None"/>
          <w:sz w:val="22"/>
          <w:szCs w:val="22"/>
          <w:rtl w:val="0"/>
        </w:rPr>
        <w:t xml:space="preserve">’ </w:t>
      </w:r>
      <w:r>
        <w:rPr>
          <w:rStyle w:val="None"/>
          <w:sz w:val="22"/>
          <w:szCs w:val="22"/>
          <w:rtl w:val="0"/>
          <w:lang w:val="en-US"/>
        </w:rPr>
        <w:t>that is what we ought to be meaning.</w:t>
      </w:r>
      <w:r>
        <w:rPr>
          <w:rStyle w:val="None"/>
          <w:sz w:val="22"/>
          <w:szCs w:val="22"/>
          <w:rtl w:val="0"/>
          <w:lang w:val="en-US"/>
        </w:rPr>
        <w:t>”</w:t>
      </w:r>
      <w:r>
        <w:rPr>
          <w:rStyle w:val="None"/>
          <w:sz w:val="22"/>
          <w:szCs w:val="22"/>
          <w:vertAlign w:val="superscript"/>
        </w:rPr>
        <w:footnoteReference w:id="7"/>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One final point in considering biblical authority must be a text that is often quoted in discussions regarding the nature of scripture, 1 Timothy 3:16: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w:t>
      </w:r>
      <w:r>
        <w:rPr>
          <w:rStyle w:val="None"/>
          <w:sz w:val="22"/>
          <w:szCs w:val="22"/>
          <w:rtl w:val="0"/>
          <w:lang w:val="en-US"/>
        </w:rPr>
        <w:t>All scripture is inspired by God and is</w:t>
      </w:r>
      <w:r>
        <w:rPr>
          <w:rStyle w:val="None"/>
          <w:sz w:val="20"/>
          <w:szCs w:val="20"/>
          <w:rtl w:val="0"/>
          <w:lang w:val="en-US"/>
        </w:rPr>
        <w:t xml:space="preserve"> </w:t>
      </w:r>
      <w:r>
        <w:rPr>
          <w:rStyle w:val="None"/>
          <w:sz w:val="22"/>
          <w:szCs w:val="22"/>
          <w:rtl w:val="0"/>
          <w:lang w:val="en-US"/>
        </w:rPr>
        <w:t>useful for teaching, for reproof, for correction, and for training in righteousness, so that everyone who belongs to God may be proficient, equipped for every good work.</w:t>
      </w:r>
      <w:r>
        <w:rPr>
          <w:rStyle w:val="None"/>
          <w:sz w:val="22"/>
          <w:szCs w:val="22"/>
          <w:rtl w:val="0"/>
          <w:lang w:val="en-US"/>
        </w:rPr>
        <w:t>”</w:t>
      </w:r>
    </w:p>
    <w:p>
      <w:pPr>
        <w:pStyle w:val="Body A"/>
        <w:spacing w:line="240" w:lineRule="auto"/>
        <w:ind w:firstLine="0"/>
        <w:rPr>
          <w:rStyle w:val="None"/>
          <w:sz w:val="22"/>
          <w:szCs w:val="22"/>
        </w:rPr>
      </w:pPr>
    </w:p>
    <w:p>
      <w:pPr>
        <w:pStyle w:val="Body A"/>
        <w:spacing w:line="240" w:lineRule="auto"/>
        <w:ind w:firstLine="0"/>
        <w:rPr>
          <w:rStyle w:val="None"/>
          <w:sz w:val="22"/>
          <w:szCs w:val="22"/>
          <w:lang w:val="en-US"/>
        </w:rPr>
      </w:pPr>
      <w:r>
        <w:rPr>
          <w:rStyle w:val="None"/>
          <w:sz w:val="22"/>
          <w:szCs w:val="22"/>
          <w:rtl w:val="0"/>
          <w:lang w:val="en-US"/>
        </w:rPr>
        <w:t xml:space="preserve">Whilst this verse is often quoted as a defence of the divine inspiration of scripture, Brown notes that the focus of the passage is on the </w:t>
      </w:r>
      <w:r>
        <w:rPr>
          <w:rStyle w:val="None"/>
          <w:sz w:val="22"/>
          <w:szCs w:val="22"/>
          <w:rtl w:val="0"/>
          <w:lang w:val="en-US"/>
        </w:rPr>
        <w:t>“</w:t>
      </w:r>
      <w:r>
        <w:rPr>
          <w:rStyle w:val="None"/>
          <w:sz w:val="22"/>
          <w:szCs w:val="22"/>
          <w:rtl w:val="0"/>
          <w:lang w:val="en-US"/>
        </w:rPr>
        <w:t>functional authority</w:t>
      </w:r>
      <w:r>
        <w:rPr>
          <w:rStyle w:val="None"/>
          <w:sz w:val="22"/>
          <w:szCs w:val="22"/>
          <w:rtl w:val="0"/>
          <w:lang w:val="en-US"/>
        </w:rPr>
        <w:t xml:space="preserve">” </w:t>
      </w:r>
      <w:r>
        <w:rPr>
          <w:rStyle w:val="None"/>
          <w:sz w:val="22"/>
          <w:szCs w:val="22"/>
          <w:rtl w:val="0"/>
          <w:lang w:val="en-US"/>
        </w:rPr>
        <w:t>of the text.</w:t>
      </w:r>
      <w:r>
        <w:rPr>
          <w:rStyle w:val="None"/>
          <w:sz w:val="22"/>
          <w:szCs w:val="22"/>
          <w:vertAlign w:val="superscript"/>
        </w:rPr>
        <w:footnoteReference w:id="8"/>
      </w:r>
      <w:r>
        <w:rPr>
          <w:rStyle w:val="None"/>
          <w:sz w:val="22"/>
          <w:szCs w:val="22"/>
          <w:rtl w:val="0"/>
          <w:lang w:val="en-US"/>
        </w:rPr>
        <w:t xml:space="preserve"> As with Lancaster, the authority exists for the benefit of others (in this case the teaching and training of the community of faith) so that they can perform </w:t>
      </w:r>
      <w:r>
        <w:rPr>
          <w:rStyle w:val="None"/>
          <w:sz w:val="22"/>
          <w:szCs w:val="22"/>
          <w:rtl w:val="0"/>
          <w:lang w:val="en-US"/>
        </w:rPr>
        <w:t>“</w:t>
      </w:r>
      <w:r>
        <w:rPr>
          <w:rStyle w:val="None"/>
          <w:sz w:val="22"/>
          <w:szCs w:val="22"/>
          <w:rtl w:val="0"/>
          <w:lang w:val="en-US"/>
        </w:rPr>
        <w:t>good works</w:t>
      </w:r>
      <w:r>
        <w:rPr>
          <w:rStyle w:val="None"/>
          <w:sz w:val="22"/>
          <w:szCs w:val="22"/>
          <w:rtl w:val="0"/>
          <w:lang w:val="en-US"/>
        </w:rPr>
        <w:t>”</w:t>
      </w:r>
      <w:r>
        <w:rPr>
          <w:rStyle w:val="None"/>
          <w:sz w:val="22"/>
          <w:szCs w:val="22"/>
          <w:rtl w:val="0"/>
          <w:lang w:val="en-US"/>
        </w:rPr>
        <w:t>.</w:t>
      </w:r>
    </w:p>
    <w:p>
      <w:pPr>
        <w:pStyle w:val="Body A"/>
        <w:spacing w:line="240" w:lineRule="auto"/>
        <w:ind w:firstLine="0"/>
        <w:rPr>
          <w:rStyle w:val="None"/>
          <w:sz w:val="22"/>
          <w:szCs w:val="22"/>
        </w:rPr>
      </w:pPr>
      <w:r>
        <w:rPr>
          <w:rStyle w:val="None"/>
          <w:sz w:val="22"/>
          <w:szCs w:val="22"/>
          <w:rtl w:val="0"/>
          <w:lang w:val="en-US"/>
        </w:rPr>
        <w:t>Whilst a full treatment of biblical authority throughout church history and across denominations  is beyond the scope of this work, based on the above observations I propose the following:</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First, Biblical authority should be understood ultimately as God</w:t>
      </w:r>
      <w:r>
        <w:rPr>
          <w:rStyle w:val="None"/>
          <w:sz w:val="22"/>
          <w:szCs w:val="22"/>
          <w:rtl w:val="0"/>
          <w:lang w:val="en-US"/>
        </w:rPr>
        <w:t>’</w:t>
      </w:r>
      <w:r>
        <w:rPr>
          <w:rStyle w:val="None"/>
          <w:sz w:val="22"/>
          <w:szCs w:val="22"/>
          <w:rtl w:val="0"/>
          <w:lang w:val="en-US"/>
        </w:rPr>
        <w:t>s authority exercised through the biblical text. Thus the text does not have authority in and of itself, and God</w:t>
      </w:r>
      <w:r>
        <w:rPr>
          <w:rStyle w:val="None"/>
          <w:sz w:val="22"/>
          <w:szCs w:val="22"/>
          <w:rtl w:val="0"/>
          <w:lang w:val="en-US"/>
        </w:rPr>
        <w:t>’</w:t>
      </w:r>
      <w:r>
        <w:rPr>
          <w:rStyle w:val="None"/>
          <w:sz w:val="22"/>
          <w:szCs w:val="22"/>
          <w:rtl w:val="0"/>
          <w:lang w:val="en-US"/>
        </w:rPr>
        <w:t xml:space="preserve">s authority operating through alternative means is not ruled out. Second, that the nature of such authority is congruent with the nature of God revealed throughout scripture and ultimately in Jesus Christ (that of liberating humans and judging evil), which should inform our hermeneutic. Finally, in line with 1 Timothy 3:16-17, biblical authority is functional and for a purpose. It exercises authority over the community of faith and for the </w:t>
      </w:r>
      <w:r>
        <w:rPr>
          <w:rStyle w:val="None"/>
          <w:sz w:val="22"/>
          <w:szCs w:val="22"/>
          <w:rtl w:val="0"/>
          <w:lang w:val="en-US"/>
        </w:rPr>
        <w:t>“</w:t>
      </w:r>
      <w:r>
        <w:rPr>
          <w:rStyle w:val="None"/>
          <w:sz w:val="22"/>
          <w:szCs w:val="22"/>
          <w:rtl w:val="0"/>
          <w:lang w:val="en-US"/>
        </w:rPr>
        <w:t>equipping for every good work</w:t>
      </w:r>
      <w:r>
        <w:rPr>
          <w:rStyle w:val="None"/>
          <w:sz w:val="22"/>
          <w:szCs w:val="22"/>
          <w:rtl w:val="0"/>
          <w:lang w:val="en-US"/>
        </w:rPr>
        <w:t xml:space="preserve">” </w:t>
      </w:r>
      <w:r>
        <w:rPr>
          <w:rStyle w:val="None"/>
          <w:sz w:val="22"/>
          <w:szCs w:val="22"/>
          <w:rtl w:val="0"/>
          <w:lang w:val="en-US"/>
        </w:rPr>
        <w:t>in the world.</w:t>
      </w:r>
    </w:p>
    <w:p>
      <w:pPr>
        <w:pStyle w:val="Body A"/>
        <w:spacing w:line="240" w:lineRule="auto"/>
        <w:ind w:firstLine="0"/>
        <w:rPr>
          <w:rStyle w:val="None"/>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i w:val="1"/>
          <w:iCs w:val="1"/>
          <w:sz w:val="22"/>
          <w:szCs w:val="22"/>
        </w:rPr>
      </w:pPr>
      <w:r>
        <w:rPr>
          <w:rStyle w:val="None"/>
          <w:i w:val="1"/>
          <w:iCs w:val="1"/>
          <w:sz w:val="22"/>
          <w:szCs w:val="22"/>
          <w:rtl w:val="0"/>
          <w:lang w:val="en-US"/>
        </w:rPr>
        <w:t>Feminism and Feminist Biblical Interpretation.</w:t>
      </w: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r>
        <w:rPr>
          <w:rStyle w:val="None"/>
          <w:sz w:val="22"/>
          <w:szCs w:val="22"/>
          <w:rtl w:val="0"/>
          <w:lang w:val="en-US"/>
        </w:rPr>
        <w:t xml:space="preserve">In the words of Ann Loades </w:t>
      </w:r>
      <w:r>
        <w:rPr>
          <w:rStyle w:val="None"/>
          <w:sz w:val="22"/>
          <w:szCs w:val="22"/>
          <w:rtl w:val="0"/>
          <w:lang w:val="en-US"/>
        </w:rPr>
        <w:t>“</w:t>
      </w:r>
      <w:r>
        <w:rPr>
          <w:rStyle w:val="None"/>
          <w:sz w:val="22"/>
          <w:szCs w:val="22"/>
          <w:rtl w:val="0"/>
          <w:lang w:val="en-US"/>
        </w:rPr>
        <w:t>there is and can be no one thing meant by feminism</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9"/>
      </w:r>
      <w:r>
        <w:rPr>
          <w:rStyle w:val="None"/>
          <w:sz w:val="22"/>
          <w:szCs w:val="22"/>
          <w:rtl w:val="0"/>
          <w:lang w:val="en-US"/>
        </w:rPr>
        <w:t xml:space="preserve"> Defining </w:t>
      </w:r>
      <w:r>
        <w:rPr>
          <w:rStyle w:val="None"/>
          <w:sz w:val="22"/>
          <w:szCs w:val="22"/>
          <w:rtl w:val="0"/>
          <w:lang w:val="en-US"/>
        </w:rPr>
        <w:t>“</w:t>
      </w:r>
      <w:r>
        <w:rPr>
          <w:rStyle w:val="None"/>
          <w:sz w:val="22"/>
          <w:szCs w:val="22"/>
          <w:rtl w:val="0"/>
          <w:lang w:val="en-US"/>
        </w:rPr>
        <w:t>feminist concerns</w:t>
      </w:r>
      <w:r>
        <w:rPr>
          <w:rStyle w:val="None"/>
          <w:sz w:val="22"/>
          <w:szCs w:val="22"/>
          <w:rtl w:val="0"/>
          <w:lang w:val="en-US"/>
        </w:rPr>
        <w:t xml:space="preserve">” </w:t>
      </w:r>
      <w:r>
        <w:rPr>
          <w:rStyle w:val="None"/>
          <w:sz w:val="22"/>
          <w:szCs w:val="22"/>
          <w:rtl w:val="0"/>
          <w:lang w:val="en-US"/>
        </w:rPr>
        <w:t>is therefore problematic, more so when one considers the field of feminist biblical interpretation, itself diverse, as but one representation of the feminist movement. Elaine Storkey gives a helpful overview of various recent groups, broadly outlining the contours of Liberal, Marxist and Radical Feminism, and demonstrating there are sharp differences between each one.</w:t>
      </w:r>
      <w:r>
        <w:rPr>
          <w:rStyle w:val="None"/>
          <w:sz w:val="22"/>
          <w:szCs w:val="22"/>
          <w:vertAlign w:val="superscript"/>
        </w:rPr>
        <w:footnoteReference w:id="10"/>
      </w:r>
      <w:r>
        <w:rPr>
          <w:rStyle w:val="None"/>
          <w:sz w:val="22"/>
          <w:szCs w:val="22"/>
          <w:rtl w:val="0"/>
          <w:lang w:val="en-US"/>
        </w:rPr>
        <w:t xml:space="preserve"> Nevertheless, feminism generally agrees on the critique of masculine supremacy and sees itself as the emergence of women from a state of submission.</w:t>
      </w:r>
      <w:r>
        <w:rPr>
          <w:rStyle w:val="None"/>
          <w:sz w:val="22"/>
          <w:szCs w:val="22"/>
          <w:vertAlign w:val="superscript"/>
        </w:rPr>
        <w:footnoteReference w:id="11"/>
      </w:r>
    </w:p>
    <w:p>
      <w:pPr>
        <w:pStyle w:val="Body A"/>
        <w:spacing w:line="240" w:lineRule="auto"/>
        <w:ind w:firstLine="0"/>
        <w:rPr>
          <w:rStyle w:val="None"/>
          <w:sz w:val="22"/>
          <w:szCs w:val="22"/>
        </w:rPr>
      </w:pPr>
    </w:p>
    <w:p>
      <w:pPr>
        <w:pStyle w:val="Body A"/>
        <w:spacing w:line="240" w:lineRule="auto"/>
        <w:ind w:firstLine="0"/>
        <w:rPr>
          <w:rStyle w:val="None"/>
          <w:sz w:val="22"/>
          <w:szCs w:val="22"/>
          <w:lang w:val="en-US"/>
        </w:rPr>
      </w:pPr>
      <w:r>
        <w:rPr>
          <w:rStyle w:val="None"/>
          <w:sz w:val="22"/>
          <w:szCs w:val="22"/>
          <w:rtl w:val="0"/>
          <w:lang w:val="en-US"/>
        </w:rPr>
        <w:t>Regarding feminist biblical interpretation, ever since the publication of Elizabeth Cady Stanton</w:t>
      </w:r>
      <w:r>
        <w:rPr>
          <w:rStyle w:val="None"/>
          <w:sz w:val="22"/>
          <w:szCs w:val="22"/>
          <w:rtl w:val="0"/>
          <w:lang w:val="en-US"/>
        </w:rPr>
        <w:t>’</w:t>
      </w:r>
      <w:r>
        <w:rPr>
          <w:rStyle w:val="None"/>
          <w:sz w:val="22"/>
          <w:szCs w:val="22"/>
          <w:rtl w:val="0"/>
          <w:lang w:val="en-US"/>
        </w:rPr>
        <w:t xml:space="preserve">s </w:t>
      </w:r>
      <w:r>
        <w:rPr>
          <w:rStyle w:val="None"/>
          <w:i w:val="1"/>
          <w:iCs w:val="1"/>
          <w:sz w:val="22"/>
          <w:szCs w:val="22"/>
          <w:rtl w:val="0"/>
          <w:lang w:val="en-US"/>
        </w:rPr>
        <w:t>The Woman</w:t>
      </w:r>
      <w:r>
        <w:rPr>
          <w:rStyle w:val="None"/>
          <w:i w:val="1"/>
          <w:iCs w:val="1"/>
          <w:sz w:val="22"/>
          <w:szCs w:val="22"/>
          <w:rtl w:val="0"/>
          <w:lang w:val="en-US"/>
        </w:rPr>
        <w:t>’</w:t>
      </w:r>
      <w:r>
        <w:rPr>
          <w:rStyle w:val="None"/>
          <w:i w:val="1"/>
          <w:iCs w:val="1"/>
          <w:sz w:val="22"/>
          <w:szCs w:val="22"/>
          <w:rtl w:val="0"/>
          <w:lang w:val="en-US"/>
        </w:rPr>
        <w:t xml:space="preserve">s Bible </w:t>
      </w:r>
      <w:r>
        <w:rPr>
          <w:rStyle w:val="None"/>
          <w:sz w:val="22"/>
          <w:szCs w:val="22"/>
          <w:rtl w:val="0"/>
          <w:lang w:val="en-US"/>
        </w:rPr>
        <w:t>in 1895 and 1898, it has been recognised that the Bible has been used throughout history to legitimise patriarchy.</w:t>
      </w:r>
      <w:r>
        <w:rPr>
          <w:rStyle w:val="None"/>
          <w:sz w:val="22"/>
          <w:szCs w:val="22"/>
          <w:vertAlign w:val="superscript"/>
        </w:rPr>
        <w:footnoteReference w:id="12"/>
      </w:r>
      <w:r>
        <w:rPr>
          <w:rStyle w:val="None"/>
          <w:sz w:val="22"/>
          <w:szCs w:val="22"/>
          <w:rtl w:val="0"/>
          <w:lang w:val="en-US"/>
        </w:rPr>
        <w:t xml:space="preserve"> Not only the biblical texts themselves but also the interpretation of those texts has predominantly belonged to the domain of white, western, educated men.</w:t>
      </w:r>
      <w:r>
        <w:rPr>
          <w:rStyle w:val="None"/>
          <w:sz w:val="22"/>
          <w:szCs w:val="22"/>
          <w:vertAlign w:val="superscript"/>
        </w:rPr>
        <w:footnoteReference w:id="13"/>
      </w:r>
      <w:r>
        <w:rPr>
          <w:rStyle w:val="None"/>
          <w:sz w:val="22"/>
          <w:szCs w:val="22"/>
          <w:rtl w:val="0"/>
          <w:lang w:val="en-US"/>
        </w:rPr>
        <w:t xml:space="preserve"> Thus the majority of biblical interpretation throughout history (even the </w:t>
      </w:r>
      <w:r>
        <w:rPr>
          <w:rStyle w:val="None"/>
          <w:sz w:val="22"/>
          <w:szCs w:val="22"/>
          <w:rtl w:val="0"/>
          <w:lang w:val="en-US"/>
        </w:rPr>
        <w:t>“</w:t>
      </w:r>
      <w:r>
        <w:rPr>
          <w:rStyle w:val="None"/>
          <w:sz w:val="22"/>
          <w:szCs w:val="22"/>
          <w:rtl w:val="0"/>
          <w:lang w:val="en-US"/>
        </w:rPr>
        <w:t>disinterested</w:t>
      </w:r>
      <w:r>
        <w:rPr>
          <w:rStyle w:val="None"/>
          <w:sz w:val="22"/>
          <w:szCs w:val="22"/>
          <w:rtl w:val="0"/>
          <w:lang w:val="en-US"/>
        </w:rPr>
        <w:t xml:space="preserve">” </w:t>
      </w:r>
      <w:r>
        <w:rPr>
          <w:rStyle w:val="None"/>
          <w:sz w:val="22"/>
          <w:szCs w:val="22"/>
          <w:rtl w:val="0"/>
          <w:lang w:val="en-US"/>
        </w:rPr>
        <w:t>scholarship of historical-critical approaches) will by implication be from a male perspective. Engaging and critiquing these issues is one of the hallmarks of a feminist interpretation.</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Whilst feminist interpretation covers a multitude of approaches (reader-response theory; historical, literary, or canonical criticism),</w:t>
      </w:r>
      <w:r>
        <w:rPr>
          <w:rStyle w:val="None"/>
          <w:sz w:val="22"/>
          <w:szCs w:val="22"/>
          <w:vertAlign w:val="superscript"/>
        </w:rPr>
        <w:footnoteReference w:id="14"/>
      </w:r>
      <w:r>
        <w:rPr>
          <w:rStyle w:val="None"/>
          <w:sz w:val="22"/>
          <w:szCs w:val="22"/>
          <w:rtl w:val="0"/>
          <w:lang w:val="en-US"/>
        </w:rPr>
        <w:t xml:space="preserve"> Anthony Thiselton describes four characteristics that are generally shared by feminist hermeneutical approaches:</w:t>
      </w:r>
      <w:r>
        <w:rPr>
          <w:rStyle w:val="None"/>
          <w:sz w:val="22"/>
          <w:szCs w:val="22"/>
          <w:vertAlign w:val="superscript"/>
        </w:rPr>
        <w:footnoteReference w:id="15"/>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First, the starting point is women</w:t>
      </w:r>
      <w:r>
        <w:rPr>
          <w:rStyle w:val="None"/>
          <w:sz w:val="22"/>
          <w:szCs w:val="22"/>
          <w:rtl w:val="0"/>
          <w:lang w:val="en-US"/>
        </w:rPr>
        <w:t>’</w:t>
      </w:r>
      <w:r>
        <w:rPr>
          <w:rStyle w:val="None"/>
          <w:sz w:val="22"/>
          <w:szCs w:val="22"/>
          <w:rtl w:val="0"/>
          <w:lang w:val="en-US"/>
        </w:rPr>
        <w:t>s experience, and second, this experience becomes a critical principle.</w:t>
      </w:r>
      <w:r>
        <w:rPr>
          <w:rStyle w:val="None"/>
          <w:sz w:val="22"/>
          <w:szCs w:val="22"/>
          <w:vertAlign w:val="superscript"/>
        </w:rPr>
        <w:footnoteReference w:id="16"/>
      </w:r>
      <w:r>
        <w:rPr>
          <w:rStyle w:val="None"/>
          <w:outline w:val="0"/>
          <w:color w:val="ff40ff"/>
          <w:sz w:val="22"/>
          <w:szCs w:val="22"/>
          <w:u w:color="ff40ff"/>
          <w:rtl w:val="0"/>
          <w:lang w:val="en-US"/>
          <w14:textFill>
            <w14:solidFill>
              <w14:srgbClr w14:val="FF40FF"/>
            </w14:solidFill>
          </w14:textFill>
        </w:rPr>
        <w:t xml:space="preserve"> </w:t>
      </w:r>
      <w:r>
        <w:rPr>
          <w:rStyle w:val="None"/>
          <w:sz w:val="22"/>
          <w:szCs w:val="22"/>
          <w:rtl w:val="0"/>
          <w:lang w:val="en-US"/>
        </w:rPr>
        <w:t xml:space="preserve">In as much as women have traditionally been excluded from forms of theological reflection, a feminist hermeneutic allows women to bring their social, biological and psychological lived experience to the interpretation of the text.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This leads to, third, the biblical texts being allowed to speak in new ways, and finally the concept of a hopeful eschatology. Exemplified in the work of Letty Russell, the text is seen as a </w:t>
      </w:r>
      <w:r>
        <w:rPr>
          <w:rStyle w:val="None"/>
          <w:sz w:val="22"/>
          <w:szCs w:val="22"/>
          <w:rtl w:val="0"/>
          <w:lang w:val="en-US"/>
        </w:rPr>
        <w:t>“</w:t>
      </w:r>
      <w:r>
        <w:rPr>
          <w:rStyle w:val="None"/>
          <w:sz w:val="22"/>
          <w:szCs w:val="22"/>
          <w:rtl w:val="0"/>
          <w:lang w:val="en-US"/>
        </w:rPr>
        <w:t>memory of the future</w:t>
      </w:r>
      <w:r>
        <w:rPr>
          <w:rStyle w:val="None"/>
          <w:sz w:val="22"/>
          <w:szCs w:val="22"/>
          <w:rtl w:val="0"/>
          <w:lang w:val="en-US"/>
        </w:rPr>
        <w:t xml:space="preserve">” </w:t>
      </w:r>
      <w:r>
        <w:rPr>
          <w:rStyle w:val="None"/>
          <w:sz w:val="22"/>
          <w:szCs w:val="22"/>
          <w:rtl w:val="0"/>
          <w:lang w:val="en-US"/>
        </w:rPr>
        <w:t xml:space="preserve">in which God works to </w:t>
      </w:r>
      <w:r>
        <w:rPr>
          <w:rStyle w:val="None"/>
          <w:sz w:val="22"/>
          <w:szCs w:val="22"/>
          <w:rtl w:val="0"/>
          <w:lang w:val="en-US"/>
        </w:rPr>
        <w:t>“</w:t>
      </w:r>
      <w:r>
        <w:rPr>
          <w:rStyle w:val="None"/>
          <w:sz w:val="22"/>
          <w:szCs w:val="22"/>
          <w:rtl w:val="0"/>
          <w:lang w:val="en-US"/>
        </w:rPr>
        <w:t>mend creation</w:t>
      </w:r>
      <w:r>
        <w:rPr>
          <w:rStyle w:val="None"/>
          <w:sz w:val="22"/>
          <w:szCs w:val="22"/>
          <w:rtl w:val="0"/>
          <w:lang w:val="en-US"/>
        </w:rPr>
        <w:t xml:space="preserve">” </w:t>
      </w:r>
      <w:r>
        <w:rPr>
          <w:rStyle w:val="None"/>
          <w:sz w:val="22"/>
          <w:szCs w:val="22"/>
          <w:rtl w:val="0"/>
          <w:lang w:val="en-US"/>
        </w:rPr>
        <w:t>in spite of the Bible</w:t>
      </w:r>
      <w:r>
        <w:rPr>
          <w:rStyle w:val="None"/>
          <w:sz w:val="22"/>
          <w:szCs w:val="22"/>
          <w:rtl w:val="0"/>
          <w:lang w:val="en-US"/>
        </w:rPr>
        <w:t>’</w:t>
      </w:r>
      <w:r>
        <w:rPr>
          <w:rStyle w:val="None"/>
          <w:sz w:val="22"/>
          <w:szCs w:val="22"/>
          <w:rtl w:val="0"/>
          <w:lang w:val="en-US"/>
        </w:rPr>
        <w:t xml:space="preserve">s </w:t>
      </w:r>
      <w:r>
        <w:rPr>
          <w:rStyle w:val="None"/>
          <w:sz w:val="22"/>
          <w:szCs w:val="22"/>
          <w:rtl w:val="0"/>
          <w:lang w:val="en-US"/>
        </w:rPr>
        <w:t>“</w:t>
      </w:r>
      <w:r>
        <w:rPr>
          <w:rStyle w:val="None"/>
          <w:sz w:val="22"/>
          <w:szCs w:val="22"/>
          <w:rtl w:val="0"/>
          <w:lang w:val="en-US"/>
        </w:rPr>
        <w:t>ancient and patriarchal worldview</w:t>
      </w:r>
      <w:r>
        <w:rPr>
          <w:rStyle w:val="None"/>
          <w:sz w:val="22"/>
          <w:szCs w:val="22"/>
          <w:rtl w:val="0"/>
          <w:lang w:val="en-US"/>
        </w:rPr>
        <w:t>…</w:t>
      </w:r>
      <w:r>
        <w:rPr>
          <w:rStyle w:val="None"/>
          <w:sz w:val="22"/>
          <w:szCs w:val="22"/>
          <w:rtl w:val="0"/>
          <w:lang w:val="en-US"/>
        </w:rPr>
        <w:t>and inconsistencies</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17"/>
      </w: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r>
        <w:rPr>
          <w:rStyle w:val="None"/>
          <w:sz w:val="22"/>
          <w:szCs w:val="22"/>
          <w:rtl w:val="0"/>
          <w:lang w:val="en-US"/>
        </w:rPr>
        <w:t>Whilst there are clearly feminists such as Mary Daly who have rejected the Bible as a text that cannot be redeemed from its patriarchal worldview,</w:t>
      </w:r>
      <w:r>
        <w:rPr>
          <w:rStyle w:val="None"/>
          <w:sz w:val="22"/>
          <w:szCs w:val="22"/>
          <w:vertAlign w:val="superscript"/>
        </w:rPr>
        <w:footnoteReference w:id="18"/>
      </w:r>
      <w:r>
        <w:rPr>
          <w:rStyle w:val="None"/>
          <w:sz w:val="22"/>
          <w:szCs w:val="22"/>
          <w:rtl w:val="0"/>
          <w:lang w:val="en-US"/>
        </w:rPr>
        <w:t xml:space="preserve"> other scholars have developed a variety of approaches that seek to do justice to feminist concerns whilst not (at least completely) rejecting it as an authoritative religious text. In what follows I describe four such approaches from contemporary feminist hermeneutics, aware that there are areas of overlap. </w:t>
      </w: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i w:val="1"/>
          <w:iCs w:val="1"/>
          <w:sz w:val="22"/>
          <w:szCs w:val="22"/>
        </w:rPr>
      </w:pPr>
      <w:r>
        <w:rPr>
          <w:rStyle w:val="None"/>
          <w:i w:val="1"/>
          <w:iCs w:val="1"/>
          <w:sz w:val="22"/>
          <w:szCs w:val="22"/>
          <w:rtl w:val="0"/>
          <w:lang w:val="en-US"/>
        </w:rPr>
        <w:t>A Reinterpretation of Texts.</w:t>
      </w: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r>
        <w:rPr>
          <w:rStyle w:val="None"/>
          <w:sz w:val="22"/>
          <w:szCs w:val="22"/>
          <w:rtl w:val="0"/>
          <w:lang w:val="en-US"/>
        </w:rPr>
        <w:t>In this approach, texts which have traditionally been read as negative towards women are either seen as being interpreted incorrectly or are deemed strictly limited in their application.</w:t>
      </w:r>
      <w:r>
        <w:rPr>
          <w:rStyle w:val="None"/>
          <w:sz w:val="22"/>
          <w:szCs w:val="22"/>
          <w:vertAlign w:val="superscript"/>
        </w:rPr>
        <w:footnoteReference w:id="19"/>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An example would be the creation of Adam and Eve in Genesis 2:18, where God declares </w:t>
      </w:r>
      <w:r>
        <w:rPr>
          <w:rStyle w:val="None"/>
          <w:sz w:val="22"/>
          <w:szCs w:val="22"/>
          <w:rtl w:val="0"/>
          <w:lang w:val="en-US"/>
        </w:rPr>
        <w:t>“</w:t>
      </w:r>
      <w:r>
        <w:rPr>
          <w:rStyle w:val="None"/>
          <w:sz w:val="22"/>
          <w:szCs w:val="22"/>
          <w:rtl w:val="0"/>
          <w:lang w:val="en-US"/>
        </w:rPr>
        <w:t>It is not good for the man to be alone. I will make a helper suitable for him</w:t>
      </w:r>
      <w:r>
        <w:rPr>
          <w:rStyle w:val="None"/>
          <w:sz w:val="22"/>
          <w:szCs w:val="22"/>
          <w:rtl w:val="0"/>
          <w:lang w:val="en-US"/>
        </w:rPr>
        <w:t>”</w:t>
      </w:r>
      <w:r>
        <w:rPr>
          <w:rStyle w:val="None"/>
          <w:sz w:val="22"/>
          <w:szCs w:val="22"/>
          <w:rtl w:val="0"/>
          <w:lang w:val="en-US"/>
        </w:rPr>
        <w:t xml:space="preserve">. The word </w:t>
      </w:r>
      <w:r>
        <w:rPr>
          <w:rStyle w:val="None"/>
          <w:sz w:val="22"/>
          <w:szCs w:val="22"/>
          <w:rtl w:val="0"/>
          <w:lang w:val="en-US"/>
        </w:rPr>
        <w:t>“</w:t>
      </w:r>
      <w:r>
        <w:rPr>
          <w:rStyle w:val="None"/>
          <w:sz w:val="22"/>
          <w:szCs w:val="22"/>
          <w:rtl w:val="0"/>
          <w:lang w:val="en-US"/>
        </w:rPr>
        <w:t>helper</w:t>
      </w:r>
      <w:r>
        <w:rPr>
          <w:rStyle w:val="None"/>
          <w:sz w:val="22"/>
          <w:szCs w:val="22"/>
          <w:rtl w:val="0"/>
          <w:lang w:val="en-US"/>
        </w:rPr>
        <w:t xml:space="preserve">” </w:t>
      </w:r>
      <w:r>
        <w:rPr>
          <w:rStyle w:val="None"/>
          <w:sz w:val="22"/>
          <w:szCs w:val="22"/>
          <w:rtl w:val="0"/>
          <w:lang w:val="en-US"/>
        </w:rPr>
        <w:t xml:space="preserve">in English could be construed as an assistant, someone of lesser status. Yet the Hebrew for </w:t>
      </w:r>
      <w:r>
        <w:rPr>
          <w:rStyle w:val="None"/>
          <w:sz w:val="22"/>
          <w:szCs w:val="22"/>
          <w:rtl w:val="0"/>
          <w:lang w:val="en-US"/>
        </w:rPr>
        <w:t>“</w:t>
      </w:r>
      <w:r>
        <w:rPr>
          <w:rStyle w:val="None"/>
          <w:sz w:val="22"/>
          <w:szCs w:val="22"/>
          <w:rtl w:val="0"/>
          <w:lang w:val="en-US"/>
        </w:rPr>
        <w:t>helper</w:t>
      </w:r>
      <w:r>
        <w:rPr>
          <w:rStyle w:val="None"/>
          <w:sz w:val="22"/>
          <w:szCs w:val="22"/>
          <w:rtl w:val="0"/>
          <w:lang w:val="en-US"/>
        </w:rPr>
        <w:t xml:space="preserve">” </w:t>
      </w:r>
      <w:r>
        <w:rPr>
          <w:rStyle w:val="None"/>
          <w:sz w:val="22"/>
          <w:szCs w:val="22"/>
          <w:rtl w:val="0"/>
          <w:lang w:val="en-US"/>
        </w:rPr>
        <w:t xml:space="preserve">(ezer) is used twenty times in the Hebrew bible, thirteen of which describe God in relation to his people, specifically his ability to save them (e.g. Ps 70:5). Thus </w:t>
      </w:r>
      <w:r>
        <w:rPr>
          <w:rStyle w:val="None"/>
          <w:sz w:val="22"/>
          <w:szCs w:val="22"/>
          <w:rtl w:val="0"/>
          <w:lang w:val="en-US"/>
        </w:rPr>
        <w:t>“</w:t>
      </w:r>
      <w:r>
        <w:rPr>
          <w:rStyle w:val="None"/>
          <w:sz w:val="22"/>
          <w:szCs w:val="22"/>
          <w:rtl w:val="0"/>
          <w:lang w:val="en-US"/>
        </w:rPr>
        <w:t>helper</w:t>
      </w:r>
      <w:r>
        <w:rPr>
          <w:rStyle w:val="None"/>
          <w:sz w:val="22"/>
          <w:szCs w:val="22"/>
          <w:rtl w:val="0"/>
          <w:lang w:val="en-US"/>
        </w:rPr>
        <w:t xml:space="preserve">” </w:t>
      </w:r>
      <w:r>
        <w:rPr>
          <w:rStyle w:val="None"/>
          <w:sz w:val="22"/>
          <w:szCs w:val="22"/>
          <w:rtl w:val="0"/>
          <w:lang w:val="en-US"/>
        </w:rPr>
        <w:t>in this context does not have a connotation of inferiority.</w:t>
      </w:r>
      <w:r>
        <w:rPr>
          <w:rStyle w:val="None"/>
          <w:sz w:val="22"/>
          <w:szCs w:val="22"/>
          <w:vertAlign w:val="superscript"/>
        </w:rPr>
        <w:footnoteReference w:id="20"/>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From the New Testament, there are several Pauline passages that have traditionally been viewed as problematic (e.g. 1 Cor 11:2-16, 14:34-35; Eph 5:21-33; 1 Tim 2:8-15). In his book </w:t>
      </w:r>
      <w:r>
        <w:rPr>
          <w:rStyle w:val="None"/>
          <w:i w:val="1"/>
          <w:iCs w:val="1"/>
          <w:sz w:val="22"/>
          <w:szCs w:val="22"/>
          <w:rtl w:val="0"/>
          <w:lang w:val="en-US"/>
        </w:rPr>
        <w:t xml:space="preserve">Man and Woman, One in Christ </w:t>
      </w:r>
      <w:r>
        <w:rPr>
          <w:rStyle w:val="None"/>
          <w:sz w:val="22"/>
          <w:szCs w:val="22"/>
          <w:rtl w:val="0"/>
          <w:lang w:val="en-US"/>
        </w:rPr>
        <w:t xml:space="preserve">Phillip Payne argues extensively for a re-examination of these passages and that, properly understood, </w:t>
      </w:r>
      <w:r>
        <w:rPr>
          <w:rStyle w:val="None"/>
          <w:sz w:val="22"/>
          <w:szCs w:val="22"/>
          <w:rtl w:val="0"/>
          <w:lang w:val="en-US"/>
        </w:rPr>
        <w:t>“</w:t>
      </w:r>
      <w:r>
        <w:rPr>
          <w:rStyle w:val="None"/>
          <w:sz w:val="22"/>
          <w:szCs w:val="22"/>
          <w:rtl w:val="0"/>
          <w:lang w:val="en-US"/>
        </w:rPr>
        <w:t>Paul consistently champions the equality of man and woman in Christ</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21"/>
      </w:r>
      <w:r>
        <w:rPr>
          <w:rStyle w:val="None"/>
          <w:sz w:val="22"/>
          <w:szCs w:val="22"/>
          <w:rtl w:val="0"/>
          <w:lang w:val="en-US"/>
        </w:rPr>
        <w:t xml:space="preserve"> Perhaps his most thorough treatment is that of 1 Corinthians 14:34-35 (the command against women speaking in church). After an exhaustive consideration of the various options available, Payne concludes that these verses are a later interpolation, based on evidence from early manuscripts and the fact that the command would contradict the earlier instruction regarding prophesy in chapter 11.</w:t>
      </w:r>
      <w:r>
        <w:rPr>
          <w:rStyle w:val="None"/>
          <w:sz w:val="22"/>
          <w:szCs w:val="22"/>
          <w:vertAlign w:val="superscript"/>
        </w:rPr>
        <w:footnoteReference w:id="22"/>
      </w:r>
      <w:r>
        <w:rPr>
          <w:rStyle w:val="None"/>
          <w:sz w:val="22"/>
          <w:szCs w:val="22"/>
          <w:rtl w:val="0"/>
          <w:lang w:val="en-US"/>
        </w:rPr>
        <w:t xml:space="preserve"> It is worth noting that Payne states explicitly that, along with his critical treatment of the text, he considers himself to hold to the inerrancy of scripture.</w:t>
      </w:r>
      <w:r>
        <w:rPr>
          <w:rStyle w:val="None"/>
          <w:sz w:val="22"/>
          <w:szCs w:val="22"/>
          <w:vertAlign w:val="superscript"/>
        </w:rPr>
        <w:footnoteReference w:id="23"/>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This approach of finding affirmative meaning behind apparent misogynistic texts, described as a </w:t>
      </w:r>
      <w:r>
        <w:rPr>
          <w:rStyle w:val="None"/>
          <w:sz w:val="22"/>
          <w:szCs w:val="22"/>
          <w:rtl w:val="0"/>
          <w:lang w:val="en-US"/>
        </w:rPr>
        <w:t>“</w:t>
      </w:r>
      <w:r>
        <w:rPr>
          <w:rStyle w:val="None"/>
          <w:sz w:val="22"/>
          <w:szCs w:val="22"/>
          <w:rtl w:val="0"/>
          <w:lang w:val="en-US"/>
        </w:rPr>
        <w:t>loyalist</w:t>
      </w:r>
      <w:r>
        <w:rPr>
          <w:rStyle w:val="None"/>
          <w:sz w:val="22"/>
          <w:szCs w:val="22"/>
          <w:rtl w:val="0"/>
          <w:lang w:val="en-US"/>
        </w:rPr>
        <w:t xml:space="preserve">” </w:t>
      </w:r>
      <w:r>
        <w:rPr>
          <w:rStyle w:val="None"/>
          <w:sz w:val="22"/>
          <w:szCs w:val="22"/>
          <w:rtl w:val="0"/>
          <w:lang w:val="en-US"/>
        </w:rPr>
        <w:t>position,</w:t>
      </w:r>
      <w:r>
        <w:rPr>
          <w:rStyle w:val="None"/>
          <w:sz w:val="22"/>
          <w:szCs w:val="22"/>
          <w:vertAlign w:val="superscript"/>
        </w:rPr>
        <w:footnoteReference w:id="24"/>
      </w:r>
      <w:r>
        <w:rPr>
          <w:rStyle w:val="None"/>
          <w:sz w:val="22"/>
          <w:szCs w:val="22"/>
          <w:rtl w:val="0"/>
          <w:lang w:val="en-US"/>
        </w:rPr>
        <w:t xml:space="preserve"> is one way in which feminist interpreters can affirm the authority of scripture. Yet  as a feminist hermeneutic (as with the second approach below) it fails to be thoroughly critical of the androcentric nature of much of the biblical material, thus could be considered insufficiently feminist in approach.</w:t>
      </w:r>
      <w:r>
        <w:rPr>
          <w:rStyle w:val="None"/>
          <w:sz w:val="22"/>
          <w:szCs w:val="22"/>
          <w:vertAlign w:val="superscript"/>
        </w:rPr>
        <w:footnoteReference w:id="25"/>
      </w:r>
    </w:p>
    <w:p>
      <w:pPr>
        <w:pStyle w:val="Body A"/>
        <w:spacing w:line="240" w:lineRule="auto"/>
        <w:ind w:firstLine="0"/>
        <w:rPr>
          <w:rStyle w:val="None"/>
          <w:sz w:val="22"/>
          <w:szCs w:val="22"/>
        </w:rPr>
      </w:pPr>
    </w:p>
    <w:p>
      <w:pPr>
        <w:pStyle w:val="Body A"/>
        <w:spacing w:line="240" w:lineRule="auto"/>
        <w:ind w:firstLine="0"/>
        <w:rPr>
          <w:rStyle w:val="None"/>
        </w:rPr>
      </w:pPr>
    </w:p>
    <w:p>
      <w:pPr>
        <w:pStyle w:val="Body A"/>
        <w:spacing w:line="240" w:lineRule="auto"/>
        <w:ind w:firstLine="0"/>
        <w:rPr>
          <w:rStyle w:val="None"/>
          <w:i w:val="1"/>
          <w:iCs w:val="1"/>
          <w:sz w:val="22"/>
          <w:szCs w:val="22"/>
        </w:rPr>
      </w:pPr>
      <w:r>
        <w:rPr>
          <w:rStyle w:val="None"/>
          <w:i w:val="1"/>
          <w:iCs w:val="1"/>
          <w:sz w:val="22"/>
          <w:szCs w:val="22"/>
          <w:rtl w:val="0"/>
          <w:lang w:val="en-US"/>
        </w:rPr>
        <w:t xml:space="preserve">An Emphasis on Texts that are Positive Towards Women. </w:t>
      </w: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r>
        <w:rPr>
          <w:rStyle w:val="None"/>
          <w:sz w:val="22"/>
          <w:szCs w:val="22"/>
          <w:rtl w:val="0"/>
          <w:lang w:val="en-US"/>
        </w:rPr>
        <w:t>Realising that women rarely featured in the retelling of stories from the Christian tradition, one of the early developments in feminist interpretation was that of drawing attention to the various women found in the text.</w:t>
      </w:r>
      <w:r>
        <w:rPr>
          <w:rStyle w:val="None"/>
          <w:sz w:val="22"/>
          <w:szCs w:val="22"/>
          <w:vertAlign w:val="superscript"/>
        </w:rPr>
        <w:footnoteReference w:id="26"/>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In her study of Exodus 1:8-2:10,  Jo Cheryl Exum provides an exegesis from a feminine perspective on the role of several women at the beginning of the Exodus story.</w:t>
      </w:r>
      <w:r>
        <w:rPr>
          <w:rStyle w:val="None"/>
          <w:sz w:val="22"/>
          <w:szCs w:val="22"/>
          <w:vertAlign w:val="superscript"/>
        </w:rPr>
        <w:footnoteReference w:id="27"/>
      </w:r>
      <w:r>
        <w:rPr>
          <w:rStyle w:val="None"/>
          <w:sz w:val="22"/>
          <w:szCs w:val="22"/>
          <w:rtl w:val="0"/>
          <w:lang w:val="en-US"/>
        </w:rPr>
        <w:t xml:space="preserve"> In a bid to control the enlarging Hebrew population, Pharaoh orders that all male children are to be killed. His plan is frustrated first by the Hebrew midwives, then by his own daughter and Moses</w:t>
      </w:r>
      <w:r>
        <w:rPr>
          <w:rStyle w:val="None"/>
          <w:sz w:val="22"/>
          <w:szCs w:val="22"/>
          <w:rtl w:val="0"/>
          <w:lang w:val="en-US"/>
        </w:rPr>
        <w:t>’</w:t>
      </w:r>
      <w:r>
        <w:rPr>
          <w:rStyle w:val="None"/>
          <w:sz w:val="22"/>
          <w:szCs w:val="22"/>
          <w:rtl w:val="0"/>
          <w:lang w:val="en-US"/>
        </w:rPr>
        <w:t xml:space="preserve">s mother. The Exodus narrative, with Moses as the central character, begins with the actions of these women. Exum comments </w:t>
      </w:r>
      <w:r>
        <w:rPr>
          <w:rStyle w:val="None"/>
          <w:sz w:val="22"/>
          <w:szCs w:val="22"/>
          <w:rtl w:val="0"/>
          <w:lang w:val="en-US"/>
        </w:rPr>
        <w:t>“</w:t>
      </w:r>
      <w:r>
        <w:rPr>
          <w:rStyle w:val="None"/>
          <w:sz w:val="22"/>
          <w:szCs w:val="22"/>
          <w:rtl w:val="0"/>
          <w:lang w:val="en-US"/>
        </w:rPr>
        <w:t>without Moses there would be no story, but without the initiative of these women, there would be no Moses</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28"/>
      </w:r>
    </w:p>
    <w:p>
      <w:pPr>
        <w:pStyle w:val="Body A"/>
        <w:spacing w:line="240" w:lineRule="auto"/>
        <w:ind w:firstLine="0"/>
        <w:rPr>
          <w:rStyle w:val="None"/>
          <w:sz w:val="22"/>
          <w:szCs w:val="22"/>
        </w:rPr>
      </w:pPr>
    </w:p>
    <w:p>
      <w:pPr>
        <w:pStyle w:val="Body A"/>
        <w:spacing w:line="240" w:lineRule="auto"/>
        <w:ind w:firstLine="0"/>
        <w:rPr>
          <w:rStyle w:val="None"/>
        </w:rPr>
      </w:pPr>
      <w:r>
        <w:rPr>
          <w:rStyle w:val="None"/>
          <w:sz w:val="22"/>
          <w:szCs w:val="22"/>
          <w:rtl w:val="0"/>
          <w:lang w:val="en-US"/>
        </w:rPr>
        <w:t xml:space="preserve">Importantly for our task, it is not just that these women may be missed in a superficial reading of the Exodus narrative, but the implications of their actions for contemporary feminist interpretation:  </w:t>
      </w:r>
      <w:r>
        <w:rPr>
          <w:rStyle w:val="None"/>
          <w:sz w:val="22"/>
          <w:szCs w:val="22"/>
          <w:rtl w:val="0"/>
          <w:lang w:val="en-US"/>
        </w:rPr>
        <w:t>“</w:t>
      </w:r>
      <w:r>
        <w:rPr>
          <w:rStyle w:val="None"/>
          <w:sz w:val="22"/>
          <w:szCs w:val="22"/>
          <w:rtl w:val="0"/>
          <w:lang w:val="en-US"/>
        </w:rPr>
        <w:t>the courage of women is the beginning of liberation</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29"/>
      </w:r>
    </w:p>
    <w:p>
      <w:pPr>
        <w:pStyle w:val="Body A"/>
        <w:spacing w:line="240" w:lineRule="auto"/>
        <w:ind w:firstLine="0"/>
        <w:rPr>
          <w:rStyle w:val="None"/>
        </w:rPr>
      </w:pPr>
    </w:p>
    <w:p>
      <w:pPr>
        <w:pStyle w:val="Body A"/>
        <w:spacing w:line="240" w:lineRule="auto"/>
        <w:ind w:firstLine="0"/>
        <w:rPr>
          <w:rStyle w:val="None"/>
          <w:sz w:val="22"/>
          <w:szCs w:val="22"/>
          <w:lang w:val="en-US"/>
        </w:rPr>
      </w:pPr>
      <w:r>
        <w:rPr>
          <w:rStyle w:val="None"/>
          <w:sz w:val="22"/>
          <w:szCs w:val="22"/>
          <w:rtl w:val="0"/>
          <w:lang w:val="en-US"/>
        </w:rPr>
        <w:t xml:space="preserve">An example from the New Testament would be Romans 16:7 where Paul names Junia as being </w:t>
      </w:r>
      <w:r>
        <w:rPr>
          <w:rStyle w:val="None"/>
          <w:sz w:val="22"/>
          <w:szCs w:val="22"/>
          <w:rtl w:val="0"/>
          <w:lang w:val="en-US"/>
        </w:rPr>
        <w:t>“</w:t>
      </w:r>
      <w:r>
        <w:rPr>
          <w:rStyle w:val="None"/>
          <w:sz w:val="22"/>
          <w:szCs w:val="22"/>
          <w:rtl w:val="0"/>
          <w:lang w:val="en-US"/>
        </w:rPr>
        <w:t>prominent among the apostles</w:t>
      </w:r>
      <w:r>
        <w:rPr>
          <w:rStyle w:val="None"/>
          <w:sz w:val="22"/>
          <w:szCs w:val="22"/>
          <w:rtl w:val="0"/>
          <w:lang w:val="en-US"/>
        </w:rPr>
        <w:t>”</w:t>
      </w:r>
      <w:r>
        <w:rPr>
          <w:rStyle w:val="None"/>
          <w:sz w:val="22"/>
          <w:szCs w:val="22"/>
          <w:rtl w:val="0"/>
          <w:lang w:val="en-US"/>
        </w:rPr>
        <w:t>. There has been much debate over this verse, specifically over the gender of the aforementioned Junia. Whilst the early church fathers understood the name to be female, during the middle ages it was changed to the masculine. More recently Eldon Epp has strengthened the case that Junia is a woman, given that it was a very common name in the Roman</w:t>
      </w:r>
    </w:p>
    <w:p>
      <w:pPr>
        <w:pStyle w:val="Body A"/>
        <w:spacing w:line="240" w:lineRule="auto"/>
        <w:ind w:firstLine="0"/>
        <w:rPr>
          <w:rStyle w:val="None"/>
          <w:sz w:val="22"/>
          <w:szCs w:val="22"/>
        </w:rPr>
      </w:pPr>
      <w:r>
        <w:rPr>
          <w:rStyle w:val="None"/>
          <w:sz w:val="22"/>
          <w:szCs w:val="22"/>
          <w:rtl w:val="0"/>
          <w:lang w:val="en-US"/>
        </w:rPr>
        <w:t>empire, there are no extant examples of a male Junia anywhere, and Paul addresses both male and female companions throughout Romans 16.</w:t>
      </w:r>
      <w:r>
        <w:rPr>
          <w:rStyle w:val="None"/>
          <w:sz w:val="22"/>
          <w:szCs w:val="22"/>
          <w:vertAlign w:val="superscript"/>
        </w:rPr>
        <w:footnoteReference w:id="30"/>
      </w:r>
      <w:r>
        <w:rPr>
          <w:rStyle w:val="None"/>
          <w:sz w:val="22"/>
          <w:szCs w:val="22"/>
          <w:rtl w:val="0"/>
          <w:lang w:val="en-US"/>
        </w:rPr>
        <w:t xml:space="preserve">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Once more, this is a significant area for feminist hermeneutics as it draws attention to women in the text who have traditionally been glossed over and affirms their status in the various narratives. Yet, as with the first approach, it could be construed as being not sufficiently critical in approach. </w:t>
      </w:r>
    </w:p>
    <w:p>
      <w:pPr>
        <w:pStyle w:val="Body A"/>
        <w:spacing w:line="240" w:lineRule="auto"/>
        <w:ind w:firstLine="0"/>
        <w:rPr>
          <w:rStyle w:val="None"/>
          <w:sz w:val="22"/>
          <w:szCs w:val="22"/>
        </w:rPr>
      </w:pPr>
    </w:p>
    <w:p>
      <w:pPr>
        <w:pStyle w:val="Body A"/>
        <w:spacing w:line="240" w:lineRule="auto"/>
        <w:ind w:firstLine="0"/>
        <w:rPr>
          <w:rStyle w:val="None"/>
          <w:i w:val="1"/>
          <w:iCs w:val="1"/>
          <w:sz w:val="22"/>
          <w:szCs w:val="22"/>
        </w:rPr>
      </w:pPr>
    </w:p>
    <w:p>
      <w:pPr>
        <w:pStyle w:val="Body A"/>
        <w:spacing w:line="240" w:lineRule="auto"/>
        <w:ind w:firstLine="0"/>
        <w:rPr>
          <w:rStyle w:val="None"/>
          <w:i w:val="1"/>
          <w:iCs w:val="1"/>
          <w:sz w:val="22"/>
          <w:szCs w:val="22"/>
        </w:rPr>
      </w:pPr>
      <w:r>
        <w:rPr>
          <w:rStyle w:val="None"/>
          <w:i w:val="1"/>
          <w:iCs w:val="1"/>
          <w:sz w:val="22"/>
          <w:szCs w:val="22"/>
          <w:rtl w:val="0"/>
          <w:lang w:val="en-US"/>
        </w:rPr>
        <w:t xml:space="preserve">Reading Texts of </w:t>
      </w:r>
      <w:r>
        <w:rPr>
          <w:rStyle w:val="None"/>
          <w:i w:val="1"/>
          <w:iCs w:val="1"/>
          <w:sz w:val="22"/>
          <w:szCs w:val="22"/>
          <w:rtl w:val="0"/>
          <w:lang w:val="en-US"/>
        </w:rPr>
        <w:t>“</w:t>
      </w:r>
      <w:r>
        <w:rPr>
          <w:rStyle w:val="None"/>
          <w:i w:val="1"/>
          <w:iCs w:val="1"/>
          <w:sz w:val="22"/>
          <w:szCs w:val="22"/>
          <w:rtl w:val="0"/>
          <w:lang w:val="en-US"/>
        </w:rPr>
        <w:t>Terror</w:t>
      </w:r>
      <w:r>
        <w:rPr>
          <w:rStyle w:val="None"/>
          <w:i w:val="1"/>
          <w:iCs w:val="1"/>
          <w:sz w:val="22"/>
          <w:szCs w:val="22"/>
          <w:rtl w:val="0"/>
          <w:lang w:val="en-US"/>
        </w:rPr>
        <w:t>”</w:t>
      </w:r>
      <w:r>
        <w:rPr>
          <w:rStyle w:val="None"/>
          <w:i w:val="1"/>
          <w:iCs w:val="1"/>
          <w:sz w:val="22"/>
          <w:szCs w:val="22"/>
          <w:rtl w:val="0"/>
          <w:lang w:val="en-US"/>
        </w:rPr>
        <w:t>.</w:t>
      </w: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r>
        <w:rPr>
          <w:rStyle w:val="None"/>
          <w:sz w:val="22"/>
          <w:szCs w:val="22"/>
          <w:rtl w:val="0"/>
          <w:lang w:val="en-US"/>
        </w:rPr>
        <w:t>An approach that differs significantly but is an important part of feminist interpretation is that of drawing upon texts as a contributory force for present feminist concerns.</w:t>
      </w:r>
      <w:r>
        <w:rPr>
          <w:rStyle w:val="None"/>
          <w:sz w:val="22"/>
          <w:szCs w:val="22"/>
          <w:vertAlign w:val="superscript"/>
        </w:rPr>
        <w:footnoteReference w:id="31"/>
      </w:r>
      <w:r>
        <w:rPr>
          <w:rStyle w:val="None"/>
          <w:sz w:val="22"/>
          <w:szCs w:val="22"/>
          <w:rtl w:val="0"/>
          <w:lang w:val="en-US"/>
        </w:rPr>
        <w:t xml:space="preserve"> This is best exemplified by Phyllis Trible in her book </w:t>
      </w:r>
      <w:r>
        <w:rPr>
          <w:rStyle w:val="None"/>
          <w:i w:val="1"/>
          <w:iCs w:val="1"/>
          <w:sz w:val="22"/>
          <w:szCs w:val="22"/>
          <w:rtl w:val="0"/>
          <w:lang w:val="en-US"/>
        </w:rPr>
        <w:t>Texts of Terror</w:t>
      </w:r>
      <w:r>
        <w:rPr>
          <w:rStyle w:val="None"/>
          <w:sz w:val="22"/>
          <w:szCs w:val="22"/>
          <w:rtl w:val="0"/>
          <w:lang w:val="en-US"/>
        </w:rPr>
        <w:t>.</w:t>
      </w:r>
      <w:r>
        <w:rPr>
          <w:rStyle w:val="None"/>
          <w:sz w:val="22"/>
          <w:szCs w:val="22"/>
          <w:vertAlign w:val="superscript"/>
        </w:rPr>
        <w:footnoteReference w:id="32"/>
      </w:r>
      <w:r>
        <w:rPr>
          <w:rStyle w:val="None"/>
          <w:sz w:val="22"/>
          <w:szCs w:val="22"/>
          <w:rtl w:val="0"/>
          <w:lang w:val="en-US"/>
        </w:rPr>
        <w:t xml:space="preserve"> Trible, whose previous work </w:t>
      </w:r>
      <w:r>
        <w:rPr>
          <w:rStyle w:val="None"/>
          <w:i w:val="1"/>
          <w:iCs w:val="1"/>
          <w:sz w:val="22"/>
          <w:szCs w:val="22"/>
          <w:rtl w:val="0"/>
          <w:lang w:val="en-US"/>
        </w:rPr>
        <w:t xml:space="preserve">God and the Rhetoric of Sexuality </w:t>
      </w:r>
      <w:r>
        <w:rPr>
          <w:rStyle w:val="None"/>
          <w:sz w:val="22"/>
          <w:szCs w:val="22"/>
          <w:rtl w:val="0"/>
          <w:lang w:val="en-US"/>
        </w:rPr>
        <w:t>is considered a largely positive engagement with the Bible,</w:t>
      </w:r>
      <w:r>
        <w:rPr>
          <w:rStyle w:val="None"/>
          <w:sz w:val="22"/>
          <w:szCs w:val="22"/>
          <w:vertAlign w:val="superscript"/>
        </w:rPr>
        <w:footnoteReference w:id="33"/>
      </w:r>
      <w:r>
        <w:rPr>
          <w:rStyle w:val="None"/>
          <w:sz w:val="22"/>
          <w:szCs w:val="22"/>
          <w:rtl w:val="0"/>
          <w:lang w:val="en-US"/>
        </w:rPr>
        <w:t xml:space="preserve"> directly addresses four passages found in the Hebrew canon: the rejection of Hagar (Gen 21:9-21), the rape of Tamar (2 Sam 13:1-22) and the rape and killing of two women in the book of Judges (Judg 19:1-30; 11:29-40).</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In contrast to the above approaches where a close examination of certain problematic texts is found to be either affirming or at least neutral towards women, Trible</w:t>
      </w:r>
      <w:r>
        <w:rPr>
          <w:rStyle w:val="None"/>
          <w:sz w:val="22"/>
          <w:szCs w:val="22"/>
          <w:rtl w:val="0"/>
          <w:lang w:val="en-US"/>
        </w:rPr>
        <w:t>’</w:t>
      </w:r>
      <w:r>
        <w:rPr>
          <w:rStyle w:val="None"/>
          <w:sz w:val="22"/>
          <w:szCs w:val="22"/>
          <w:rtl w:val="0"/>
          <w:lang w:val="en-US"/>
        </w:rPr>
        <w:t xml:space="preserve">s careful literary study of these stories </w:t>
      </w:r>
      <w:r>
        <w:rPr>
          <w:rStyle w:val="None"/>
          <w:sz w:val="22"/>
          <w:szCs w:val="22"/>
          <w:rtl w:val="0"/>
          <w:lang w:val="en-US"/>
        </w:rPr>
        <w:t>“</w:t>
      </w:r>
      <w:r>
        <w:rPr>
          <w:rStyle w:val="None"/>
          <w:sz w:val="22"/>
          <w:szCs w:val="22"/>
          <w:rtl w:val="0"/>
          <w:lang w:val="en-US"/>
        </w:rPr>
        <w:t xml:space="preserve">recounts tales of terror </w:t>
      </w:r>
      <w:r>
        <w:rPr>
          <w:rStyle w:val="None"/>
          <w:i w:val="1"/>
          <w:iCs w:val="1"/>
          <w:sz w:val="22"/>
          <w:szCs w:val="22"/>
          <w:rtl w:val="0"/>
          <w:lang w:val="en-US"/>
        </w:rPr>
        <w:t>in memoriam</w:t>
      </w:r>
      <w:r>
        <w:rPr>
          <w:rStyle w:val="None"/>
          <w:sz w:val="22"/>
          <w:szCs w:val="22"/>
          <w:rtl w:val="0"/>
          <w:lang w:val="en-US"/>
        </w:rPr>
        <w:t>…</w:t>
      </w:r>
      <w:r>
        <w:rPr>
          <w:rStyle w:val="None"/>
          <w:sz w:val="22"/>
          <w:szCs w:val="22"/>
          <w:rtl w:val="0"/>
          <w:lang w:val="en-US"/>
        </w:rPr>
        <w:t>.and to pray that these terrors shall not pass again</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34"/>
      </w:r>
      <w:r>
        <w:rPr>
          <w:rStyle w:val="None"/>
          <w:sz w:val="22"/>
          <w:szCs w:val="22"/>
          <w:rtl w:val="0"/>
          <w:lang w:val="en-US"/>
        </w:rPr>
        <w:t xml:space="preserve"> Importantly, she sees this approach as combining both the feminist task of naming and pronouncing judgement on misogyny, and discerning within scripture a critique of patriarchy.</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Her treatment of Judges 19:1-30, in which an unnamed woman is brutally gang raped, killed, then dismembered by her husband, is a prime example of her method. The narrative to the modern reader is shocking enough in its violence, yet Trible draws out subtle details in the text and makes connections to the contemporary scene. The cowardly action of the master in throwing his wife to a mob to save himself (19:25) is heightened by the suggestion he actually killed her (19:29). The revenge inflicted upon the tribe of Benjamin by Israel leads to the abduction of young girls to be given as wives to the male Benjaminite remnant. Trible notes that </w:t>
      </w:r>
      <w:r>
        <w:rPr>
          <w:rStyle w:val="None"/>
          <w:sz w:val="22"/>
          <w:szCs w:val="22"/>
          <w:rtl w:val="0"/>
          <w:lang w:val="en-US"/>
        </w:rPr>
        <w:t>“</w:t>
      </w:r>
      <w:r>
        <w:rPr>
          <w:rStyle w:val="None"/>
          <w:sz w:val="22"/>
          <w:szCs w:val="22"/>
          <w:rtl w:val="0"/>
          <w:lang w:val="en-US"/>
        </w:rPr>
        <w:t>the rape of one has become the rape of six hundred</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35"/>
      </w:r>
      <w:r>
        <w:rPr>
          <w:rStyle w:val="None"/>
          <w:sz w:val="22"/>
          <w:szCs w:val="22"/>
          <w:rtl w:val="0"/>
          <w:lang w:val="en-US"/>
        </w:rPr>
        <w:t xml:space="preserve"> She draws analogies with modern day acts of violence and domestic abuse, making the ancient biblical stories relevant for modern women who suffer as they did.</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She ends each chapter considering the response of the reader, here quoting the words of the Israelites in 19:30: </w:t>
      </w:r>
      <w:r>
        <w:rPr>
          <w:rStyle w:val="None"/>
          <w:sz w:val="22"/>
          <w:szCs w:val="22"/>
          <w:rtl w:val="0"/>
          <w:lang w:val="en-US"/>
        </w:rPr>
        <w:t>“</w:t>
      </w:r>
      <w:r>
        <w:rPr>
          <w:rStyle w:val="None"/>
          <w:sz w:val="22"/>
          <w:szCs w:val="22"/>
          <w:rtl w:val="0"/>
          <w:lang w:val="en-US"/>
        </w:rPr>
        <w:t>consider it, take counsel, and speak out</w:t>
      </w:r>
      <w:r>
        <w:rPr>
          <w:rStyle w:val="None"/>
          <w:sz w:val="22"/>
          <w:szCs w:val="22"/>
          <w:rtl w:val="0"/>
          <w:lang w:val="en-US"/>
        </w:rPr>
        <w:t>”</w:t>
      </w:r>
      <w:r>
        <w:rPr>
          <w:rStyle w:val="None"/>
          <w:sz w:val="22"/>
          <w:szCs w:val="22"/>
          <w:rtl w:val="0"/>
          <w:lang w:val="en-US"/>
        </w:rPr>
        <w:t xml:space="preserve">. For Trible, these </w:t>
      </w:r>
      <w:r>
        <w:rPr>
          <w:rStyle w:val="None"/>
          <w:sz w:val="22"/>
          <w:szCs w:val="22"/>
          <w:rtl w:val="0"/>
          <w:lang w:val="en-US"/>
        </w:rPr>
        <w:t>“</w:t>
      </w:r>
      <w:r>
        <w:rPr>
          <w:rStyle w:val="None"/>
          <w:sz w:val="22"/>
          <w:szCs w:val="22"/>
          <w:rtl w:val="0"/>
          <w:lang w:val="en-US"/>
        </w:rPr>
        <w:t>texts of terror</w:t>
      </w:r>
      <w:r>
        <w:rPr>
          <w:rStyle w:val="None"/>
          <w:sz w:val="22"/>
          <w:szCs w:val="22"/>
          <w:rtl w:val="0"/>
          <w:lang w:val="en-US"/>
        </w:rPr>
        <w:t xml:space="preserve">” </w:t>
      </w:r>
      <w:r>
        <w:rPr>
          <w:rStyle w:val="None"/>
          <w:sz w:val="22"/>
          <w:szCs w:val="22"/>
          <w:rtl w:val="0"/>
          <w:lang w:val="en-US"/>
        </w:rPr>
        <w:t xml:space="preserve">can  still function as authoritative words precisely because they find resonance with the plight of modern women, and drive the reader to act on their behalf.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Trible provides an example of how derogatory biblical texts (indeed in </w:t>
      </w:r>
      <w:r>
        <w:rPr>
          <w:rStyle w:val="None"/>
          <w:i w:val="1"/>
          <w:iCs w:val="1"/>
          <w:sz w:val="22"/>
          <w:szCs w:val="22"/>
          <w:rtl w:val="0"/>
          <w:lang w:val="en-US"/>
        </w:rPr>
        <w:t xml:space="preserve">Texts of Terror </w:t>
      </w:r>
      <w:r>
        <w:rPr>
          <w:rStyle w:val="None"/>
          <w:sz w:val="22"/>
          <w:szCs w:val="22"/>
          <w:rtl w:val="0"/>
          <w:lang w:val="en-US"/>
        </w:rPr>
        <w:t>she has deliberately chosen the most shocking stories in the canon) can nevertheless be used in the interest of feminism, precisely because of the nature of such narratives. She does not employ a critical hermeneutic so much as a literary analysis, and allows the text to speak for itself. Thus she is able to draw connections between women suffering in the Bible and women suffering in today</w:t>
      </w:r>
      <w:r>
        <w:rPr>
          <w:rStyle w:val="None"/>
          <w:sz w:val="22"/>
          <w:szCs w:val="22"/>
          <w:rtl w:val="0"/>
          <w:lang w:val="en-US"/>
        </w:rPr>
        <w:t>’</w:t>
      </w:r>
      <w:r>
        <w:rPr>
          <w:rStyle w:val="None"/>
          <w:sz w:val="22"/>
          <w:szCs w:val="22"/>
          <w:rtl w:val="0"/>
          <w:lang w:val="en-US"/>
        </w:rPr>
        <w:t>s world, as an act of solidarity and in the hope that naming the horror will take steps towards ceasing it.</w:t>
      </w: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i w:val="1"/>
          <w:iCs w:val="1"/>
          <w:sz w:val="22"/>
          <w:szCs w:val="22"/>
        </w:rPr>
      </w:pPr>
    </w:p>
    <w:p>
      <w:pPr>
        <w:pStyle w:val="Body A"/>
        <w:spacing w:line="240" w:lineRule="auto"/>
        <w:ind w:firstLine="0"/>
        <w:rPr>
          <w:rStyle w:val="None"/>
          <w:i w:val="1"/>
          <w:iCs w:val="1"/>
          <w:sz w:val="22"/>
          <w:szCs w:val="22"/>
        </w:rPr>
      </w:pPr>
      <w:r>
        <w:rPr>
          <w:rStyle w:val="None"/>
          <w:i w:val="1"/>
          <w:iCs w:val="1"/>
          <w:sz w:val="22"/>
          <w:szCs w:val="22"/>
          <w:rtl w:val="0"/>
          <w:lang w:val="en-US"/>
        </w:rPr>
        <w:t>Historical Reconstruction of the Early Church.</w:t>
      </w: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r>
        <w:rPr>
          <w:rStyle w:val="None"/>
          <w:sz w:val="22"/>
          <w:szCs w:val="22"/>
          <w:rtl w:val="0"/>
          <w:lang w:val="en-US"/>
        </w:rPr>
        <w:t xml:space="preserve">This approach is largely associated with Catholic New Testament scholar Elizabeth </w:t>
      </w:r>
      <w:r>
        <w:rPr>
          <w:rStyle w:val="None"/>
          <w:sz w:val="22"/>
          <w:szCs w:val="22"/>
          <w:rtl w:val="0"/>
          <w:lang w:val="de-DE"/>
        </w:rPr>
        <w:t>Sch</w:t>
      </w:r>
      <w:r>
        <w:rPr>
          <w:rStyle w:val="None"/>
          <w:sz w:val="22"/>
          <w:szCs w:val="22"/>
          <w:rtl w:val="0"/>
        </w:rPr>
        <w:t>ü</w:t>
      </w:r>
      <w:r>
        <w:rPr>
          <w:rStyle w:val="None"/>
          <w:sz w:val="22"/>
          <w:szCs w:val="22"/>
          <w:rtl w:val="0"/>
          <w:lang w:val="da-DK"/>
        </w:rPr>
        <w:t>ssler</w:t>
      </w:r>
      <w:r>
        <w:rPr>
          <w:rStyle w:val="None"/>
          <w:sz w:val="22"/>
          <w:szCs w:val="22"/>
          <w:rtl w:val="0"/>
          <w:lang w:val="en-US"/>
        </w:rPr>
        <w:t xml:space="preserve"> Fiorenza, who without question is considered to be the most influential scholar in the field of feminist biblical hermeneutics.</w:t>
      </w:r>
      <w:r>
        <w:rPr>
          <w:rStyle w:val="None"/>
          <w:sz w:val="22"/>
          <w:szCs w:val="22"/>
          <w:vertAlign w:val="superscript"/>
        </w:rPr>
        <w:footnoteReference w:id="36"/>
      </w:r>
      <w:r>
        <w:rPr>
          <w:rStyle w:val="None"/>
          <w:sz w:val="22"/>
          <w:szCs w:val="22"/>
          <w:rtl w:val="0"/>
          <w:lang w:val="en-US"/>
        </w:rPr>
        <w:t xml:space="preserve"> Whilst her work is diverse and covers various areas of theology, she is best known for developing a </w:t>
      </w:r>
      <w:r>
        <w:rPr>
          <w:rStyle w:val="None"/>
          <w:sz w:val="22"/>
          <w:szCs w:val="22"/>
          <w:rtl w:val="0"/>
          <w:lang w:val="en-US"/>
        </w:rPr>
        <w:t>“</w:t>
      </w:r>
      <w:r>
        <w:rPr>
          <w:rStyle w:val="None"/>
          <w:sz w:val="22"/>
          <w:szCs w:val="22"/>
          <w:rtl w:val="0"/>
          <w:lang w:val="en-US"/>
        </w:rPr>
        <w:t>hermeneutic of suspicion</w:t>
      </w:r>
      <w:r>
        <w:rPr>
          <w:rStyle w:val="None"/>
          <w:sz w:val="22"/>
          <w:szCs w:val="22"/>
          <w:rtl w:val="0"/>
          <w:lang w:val="en-US"/>
        </w:rPr>
        <w:t xml:space="preserve">” </w:t>
      </w:r>
      <w:r>
        <w:rPr>
          <w:rStyle w:val="None"/>
          <w:sz w:val="22"/>
          <w:szCs w:val="22"/>
          <w:rtl w:val="0"/>
          <w:lang w:val="en-US"/>
        </w:rPr>
        <w:t xml:space="preserve">towards the New Testament, and describes her own approach as a </w:t>
      </w:r>
      <w:r>
        <w:rPr>
          <w:rStyle w:val="None"/>
          <w:sz w:val="22"/>
          <w:szCs w:val="22"/>
          <w:rtl w:val="0"/>
          <w:lang w:val="en-US"/>
        </w:rPr>
        <w:t>“</w:t>
      </w:r>
      <w:r>
        <w:rPr>
          <w:rStyle w:val="None"/>
          <w:sz w:val="22"/>
          <w:szCs w:val="22"/>
          <w:rtl w:val="0"/>
          <w:lang w:val="en-US"/>
        </w:rPr>
        <w:t>feminist critical theology of liberation</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37"/>
      </w:r>
      <w:r>
        <w:rPr>
          <w:rStyle w:val="None"/>
          <w:sz w:val="22"/>
          <w:szCs w:val="22"/>
          <w:rtl w:val="0"/>
          <w:lang w:val="en-US"/>
        </w:rPr>
        <w:t xml:space="preserve">  and a shift from </w:t>
      </w:r>
      <w:r>
        <w:rPr>
          <w:rStyle w:val="None"/>
          <w:sz w:val="22"/>
          <w:szCs w:val="22"/>
          <w:rtl w:val="0"/>
          <w:lang w:val="en-US"/>
        </w:rPr>
        <w:t>“</w:t>
      </w:r>
      <w:r>
        <w:rPr>
          <w:rStyle w:val="None"/>
          <w:sz w:val="22"/>
          <w:szCs w:val="22"/>
          <w:rtl w:val="0"/>
          <w:lang w:val="en-US"/>
        </w:rPr>
        <w:t>understanding the Bible as archetypal myth to understanding it as historical prototype</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38"/>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In her landmark work </w:t>
      </w:r>
      <w:r>
        <w:rPr>
          <w:rStyle w:val="None"/>
          <w:i w:val="1"/>
          <w:iCs w:val="1"/>
          <w:sz w:val="22"/>
          <w:szCs w:val="22"/>
          <w:rtl w:val="0"/>
          <w:lang w:val="en-US"/>
        </w:rPr>
        <w:t>In Memory of Her</w:t>
      </w:r>
      <w:r>
        <w:rPr>
          <w:rStyle w:val="None"/>
          <w:sz w:val="22"/>
          <w:szCs w:val="22"/>
          <w:rtl w:val="0"/>
          <w:lang w:val="en-US"/>
        </w:rPr>
        <w:t>, she begins with the ironic observation that the identity of the woman who anointed Jesus</w:t>
      </w:r>
      <w:r>
        <w:rPr>
          <w:rStyle w:val="None"/>
          <w:sz w:val="22"/>
          <w:szCs w:val="22"/>
          <w:rtl w:val="0"/>
          <w:lang w:val="en-US"/>
        </w:rPr>
        <w:t xml:space="preserve">’ </w:t>
      </w:r>
      <w:r>
        <w:rPr>
          <w:rStyle w:val="None"/>
          <w:sz w:val="22"/>
          <w:szCs w:val="22"/>
          <w:rtl w:val="0"/>
          <w:lang w:val="en-US"/>
        </w:rPr>
        <w:t xml:space="preserve">feet in Mark 14:9, of whom Jesus says </w:t>
      </w:r>
      <w:r>
        <w:rPr>
          <w:rStyle w:val="None"/>
          <w:sz w:val="22"/>
          <w:szCs w:val="22"/>
          <w:rtl w:val="0"/>
          <w:lang w:val="en-US"/>
        </w:rPr>
        <w:t>“</w:t>
      </w:r>
      <w:r>
        <w:rPr>
          <w:rStyle w:val="None"/>
          <w:sz w:val="22"/>
          <w:szCs w:val="22"/>
          <w:rtl w:val="0"/>
          <w:lang w:val="en-US"/>
        </w:rPr>
        <w:t>wherever the gospel is preached in the whole world, what she has done will be told in memory of her</w:t>
      </w:r>
      <w:r>
        <w:rPr>
          <w:rStyle w:val="None"/>
          <w:sz w:val="22"/>
          <w:szCs w:val="22"/>
          <w:rtl w:val="0"/>
          <w:lang w:val="en-US"/>
        </w:rPr>
        <w:t>”</w:t>
      </w:r>
      <w:r>
        <w:rPr>
          <w:rStyle w:val="None"/>
          <w:sz w:val="22"/>
          <w:szCs w:val="22"/>
          <w:rtl w:val="0"/>
          <w:lang w:val="en-US"/>
        </w:rPr>
        <w:t>, is unknown to us.</w:t>
      </w:r>
      <w:r>
        <w:rPr>
          <w:rStyle w:val="None"/>
          <w:sz w:val="22"/>
          <w:szCs w:val="22"/>
          <w:vertAlign w:val="superscript"/>
        </w:rPr>
        <w:footnoteReference w:id="39"/>
      </w:r>
      <w:r>
        <w:rPr>
          <w:rStyle w:val="None"/>
          <w:sz w:val="22"/>
          <w:szCs w:val="22"/>
          <w:rtl w:val="0"/>
          <w:lang w:val="en-US"/>
        </w:rPr>
        <w:t xml:space="preserve"> Her name is lost precisely because she is a woman. This sets the tone of  </w:t>
      </w:r>
      <w:r>
        <w:rPr>
          <w:rStyle w:val="None"/>
          <w:sz w:val="22"/>
          <w:szCs w:val="22"/>
          <w:rtl w:val="0"/>
          <w:lang w:val="de-DE"/>
        </w:rPr>
        <w:t>Sch</w:t>
      </w:r>
      <w:r>
        <w:rPr>
          <w:rStyle w:val="None"/>
          <w:sz w:val="22"/>
          <w:szCs w:val="22"/>
          <w:rtl w:val="0"/>
        </w:rPr>
        <w:t>ü</w:t>
      </w:r>
      <w:r>
        <w:rPr>
          <w:rStyle w:val="None"/>
          <w:sz w:val="22"/>
          <w:szCs w:val="22"/>
          <w:rtl w:val="0"/>
          <w:lang w:val="da-DK"/>
        </w:rPr>
        <w:t>ssler</w:t>
      </w:r>
      <w:r>
        <w:rPr>
          <w:rStyle w:val="None"/>
          <w:sz w:val="22"/>
          <w:szCs w:val="22"/>
          <w:rtl w:val="0"/>
          <w:lang w:val="en-US"/>
        </w:rPr>
        <w:t xml:space="preserve"> Fiorenza</w:t>
      </w:r>
      <w:r>
        <w:rPr>
          <w:rStyle w:val="None"/>
          <w:sz w:val="22"/>
          <w:szCs w:val="22"/>
          <w:rtl w:val="0"/>
          <w:lang w:val="en-US"/>
        </w:rPr>
        <w:t>’</w:t>
      </w:r>
      <w:r>
        <w:rPr>
          <w:rStyle w:val="None"/>
          <w:sz w:val="22"/>
          <w:szCs w:val="22"/>
          <w:rtl w:val="0"/>
          <w:lang w:val="en-US"/>
        </w:rPr>
        <w:t xml:space="preserve">s thesis, which is to historically reconstruct a vision of the early church initiated by Jesus as a </w:t>
      </w:r>
      <w:r>
        <w:rPr>
          <w:rStyle w:val="None"/>
          <w:sz w:val="22"/>
          <w:szCs w:val="22"/>
          <w:rtl w:val="0"/>
          <w:lang w:val="en-US"/>
        </w:rPr>
        <w:t>“</w:t>
      </w:r>
      <w:r>
        <w:rPr>
          <w:rStyle w:val="None"/>
          <w:sz w:val="22"/>
          <w:szCs w:val="22"/>
          <w:rtl w:val="0"/>
          <w:lang w:val="en-US"/>
        </w:rPr>
        <w:t>movement of equals</w:t>
      </w:r>
      <w:r>
        <w:rPr>
          <w:rStyle w:val="None"/>
          <w:sz w:val="22"/>
          <w:szCs w:val="22"/>
          <w:rtl w:val="0"/>
          <w:lang w:val="en-US"/>
        </w:rPr>
        <w:t>”</w:t>
      </w:r>
      <w:r>
        <w:rPr>
          <w:rStyle w:val="None"/>
          <w:sz w:val="22"/>
          <w:szCs w:val="22"/>
          <w:vertAlign w:val="superscript"/>
        </w:rPr>
        <w:footnoteReference w:id="40"/>
      </w:r>
      <w:r>
        <w:rPr>
          <w:rStyle w:val="None"/>
          <w:sz w:val="22"/>
          <w:szCs w:val="22"/>
          <w:rtl w:val="0"/>
          <w:lang w:val="en-US"/>
        </w:rPr>
        <w:t xml:space="preserve">.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The thrust of her approach is that what we read on the surface of the text is not the full story. The movement initiated by Jesus was of an egalitarian community, with women as prominent leaders in the church. However, because of the androcentric nature of the historical sources, the key roles of such women are lost to us and </w:t>
      </w:r>
      <w:r>
        <w:rPr>
          <w:rStyle w:val="None"/>
          <w:sz w:val="22"/>
          <w:szCs w:val="22"/>
          <w:rtl w:val="0"/>
          <w:lang w:val="en-US"/>
        </w:rPr>
        <w:t>“</w:t>
      </w:r>
      <w:r>
        <w:rPr>
          <w:rStyle w:val="None"/>
          <w:sz w:val="22"/>
          <w:szCs w:val="22"/>
          <w:rtl w:val="0"/>
          <w:lang w:val="en-US"/>
        </w:rPr>
        <w:t>historical imagination</w:t>
      </w:r>
      <w:r>
        <w:rPr>
          <w:rStyle w:val="None"/>
          <w:sz w:val="22"/>
          <w:szCs w:val="22"/>
          <w:rtl w:val="0"/>
          <w:lang w:val="en-US"/>
        </w:rPr>
        <w:t xml:space="preserve">” </w:t>
      </w:r>
      <w:r>
        <w:rPr>
          <w:rStyle w:val="None"/>
          <w:sz w:val="22"/>
          <w:szCs w:val="22"/>
          <w:rtl w:val="0"/>
          <w:lang w:val="en-US"/>
        </w:rPr>
        <w:t>is required to reconstruct the true picture.</w:t>
      </w:r>
      <w:r>
        <w:rPr>
          <w:rStyle w:val="None"/>
          <w:sz w:val="22"/>
          <w:szCs w:val="22"/>
          <w:vertAlign w:val="superscript"/>
        </w:rPr>
        <w:footnoteReference w:id="41"/>
      </w:r>
      <w:r>
        <w:rPr>
          <w:rStyle w:val="None"/>
          <w:sz w:val="22"/>
          <w:szCs w:val="22"/>
          <w:rtl w:val="0"/>
          <w:lang w:val="en-US"/>
        </w:rPr>
        <w:t xml:space="preserve"> She uses both the New Testament and extra biblical texts in her reconstruction.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Whilst sharing some of the features of the above examples (drawing attention to women in the texts; re-interpretation of texts), her historical reconstruction is not without criticism. Loades suggests her positive hope for the future may lead her to find more in history than is actually there,</w:t>
      </w:r>
      <w:r>
        <w:rPr>
          <w:rStyle w:val="None"/>
          <w:sz w:val="22"/>
          <w:szCs w:val="22"/>
          <w:vertAlign w:val="superscript"/>
        </w:rPr>
        <w:footnoteReference w:id="42"/>
      </w:r>
      <w:r>
        <w:rPr>
          <w:rStyle w:val="None"/>
          <w:sz w:val="22"/>
          <w:szCs w:val="22"/>
          <w:rtl w:val="0"/>
          <w:lang w:val="en-US"/>
        </w:rPr>
        <w:t xml:space="preserve"> whilst Robert  Letham is somewhat more critical in accusing her of excessive imagination over historical accuracy.</w:t>
      </w:r>
      <w:r>
        <w:rPr>
          <w:rStyle w:val="None"/>
          <w:sz w:val="22"/>
          <w:szCs w:val="22"/>
          <w:vertAlign w:val="superscript"/>
        </w:rPr>
        <w:footnoteReference w:id="43"/>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Nevertheless, I concur with her basic premise that women have, to various degrees, been omitted from the texts. One obvious example would suffice. In all four canonical gospels women play a prominent role in the discovery of the empty tomb, yet in Pauls</w:t>
      </w:r>
      <w:r>
        <w:rPr>
          <w:rStyle w:val="None"/>
          <w:sz w:val="22"/>
          <w:szCs w:val="22"/>
          <w:rtl w:val="0"/>
          <w:lang w:val="en-US"/>
        </w:rPr>
        <w:t xml:space="preserve">’ </w:t>
      </w:r>
      <w:r>
        <w:rPr>
          <w:rStyle w:val="None"/>
          <w:sz w:val="22"/>
          <w:szCs w:val="22"/>
          <w:rtl w:val="0"/>
          <w:lang w:val="en-US"/>
        </w:rPr>
        <w:t xml:space="preserve">first letter to the Corinthians he does not list them as witnesses to the risen Jesus (1Cor 15:3-8). Wright argues, cogently and on historical grounds, that they were taken out of the tradition for </w:t>
      </w:r>
      <w:r>
        <w:rPr>
          <w:rStyle w:val="None"/>
          <w:sz w:val="22"/>
          <w:szCs w:val="22"/>
          <w:rtl w:val="0"/>
          <w:lang w:val="en-US"/>
        </w:rPr>
        <w:t>“</w:t>
      </w:r>
      <w:r>
        <w:rPr>
          <w:rStyle w:val="None"/>
          <w:sz w:val="22"/>
          <w:szCs w:val="22"/>
          <w:rtl w:val="0"/>
          <w:lang w:val="en-US"/>
        </w:rPr>
        <w:t>evangelistic and apologetic use</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44"/>
      </w:r>
      <w:r>
        <w:rPr>
          <w:rStyle w:val="None"/>
          <w:sz w:val="22"/>
          <w:szCs w:val="22"/>
          <w:rtl w:val="0"/>
          <w:lang w:val="en-US"/>
        </w:rPr>
        <w:t xml:space="preserve"> It simply would not make sense, in the patriarchal culture of the first century, to invent a later story of women finding an empty tomb, but perfect sense that they originally did so and were later omitted from the tradition. If we have a such a firm example within the canon of women being silenced, we must at least be open to the possibilities that there are more.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Unlike the other approaches </w:t>
      </w:r>
      <w:r>
        <w:rPr>
          <w:rStyle w:val="None"/>
          <w:sz w:val="22"/>
          <w:szCs w:val="22"/>
          <w:rtl w:val="0"/>
          <w:lang w:val="de-DE"/>
        </w:rPr>
        <w:t>Sch</w:t>
      </w:r>
      <w:r>
        <w:rPr>
          <w:rStyle w:val="None"/>
          <w:sz w:val="22"/>
          <w:szCs w:val="22"/>
          <w:rtl w:val="0"/>
        </w:rPr>
        <w:t>ü</w:t>
      </w:r>
      <w:r>
        <w:rPr>
          <w:rStyle w:val="None"/>
          <w:sz w:val="22"/>
          <w:szCs w:val="22"/>
          <w:rtl w:val="0"/>
          <w:lang w:val="it-IT"/>
        </w:rPr>
        <w:t>ssler Fiorenza</w:t>
      </w:r>
      <w:r>
        <w:rPr>
          <w:rStyle w:val="None"/>
          <w:sz w:val="22"/>
          <w:szCs w:val="22"/>
          <w:rtl w:val="0"/>
          <w:lang w:val="en-US"/>
        </w:rPr>
        <w:t xml:space="preserve"> is clearly the most critical of the text in using an unapologetic hermeneutic of suspicion. Yet in so doing she has made an invaluable contribution to feminist interpretation, and one that she feels can stay within the community of Christian faith and hold to a view of biblical authority. </w:t>
      </w: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i w:val="1"/>
          <w:iCs w:val="1"/>
          <w:sz w:val="22"/>
          <w:szCs w:val="22"/>
        </w:rPr>
      </w:pPr>
    </w:p>
    <w:p>
      <w:pPr>
        <w:pStyle w:val="Body A"/>
        <w:spacing w:line="240" w:lineRule="auto"/>
        <w:ind w:firstLine="0"/>
        <w:rPr>
          <w:rStyle w:val="None"/>
          <w:i w:val="1"/>
          <w:iCs w:val="1"/>
          <w:sz w:val="22"/>
          <w:szCs w:val="22"/>
        </w:rPr>
      </w:pPr>
      <w:r>
        <w:rPr>
          <w:rStyle w:val="None"/>
          <w:i w:val="1"/>
          <w:iCs w:val="1"/>
          <w:sz w:val="22"/>
          <w:szCs w:val="22"/>
          <w:rtl w:val="0"/>
          <w:lang w:val="en-US"/>
        </w:rPr>
        <w:t>Conclusions.</w:t>
      </w: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r>
        <w:rPr>
          <w:rStyle w:val="None"/>
          <w:sz w:val="22"/>
          <w:szCs w:val="22"/>
          <w:rtl w:val="0"/>
          <w:lang w:val="en-US"/>
        </w:rPr>
        <w:t xml:space="preserve">I began with a consideration of what the term </w:t>
      </w:r>
      <w:r>
        <w:rPr>
          <w:rStyle w:val="None"/>
          <w:sz w:val="22"/>
          <w:szCs w:val="22"/>
          <w:rtl w:val="0"/>
          <w:lang w:val="en-US"/>
        </w:rPr>
        <w:t>“</w:t>
      </w:r>
      <w:r>
        <w:rPr>
          <w:rStyle w:val="None"/>
          <w:sz w:val="22"/>
          <w:szCs w:val="22"/>
          <w:rtl w:val="0"/>
          <w:lang w:val="en-US"/>
        </w:rPr>
        <w:t>biblical authority</w:t>
      </w:r>
      <w:r>
        <w:rPr>
          <w:rStyle w:val="None"/>
          <w:sz w:val="22"/>
          <w:szCs w:val="22"/>
          <w:rtl w:val="0"/>
          <w:lang w:val="en-US"/>
        </w:rPr>
        <w:t xml:space="preserve">” </w:t>
      </w:r>
      <w:r>
        <w:rPr>
          <w:rStyle w:val="None"/>
          <w:sz w:val="22"/>
          <w:szCs w:val="22"/>
          <w:rtl w:val="0"/>
          <w:lang w:val="en-US"/>
        </w:rPr>
        <w:t>entails: that it should be understood as God</w:t>
      </w:r>
      <w:r>
        <w:rPr>
          <w:rStyle w:val="None"/>
          <w:sz w:val="22"/>
          <w:szCs w:val="22"/>
          <w:rtl w:val="0"/>
          <w:lang w:val="en-US"/>
        </w:rPr>
        <w:t>’</w:t>
      </w:r>
      <w:r>
        <w:rPr>
          <w:rStyle w:val="None"/>
          <w:sz w:val="22"/>
          <w:szCs w:val="22"/>
          <w:rtl w:val="0"/>
          <w:lang w:val="en-US"/>
        </w:rPr>
        <w:t>s authority and not intrinsic to the text per se; that any notion of biblical authority should be congruent with the nature of God revealed in Jesus Christ; and that authority (in line with 2Tim 3:16) should be functional and for the purpose of the community of faith to do good works.</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I then broadly outlined some features of feminist interpretation and described four different approaches of feminist scholars to the biblical texts. In view of the above, is it possible to hold on to both feminism and a belief in biblical authority?</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On the one hand, feminists such Mary Daly would clearly answer no, seeing the bible as so thoroughly androcentric that it cannot be retrieved from being a text of female oppression.</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However the scholars discussed above continue to be active members of the Christian faith and, as such, hold to a view of biblical authority that does not negate their feminist convictions. The key issue is, again, our understanding of </w:t>
      </w:r>
      <w:r>
        <w:rPr>
          <w:rStyle w:val="None"/>
          <w:sz w:val="22"/>
          <w:szCs w:val="22"/>
          <w:rtl w:val="0"/>
          <w:lang w:val="en-US"/>
        </w:rPr>
        <w:t>“</w:t>
      </w:r>
      <w:r>
        <w:rPr>
          <w:rStyle w:val="None"/>
          <w:sz w:val="22"/>
          <w:szCs w:val="22"/>
          <w:rtl w:val="0"/>
          <w:lang w:val="en-US"/>
        </w:rPr>
        <w:t>authority</w:t>
      </w:r>
      <w:r>
        <w:rPr>
          <w:rStyle w:val="None"/>
          <w:sz w:val="22"/>
          <w:szCs w:val="22"/>
          <w:rtl w:val="0"/>
          <w:lang w:val="en-US"/>
        </w:rPr>
        <w:t>”</w:t>
      </w:r>
      <w:r>
        <w:rPr>
          <w:rStyle w:val="None"/>
          <w:sz w:val="22"/>
          <w:szCs w:val="22"/>
          <w:rtl w:val="0"/>
          <w:lang w:val="en-US"/>
        </w:rPr>
        <w:t xml:space="preserve">. As stated, the starting point for much of feminist hermeneutics is the lived experience of women and an understanding of God as the liberator. This leads many feminist interpreters to develop a </w:t>
      </w:r>
      <w:r>
        <w:rPr>
          <w:rStyle w:val="None"/>
          <w:sz w:val="22"/>
          <w:szCs w:val="22"/>
          <w:rtl w:val="0"/>
          <w:lang w:val="en-US"/>
        </w:rPr>
        <w:t>“</w:t>
      </w:r>
      <w:r>
        <w:rPr>
          <w:rStyle w:val="None"/>
          <w:sz w:val="22"/>
          <w:szCs w:val="22"/>
          <w:rtl w:val="0"/>
          <w:lang w:val="en-US"/>
        </w:rPr>
        <w:t>canon within the canon</w:t>
      </w:r>
      <w:r>
        <w:rPr>
          <w:rStyle w:val="None"/>
          <w:sz w:val="22"/>
          <w:szCs w:val="22"/>
          <w:rtl w:val="0"/>
          <w:lang w:val="en-US"/>
        </w:rPr>
        <w:t>”</w:t>
      </w:r>
      <w:r>
        <w:rPr>
          <w:rStyle w:val="None"/>
          <w:sz w:val="22"/>
          <w:szCs w:val="22"/>
          <w:rtl w:val="0"/>
          <w:lang w:val="en-US"/>
        </w:rPr>
        <w:t>, where texts that are deemed misogynistic are declared not to have authority.</w:t>
      </w:r>
      <w:r>
        <w:rPr>
          <w:rStyle w:val="None"/>
          <w:sz w:val="22"/>
          <w:szCs w:val="22"/>
          <w:vertAlign w:val="superscript"/>
        </w:rPr>
        <w:footnoteReference w:id="45"/>
      </w:r>
      <w:r>
        <w:rPr>
          <w:rStyle w:val="None"/>
          <w:sz w:val="22"/>
          <w:szCs w:val="22"/>
          <w:rtl w:val="0"/>
          <w:lang w:val="en-US"/>
        </w:rPr>
        <w:t xml:space="preserve"> Thus God</w:t>
      </w:r>
      <w:r>
        <w:rPr>
          <w:rStyle w:val="None"/>
          <w:sz w:val="22"/>
          <w:szCs w:val="22"/>
          <w:rtl w:val="0"/>
          <w:lang w:val="en-US"/>
        </w:rPr>
        <w:t>’</w:t>
      </w:r>
      <w:r>
        <w:rPr>
          <w:rStyle w:val="None"/>
          <w:sz w:val="22"/>
          <w:szCs w:val="22"/>
          <w:rtl w:val="0"/>
          <w:lang w:val="en-US"/>
        </w:rPr>
        <w:t xml:space="preserve">s authority as liberator takes precedence over any authority of an oppressive text.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This stance can obviously be seen as problematic. Letham, in critiquing </w:t>
      </w:r>
      <w:r>
        <w:rPr>
          <w:rStyle w:val="None"/>
          <w:sz w:val="22"/>
          <w:szCs w:val="22"/>
          <w:rtl w:val="0"/>
          <w:lang w:val="de-DE"/>
        </w:rPr>
        <w:t>Sch</w:t>
      </w:r>
      <w:r>
        <w:rPr>
          <w:rStyle w:val="None"/>
          <w:sz w:val="22"/>
          <w:szCs w:val="22"/>
          <w:rtl w:val="0"/>
        </w:rPr>
        <w:t>ü</w:t>
      </w:r>
      <w:r>
        <w:rPr>
          <w:rStyle w:val="None"/>
          <w:sz w:val="22"/>
          <w:szCs w:val="22"/>
          <w:rtl w:val="0"/>
          <w:lang w:val="it-IT"/>
        </w:rPr>
        <w:t>ssler Fiorenza</w:t>
      </w:r>
      <w:r>
        <w:rPr>
          <w:rStyle w:val="None"/>
          <w:sz w:val="22"/>
          <w:szCs w:val="22"/>
          <w:rtl w:val="0"/>
          <w:lang w:val="en-US"/>
        </w:rPr>
        <w:t xml:space="preserve">, sees the feminist critical hermeneutic as a self fulfilling prophecy in which the feminist community becomes the criteria for truth, not the bible. Thus the the feminist community decides which texts are authoritative on their terms, but they also decide whether or not they have </w:t>
      </w:r>
      <w:r>
        <w:rPr>
          <w:rStyle w:val="None"/>
          <w:sz w:val="22"/>
          <w:szCs w:val="22"/>
          <w:rtl w:val="0"/>
          <w:lang w:val="en-US"/>
        </w:rPr>
        <w:t>“</w:t>
      </w:r>
      <w:r>
        <w:rPr>
          <w:rStyle w:val="None"/>
          <w:sz w:val="22"/>
          <w:szCs w:val="22"/>
          <w:rtl w:val="0"/>
          <w:lang w:val="en-US"/>
        </w:rPr>
        <w:t>departed from truth</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46"/>
      </w:r>
      <w:r>
        <w:rPr>
          <w:rStyle w:val="None"/>
          <w:sz w:val="22"/>
          <w:szCs w:val="22"/>
          <w:rtl w:val="0"/>
          <w:lang w:val="en-US"/>
        </w:rPr>
        <w:t xml:space="preserve"> Likewise Trible warns that all prophetic movements, feminism included, needs to be aware of its own potential for idolatry.</w:t>
      </w:r>
      <w:r>
        <w:rPr>
          <w:rStyle w:val="None"/>
          <w:sz w:val="22"/>
          <w:szCs w:val="22"/>
          <w:vertAlign w:val="superscript"/>
        </w:rPr>
        <w:footnoteReference w:id="47"/>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Whilst this point should not be dismissed lightly, it betrays a shallow understanding of the bible functioning as an authoritative text. It is simply not the case that holding certain texts as authoritative over others, or that critiquing biblical texts from within the community of faith, implies a low view of biblical authority. Some examples to demonstrate are as follows: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The Bible contains critique of itself in light of the greater authority of God. As seen in the approach of Rosemary Reuther, the Messianic-prophetic tradition engages with and at times denounces older practices, to discern what is the true </w:t>
      </w:r>
      <w:r>
        <w:rPr>
          <w:rStyle w:val="None"/>
          <w:sz w:val="22"/>
          <w:szCs w:val="22"/>
          <w:rtl w:val="0"/>
          <w:lang w:val="en-US"/>
        </w:rPr>
        <w:t>“</w:t>
      </w:r>
      <w:r>
        <w:rPr>
          <w:rStyle w:val="None"/>
          <w:sz w:val="22"/>
          <w:szCs w:val="22"/>
          <w:rtl w:val="0"/>
          <w:lang w:val="en-US"/>
        </w:rPr>
        <w:t>Word of God</w:t>
      </w:r>
      <w:r>
        <w:rPr>
          <w:rStyle w:val="None"/>
          <w:sz w:val="22"/>
          <w:szCs w:val="22"/>
          <w:rtl w:val="0"/>
          <w:lang w:val="en-US"/>
        </w:rPr>
        <w:t>”</w:t>
      </w:r>
      <w:r>
        <w:rPr>
          <w:rStyle w:val="None"/>
          <w:sz w:val="22"/>
          <w:szCs w:val="22"/>
          <w:rtl w:val="0"/>
          <w:lang w:val="en-US"/>
        </w:rPr>
        <w:t>.</w:t>
      </w:r>
      <w:r>
        <w:rPr>
          <w:rStyle w:val="None"/>
          <w:sz w:val="22"/>
          <w:szCs w:val="22"/>
          <w:vertAlign w:val="superscript"/>
        </w:rPr>
        <w:footnoteReference w:id="48"/>
      </w:r>
      <w:r>
        <w:rPr>
          <w:rStyle w:val="None"/>
          <w:sz w:val="22"/>
          <w:szCs w:val="22"/>
          <w:rtl w:val="0"/>
          <w:lang w:val="en-US"/>
        </w:rPr>
        <w:t xml:space="preserve"> An example would be Amos 5:21-24 where the liturgical practices of Israel are condemned as they are neglecting the greater issues of justice and the plight of the needy:</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w:t>
      </w:r>
      <w:r>
        <w:rPr>
          <w:rStyle w:val="None"/>
          <w:sz w:val="22"/>
          <w:szCs w:val="22"/>
          <w:rtl w:val="0"/>
          <w:lang w:val="en-US"/>
        </w:rPr>
        <w:t>I hate, I despise your feasts, and I take no delight in  your solemn assemblies</w:t>
      </w:r>
      <w:r>
        <w:rPr>
          <w:rStyle w:val="None"/>
          <w:sz w:val="22"/>
          <w:szCs w:val="22"/>
          <w:rtl w:val="0"/>
        </w:rPr>
        <w:t>…</w:t>
      </w:r>
      <w:r>
        <w:rPr>
          <w:rStyle w:val="None"/>
          <w:sz w:val="22"/>
          <w:szCs w:val="22"/>
          <w:rtl w:val="0"/>
          <w:lang w:val="en-US"/>
        </w:rPr>
        <w:t>But let justice roll down like waters, and righteousness like an overflowing stream.</w:t>
      </w:r>
      <w:r>
        <w:rPr>
          <w:rStyle w:val="None"/>
          <w:sz w:val="22"/>
          <w:szCs w:val="22"/>
          <w:rtl w:val="0"/>
        </w:rPr>
        <w:t>”</w:t>
      </w:r>
      <w:r>
        <w:rPr>
          <w:rStyle w:val="None"/>
          <w:sz w:val="22"/>
          <w:szCs w:val="22"/>
          <w:rtl w:val="0"/>
          <w:lang w:val="en-US"/>
        </w:rPr>
        <w:t xml:space="preserve">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Similarly, Jesus condemns the scribes and pharisees for attending to certain details of Torah (such as tithing) whilst forgetting the greater matters of </w:t>
      </w:r>
      <w:r>
        <w:rPr>
          <w:rStyle w:val="None"/>
          <w:sz w:val="22"/>
          <w:szCs w:val="22"/>
          <w:rtl w:val="0"/>
          <w:lang w:val="en-US"/>
        </w:rPr>
        <w:t>“</w:t>
      </w:r>
      <w:r>
        <w:rPr>
          <w:rStyle w:val="None"/>
          <w:sz w:val="22"/>
          <w:szCs w:val="22"/>
          <w:rtl w:val="0"/>
          <w:lang w:val="en-US"/>
        </w:rPr>
        <w:t>justice, mercy and faithfulness</w:t>
      </w:r>
      <w:r>
        <w:rPr>
          <w:rStyle w:val="None"/>
          <w:sz w:val="22"/>
          <w:szCs w:val="22"/>
          <w:rtl w:val="0"/>
          <w:lang w:val="en-US"/>
        </w:rPr>
        <w:t xml:space="preserve">” </w:t>
      </w:r>
      <w:r>
        <w:rPr>
          <w:rStyle w:val="None"/>
          <w:sz w:val="22"/>
          <w:szCs w:val="22"/>
          <w:rtl w:val="0"/>
          <w:lang w:val="en-US"/>
        </w:rPr>
        <w:t xml:space="preserve">(Matt 23:23). Elsewhere he takes a relaxed view on Sabbath observance so that he can </w:t>
      </w:r>
      <w:r>
        <w:rPr>
          <w:rStyle w:val="None"/>
          <w:sz w:val="22"/>
          <w:szCs w:val="22"/>
          <w:rtl w:val="0"/>
          <w:lang w:val="en-US"/>
        </w:rPr>
        <w:t>“</w:t>
      </w:r>
      <w:r>
        <w:rPr>
          <w:rStyle w:val="None"/>
          <w:sz w:val="22"/>
          <w:szCs w:val="22"/>
          <w:rtl w:val="0"/>
          <w:lang w:val="en-US"/>
        </w:rPr>
        <w:t>do good</w:t>
      </w:r>
      <w:r>
        <w:rPr>
          <w:rStyle w:val="None"/>
          <w:sz w:val="22"/>
          <w:szCs w:val="22"/>
          <w:rtl w:val="0"/>
          <w:lang w:val="en-US"/>
        </w:rPr>
        <w:t xml:space="preserve">” </w:t>
      </w:r>
      <w:r>
        <w:rPr>
          <w:rStyle w:val="None"/>
          <w:sz w:val="22"/>
          <w:szCs w:val="22"/>
          <w:rtl w:val="0"/>
          <w:lang w:val="en-US"/>
        </w:rPr>
        <w:t>by healing a man</w:t>
      </w:r>
      <w:r>
        <w:rPr>
          <w:rStyle w:val="None"/>
          <w:sz w:val="22"/>
          <w:szCs w:val="22"/>
          <w:rtl w:val="0"/>
          <w:lang w:val="en-US"/>
        </w:rPr>
        <w:t>’</w:t>
      </w:r>
      <w:r>
        <w:rPr>
          <w:rStyle w:val="None"/>
          <w:sz w:val="22"/>
          <w:szCs w:val="22"/>
          <w:rtl w:val="0"/>
          <w:lang w:val="en-US"/>
        </w:rPr>
        <w:t xml:space="preserve">s hand (Mark 3:1-6).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Finally, it is well known that during the slave trade, various biblical texts were used to support and later denounce the barbaric practice. Both slave owners and Abolitionists comprised Christians who held to </w:t>
      </w:r>
      <w:r>
        <w:rPr>
          <w:rStyle w:val="None"/>
          <w:sz w:val="22"/>
          <w:szCs w:val="22"/>
          <w:rtl w:val="0"/>
          <w:lang w:val="en-US"/>
        </w:rPr>
        <w:t>“</w:t>
      </w:r>
      <w:r>
        <w:rPr>
          <w:rStyle w:val="None"/>
          <w:sz w:val="22"/>
          <w:szCs w:val="22"/>
          <w:rtl w:val="0"/>
          <w:lang w:val="en-US"/>
        </w:rPr>
        <w:t>biblical authority</w:t>
      </w:r>
      <w:r>
        <w:rPr>
          <w:rStyle w:val="None"/>
          <w:sz w:val="22"/>
          <w:szCs w:val="22"/>
          <w:rtl w:val="0"/>
          <w:lang w:val="en-US"/>
        </w:rPr>
        <w:t>”</w:t>
      </w:r>
      <w:r>
        <w:rPr>
          <w:rStyle w:val="None"/>
          <w:sz w:val="22"/>
          <w:szCs w:val="22"/>
          <w:rtl w:val="0"/>
          <w:lang w:val="en-US"/>
        </w:rPr>
        <w:t>. It was the Abolitionists</w:t>
      </w:r>
      <w:r>
        <w:rPr>
          <w:rStyle w:val="None"/>
          <w:sz w:val="22"/>
          <w:szCs w:val="22"/>
          <w:rtl w:val="0"/>
          <w:lang w:val="en-US"/>
        </w:rPr>
        <w:t xml:space="preserve">’ </w:t>
      </w:r>
      <w:r>
        <w:rPr>
          <w:rStyle w:val="None"/>
          <w:sz w:val="22"/>
          <w:szCs w:val="22"/>
          <w:rtl w:val="0"/>
          <w:lang w:val="en-US"/>
        </w:rPr>
        <w:t xml:space="preserve">belief that the dehumanising practice of slavery was contrary to the will of God as revealed in scripture, thus texts used to support it had no authority to do so. I doubt Letham would object to the Abolitionists holding certain texts as authoritative over others for the purpose of their cause. </w:t>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In conclusion, then, I believe biblical authority and feminist concerns do not need to be mutually exclusive categories. Feminist critical interpretation belongs to a tradition found in the Bible itself. Authority is not necessarily diminished by a critical approach, and the various approaches discussed in this work can still be employed </w:t>
      </w:r>
      <w:r>
        <w:rPr>
          <w:rStyle w:val="None"/>
          <w:sz w:val="22"/>
          <w:szCs w:val="22"/>
          <w:rtl w:val="0"/>
          <w:lang w:val="en-US"/>
        </w:rPr>
        <w:t>“</w:t>
      </w:r>
      <w:r>
        <w:rPr>
          <w:rStyle w:val="None"/>
          <w:sz w:val="22"/>
          <w:szCs w:val="22"/>
          <w:rtl w:val="0"/>
          <w:lang w:val="en-US"/>
        </w:rPr>
        <w:t>so that everyone who belongs to God may be proficient, equipped for every good work</w:t>
      </w:r>
      <w:r>
        <w:rPr>
          <w:rStyle w:val="None"/>
          <w:sz w:val="22"/>
          <w:szCs w:val="22"/>
          <w:rtl w:val="0"/>
          <w:lang w:val="en-US"/>
        </w:rPr>
        <w:t xml:space="preserve">” </w:t>
      </w:r>
      <w:r>
        <w:rPr>
          <w:rStyle w:val="None"/>
          <w:sz w:val="22"/>
          <w:szCs w:val="22"/>
          <w:rtl w:val="0"/>
          <w:lang w:val="en-US"/>
        </w:rPr>
        <w:t>(2Tim 3:17).</w:t>
      </w:r>
    </w:p>
    <w:p>
      <w:pPr>
        <w:pStyle w:val="Body A"/>
        <w:spacing w:line="240" w:lineRule="auto"/>
        <w:ind w:firstLine="0"/>
        <w:rPr>
          <w:rStyle w:val="None"/>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b w:val="1"/>
          <w:bCs w:val="1"/>
          <w:sz w:val="22"/>
          <w:szCs w:val="22"/>
        </w:rPr>
      </w:pP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rFonts w:ascii="Helvetica Neue" w:cs="Helvetica Neue" w:hAnsi="Helvetica Neue" w:eastAsia="Helvetica Neue"/>
          <w:sz w:val="22"/>
          <w:szCs w:val="22"/>
        </w:rPr>
      </w:pP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Body A"/>
        <w:spacing w:line="240" w:lineRule="auto"/>
        <w:ind w:firstLine="0"/>
        <w:rPr>
          <w:rStyle w:val="None"/>
          <w:sz w:val="22"/>
          <w:szCs w:val="22"/>
        </w:rPr>
      </w:pPr>
    </w:p>
    <w:p>
      <w:pPr>
        <w:pStyle w:val="Default"/>
        <w:spacing w:after="0" w:line="240" w:lineRule="auto"/>
        <w:rPr>
          <w:outline w:val="0"/>
          <w:color w:val="222222"/>
          <w:u w:color="222222"/>
          <w:shd w:val="clear" w:color="auto" w:fill="ffffff"/>
          <w14:textFill>
            <w14:solidFill>
              <w14:srgbClr w14:val="222222"/>
            </w14:solidFill>
          </w14:textFill>
        </w:rPr>
      </w:pPr>
    </w:p>
    <w:p>
      <w:pPr>
        <w:pStyle w:val="Default"/>
        <w:spacing w:after="0" w:line="240" w:lineRule="auto"/>
        <w:rPr>
          <w:rStyle w:val="None"/>
          <w:i w:val="1"/>
          <w:iCs w:val="1"/>
          <w:outline w:val="0"/>
          <w:color w:val="222222"/>
          <w:sz w:val="22"/>
          <w:szCs w:val="22"/>
          <w:u w:color="222222"/>
          <w:shd w:val="clear" w:color="auto" w:fill="ffffff"/>
          <w14:textFill>
            <w14:solidFill>
              <w14:srgbClr w14:val="222222"/>
            </w14:solidFill>
          </w14:textFill>
        </w:rPr>
      </w:pPr>
      <w:r>
        <w:rPr>
          <w:rStyle w:val="None"/>
          <w:i w:val="1"/>
          <w:iCs w:val="1"/>
          <w:outline w:val="0"/>
          <w:color w:val="222222"/>
          <w:sz w:val="22"/>
          <w:szCs w:val="22"/>
          <w:u w:color="222222"/>
          <w:shd w:val="clear" w:color="auto" w:fill="ffffff"/>
          <w:rtl w:val="0"/>
          <w:lang w:val="en-US"/>
          <w14:textFill>
            <w14:solidFill>
              <w14:srgbClr w14:val="222222"/>
            </w14:solidFill>
          </w14:textFill>
        </w:rPr>
        <w:t>Bibliography</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Brown, W.P., (ed.), </w:t>
      </w:r>
      <w:r>
        <w:rPr>
          <w:rStyle w:val="None"/>
          <w:i w:val="1"/>
          <w:iCs w:val="1"/>
          <w:outline w:val="0"/>
          <w:color w:val="222222"/>
          <w:sz w:val="22"/>
          <w:szCs w:val="22"/>
          <w:u w:color="222222"/>
          <w:shd w:val="clear" w:color="auto" w:fill="ffffff"/>
          <w:rtl w:val="0"/>
          <w:lang w:val="en-US"/>
          <w14:textFill>
            <w14:solidFill>
              <w14:srgbClr w14:val="222222"/>
            </w14:solidFill>
          </w14:textFill>
        </w:rPr>
        <w:t>Engaging Biblical Authority: Perspectives on the Bible as Scripture</w:t>
      </w:r>
      <w:r>
        <w:rPr>
          <w:rStyle w:val="None"/>
          <w:outline w:val="0"/>
          <w:color w:val="222222"/>
          <w:sz w:val="22"/>
          <w:szCs w:val="22"/>
          <w:u w:color="222222"/>
          <w:shd w:val="clear" w:color="auto" w:fill="ffffff"/>
          <w:rtl w:val="0"/>
          <w:lang w:val="en-US"/>
          <w14:textFill>
            <w14:solidFill>
              <w14:srgbClr w14:val="222222"/>
            </w14:solidFill>
          </w14:textFill>
        </w:rPr>
        <w:t xml:space="preserve"> (London: Westminster John Knox Press, 2007).</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Ehrensperger, K.,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Feminst </w:t>
      </w:r>
      <w:r>
        <w:rPr>
          <w:rStyle w:val="None"/>
          <w:outline w:val="0"/>
          <w:color w:val="222222"/>
          <w:sz w:val="22"/>
          <w:szCs w:val="22"/>
          <w:u w:color="222222"/>
          <w:shd w:val="clear" w:color="auto" w:fill="ffffff"/>
          <w:rtl w:val="0"/>
          <w:lang w:val="it-IT"/>
          <w14:textFill>
            <w14:solidFill>
              <w14:srgbClr w14:val="222222"/>
            </w14:solidFill>
          </w14:textFill>
        </w:rPr>
        <w:t>Criticism</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Gooder, P. (ed.), </w:t>
      </w:r>
      <w:r>
        <w:rPr>
          <w:rStyle w:val="None"/>
          <w:i w:val="1"/>
          <w:iCs w:val="1"/>
          <w:outline w:val="0"/>
          <w:color w:val="222222"/>
          <w:sz w:val="22"/>
          <w:szCs w:val="22"/>
          <w:u w:color="222222"/>
          <w:shd w:val="clear" w:color="auto" w:fill="ffffff"/>
          <w:rtl w:val="0"/>
          <w:lang w:val="en-US"/>
          <w14:textFill>
            <w14:solidFill>
              <w14:srgbClr w14:val="222222"/>
            </w14:solidFill>
          </w14:textFill>
        </w:rPr>
        <w:t>Searching for Meaning: An Introduction to Interpreting the New Testament</w:t>
      </w:r>
      <w:r>
        <w:rPr>
          <w:rStyle w:val="None"/>
          <w:outline w:val="0"/>
          <w:color w:val="222222"/>
          <w:sz w:val="22"/>
          <w:szCs w:val="22"/>
          <w:u w:color="222222"/>
          <w:shd w:val="clear" w:color="auto" w:fill="ffffff"/>
          <w:rtl w:val="0"/>
          <w:lang w:val="en-US"/>
          <w14:textFill>
            <w14:solidFill>
              <w14:srgbClr w14:val="222222"/>
            </w14:solidFill>
          </w14:textFill>
        </w:rPr>
        <w:t xml:space="preserve"> (London: SPCK, 2008), pp. 135-143.</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Exum, J.C.,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You Shall Let Every Daughter Live</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A Study of Exodus 1:8-2:10</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w:t>
      </w:r>
      <w:r>
        <w:rPr>
          <w:rStyle w:val="None"/>
          <w:i w:val="1"/>
          <w:iCs w:val="1"/>
          <w:outline w:val="0"/>
          <w:color w:val="222222"/>
          <w:sz w:val="22"/>
          <w:szCs w:val="22"/>
          <w:u w:color="222222"/>
          <w:shd w:val="clear" w:color="auto" w:fill="ffffff"/>
          <w:rtl w:val="0"/>
          <w:lang w:val="en-US"/>
          <w14:textFill>
            <w14:solidFill>
              <w14:srgbClr w14:val="222222"/>
            </w14:solidFill>
          </w14:textFill>
        </w:rPr>
        <w:t>Semeia</w:t>
      </w:r>
      <w:r>
        <w:rPr>
          <w:rStyle w:val="None"/>
          <w:outline w:val="0"/>
          <w:color w:val="222222"/>
          <w:sz w:val="22"/>
          <w:szCs w:val="22"/>
          <w:u w:color="222222"/>
          <w:shd w:val="clear" w:color="auto" w:fill="ffffff"/>
          <w:rtl w:val="0"/>
          <w:lang w:val="en-US"/>
          <w14:textFill>
            <w14:solidFill>
              <w14:srgbClr w14:val="222222"/>
            </w14:solidFill>
          </w14:textFill>
        </w:rPr>
        <w:t xml:space="preserve"> 28, (1983) pp.63-82.</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Johnson, L.T.,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The Bible</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s Authority for and in the Church</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Brown, W.P. (ed.), </w:t>
      </w:r>
      <w:r>
        <w:rPr>
          <w:rStyle w:val="None"/>
          <w:i w:val="1"/>
          <w:iCs w:val="1"/>
          <w:outline w:val="0"/>
          <w:color w:val="222222"/>
          <w:sz w:val="22"/>
          <w:szCs w:val="22"/>
          <w:u w:color="222222"/>
          <w:shd w:val="clear" w:color="auto" w:fill="ffffff"/>
          <w:rtl w:val="0"/>
          <w:lang w:val="en-US"/>
          <w14:textFill>
            <w14:solidFill>
              <w14:srgbClr w14:val="222222"/>
            </w14:solidFill>
          </w14:textFill>
        </w:rPr>
        <w:t>Engaging Biblical Authority: Perspectives on the Bible as Scripture.</w:t>
      </w:r>
      <w:r>
        <w:rPr>
          <w:rStyle w:val="None"/>
          <w:outline w:val="0"/>
          <w:color w:val="222222"/>
          <w:sz w:val="22"/>
          <w:szCs w:val="22"/>
          <w:u w:color="222222"/>
          <w:shd w:val="clear" w:color="auto" w:fill="ffffff"/>
          <w:rtl w:val="0"/>
          <w:lang w:val="en-US"/>
          <w14:textFill>
            <w14:solidFill>
              <w14:srgbClr w14:val="222222"/>
            </w14:solidFill>
          </w14:textFill>
        </w:rPr>
        <w:t xml:space="preserve"> (London: Westminster John Knox Press, 2007).</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Lancaster, S.H.,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Authority and Narrative</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Brown, W.P. </w:t>
      </w:r>
      <w:r>
        <w:rPr>
          <w:rStyle w:val="None"/>
          <w:outline w:val="0"/>
          <w:color w:val="222222"/>
          <w:sz w:val="22"/>
          <w:szCs w:val="22"/>
          <w:u w:color="222222"/>
          <w:shd w:val="clear" w:color="auto" w:fill="ffffff"/>
          <w:rtl w:val="0"/>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e</w:t>
      </w:r>
      <w:r>
        <w:rPr>
          <w:rStyle w:val="None"/>
          <w:outline w:val="0"/>
          <w:color w:val="222222"/>
          <w:sz w:val="22"/>
          <w:szCs w:val="22"/>
          <w:u w:color="222222"/>
          <w:shd w:val="clear" w:color="auto" w:fill="ffffff"/>
          <w:rtl w:val="0"/>
          <w14:textFill>
            <w14:solidFill>
              <w14:srgbClr w14:val="222222"/>
            </w14:solidFill>
          </w14:textFill>
        </w:rPr>
        <w:t>d.)</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14:textFill>
            <w14:solidFill>
              <w14:srgbClr w14:val="222222"/>
            </w14:solidFill>
          </w14:textFill>
        </w:rPr>
        <w:t xml:space="preserve"> </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Engaging Biblical Authority: Perspectives on the Bible as Scripture </w:t>
      </w:r>
      <w:r>
        <w:rPr>
          <w:rStyle w:val="None"/>
          <w:outline w:val="0"/>
          <w:color w:val="222222"/>
          <w:sz w:val="22"/>
          <w:szCs w:val="22"/>
          <w:u w:color="222222"/>
          <w:shd w:val="clear" w:color="auto" w:fill="ffffff"/>
          <w:rtl w:val="0"/>
          <w:lang w:val="de-DE"/>
          <w14:textFill>
            <w14:solidFill>
              <w14:srgbClr w14:val="222222"/>
            </w14:solidFill>
          </w14:textFill>
        </w:rPr>
        <w:t>(London: Westminster Jo</w:t>
      </w:r>
      <w:r>
        <w:rPr>
          <w:rStyle w:val="None"/>
          <w:outline w:val="0"/>
          <w:color w:val="222222"/>
          <w:sz w:val="22"/>
          <w:szCs w:val="22"/>
          <w:u w:color="222222"/>
          <w:shd w:val="clear" w:color="auto" w:fill="ffffff"/>
          <w:rtl w:val="0"/>
          <w:lang w:val="en-US"/>
          <w14:textFill>
            <w14:solidFill>
              <w14:srgbClr w14:val="222222"/>
            </w14:solidFill>
          </w14:textFill>
        </w:rPr>
        <w:t>h</w:t>
      </w:r>
      <w:r>
        <w:rPr>
          <w:rStyle w:val="None"/>
          <w:outline w:val="0"/>
          <w:color w:val="222222"/>
          <w:sz w:val="22"/>
          <w:szCs w:val="22"/>
          <w:u w:color="222222"/>
          <w:shd w:val="clear" w:color="auto" w:fill="ffffff"/>
          <w:rtl w:val="0"/>
          <w14:textFill>
            <w14:solidFill>
              <w14:srgbClr w14:val="222222"/>
            </w14:solidFill>
          </w14:textFill>
        </w:rPr>
        <w:t>n Knox Press, 2007).</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Letham, R.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The Hermeneutics of Feminism</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w:t>
      </w:r>
      <w:r>
        <w:rPr>
          <w:rStyle w:val="None"/>
          <w:i w:val="1"/>
          <w:iCs w:val="1"/>
          <w:outline w:val="0"/>
          <w:color w:val="222222"/>
          <w:sz w:val="22"/>
          <w:szCs w:val="22"/>
          <w:u w:color="222222"/>
          <w:shd w:val="clear" w:color="auto" w:fill="ffffff"/>
          <w:rtl w:val="0"/>
          <w:lang w:val="en-US"/>
          <w14:textFill>
            <w14:solidFill>
              <w14:srgbClr w14:val="222222"/>
            </w14:solidFill>
          </w14:textFill>
        </w:rPr>
        <w:t>Themelios</w:t>
      </w:r>
      <w:r>
        <w:rPr>
          <w:rStyle w:val="None"/>
          <w:outline w:val="0"/>
          <w:color w:val="222222"/>
          <w:sz w:val="22"/>
          <w:szCs w:val="22"/>
          <w:u w:color="222222"/>
          <w:shd w:val="clear" w:color="auto" w:fill="ffffff"/>
          <w:rtl w:val="0"/>
          <w:lang w:val="en-US"/>
          <w14:textFill>
            <w14:solidFill>
              <w14:srgbClr w14:val="222222"/>
            </w14:solidFill>
          </w14:textFill>
        </w:rPr>
        <w:t>, (1992),</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 </w:t>
      </w:r>
      <w:r>
        <w:rPr>
          <w:rStyle w:val="None"/>
          <w:outline w:val="0"/>
          <w:color w:val="222222"/>
          <w:sz w:val="22"/>
          <w:szCs w:val="22"/>
          <w:u w:color="222222"/>
          <w:shd w:val="clear" w:color="auto" w:fill="ffffff"/>
          <w:rtl w:val="0"/>
          <w:lang w:val="en-US"/>
          <w14:textFill>
            <w14:solidFill>
              <w14:srgbClr w14:val="222222"/>
            </w14:solidFill>
          </w14:textFill>
        </w:rPr>
        <w:t>17(3), pp. 4-7.</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Loads, A.,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Feminist Interpretation</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Barton, J., </w:t>
      </w:r>
      <w:r>
        <w:rPr>
          <w:rStyle w:val="None"/>
          <w:i w:val="1"/>
          <w:iCs w:val="1"/>
          <w:outline w:val="0"/>
          <w:color w:val="222222"/>
          <w:sz w:val="22"/>
          <w:szCs w:val="22"/>
          <w:u w:color="222222"/>
          <w:shd w:val="clear" w:color="auto" w:fill="ffffff"/>
          <w:rtl w:val="0"/>
          <w:lang w:val="en-US"/>
          <w14:textFill>
            <w14:solidFill>
              <w14:srgbClr w14:val="222222"/>
            </w14:solidFill>
          </w14:textFill>
        </w:rPr>
        <w:t>The Cambridge Companion to biblical Interpretation</w:t>
      </w:r>
      <w:r>
        <w:rPr>
          <w:rStyle w:val="None"/>
          <w:outline w:val="0"/>
          <w:color w:val="222222"/>
          <w:sz w:val="22"/>
          <w:szCs w:val="22"/>
          <w:u w:color="222222"/>
          <w:shd w:val="clear" w:color="auto" w:fill="ffffff"/>
          <w:rtl w:val="0"/>
          <w:lang w:val="en-US"/>
          <w14:textFill>
            <w14:solidFill>
              <w14:srgbClr w14:val="222222"/>
            </w14:solidFill>
          </w14:textFill>
        </w:rPr>
        <w:t xml:space="preserve"> (Cambridge: Cambridge University Press, 1998), pp.81-94.</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The Nicene Creed. Accessed on 26/8/19 at: </w:t>
      </w:r>
      <w:r>
        <w:rPr>
          <w:rStyle w:val="Hyperlink.1"/>
        </w:rPr>
        <w:fldChar w:fldCharType="begin" w:fldLock="0"/>
      </w:r>
      <w:r>
        <w:rPr>
          <w:rStyle w:val="Hyperlink.1"/>
        </w:rPr>
        <w:instrText xml:space="preserve"> HYPERLINK "http://anglicansonline.org/basics/nicene.html"</w:instrText>
      </w:r>
      <w:r>
        <w:rPr>
          <w:rStyle w:val="Hyperlink.1"/>
        </w:rPr>
        <w:fldChar w:fldCharType="separate" w:fldLock="0"/>
      </w:r>
      <w:r>
        <w:rPr>
          <w:rStyle w:val="Hyperlink.1"/>
          <w:rtl w:val="0"/>
          <w:lang w:val="en-US"/>
        </w:rPr>
        <w:t>http://anglicansonline.org/basics/nicene.html</w:t>
      </w:r>
      <w:r>
        <w:rPr/>
        <w:fldChar w:fldCharType="end" w:fldLock="0"/>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Paul, I., </w:t>
      </w:r>
      <w:r>
        <w:rPr>
          <w:rStyle w:val="None"/>
          <w:i w:val="1"/>
          <w:iCs w:val="1"/>
          <w:outline w:val="0"/>
          <w:color w:val="222222"/>
          <w:sz w:val="22"/>
          <w:szCs w:val="22"/>
          <w:u w:color="222222"/>
          <w:shd w:val="clear" w:color="auto" w:fill="ffffff"/>
          <w:rtl w:val="0"/>
          <w:lang w:val="en-US"/>
          <w14:textFill>
            <w14:solidFill>
              <w14:srgbClr w14:val="222222"/>
            </w14:solidFill>
          </w14:textFill>
        </w:rPr>
        <w:t>Women and Authority: The Key biblical Texts</w:t>
      </w:r>
      <w:r>
        <w:rPr>
          <w:rStyle w:val="None"/>
          <w:outline w:val="0"/>
          <w:color w:val="222222"/>
          <w:sz w:val="22"/>
          <w:szCs w:val="22"/>
          <w:u w:color="222222"/>
          <w:shd w:val="clear" w:color="auto" w:fill="ffffff"/>
          <w:rtl w:val="0"/>
          <w:lang w:val="en-US"/>
          <w14:textFill>
            <w14:solidFill>
              <w14:srgbClr w14:val="222222"/>
            </w14:solidFill>
          </w14:textFill>
        </w:rPr>
        <w:t xml:space="preserve"> (Cambridge: Grove Books, 2011).</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Payne, P., </w:t>
      </w:r>
      <w:r>
        <w:rPr>
          <w:rStyle w:val="None"/>
          <w:i w:val="1"/>
          <w:iCs w:val="1"/>
          <w:outline w:val="0"/>
          <w:color w:val="222222"/>
          <w:sz w:val="22"/>
          <w:szCs w:val="22"/>
          <w:u w:color="222222"/>
          <w:shd w:val="clear" w:color="auto" w:fill="ffffff"/>
          <w:rtl w:val="0"/>
          <w:lang w:val="en-US"/>
          <w14:textFill>
            <w14:solidFill>
              <w14:srgbClr w14:val="222222"/>
            </w14:solidFill>
          </w14:textFill>
        </w:rPr>
        <w:t>Man and Woman, One in Christ: An Exegetical and Theological Study of Paul</w:t>
      </w:r>
      <w:r>
        <w:rPr>
          <w:rStyle w:val="None"/>
          <w:i w:val="1"/>
          <w:iCs w:val="1"/>
          <w:outline w:val="0"/>
          <w:color w:val="222222"/>
          <w:sz w:val="22"/>
          <w:szCs w:val="22"/>
          <w:u w:color="222222"/>
          <w:shd w:val="clear" w:color="auto" w:fill="ffffff"/>
          <w:rtl w:val="0"/>
          <w:lang w:val="en-US"/>
          <w14:textFill>
            <w14:solidFill>
              <w14:srgbClr w14:val="222222"/>
            </w14:solidFill>
          </w14:textFill>
        </w:rPr>
        <w:t>’</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s Letters </w:t>
      </w:r>
      <w:r>
        <w:rPr>
          <w:rStyle w:val="None"/>
          <w:outline w:val="0"/>
          <w:color w:val="222222"/>
          <w:sz w:val="22"/>
          <w:szCs w:val="22"/>
          <w:u w:color="222222"/>
          <w:shd w:val="clear" w:color="auto" w:fill="ffffff"/>
          <w:rtl w:val="0"/>
          <w:lang w:val="en-US"/>
          <w14:textFill>
            <w14:solidFill>
              <w14:srgbClr w14:val="222222"/>
            </w14:solidFill>
          </w14:textFill>
        </w:rPr>
        <w:t>(Grand Rapids: Zondervan, 2009).</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Reuther, R.R.,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Feminist Interpretation: A Method of Correlation</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Russell, L.M. (ed.), </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Feminist Interpretation of the Bible </w:t>
      </w:r>
      <w:r>
        <w:rPr>
          <w:rStyle w:val="None"/>
          <w:outline w:val="0"/>
          <w:color w:val="222222"/>
          <w:sz w:val="22"/>
          <w:szCs w:val="22"/>
          <w:u w:color="222222"/>
          <w:shd w:val="clear" w:color="auto" w:fill="ffffff"/>
          <w:rtl w:val="0"/>
          <w:lang w:val="en-US"/>
          <w14:textFill>
            <w14:solidFill>
              <w14:srgbClr w14:val="222222"/>
            </w14:solidFill>
          </w14:textFill>
        </w:rPr>
        <w:t xml:space="preserve">(London: Westminster John Knox Press, 1985), pp.111-124. </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Russell, L.M.,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Introduction: Liberating the Word</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Russell, L.M. (ed.), </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Feminist Interpretation of the Bible </w:t>
      </w:r>
      <w:r>
        <w:rPr>
          <w:rStyle w:val="None"/>
          <w:outline w:val="0"/>
          <w:color w:val="222222"/>
          <w:sz w:val="22"/>
          <w:szCs w:val="22"/>
          <w:u w:color="222222"/>
          <w:shd w:val="clear" w:color="auto" w:fill="ffffff"/>
          <w:rtl w:val="0"/>
          <w:lang w:val="en-US"/>
          <w14:textFill>
            <w14:solidFill>
              <w14:srgbClr w14:val="222222"/>
            </w14:solidFill>
          </w14:textFill>
        </w:rPr>
        <w:t>(London: Westminster John Knox Press, 1985), pp.11-18.</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Russell, L.M.,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Authority and the Challenge of Feminist Interpretation</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Russell, L.M. (ed.), </w:t>
      </w:r>
      <w:r>
        <w:rPr>
          <w:rStyle w:val="None"/>
          <w:i w:val="1"/>
          <w:iCs w:val="1"/>
          <w:outline w:val="0"/>
          <w:color w:val="222222"/>
          <w:sz w:val="22"/>
          <w:szCs w:val="22"/>
          <w:u w:color="222222"/>
          <w:shd w:val="clear" w:color="auto" w:fill="ffffff"/>
          <w:rtl w:val="0"/>
          <w:lang w:val="en-US"/>
          <w14:textFill>
            <w14:solidFill>
              <w14:srgbClr w14:val="222222"/>
            </w14:solidFill>
          </w14:textFill>
        </w:rPr>
        <w:t>Feminist Interpretation of the Bible,</w:t>
      </w:r>
      <w:r>
        <w:rPr>
          <w:rStyle w:val="None"/>
          <w:outline w:val="0"/>
          <w:color w:val="222222"/>
          <w:sz w:val="22"/>
          <w:szCs w:val="22"/>
          <w:u w:color="222222"/>
          <w:shd w:val="clear" w:color="auto" w:fill="ffffff"/>
          <w:rtl w:val="0"/>
          <w:lang w:val="de-DE"/>
          <w14:textFill>
            <w14:solidFill>
              <w14:srgbClr w14:val="222222"/>
            </w14:solidFill>
          </w14:textFill>
        </w:rPr>
        <w:t xml:space="preserve"> (London: Westminster John Knox Press, 1985)</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 </w:t>
      </w:r>
      <w:r>
        <w:rPr>
          <w:rStyle w:val="None"/>
          <w:outline w:val="0"/>
          <w:color w:val="222222"/>
          <w:sz w:val="22"/>
          <w:szCs w:val="22"/>
          <w:u w:color="222222"/>
          <w:shd w:val="clear" w:color="auto" w:fill="ffffff"/>
          <w:rtl w:val="0"/>
          <w:lang w:val="en-US"/>
          <w14:textFill>
            <w14:solidFill>
              <w14:srgbClr w14:val="222222"/>
            </w14:solidFill>
          </w14:textFill>
        </w:rPr>
        <w:t>pp.137-146..</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de-DE"/>
          <w14:textFill>
            <w14:solidFill>
              <w14:srgbClr w14:val="222222"/>
            </w14:solidFill>
          </w14:textFill>
        </w:rPr>
        <w:t>Sch</w:t>
      </w:r>
      <w:r>
        <w:rPr>
          <w:rStyle w:val="None"/>
          <w:outline w:val="0"/>
          <w:color w:val="222222"/>
          <w:sz w:val="22"/>
          <w:szCs w:val="22"/>
          <w:u w:color="222222"/>
          <w:shd w:val="clear" w:color="auto" w:fill="ffffff"/>
          <w:rtl w:val="0"/>
          <w14:textFill>
            <w14:solidFill>
              <w14:srgbClr w14:val="222222"/>
            </w14:solidFill>
          </w14:textFill>
        </w:rPr>
        <w:t>ü</w:t>
      </w:r>
      <w:r>
        <w:rPr>
          <w:rStyle w:val="None"/>
          <w:outline w:val="0"/>
          <w:color w:val="222222"/>
          <w:sz w:val="22"/>
          <w:szCs w:val="22"/>
          <w:u w:color="222222"/>
          <w:shd w:val="clear" w:color="auto" w:fill="ffffff"/>
          <w:rtl w:val="0"/>
          <w:lang w:val="it-IT"/>
          <w14:textFill>
            <w14:solidFill>
              <w14:srgbClr w14:val="222222"/>
            </w14:solidFill>
          </w14:textFill>
        </w:rPr>
        <w:t>ssler Fiorenza</w:t>
      </w:r>
      <w:r>
        <w:rPr>
          <w:rStyle w:val="None"/>
          <w:outline w:val="0"/>
          <w:color w:val="222222"/>
          <w:sz w:val="22"/>
          <w:szCs w:val="22"/>
          <w:u w:color="222222"/>
          <w:shd w:val="clear" w:color="auto" w:fill="ffffff"/>
          <w:rtl w:val="0"/>
          <w:lang w:val="en-US"/>
          <w14:textFill>
            <w14:solidFill>
              <w14:srgbClr w14:val="222222"/>
            </w14:solidFill>
          </w14:textFill>
        </w:rPr>
        <w:t xml:space="preserve">, E., </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Bread Not Stone: The Challenge of Feminist Biblical Interpretation </w:t>
      </w:r>
      <w:r>
        <w:rPr>
          <w:rStyle w:val="None"/>
          <w:outline w:val="0"/>
          <w:color w:val="222222"/>
          <w:sz w:val="22"/>
          <w:szCs w:val="22"/>
          <w:u w:color="222222"/>
          <w:shd w:val="clear" w:color="auto" w:fill="ffffff"/>
          <w:rtl w:val="0"/>
          <w:lang w:val="en-US"/>
          <w14:textFill>
            <w14:solidFill>
              <w14:srgbClr w14:val="222222"/>
            </w14:solidFill>
          </w14:textFill>
        </w:rPr>
        <w:t>(Boston: Beacon Press, 1984).</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de-DE"/>
          <w14:textFill>
            <w14:solidFill>
              <w14:srgbClr w14:val="222222"/>
            </w14:solidFill>
          </w14:textFill>
        </w:rPr>
        <w:t>Sch</w:t>
      </w:r>
      <w:r>
        <w:rPr>
          <w:rStyle w:val="None"/>
          <w:outline w:val="0"/>
          <w:color w:val="222222"/>
          <w:sz w:val="22"/>
          <w:szCs w:val="22"/>
          <w:u w:color="222222"/>
          <w:shd w:val="clear" w:color="auto" w:fill="ffffff"/>
          <w:rtl w:val="0"/>
          <w14:textFill>
            <w14:solidFill>
              <w14:srgbClr w14:val="222222"/>
            </w14:solidFill>
          </w14:textFill>
        </w:rPr>
        <w:t>ü</w:t>
      </w:r>
      <w:r>
        <w:rPr>
          <w:rStyle w:val="None"/>
          <w:outline w:val="0"/>
          <w:color w:val="222222"/>
          <w:sz w:val="22"/>
          <w:szCs w:val="22"/>
          <w:u w:color="222222"/>
          <w:shd w:val="clear" w:color="auto" w:fill="ffffff"/>
          <w:rtl w:val="0"/>
          <w:lang w:val="it-IT"/>
          <w14:textFill>
            <w14:solidFill>
              <w14:srgbClr w14:val="222222"/>
            </w14:solidFill>
          </w14:textFill>
        </w:rPr>
        <w:t>ssler Fiorenza, E.,</w:t>
      </w:r>
      <w:r>
        <w:rPr>
          <w:rStyle w:val="None"/>
          <w:outline w:val="0"/>
          <w:color w:val="222222"/>
          <w:sz w:val="22"/>
          <w:szCs w:val="22"/>
          <w:u w:color="222222"/>
          <w:shd w:val="clear" w:color="auto" w:fill="ffffff"/>
          <w:rtl w:val="0"/>
          <w:lang w:val="en-US"/>
          <w14:textFill>
            <w14:solidFill>
              <w14:srgbClr w14:val="222222"/>
            </w14:solidFill>
          </w14:textFill>
        </w:rPr>
        <w:t xml:space="preserve"> </w:t>
      </w:r>
      <w:r>
        <w:rPr>
          <w:rStyle w:val="None"/>
          <w:i w:val="1"/>
          <w:iCs w:val="1"/>
          <w:outline w:val="0"/>
          <w:color w:val="222222"/>
          <w:sz w:val="22"/>
          <w:szCs w:val="22"/>
          <w:u w:color="222222"/>
          <w:shd w:val="clear" w:color="auto" w:fill="ffffff"/>
          <w:rtl w:val="0"/>
          <w:lang w:val="en-US"/>
          <w14:textFill>
            <w14:solidFill>
              <w14:srgbClr w14:val="222222"/>
            </w14:solidFill>
          </w14:textFill>
        </w:rPr>
        <w:t>In Memory of Her: A Feminist Theological Reconstruction of Christian Origins, Second Edition</w:t>
      </w:r>
      <w:r>
        <w:rPr>
          <w:rStyle w:val="None"/>
          <w:outline w:val="0"/>
          <w:color w:val="222222"/>
          <w:sz w:val="22"/>
          <w:szCs w:val="22"/>
          <w:u w:color="222222"/>
          <w:shd w:val="clear" w:color="auto" w:fill="ffffff"/>
          <w:rtl w:val="0"/>
          <w:lang w:val="en-US"/>
          <w14:textFill>
            <w14:solidFill>
              <w14:srgbClr w14:val="222222"/>
            </w14:solidFill>
          </w14:textFill>
        </w:rPr>
        <w:t xml:space="preserve"> (London: SCM Press, 1994).</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de-DE"/>
          <w14:textFill>
            <w14:solidFill>
              <w14:srgbClr w14:val="222222"/>
            </w14:solidFill>
          </w14:textFill>
        </w:rPr>
        <w:t>Sch</w:t>
      </w:r>
      <w:r>
        <w:rPr>
          <w:rStyle w:val="None"/>
          <w:outline w:val="0"/>
          <w:color w:val="222222"/>
          <w:sz w:val="22"/>
          <w:szCs w:val="22"/>
          <w:u w:color="222222"/>
          <w:shd w:val="clear" w:color="auto" w:fill="ffffff"/>
          <w:rtl w:val="0"/>
          <w14:textFill>
            <w14:solidFill>
              <w14:srgbClr w14:val="222222"/>
            </w14:solidFill>
          </w14:textFill>
        </w:rPr>
        <w:t>ü</w:t>
      </w:r>
      <w:r>
        <w:rPr>
          <w:rStyle w:val="None"/>
          <w:outline w:val="0"/>
          <w:color w:val="222222"/>
          <w:sz w:val="22"/>
          <w:szCs w:val="22"/>
          <w:u w:color="222222"/>
          <w:shd w:val="clear" w:color="auto" w:fill="ffffff"/>
          <w:rtl w:val="0"/>
          <w:lang w:val="it-IT"/>
          <w14:textFill>
            <w14:solidFill>
              <w14:srgbClr w14:val="222222"/>
            </w14:solidFill>
          </w14:textFill>
        </w:rPr>
        <w:t xml:space="preserve">ssler Fiorenza, E.,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Feminist Hermeneutics</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Freddman, D.N. (ed.), </w:t>
      </w:r>
      <w:r>
        <w:rPr>
          <w:rStyle w:val="None"/>
          <w:i w:val="1"/>
          <w:iCs w:val="1"/>
          <w:outline w:val="0"/>
          <w:color w:val="222222"/>
          <w:sz w:val="22"/>
          <w:szCs w:val="22"/>
          <w:u w:color="222222"/>
          <w:shd w:val="clear" w:color="auto" w:fill="ffffff"/>
          <w:rtl w:val="0"/>
          <w:lang w:val="en-US"/>
          <w14:textFill>
            <w14:solidFill>
              <w14:srgbClr w14:val="222222"/>
            </w14:solidFill>
          </w14:textFill>
        </w:rPr>
        <w:t>The Anchor Yale Bible Dictionary</w:t>
      </w:r>
      <w:r>
        <w:rPr>
          <w:rStyle w:val="None"/>
          <w:outline w:val="0"/>
          <w:color w:val="222222"/>
          <w:sz w:val="22"/>
          <w:szCs w:val="22"/>
          <w:u w:color="222222"/>
          <w:shd w:val="clear" w:color="auto" w:fill="ffffff"/>
          <w:rtl w:val="0"/>
          <w:lang w:val="en-US"/>
          <w14:textFill>
            <w14:solidFill>
              <w14:srgbClr w14:val="222222"/>
            </w14:solidFill>
          </w14:textFill>
        </w:rPr>
        <w:t xml:space="preserve"> (New York: Doubleday, 1992).</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Storkey, E., </w:t>
      </w:r>
      <w:r>
        <w:rPr>
          <w:rStyle w:val="None"/>
          <w:i w:val="1"/>
          <w:iCs w:val="1"/>
          <w:outline w:val="0"/>
          <w:color w:val="222222"/>
          <w:sz w:val="22"/>
          <w:szCs w:val="22"/>
          <w:u w:color="222222"/>
          <w:shd w:val="clear" w:color="auto" w:fill="ffffff"/>
          <w:rtl w:val="0"/>
          <w:lang w:val="en-US"/>
          <w14:textFill>
            <w14:solidFill>
              <w14:srgbClr w14:val="222222"/>
            </w14:solidFill>
          </w14:textFill>
        </w:rPr>
        <w:t>What</w:t>
      </w:r>
      <w:r>
        <w:rPr>
          <w:rStyle w:val="None"/>
          <w:i w:val="1"/>
          <w:iCs w:val="1"/>
          <w:outline w:val="0"/>
          <w:color w:val="222222"/>
          <w:sz w:val="22"/>
          <w:szCs w:val="22"/>
          <w:u w:color="222222"/>
          <w:shd w:val="clear" w:color="auto" w:fill="ffffff"/>
          <w:rtl w:val="0"/>
          <w:lang w:val="en-US"/>
          <w14:textFill>
            <w14:solidFill>
              <w14:srgbClr w14:val="222222"/>
            </w14:solidFill>
          </w14:textFill>
        </w:rPr>
        <w:t>’</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s Right with Feminism </w:t>
      </w:r>
      <w:r>
        <w:rPr>
          <w:rStyle w:val="None"/>
          <w:outline w:val="0"/>
          <w:color w:val="222222"/>
          <w:sz w:val="22"/>
          <w:szCs w:val="22"/>
          <w:u w:color="222222"/>
          <w:shd w:val="clear" w:color="auto" w:fill="ffffff"/>
          <w:rtl w:val="0"/>
          <w:lang w:val="en-US"/>
          <w14:textFill>
            <w14:solidFill>
              <w14:srgbClr w14:val="222222"/>
            </w14:solidFill>
          </w14:textFill>
        </w:rPr>
        <w:t>(London: SPCK, 1985).</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Thiselton, A.C., </w:t>
      </w:r>
      <w:r>
        <w:rPr>
          <w:rStyle w:val="None"/>
          <w:i w:val="1"/>
          <w:iCs w:val="1"/>
          <w:outline w:val="0"/>
          <w:color w:val="222222"/>
          <w:sz w:val="22"/>
          <w:szCs w:val="22"/>
          <w:u w:color="222222"/>
          <w:shd w:val="clear" w:color="auto" w:fill="ffffff"/>
          <w:rtl w:val="0"/>
          <w:lang w:val="en-US"/>
          <w14:textFill>
            <w14:solidFill>
              <w14:srgbClr w14:val="222222"/>
            </w14:solidFill>
          </w14:textFill>
        </w:rPr>
        <w:t>New horizons in Hermeneutics: The Theory and Practice pf Transforming Biblical Reading</w:t>
      </w:r>
      <w:r>
        <w:rPr>
          <w:rStyle w:val="None"/>
          <w:outline w:val="0"/>
          <w:color w:val="222222"/>
          <w:sz w:val="22"/>
          <w:szCs w:val="22"/>
          <w:u w:color="222222"/>
          <w:shd w:val="clear" w:color="auto" w:fill="ffffff"/>
          <w:rtl w:val="0"/>
          <w:lang w:val="nl-NL"/>
          <w14:textFill>
            <w14:solidFill>
              <w14:srgbClr w14:val="222222"/>
            </w14:solidFill>
          </w14:textFill>
        </w:rPr>
        <w:t xml:space="preserve"> (Grand Rapids: Zondervan, 1992).</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Trible, P.,</w:t>
      </w:r>
      <w:r>
        <w:rPr>
          <w:rStyle w:val="None"/>
          <w:i w:val="1"/>
          <w:iCs w:val="1"/>
          <w:outline w:val="0"/>
          <w:color w:val="222222"/>
          <w:sz w:val="22"/>
          <w:szCs w:val="22"/>
          <w:u w:color="222222"/>
          <w:shd w:val="clear" w:color="auto" w:fill="ffffff"/>
          <w:rtl w:val="0"/>
          <w:lang w:val="en-US"/>
          <w14:textFill>
            <w14:solidFill>
              <w14:srgbClr w14:val="222222"/>
            </w14:solidFill>
          </w14:textFill>
        </w:rPr>
        <w:t>Texts of Terror</w:t>
      </w:r>
      <w:r>
        <w:rPr>
          <w:rStyle w:val="None"/>
          <w:outline w:val="0"/>
          <w:color w:val="222222"/>
          <w:sz w:val="22"/>
          <w:szCs w:val="22"/>
          <w:u w:color="222222"/>
          <w:shd w:val="clear" w:color="auto" w:fill="ffffff"/>
          <w:rtl w:val="0"/>
          <w:lang w:val="en-US"/>
          <w14:textFill>
            <w14:solidFill>
              <w14:srgbClr w14:val="222222"/>
            </w14:solidFill>
          </w14:textFill>
        </w:rPr>
        <w:t xml:space="preserve"> (London: SCM Press, 2002).</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Trible, P.,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Postscript: Jottings on the Journey</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Russell, L.M. (ed.), </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Feminist Interpretation of the Bible </w:t>
      </w:r>
      <w:r>
        <w:rPr>
          <w:rStyle w:val="None"/>
          <w:outline w:val="0"/>
          <w:color w:val="222222"/>
          <w:sz w:val="22"/>
          <w:szCs w:val="22"/>
          <w:u w:color="222222"/>
          <w:shd w:val="clear" w:color="auto" w:fill="ffffff"/>
          <w:rtl w:val="0"/>
          <w:lang w:val="en-US"/>
          <w14:textFill>
            <w14:solidFill>
              <w14:srgbClr w14:val="222222"/>
            </w14:solidFill>
          </w14:textFill>
        </w:rPr>
        <w:t>(London: Westminster John Knox Press, 1985), pp. 147-149.</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de-DE"/>
          <w14:textFill>
            <w14:solidFill>
              <w14:srgbClr w14:val="222222"/>
            </w14:solidFill>
          </w14:textFill>
        </w:rPr>
        <w:t>Wacker,</w:t>
      </w:r>
      <w:r>
        <w:rPr>
          <w:rStyle w:val="None"/>
          <w:outline w:val="0"/>
          <w:color w:val="222222"/>
          <w:sz w:val="22"/>
          <w:szCs w:val="22"/>
          <w:u w:color="222222"/>
          <w:shd w:val="clear" w:color="auto" w:fill="ffffff"/>
          <w:rtl w:val="0"/>
          <w:lang w:val="en-US"/>
          <w14:textFill>
            <w14:solidFill>
              <w14:srgbClr w14:val="222222"/>
            </w14:solidFill>
          </w14:textFill>
        </w:rPr>
        <w:t xml:space="preserve"> M.T.,</w:t>
      </w:r>
      <w:r>
        <w:rPr>
          <w:rStyle w:val="None"/>
          <w:outline w:val="0"/>
          <w:color w:val="222222"/>
          <w:sz w:val="22"/>
          <w:szCs w:val="22"/>
          <w:u w:color="222222"/>
          <w:shd w:val="clear" w:color="auto" w:fill="ffffff"/>
          <w:rtl w:val="0"/>
          <w14:textFill>
            <w14:solidFill>
              <w14:srgbClr w14:val="222222"/>
            </w14:solidFill>
          </w14:textFill>
        </w:rPr>
        <w:t xml:space="preserve"> ‘</w:t>
      </w:r>
      <w:r>
        <w:rPr>
          <w:rStyle w:val="None"/>
          <w:outline w:val="0"/>
          <w:color w:val="222222"/>
          <w:sz w:val="22"/>
          <w:szCs w:val="22"/>
          <w:u w:color="222222"/>
          <w:shd w:val="clear" w:color="auto" w:fill="ffffff"/>
          <w:rtl w:val="0"/>
          <w:lang w:val="en-US"/>
          <w14:textFill>
            <w14:solidFill>
              <w14:srgbClr w14:val="222222"/>
            </w14:solidFill>
          </w14:textFill>
        </w:rPr>
        <w:t>Feminist Exegetical Hermeneutics</w:t>
      </w:r>
      <w:r>
        <w:rPr>
          <w:rStyle w:val="None"/>
          <w:outline w:val="0"/>
          <w:color w:val="222222"/>
          <w:sz w:val="22"/>
          <w:szCs w:val="22"/>
          <w:u w:color="222222"/>
          <w:shd w:val="clear" w:color="auto" w:fill="ffffff"/>
          <w:rtl w:val="0"/>
          <w14:textFill>
            <w14:solidFill>
              <w14:srgbClr w14:val="222222"/>
            </w14:solidFill>
          </w14:textFill>
        </w:rPr>
        <w:t>’</w:t>
      </w:r>
      <w:r>
        <w:rPr>
          <w:rStyle w:val="None"/>
          <w:outline w:val="0"/>
          <w:color w:val="222222"/>
          <w:sz w:val="22"/>
          <w:szCs w:val="22"/>
          <w:u w:color="222222"/>
          <w:shd w:val="clear" w:color="auto" w:fill="ffffff"/>
          <w:rtl w:val="0"/>
          <w14:textFill>
            <w14:solidFill>
              <w14:srgbClr w14:val="222222"/>
            </w14:solidFill>
          </w14:textFill>
        </w:rPr>
        <w:t xml:space="preserve">, </w:t>
      </w:r>
      <w:r>
        <w:rPr>
          <w:rStyle w:val="None"/>
          <w:outline w:val="0"/>
          <w:color w:val="222222"/>
          <w:sz w:val="22"/>
          <w:szCs w:val="22"/>
          <w:u w:color="222222"/>
          <w:shd w:val="clear" w:color="auto" w:fill="ffffff"/>
          <w:rtl w:val="0"/>
          <w:lang w:val="en-US"/>
          <w14:textFill>
            <w14:solidFill>
              <w14:srgbClr w14:val="222222"/>
            </w14:solidFill>
          </w14:textFill>
        </w:rPr>
        <w:t xml:space="preserve">in Schottroff, L., Schroer, S. and Wacker, M.T. (eds.), </w:t>
      </w:r>
      <w:r>
        <w:rPr>
          <w:rStyle w:val="None"/>
          <w:i w:val="1"/>
          <w:iCs w:val="1"/>
          <w:outline w:val="0"/>
          <w:color w:val="222222"/>
          <w:sz w:val="22"/>
          <w:szCs w:val="22"/>
          <w:u w:color="222222"/>
          <w:shd w:val="clear" w:color="auto" w:fill="ffffff"/>
          <w:rtl w:val="0"/>
          <w:lang w:val="en-US"/>
          <w14:textFill>
            <w14:solidFill>
              <w14:srgbClr w14:val="222222"/>
            </w14:solidFill>
          </w14:textFill>
        </w:rPr>
        <w:t>Feminist Interpretation: The Bible in Women</w:t>
      </w:r>
      <w:r>
        <w:rPr>
          <w:rStyle w:val="None"/>
          <w:i w:val="1"/>
          <w:iCs w:val="1"/>
          <w:outline w:val="0"/>
          <w:color w:val="222222"/>
          <w:sz w:val="22"/>
          <w:szCs w:val="22"/>
          <w:u w:color="222222"/>
          <w:shd w:val="clear" w:color="auto" w:fill="ffffff"/>
          <w:rtl w:val="0"/>
          <w14:textFill>
            <w14:solidFill>
              <w14:srgbClr w14:val="222222"/>
            </w14:solidFill>
          </w14:textFill>
        </w:rPr>
        <w:t>’</w:t>
      </w:r>
      <w:r>
        <w:rPr>
          <w:rStyle w:val="None"/>
          <w:i w:val="1"/>
          <w:iCs w:val="1"/>
          <w:outline w:val="0"/>
          <w:color w:val="222222"/>
          <w:sz w:val="22"/>
          <w:szCs w:val="22"/>
          <w:u w:color="222222"/>
          <w:shd w:val="clear" w:color="auto" w:fill="ffffff"/>
          <w:rtl w:val="0"/>
          <w:lang w:val="fr-FR"/>
          <w14:textFill>
            <w14:solidFill>
              <w14:srgbClr w14:val="222222"/>
            </w14:solidFill>
          </w14:textFill>
        </w:rPr>
        <w:t>s Perspective</w:t>
      </w:r>
      <w:r>
        <w:rPr>
          <w:rStyle w:val="None"/>
          <w:outline w:val="0"/>
          <w:color w:val="222222"/>
          <w:sz w:val="22"/>
          <w:szCs w:val="22"/>
          <w:u w:color="222222"/>
          <w:shd w:val="clear" w:color="auto" w:fill="ffffff"/>
          <w:rtl w:val="0"/>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w:t>
      </w:r>
      <w:r>
        <w:rPr>
          <w:rStyle w:val="None"/>
          <w:outline w:val="0"/>
          <w:color w:val="222222"/>
          <w:sz w:val="22"/>
          <w:szCs w:val="22"/>
          <w:u w:color="222222"/>
          <w:shd w:val="clear" w:color="auto" w:fill="ffffff"/>
          <w:rtl w:val="0"/>
          <w:lang w:val="it-IT"/>
          <w14:textFill>
            <w14:solidFill>
              <w14:srgbClr w14:val="222222"/>
            </w14:solidFill>
          </w14:textFill>
        </w:rPr>
        <w:t>(Minneapolis: Fortress Press, 1998), pp. 36-62.</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Wacker, M.T.,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Feminist Criticism and Related Aspects</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 xml:space="preserve">, in Rogerson, J.W. and Lieu, J.M. (eds.), </w:t>
      </w:r>
      <w:r>
        <w:rPr>
          <w:rStyle w:val="None"/>
          <w:i w:val="1"/>
          <w:iCs w:val="1"/>
          <w:outline w:val="0"/>
          <w:color w:val="222222"/>
          <w:sz w:val="22"/>
          <w:szCs w:val="22"/>
          <w:u w:color="222222"/>
          <w:shd w:val="clear" w:color="auto" w:fill="ffffff"/>
          <w:rtl w:val="0"/>
          <w:lang w:val="en-US"/>
          <w14:textFill>
            <w14:solidFill>
              <w14:srgbClr w14:val="222222"/>
            </w14:solidFill>
          </w14:textFill>
        </w:rPr>
        <w:t xml:space="preserve">The Oxford Handbook of Biblical Studies </w:t>
      </w:r>
      <w:r>
        <w:rPr>
          <w:rStyle w:val="None"/>
          <w:outline w:val="0"/>
          <w:color w:val="222222"/>
          <w:sz w:val="22"/>
          <w:szCs w:val="22"/>
          <w:u w:color="222222"/>
          <w:shd w:val="clear" w:color="auto" w:fill="ffffff"/>
          <w:rtl w:val="0"/>
          <w:lang w:val="en-US"/>
          <w14:textFill>
            <w14:solidFill>
              <w14:srgbClr w14:val="222222"/>
            </w14:solidFill>
          </w14:textFill>
        </w:rPr>
        <w:t>(Oxford: Oxford University Press, 2006), pp.634-654.</w:t>
      </w:r>
    </w:p>
    <w:p>
      <w:pPr>
        <w:pStyle w:val="Default"/>
        <w:spacing w:after="0" w:line="240" w:lineRule="auto"/>
        <w:rPr>
          <w:rStyle w:val="None"/>
          <w:outline w:val="0"/>
          <w:color w:val="222222"/>
          <w:sz w:val="22"/>
          <w:szCs w:val="22"/>
          <w:u w:color="222222"/>
          <w:shd w:val="clear" w:color="auto" w:fill="ffffff"/>
          <w14:textFill>
            <w14:solidFill>
              <w14:srgbClr w14:val="222222"/>
            </w14:solidFill>
          </w14:textFill>
        </w:rPr>
      </w:pPr>
    </w:p>
    <w:p>
      <w:pPr>
        <w:pStyle w:val="Body A"/>
        <w:spacing w:line="240" w:lineRule="auto"/>
        <w:ind w:firstLine="0"/>
        <w:rPr>
          <w:rStyle w:val="None"/>
          <w:sz w:val="22"/>
          <w:szCs w:val="22"/>
        </w:rPr>
      </w:pPr>
      <w:r>
        <w:rPr>
          <w:rStyle w:val="None"/>
          <w:sz w:val="22"/>
          <w:szCs w:val="22"/>
          <w:rtl w:val="0"/>
          <w:lang w:val="en-US"/>
        </w:rPr>
        <w:t>Wright, N.T.,</w:t>
      </w:r>
      <w:r>
        <w:rPr>
          <w:rStyle w:val="None"/>
          <w:sz w:val="22"/>
          <w:szCs w:val="22"/>
          <w:rtl w:val="0"/>
        </w:rPr>
        <w:t xml:space="preserve"> “</w:t>
      </w:r>
      <w:r>
        <w:rPr>
          <w:rStyle w:val="None"/>
          <w:sz w:val="22"/>
          <w:szCs w:val="22"/>
          <w:rtl w:val="0"/>
          <w:lang w:val="en-US"/>
        </w:rPr>
        <w:t>How Can the Bible be Authoritative?</w:t>
      </w:r>
      <w:r>
        <w:rPr>
          <w:rStyle w:val="None"/>
          <w:sz w:val="22"/>
          <w:szCs w:val="22"/>
          <w:rtl w:val="0"/>
        </w:rPr>
        <w:t xml:space="preserve">” </w:t>
      </w:r>
      <w:r>
        <w:rPr>
          <w:rStyle w:val="None"/>
          <w:i w:val="1"/>
          <w:iCs w:val="1"/>
          <w:sz w:val="22"/>
          <w:szCs w:val="22"/>
          <w:rtl w:val="0"/>
          <w:lang w:val="it-IT"/>
        </w:rPr>
        <w:t xml:space="preserve">Vox Evangelica </w:t>
      </w:r>
      <w:r>
        <w:rPr>
          <w:rStyle w:val="None"/>
          <w:sz w:val="22"/>
          <w:szCs w:val="22"/>
          <w:rtl w:val="0"/>
        </w:rPr>
        <w:t xml:space="preserve">21 (1991): </w:t>
      </w:r>
      <w:r>
        <w:rPr>
          <w:rStyle w:val="None"/>
          <w:sz w:val="22"/>
          <w:szCs w:val="22"/>
          <w:rtl w:val="0"/>
          <w:lang w:val="en-US"/>
        </w:rPr>
        <w:t>pp.</w:t>
      </w:r>
      <w:r>
        <w:rPr>
          <w:rStyle w:val="None"/>
          <w:sz w:val="22"/>
          <w:szCs w:val="22"/>
          <w:rtl w:val="0"/>
        </w:rPr>
        <w:t>7-32.</w:t>
      </w:r>
      <w:r>
        <w:rPr>
          <w:rStyle w:val="None"/>
          <w:sz w:val="22"/>
          <w:szCs w:val="22"/>
          <w:rtl w:val="0"/>
          <w:lang w:val="en-US"/>
        </w:rPr>
        <w:t xml:space="preserve"> Accessed on 26/8/19 at: </w:t>
      </w:r>
    </w:p>
    <w:p>
      <w:pPr>
        <w:pStyle w:val="Body A"/>
        <w:spacing w:line="240" w:lineRule="auto"/>
        <w:ind w:firstLine="0"/>
        <w:rPr>
          <w:rStyle w:val="None"/>
          <w:sz w:val="22"/>
          <w:szCs w:val="22"/>
        </w:rPr>
      </w:pPr>
      <w:r>
        <w:rPr>
          <w:rStyle w:val="Hyperlink.2"/>
        </w:rPr>
        <w:fldChar w:fldCharType="begin" w:fldLock="0"/>
      </w:r>
      <w:r>
        <w:rPr>
          <w:rStyle w:val="Hyperlink.2"/>
        </w:rPr>
        <w:instrText xml:space="preserve"> HYPERLINK "http://ntwrightpage.com/2016/07/12/how-can-the-bible-be-authoritative/"</w:instrText>
      </w:r>
      <w:r>
        <w:rPr>
          <w:rStyle w:val="Hyperlink.2"/>
        </w:rPr>
        <w:fldChar w:fldCharType="separate" w:fldLock="0"/>
      </w:r>
      <w:r>
        <w:rPr>
          <w:rStyle w:val="Hyperlink.2"/>
          <w:rtl w:val="0"/>
          <w:lang w:val="en-US"/>
        </w:rPr>
        <w:t>http://ntwrightpage.com/2016/07/12/how-can-the-bible-be-authoritative/</w:t>
      </w:r>
      <w:r>
        <w:rPr/>
        <w:fldChar w:fldCharType="end" w:fldLock="0"/>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Wright, N.T., </w:t>
      </w:r>
      <w:r>
        <w:rPr>
          <w:rStyle w:val="None"/>
          <w:sz w:val="22"/>
          <w:szCs w:val="22"/>
          <w:rtl w:val="0"/>
          <w:lang w:val="en-US"/>
        </w:rPr>
        <w:t>“</w:t>
      </w:r>
      <w:r>
        <w:rPr>
          <w:rStyle w:val="None"/>
          <w:sz w:val="22"/>
          <w:szCs w:val="22"/>
          <w:rtl w:val="0"/>
          <w:lang w:val="en-US"/>
        </w:rPr>
        <w:t>Women</w:t>
      </w:r>
      <w:r>
        <w:rPr>
          <w:rStyle w:val="None"/>
          <w:sz w:val="22"/>
          <w:szCs w:val="22"/>
          <w:rtl w:val="0"/>
          <w:lang w:val="en-US"/>
        </w:rPr>
        <w:t>’</w:t>
      </w:r>
      <w:r>
        <w:rPr>
          <w:rStyle w:val="None"/>
          <w:sz w:val="22"/>
          <w:szCs w:val="22"/>
          <w:rtl w:val="0"/>
          <w:lang w:val="en-US"/>
        </w:rPr>
        <w:t>s Service in the Church: The Biblical Basis</w:t>
      </w:r>
      <w:r>
        <w:rPr>
          <w:rStyle w:val="None"/>
          <w:sz w:val="22"/>
          <w:szCs w:val="22"/>
          <w:rtl w:val="0"/>
          <w:lang w:val="en-US"/>
        </w:rPr>
        <w:t>”</w:t>
      </w:r>
      <w:r>
        <w:rPr>
          <w:rStyle w:val="None"/>
          <w:sz w:val="22"/>
          <w:szCs w:val="22"/>
          <w:rtl w:val="0"/>
          <w:lang w:val="en-US"/>
        </w:rPr>
        <w:t xml:space="preserve">. A conference paper for the Symposium, </w:t>
      </w:r>
      <w:r>
        <w:rPr>
          <w:rStyle w:val="None"/>
          <w:sz w:val="22"/>
          <w:szCs w:val="22"/>
          <w:rtl w:val="0"/>
          <w:lang w:val="en-US"/>
        </w:rPr>
        <w:t>‘</w:t>
      </w:r>
      <w:r>
        <w:rPr>
          <w:rStyle w:val="None"/>
          <w:sz w:val="22"/>
          <w:szCs w:val="22"/>
          <w:rtl w:val="0"/>
          <w:lang w:val="en-US"/>
        </w:rPr>
        <w:t>Men, Women and the Church</w:t>
      </w:r>
      <w:r>
        <w:rPr>
          <w:rStyle w:val="None"/>
          <w:sz w:val="22"/>
          <w:szCs w:val="22"/>
          <w:rtl w:val="0"/>
          <w:lang w:val="en-US"/>
        </w:rPr>
        <w:t>’</w:t>
      </w:r>
      <w:r>
        <w:rPr>
          <w:rStyle w:val="None"/>
          <w:sz w:val="22"/>
          <w:szCs w:val="22"/>
          <w:rtl w:val="0"/>
          <w:lang w:val="en-US"/>
        </w:rPr>
        <w:t>, St John</w:t>
      </w:r>
      <w:r>
        <w:rPr>
          <w:rStyle w:val="None"/>
          <w:sz w:val="22"/>
          <w:szCs w:val="22"/>
          <w:rtl w:val="0"/>
          <w:lang w:val="en-US"/>
        </w:rPr>
        <w:t>’</w:t>
      </w:r>
      <w:r>
        <w:rPr>
          <w:rStyle w:val="None"/>
          <w:sz w:val="22"/>
          <w:szCs w:val="22"/>
          <w:rtl w:val="0"/>
          <w:lang w:val="en-US"/>
        </w:rPr>
        <w:t xml:space="preserve">s College, Durham, September 4 2004. Accessed on 26/8/19 at: </w:t>
      </w:r>
      <w:r>
        <w:rPr>
          <w:rStyle w:val="Hyperlink.2"/>
        </w:rPr>
        <w:fldChar w:fldCharType="begin" w:fldLock="0"/>
      </w:r>
      <w:r>
        <w:rPr>
          <w:rStyle w:val="Hyperlink.2"/>
        </w:rPr>
        <w:instrText xml:space="preserve"> HYPERLINK "http://ntwrightpage.com/2016/07/12/womens-service-in-the-church-the-biblical-basis/"</w:instrText>
      </w:r>
      <w:r>
        <w:rPr>
          <w:rStyle w:val="Hyperlink.2"/>
        </w:rPr>
        <w:fldChar w:fldCharType="separate" w:fldLock="0"/>
      </w:r>
      <w:r>
        <w:rPr>
          <w:rStyle w:val="Hyperlink.2"/>
          <w:rtl w:val="0"/>
          <w:lang w:val="en-US"/>
        </w:rPr>
        <w:t>http://ntwrightpage.com/2016/07/12/womens-service-in-the-church-the-biblical-basis/</w:t>
      </w:r>
      <w:r>
        <w:rPr/>
        <w:fldChar w:fldCharType="end" w:fldLock="0"/>
      </w:r>
    </w:p>
    <w:p>
      <w:pPr>
        <w:pStyle w:val="Body A"/>
        <w:spacing w:line="240" w:lineRule="auto"/>
        <w:ind w:firstLine="0"/>
        <w:rPr>
          <w:rStyle w:val="None"/>
          <w:sz w:val="22"/>
          <w:szCs w:val="22"/>
        </w:rPr>
      </w:pPr>
    </w:p>
    <w:p>
      <w:pPr>
        <w:pStyle w:val="Body A"/>
        <w:spacing w:line="240" w:lineRule="auto"/>
        <w:ind w:firstLine="0"/>
        <w:rPr>
          <w:rStyle w:val="None"/>
          <w:sz w:val="22"/>
          <w:szCs w:val="22"/>
        </w:rPr>
      </w:pPr>
      <w:r>
        <w:rPr>
          <w:rStyle w:val="None"/>
          <w:sz w:val="22"/>
          <w:szCs w:val="22"/>
          <w:rtl w:val="0"/>
          <w:lang w:val="en-US"/>
        </w:rPr>
        <w:t xml:space="preserve">Wright, N.T., </w:t>
      </w:r>
      <w:r>
        <w:rPr>
          <w:rStyle w:val="None"/>
          <w:i w:val="1"/>
          <w:iCs w:val="1"/>
          <w:sz w:val="22"/>
          <w:szCs w:val="22"/>
          <w:rtl w:val="0"/>
          <w:lang w:val="en-US"/>
        </w:rPr>
        <w:t xml:space="preserve">Scripture and Authority of God </w:t>
      </w:r>
      <w:r>
        <w:rPr>
          <w:rStyle w:val="None"/>
          <w:sz w:val="22"/>
          <w:szCs w:val="22"/>
          <w:rtl w:val="0"/>
          <w:lang w:val="en-US"/>
        </w:rPr>
        <w:t>(London: SPCK, 2005).</w:t>
      </w:r>
    </w:p>
    <w:p>
      <w:pPr>
        <w:pStyle w:val="Body A"/>
      </w:pPr>
    </w:p>
    <w:p>
      <w:pPr>
        <w:pStyle w:val="Body A"/>
      </w:pPr>
    </w:p>
    <w:p>
      <w:pPr>
        <w:pStyle w:val="Body A"/>
      </w:pPr>
    </w:p>
    <w:p>
      <w:pPr>
        <w:pStyle w:val="Body A"/>
      </w:pPr>
    </w:p>
    <w:p>
      <w:pPr>
        <w:pStyle w:val="Body A"/>
      </w:pPr>
    </w:p>
    <w:p>
      <w:pPr>
        <w:pStyle w:val="Body A"/>
      </w:pPr>
    </w:p>
    <w:p>
      <w:pPr>
        <w:pStyle w:val="Body A"/>
      </w:pPr>
      <w:r/>
    </w:p>
    <w:sectPr>
      <w:headerReference w:type="default" r:id="rId4"/>
      <w:footerReference w:type="default" r:id="rId5"/>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Baskerville">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right" w:pos="9000"/>
        <w:tab w:val="clear" w:pos="9020"/>
      </w:tabs>
    </w:pPr>
    <w:r>
      <w:tab/>
    </w:r>
    <w:r>
      <w:rPr>
        <w:rtl w:val="0"/>
      </w:rPr>
      <w:fldChar w:fldCharType="begin" w:fldLock="0"/>
    </w:r>
    <w:r>
      <w:rPr>
        <w:rtl w:val="0"/>
      </w:rPr>
      <w:instrText xml:space="preserve"> PAGE </w:instrText>
    </w:r>
    <w:r>
      <w:rPr>
        <w:rtl w:val="0"/>
      </w:rPr>
      <w:fldChar w:fldCharType="separate" w:fldLock="0"/>
    </w:r>
    <w:r>
      <w:rPr>
        <w:rtl w:val="0"/>
      </w:rPr>
      <w:t>1</w:t>
    </w:r>
    <w:r>
      <w:rPr>
        <w:rtl w:val="0"/>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sz w:val="22"/>
          <w:szCs w:val="22"/>
          <w:vertAlign w:val="superscript"/>
        </w:rPr>
        <w:footnoteRef/>
      </w:r>
      <w:r>
        <w:rPr>
          <w:rFonts w:cs="Arial Unicode MS" w:eastAsia="Arial Unicode MS"/>
          <w:rtl w:val="0"/>
          <w:lang w:val="en-US"/>
        </w:rPr>
        <w:t xml:space="preserve">The Nicene Creed. Accessed on 26/8/19 at: </w:t>
      </w:r>
      <w:r>
        <w:rPr>
          <w:rStyle w:val="Hyperlink.0"/>
        </w:rPr>
        <w:fldChar w:fldCharType="begin" w:fldLock="0"/>
      </w:r>
      <w:r>
        <w:rPr>
          <w:rStyle w:val="Hyperlink.0"/>
        </w:rPr>
        <w:instrText xml:space="preserve"> HYPERLINK "http://anglicansonline.org/basics/nicene.html"</w:instrText>
      </w:r>
      <w:r>
        <w:rPr>
          <w:rStyle w:val="Hyperlink.0"/>
        </w:rPr>
        <w:fldChar w:fldCharType="separate" w:fldLock="0"/>
      </w:r>
      <w:r>
        <w:rPr>
          <w:rStyle w:val="Hyperlink.0"/>
          <w:rFonts w:cs="Arial Unicode MS" w:eastAsia="Arial Unicode MS"/>
          <w:rtl w:val="0"/>
          <w:lang w:val="en-US"/>
        </w:rPr>
        <w:t>http://anglicansonline.org/basics/nicene.html</w:t>
      </w:r>
      <w:r>
        <w:rPr/>
        <w:fldChar w:fldCharType="end" w:fldLock="0"/>
      </w:r>
      <w:r>
        <w:rPr>
          <w:rStyle w:val="None"/>
          <w:rFonts w:cs="Arial Unicode MS" w:eastAsia="Arial Unicode MS"/>
          <w:rtl w:val="0"/>
          <w:lang w:val="en-US"/>
        </w:rPr>
        <w:t xml:space="preserve">; L.T. Johnson, </w:t>
      </w:r>
      <w:r>
        <w:rPr>
          <w:rStyle w:val="None"/>
          <w:rFonts w:cs="Arial Unicode MS" w:eastAsia="Arial Unicode MS" w:hint="default"/>
          <w:rtl w:val="0"/>
          <w:lang w:val="en-US"/>
        </w:rPr>
        <w:t>“</w:t>
      </w:r>
      <w:r>
        <w:rPr>
          <w:rStyle w:val="None"/>
          <w:rFonts w:cs="Arial Unicode MS" w:eastAsia="Arial Unicode MS"/>
          <w:rtl w:val="0"/>
          <w:lang w:val="en-US"/>
        </w:rPr>
        <w:t>The Bible</w:t>
      </w:r>
      <w:r>
        <w:rPr>
          <w:rStyle w:val="None"/>
          <w:rFonts w:cs="Arial Unicode MS" w:eastAsia="Arial Unicode MS" w:hint="default"/>
          <w:rtl w:val="0"/>
          <w:lang w:val="en-US"/>
        </w:rPr>
        <w:t>’</w:t>
      </w:r>
      <w:r>
        <w:rPr>
          <w:rStyle w:val="None"/>
          <w:rFonts w:cs="Arial Unicode MS" w:eastAsia="Arial Unicode MS"/>
          <w:rtl w:val="0"/>
          <w:lang w:val="en-US"/>
        </w:rPr>
        <w:t>s Authority for and in the Church</w:t>
      </w:r>
      <w:r>
        <w:rPr>
          <w:rStyle w:val="None"/>
          <w:rFonts w:cs="Arial Unicode MS" w:eastAsia="Arial Unicode MS" w:hint="default"/>
          <w:rtl w:val="0"/>
          <w:lang w:val="en-US"/>
        </w:rPr>
        <w:t>”</w:t>
      </w:r>
      <w:r>
        <w:rPr>
          <w:rStyle w:val="None"/>
          <w:rFonts w:cs="Arial Unicode MS" w:eastAsia="Arial Unicode MS"/>
          <w:rtl w:val="0"/>
          <w:lang w:val="en-US"/>
        </w:rPr>
        <w:t xml:space="preserve">, in W.P. Brown, (ed.) </w:t>
      </w:r>
      <w:r>
        <w:rPr>
          <w:rStyle w:val="None"/>
          <w:rFonts w:cs="Arial Unicode MS" w:eastAsia="Arial Unicode MS"/>
          <w:i w:val="1"/>
          <w:iCs w:val="1"/>
          <w:rtl w:val="0"/>
          <w:lang w:val="en-US"/>
        </w:rPr>
        <w:t>Engaging Biblical Authority: Perspectives on the Bible as Scripture.</w:t>
      </w:r>
      <w:r>
        <w:rPr>
          <w:rStyle w:val="None"/>
          <w:rFonts w:cs="Arial Unicode MS" w:eastAsia="Arial Unicode MS"/>
          <w:rtl w:val="0"/>
          <w:lang w:val="en-US"/>
        </w:rPr>
        <w:t xml:space="preserve"> (London: Westminster John Knox Press, 2007), Kindle edition, 1027.</w:t>
      </w:r>
    </w:p>
  </w:footnote>
  <w:footnote w:id="2">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E. </w:t>
      </w:r>
      <w:r>
        <w:rPr>
          <w:rStyle w:val="None"/>
          <w:rFonts w:cs="Arial Unicode MS" w:eastAsia="Arial Unicode MS"/>
          <w:rtl w:val="0"/>
          <w:lang w:val="de-DE"/>
        </w:rPr>
        <w:t>Sch</w:t>
      </w:r>
      <w:r>
        <w:rPr>
          <w:rStyle w:val="None"/>
          <w:rFonts w:cs="Arial Unicode MS" w:eastAsia="Arial Unicode MS" w:hint="default"/>
          <w:rtl w:val="0"/>
        </w:rPr>
        <w:t>ü</w:t>
      </w:r>
      <w:r>
        <w:rPr>
          <w:rStyle w:val="None"/>
          <w:rFonts w:cs="Arial Unicode MS" w:eastAsia="Arial Unicode MS"/>
          <w:rtl w:val="0"/>
          <w:lang w:val="da-DK"/>
        </w:rPr>
        <w:t>ssler</w:t>
      </w:r>
      <w:r>
        <w:rPr>
          <w:rStyle w:val="None"/>
          <w:rFonts w:cs="Arial Unicode MS" w:eastAsia="Arial Unicode MS"/>
          <w:rtl w:val="0"/>
          <w:lang w:val="en-US"/>
        </w:rPr>
        <w:t xml:space="preserve"> Fiorenza,</w:t>
      </w:r>
      <w:r>
        <w:rPr>
          <w:rStyle w:val="None"/>
          <w:rFonts w:cs="Arial Unicode MS" w:eastAsia="Arial Unicode MS" w:hint="default"/>
          <w:rtl w:val="0"/>
          <w:lang w:val="en-US"/>
        </w:rPr>
        <w:t>“</w:t>
      </w:r>
      <w:r>
        <w:rPr>
          <w:rStyle w:val="None"/>
          <w:rFonts w:cs="Arial Unicode MS" w:eastAsia="Arial Unicode MS"/>
          <w:rtl w:val="0"/>
          <w:lang w:val="en-US"/>
        </w:rPr>
        <w:t>Feminist Hermeneutics</w:t>
      </w:r>
      <w:r>
        <w:rPr>
          <w:rStyle w:val="None"/>
          <w:rFonts w:cs="Arial Unicode MS" w:eastAsia="Arial Unicode MS" w:hint="default"/>
          <w:rtl w:val="0"/>
          <w:lang w:val="en-US"/>
        </w:rPr>
        <w:t xml:space="preserve">” </w:t>
      </w:r>
      <w:r>
        <w:rPr>
          <w:rStyle w:val="None"/>
          <w:rFonts w:cs="Arial Unicode MS" w:eastAsia="Arial Unicode MS"/>
          <w:rtl w:val="0"/>
          <w:lang w:val="en-US"/>
        </w:rPr>
        <w:t xml:space="preserve">in D.N. Freddman, (ed.), </w:t>
      </w:r>
      <w:r>
        <w:rPr>
          <w:rStyle w:val="None"/>
          <w:rFonts w:cs="Arial Unicode MS" w:eastAsia="Arial Unicode MS"/>
          <w:i w:val="1"/>
          <w:iCs w:val="1"/>
          <w:rtl w:val="0"/>
          <w:lang w:val="en-US"/>
        </w:rPr>
        <w:t>The Anchor Yale Bible Dictionary</w:t>
      </w:r>
      <w:r>
        <w:rPr>
          <w:rStyle w:val="None"/>
          <w:rFonts w:cs="Arial Unicode MS" w:eastAsia="Arial Unicode MS"/>
          <w:rtl w:val="0"/>
          <w:lang w:val="en-US"/>
        </w:rPr>
        <w:t xml:space="preserve"> (New York: Doubleday, 1992), pp.720-721.</w:t>
      </w:r>
    </w:p>
  </w:footnote>
  <w:footnote w:id="3">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W.P. Brown, (ed.) </w:t>
      </w:r>
      <w:r>
        <w:rPr>
          <w:rStyle w:val="None"/>
          <w:rFonts w:cs="Arial Unicode MS" w:eastAsia="Arial Unicode MS"/>
          <w:i w:val="1"/>
          <w:iCs w:val="1"/>
          <w:rtl w:val="0"/>
          <w:lang w:val="en-US"/>
        </w:rPr>
        <w:t>Engaging Biblical Authority: Perspectives on the Bible as Scripture</w:t>
      </w:r>
      <w:r>
        <w:rPr>
          <w:rStyle w:val="None"/>
          <w:rFonts w:cs="Arial Unicode MS" w:eastAsia="Arial Unicode MS"/>
          <w:rtl w:val="0"/>
          <w:lang w:val="en-US"/>
        </w:rPr>
        <w:t xml:space="preserve"> (London: Westminster John Knox Press, 2007). Kindle edition, 64-71.</w:t>
      </w:r>
    </w:p>
  </w:footnote>
  <w:footnote w:id="4">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S. Lancaster., </w:t>
      </w:r>
      <w:r>
        <w:rPr>
          <w:rStyle w:val="None"/>
          <w:rFonts w:cs="Arial Unicode MS" w:eastAsia="Arial Unicode MS" w:hint="default"/>
          <w:rtl w:val="0"/>
          <w:lang w:val="en-US"/>
        </w:rPr>
        <w:t>“</w:t>
      </w:r>
      <w:r>
        <w:rPr>
          <w:rStyle w:val="None"/>
          <w:rFonts w:cs="Arial Unicode MS" w:eastAsia="Arial Unicode MS"/>
          <w:rtl w:val="0"/>
          <w:lang w:val="en-US"/>
        </w:rPr>
        <w:t>Authority and Narrative</w:t>
      </w:r>
      <w:r>
        <w:rPr>
          <w:rStyle w:val="None"/>
          <w:rFonts w:cs="Arial Unicode MS" w:eastAsia="Arial Unicode MS" w:hint="default"/>
          <w:rtl w:val="0"/>
          <w:lang w:val="en-US"/>
        </w:rPr>
        <w:t>”</w:t>
      </w:r>
      <w:r>
        <w:rPr>
          <w:rStyle w:val="None"/>
          <w:rFonts w:cs="Arial Unicode MS" w:eastAsia="Arial Unicode MS"/>
          <w:rtl w:val="0"/>
          <w:lang w:val="en-US"/>
        </w:rPr>
        <w:t xml:space="preserve">, in W.P. Brown, </w:t>
      </w:r>
      <w:r>
        <w:rPr>
          <w:rStyle w:val="None"/>
          <w:rFonts w:cs="Arial Unicode MS" w:eastAsia="Arial Unicode MS"/>
          <w:rtl w:val="0"/>
        </w:rPr>
        <w:t>(</w:t>
      </w:r>
      <w:r>
        <w:rPr>
          <w:rStyle w:val="None"/>
          <w:rFonts w:cs="Arial Unicode MS" w:eastAsia="Arial Unicode MS"/>
          <w:rtl w:val="0"/>
          <w:lang w:val="en-US"/>
        </w:rPr>
        <w:t>e</w:t>
      </w:r>
      <w:r>
        <w:rPr>
          <w:rStyle w:val="None"/>
          <w:rFonts w:cs="Arial Unicode MS" w:eastAsia="Arial Unicode MS"/>
          <w:rtl w:val="0"/>
        </w:rPr>
        <w:t>d.)</w:t>
      </w:r>
      <w:r>
        <w:rPr>
          <w:rStyle w:val="None"/>
          <w:rFonts w:cs="Arial Unicode MS" w:eastAsia="Arial Unicode MS"/>
          <w:rtl w:val="0"/>
          <w:lang w:val="en-US"/>
        </w:rPr>
        <w:t>,</w:t>
      </w:r>
      <w:r>
        <w:rPr>
          <w:rStyle w:val="None"/>
          <w:rFonts w:cs="Arial Unicode MS" w:eastAsia="Arial Unicode MS"/>
          <w:rtl w:val="0"/>
        </w:rPr>
        <w:t xml:space="preserve"> </w:t>
      </w:r>
      <w:r>
        <w:rPr>
          <w:rStyle w:val="None"/>
          <w:rFonts w:cs="Arial Unicode MS" w:eastAsia="Arial Unicode MS"/>
          <w:i w:val="1"/>
          <w:iCs w:val="1"/>
          <w:rtl w:val="0"/>
          <w:lang w:val="en-US"/>
        </w:rPr>
        <w:t xml:space="preserve">Engaging Biblical Authority: Perspectives on the Bible as Scripture </w:t>
      </w:r>
      <w:r>
        <w:rPr>
          <w:rStyle w:val="None"/>
          <w:rFonts w:cs="Arial Unicode MS" w:eastAsia="Arial Unicode MS"/>
          <w:rtl w:val="0"/>
          <w:lang w:val="de-DE"/>
        </w:rPr>
        <w:t>(London: Westminster Jo</w:t>
      </w:r>
      <w:r>
        <w:rPr>
          <w:rStyle w:val="None"/>
          <w:rFonts w:cs="Arial Unicode MS" w:eastAsia="Arial Unicode MS"/>
          <w:rtl w:val="0"/>
          <w:lang w:val="en-US"/>
        </w:rPr>
        <w:t>h</w:t>
      </w:r>
      <w:r>
        <w:rPr>
          <w:rStyle w:val="None"/>
          <w:rFonts w:cs="Arial Unicode MS" w:eastAsia="Arial Unicode MS"/>
          <w:rtl w:val="0"/>
        </w:rPr>
        <w:t>n Knox Press, 2007).</w:t>
      </w:r>
      <w:r>
        <w:rPr>
          <w:rStyle w:val="None"/>
          <w:rFonts w:cs="Arial Unicode MS" w:eastAsia="Arial Unicode MS"/>
          <w:rtl w:val="0"/>
          <w:lang w:val="en-US"/>
        </w:rPr>
        <w:t xml:space="preserve"> Kindle edition, 1343-1364.</w:t>
      </w:r>
    </w:p>
  </w:footnote>
  <w:footnote w:id="5">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N.T. Wright, </w:t>
      </w:r>
      <w:r>
        <w:rPr>
          <w:rStyle w:val="None"/>
          <w:rFonts w:cs="Arial Unicode MS" w:eastAsia="Arial Unicode MS"/>
          <w:i w:val="1"/>
          <w:iCs w:val="1"/>
          <w:rtl w:val="0"/>
          <w:lang w:val="en-US"/>
        </w:rPr>
        <w:t xml:space="preserve">Scripture and Authority of God </w:t>
      </w:r>
      <w:r>
        <w:rPr>
          <w:rStyle w:val="None"/>
          <w:rFonts w:cs="Arial Unicode MS" w:eastAsia="Arial Unicode MS"/>
          <w:rtl w:val="0"/>
          <w:lang w:val="en-US"/>
        </w:rPr>
        <w:t>(London: SPCK, 2005), p.17.</w:t>
      </w:r>
    </w:p>
  </w:footnote>
  <w:footnote w:id="6">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i w:val="1"/>
          <w:iCs w:val="1"/>
          <w:rtl w:val="0"/>
          <w:lang w:val="en-US"/>
        </w:rPr>
        <w:t>ibid.</w:t>
      </w:r>
    </w:p>
  </w:footnote>
  <w:footnote w:id="7">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N.T. Wright, </w:t>
      </w:r>
      <w:r>
        <w:rPr>
          <w:rStyle w:val="None"/>
          <w:rFonts w:cs="Arial Unicode MS" w:eastAsia="Arial Unicode MS" w:hint="default"/>
          <w:rtl w:val="0"/>
        </w:rPr>
        <w:t>“</w:t>
      </w:r>
      <w:r>
        <w:rPr>
          <w:rStyle w:val="None"/>
          <w:rFonts w:cs="Arial Unicode MS" w:eastAsia="Arial Unicode MS"/>
          <w:rtl w:val="0"/>
          <w:lang w:val="en-US"/>
        </w:rPr>
        <w:t>How Can the Bible be Authoritative?</w:t>
      </w:r>
      <w:r>
        <w:rPr>
          <w:rStyle w:val="None"/>
          <w:rFonts w:cs="Arial Unicode MS" w:eastAsia="Arial Unicode MS" w:hint="default"/>
          <w:rtl w:val="0"/>
        </w:rPr>
        <w:t xml:space="preserve">” </w:t>
      </w:r>
      <w:r>
        <w:rPr>
          <w:rStyle w:val="None"/>
          <w:rFonts w:cs="Arial Unicode MS" w:eastAsia="Arial Unicode MS"/>
          <w:i w:val="1"/>
          <w:iCs w:val="1"/>
          <w:rtl w:val="0"/>
          <w:lang w:val="it-IT"/>
        </w:rPr>
        <w:t xml:space="preserve">Vox Evangelica </w:t>
      </w:r>
      <w:r>
        <w:rPr>
          <w:rStyle w:val="None"/>
          <w:rFonts w:cs="Arial Unicode MS" w:eastAsia="Arial Unicode MS"/>
          <w:rtl w:val="0"/>
        </w:rPr>
        <w:t xml:space="preserve">21 (1991): </w:t>
      </w:r>
      <w:r>
        <w:rPr>
          <w:rStyle w:val="None"/>
          <w:rFonts w:cs="Arial Unicode MS" w:eastAsia="Arial Unicode MS"/>
          <w:rtl w:val="0"/>
          <w:lang w:val="en-US"/>
        </w:rPr>
        <w:t>pp.</w:t>
      </w:r>
      <w:r>
        <w:rPr>
          <w:rStyle w:val="None"/>
          <w:rFonts w:cs="Arial Unicode MS" w:eastAsia="Arial Unicode MS"/>
          <w:rtl w:val="0"/>
        </w:rPr>
        <w:t>7-32.</w:t>
      </w:r>
      <w:r>
        <w:rPr>
          <w:rStyle w:val="None"/>
          <w:rFonts w:cs="Arial Unicode MS" w:eastAsia="Arial Unicode MS"/>
          <w:rtl w:val="0"/>
          <w:lang w:val="en-US"/>
        </w:rPr>
        <w:t xml:space="preserve"> Accessed on 26/8/19 at: </w:t>
      </w:r>
      <w:r>
        <w:rPr>
          <w:rStyle w:val="Hyperlink.0"/>
        </w:rPr>
        <w:fldChar w:fldCharType="begin" w:fldLock="0"/>
      </w:r>
      <w:r>
        <w:rPr>
          <w:rStyle w:val="Hyperlink.0"/>
        </w:rPr>
        <w:instrText xml:space="preserve"> HYPERLINK "http://ntwrightpage.com/2016/07/12/how-can-the-bible-be-authoritative/"</w:instrText>
      </w:r>
      <w:r>
        <w:rPr>
          <w:rStyle w:val="Hyperlink.0"/>
        </w:rPr>
        <w:fldChar w:fldCharType="separate" w:fldLock="0"/>
      </w:r>
      <w:r>
        <w:rPr>
          <w:rStyle w:val="Hyperlink.0"/>
          <w:rFonts w:cs="Arial Unicode MS" w:eastAsia="Arial Unicode MS"/>
          <w:rtl w:val="0"/>
          <w:lang w:val="en-US"/>
        </w:rPr>
        <w:t>http://ntwrightpage.com/2016/07/12/how-can-the-bible-be-authoritative/</w:t>
      </w:r>
      <w:r>
        <w:rPr/>
        <w:fldChar w:fldCharType="end" w:fldLock="0"/>
      </w:r>
    </w:p>
  </w:footnote>
  <w:footnote w:id="8">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Brown, </w:t>
      </w:r>
      <w:r>
        <w:rPr>
          <w:rStyle w:val="None"/>
          <w:rFonts w:cs="Arial Unicode MS" w:eastAsia="Arial Unicode MS"/>
          <w:i w:val="1"/>
          <w:iCs w:val="1"/>
          <w:rtl w:val="0"/>
          <w:lang w:val="en-US"/>
        </w:rPr>
        <w:t xml:space="preserve">Biblical Authority, </w:t>
      </w:r>
      <w:r>
        <w:rPr>
          <w:rStyle w:val="None"/>
          <w:rFonts w:cs="Arial Unicode MS" w:eastAsia="Arial Unicode MS"/>
          <w:rtl w:val="0"/>
          <w:lang w:val="en-US"/>
        </w:rPr>
        <w:t xml:space="preserve">91. </w:t>
      </w:r>
    </w:p>
  </w:footnote>
  <w:footnote w:id="9">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A. Loads, </w:t>
      </w:r>
      <w:r>
        <w:rPr>
          <w:rStyle w:val="None"/>
          <w:rFonts w:cs="Arial Unicode MS" w:eastAsia="Arial Unicode MS" w:hint="default"/>
          <w:rtl w:val="0"/>
          <w:lang w:val="en-US"/>
        </w:rPr>
        <w:t>“</w:t>
      </w:r>
      <w:r>
        <w:rPr>
          <w:rStyle w:val="None"/>
          <w:rFonts w:cs="Arial Unicode MS" w:eastAsia="Arial Unicode MS"/>
          <w:rtl w:val="0"/>
          <w:lang w:val="en-US"/>
        </w:rPr>
        <w:t>Feminist Interpretation</w:t>
      </w:r>
      <w:r>
        <w:rPr>
          <w:rStyle w:val="None"/>
          <w:rFonts w:cs="Arial Unicode MS" w:eastAsia="Arial Unicode MS" w:hint="default"/>
          <w:rtl w:val="0"/>
          <w:lang w:val="en-US"/>
        </w:rPr>
        <w:t>”</w:t>
      </w:r>
      <w:r>
        <w:rPr>
          <w:rStyle w:val="None"/>
          <w:rFonts w:cs="Arial Unicode MS" w:eastAsia="Arial Unicode MS"/>
          <w:rtl w:val="0"/>
          <w:lang w:val="en-US"/>
        </w:rPr>
        <w:t xml:space="preserve">, in J. Barton, </w:t>
      </w:r>
      <w:r>
        <w:rPr>
          <w:rStyle w:val="None"/>
          <w:rFonts w:cs="Arial Unicode MS" w:eastAsia="Arial Unicode MS"/>
          <w:i w:val="1"/>
          <w:iCs w:val="1"/>
          <w:rtl w:val="0"/>
          <w:lang w:val="en-US"/>
        </w:rPr>
        <w:t>The Cambridge Companion to Biblical Interpretation</w:t>
      </w:r>
      <w:r>
        <w:rPr>
          <w:rStyle w:val="None"/>
          <w:rFonts w:cs="Arial Unicode MS" w:eastAsia="Arial Unicode MS"/>
          <w:rtl w:val="0"/>
          <w:lang w:val="en-US"/>
        </w:rPr>
        <w:t xml:space="preserve"> (Cambridge: Cambridge University Press, 1998) p.81.</w:t>
      </w:r>
    </w:p>
  </w:footnote>
  <w:footnote w:id="10">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E. Storkey, </w:t>
      </w:r>
      <w:r>
        <w:rPr>
          <w:rStyle w:val="None"/>
          <w:rFonts w:cs="Arial Unicode MS" w:eastAsia="Arial Unicode MS"/>
          <w:i w:val="1"/>
          <w:iCs w:val="1"/>
          <w:rtl w:val="0"/>
          <w:lang w:val="en-US"/>
        </w:rPr>
        <w:t>What</w:t>
      </w:r>
      <w:r>
        <w:rPr>
          <w:rStyle w:val="None"/>
          <w:rFonts w:cs="Arial Unicode MS" w:eastAsia="Arial Unicode MS" w:hint="default"/>
          <w:i w:val="1"/>
          <w:iCs w:val="1"/>
          <w:rtl w:val="0"/>
          <w:lang w:val="en-US"/>
        </w:rPr>
        <w:t>’</w:t>
      </w:r>
      <w:r>
        <w:rPr>
          <w:rStyle w:val="None"/>
          <w:rFonts w:cs="Arial Unicode MS" w:eastAsia="Arial Unicode MS"/>
          <w:i w:val="1"/>
          <w:iCs w:val="1"/>
          <w:rtl w:val="0"/>
          <w:lang w:val="en-US"/>
        </w:rPr>
        <w:t xml:space="preserve">s Right with Feminism </w:t>
      </w:r>
      <w:r>
        <w:rPr>
          <w:rStyle w:val="None"/>
          <w:rFonts w:cs="Arial Unicode MS" w:eastAsia="Arial Unicode MS"/>
          <w:rtl w:val="0"/>
          <w:lang w:val="en-US"/>
        </w:rPr>
        <w:t>(London, SPCK: 1985), pp. 59-110.</w:t>
      </w:r>
    </w:p>
  </w:footnote>
  <w:footnote w:id="11">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M.T. Wacker, </w:t>
      </w:r>
      <w:r>
        <w:rPr>
          <w:rStyle w:val="None"/>
          <w:rFonts w:cs="Arial Unicode MS" w:eastAsia="Arial Unicode MS" w:hint="default"/>
          <w:rtl w:val="0"/>
          <w:lang w:val="en-US"/>
        </w:rPr>
        <w:t>“</w:t>
      </w:r>
      <w:r>
        <w:rPr>
          <w:rStyle w:val="None"/>
          <w:rFonts w:cs="Arial Unicode MS" w:eastAsia="Arial Unicode MS"/>
          <w:rtl w:val="0"/>
          <w:lang w:val="en-US"/>
        </w:rPr>
        <w:t>Feminist Criticism and Related Aspects</w:t>
      </w:r>
      <w:r>
        <w:rPr>
          <w:rStyle w:val="None"/>
          <w:rFonts w:cs="Arial Unicode MS" w:eastAsia="Arial Unicode MS" w:hint="default"/>
          <w:rtl w:val="0"/>
          <w:lang w:val="en-US"/>
        </w:rPr>
        <w:t>”</w:t>
      </w:r>
      <w:r>
        <w:rPr>
          <w:rStyle w:val="None"/>
          <w:rFonts w:cs="Arial Unicode MS" w:eastAsia="Arial Unicode MS"/>
          <w:rtl w:val="0"/>
          <w:lang w:val="en-US"/>
        </w:rPr>
        <w:t xml:space="preserve">, in J.W. Rogerson and J.M. Lieu (eds.), </w:t>
      </w:r>
      <w:r>
        <w:rPr>
          <w:rStyle w:val="None"/>
          <w:rFonts w:cs="Arial Unicode MS" w:eastAsia="Arial Unicode MS"/>
          <w:i w:val="1"/>
          <w:iCs w:val="1"/>
          <w:rtl w:val="0"/>
          <w:lang w:val="en-US"/>
        </w:rPr>
        <w:t xml:space="preserve">The Oxford Handbook of Biblical Studies </w:t>
      </w:r>
      <w:r>
        <w:rPr>
          <w:rStyle w:val="None"/>
          <w:rFonts w:cs="Arial Unicode MS" w:eastAsia="Arial Unicode MS"/>
          <w:rtl w:val="0"/>
          <w:lang w:val="en-US"/>
        </w:rPr>
        <w:t xml:space="preserve">(Oxford: Oxford University Press, 2006), pp.634-635; </w:t>
      </w:r>
      <w:r>
        <w:rPr>
          <w:rStyle w:val="None"/>
          <w:rFonts w:cs="Arial Unicode MS" w:eastAsia="Arial Unicode MS"/>
          <w:rtl w:val="0"/>
          <w:lang w:val="de-DE"/>
        </w:rPr>
        <w:t>Sch</w:t>
      </w:r>
      <w:r>
        <w:rPr>
          <w:rStyle w:val="None"/>
          <w:rFonts w:cs="Arial Unicode MS" w:eastAsia="Arial Unicode MS" w:hint="default"/>
          <w:rtl w:val="0"/>
        </w:rPr>
        <w:t>ü</w:t>
      </w:r>
      <w:r>
        <w:rPr>
          <w:rStyle w:val="None"/>
          <w:rFonts w:cs="Arial Unicode MS" w:eastAsia="Arial Unicode MS"/>
          <w:rtl w:val="0"/>
          <w:lang w:val="it-IT"/>
        </w:rPr>
        <w:t>ssler Fiorenza</w:t>
      </w:r>
      <w:r>
        <w:rPr>
          <w:rStyle w:val="None"/>
          <w:rFonts w:cs="Arial Unicode MS" w:eastAsia="Arial Unicode MS"/>
          <w:rtl w:val="0"/>
          <w:lang w:val="en-US"/>
        </w:rPr>
        <w:t xml:space="preserve">, </w:t>
      </w:r>
      <w:r>
        <w:rPr>
          <w:rStyle w:val="None"/>
          <w:rFonts w:cs="Arial Unicode MS" w:eastAsia="Arial Unicode MS" w:hint="default"/>
          <w:rtl w:val="0"/>
          <w:lang w:val="en-US"/>
        </w:rPr>
        <w:t>“</w:t>
      </w:r>
      <w:r>
        <w:rPr>
          <w:rStyle w:val="None"/>
          <w:rFonts w:cs="Arial Unicode MS" w:eastAsia="Arial Unicode MS"/>
          <w:rtl w:val="0"/>
          <w:lang w:val="en-US"/>
        </w:rPr>
        <w:t>Feminist Hermeneutics</w:t>
      </w:r>
      <w:r>
        <w:rPr>
          <w:rStyle w:val="None"/>
          <w:rFonts w:cs="Arial Unicode MS" w:eastAsia="Arial Unicode MS" w:hint="default"/>
          <w:rtl w:val="0"/>
          <w:lang w:val="en-US"/>
        </w:rPr>
        <w:t xml:space="preserve">” </w:t>
      </w:r>
      <w:r>
        <w:rPr>
          <w:rStyle w:val="None"/>
          <w:rFonts w:cs="Arial Unicode MS" w:eastAsia="Arial Unicode MS"/>
          <w:rtl w:val="0"/>
          <w:lang w:val="en-US"/>
        </w:rPr>
        <w:t>p.720.</w:t>
      </w:r>
    </w:p>
  </w:footnote>
  <w:footnote w:id="12">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Loades, </w:t>
      </w:r>
      <w:r>
        <w:rPr>
          <w:rStyle w:val="None"/>
          <w:rFonts w:cs="Arial Unicode MS" w:eastAsia="Arial Unicode MS" w:hint="default"/>
          <w:rtl w:val="0"/>
          <w:lang w:val="en-US"/>
        </w:rPr>
        <w:t>“</w:t>
      </w:r>
      <w:r>
        <w:rPr>
          <w:rStyle w:val="None"/>
          <w:rFonts w:cs="Arial Unicode MS" w:eastAsia="Arial Unicode MS"/>
          <w:rtl w:val="0"/>
          <w:lang w:val="en-US"/>
        </w:rPr>
        <w:t>Feminist Interpretation</w:t>
      </w:r>
      <w:r>
        <w:rPr>
          <w:rStyle w:val="None"/>
          <w:rFonts w:cs="Arial Unicode MS" w:eastAsia="Arial Unicode MS" w:hint="default"/>
          <w:rtl w:val="0"/>
          <w:lang w:val="en-US"/>
        </w:rPr>
        <w:t>”</w:t>
      </w:r>
      <w:r>
        <w:rPr>
          <w:rStyle w:val="None"/>
          <w:rFonts w:cs="Arial Unicode MS" w:eastAsia="Arial Unicode MS"/>
          <w:rtl w:val="0"/>
          <w:lang w:val="en-US"/>
        </w:rPr>
        <w:t>, p.82.</w:t>
      </w:r>
    </w:p>
  </w:footnote>
  <w:footnote w:id="13">
    <w:p>
      <w:pPr>
        <w:pStyle w:val="Footnote"/>
      </w:pPr>
      <w:r>
        <w:rPr>
          <w:rStyle w:val="None"/>
          <w:sz w:val="22"/>
          <w:szCs w:val="22"/>
          <w:vertAlign w:val="superscript"/>
        </w:rPr>
        <w:footnoteRef/>
      </w:r>
      <w:r>
        <w:rPr>
          <w:rStyle w:val="None"/>
          <w:rFonts w:cs="Arial Unicode MS" w:eastAsia="Arial Unicode MS"/>
          <w:rtl w:val="0"/>
          <w:lang w:val="en-US"/>
        </w:rPr>
        <w:t xml:space="preserve"> E. </w:t>
      </w:r>
      <w:r>
        <w:rPr>
          <w:rStyle w:val="None"/>
          <w:rFonts w:cs="Arial Unicode MS" w:eastAsia="Arial Unicode MS"/>
          <w:rtl w:val="0"/>
          <w:lang w:val="de-DE"/>
        </w:rPr>
        <w:t>Sch</w:t>
      </w:r>
      <w:r>
        <w:rPr>
          <w:rStyle w:val="None"/>
          <w:rFonts w:cs="Arial Unicode MS" w:eastAsia="Arial Unicode MS" w:hint="default"/>
          <w:rtl w:val="0"/>
        </w:rPr>
        <w:t>ü</w:t>
      </w:r>
      <w:r>
        <w:rPr>
          <w:rStyle w:val="None"/>
          <w:rFonts w:cs="Arial Unicode MS" w:eastAsia="Arial Unicode MS"/>
          <w:rtl w:val="0"/>
          <w:lang w:val="it-IT"/>
        </w:rPr>
        <w:t>ssler Fiorenza</w:t>
      </w:r>
      <w:r>
        <w:rPr>
          <w:rStyle w:val="None"/>
          <w:rFonts w:cs="Arial Unicode MS" w:eastAsia="Arial Unicode MS"/>
          <w:rtl w:val="0"/>
          <w:lang w:val="en-US"/>
        </w:rPr>
        <w:t xml:space="preserve">, </w:t>
      </w:r>
      <w:r>
        <w:rPr>
          <w:rStyle w:val="None"/>
          <w:rFonts w:cs="Arial Unicode MS" w:eastAsia="Arial Unicode MS"/>
          <w:i w:val="1"/>
          <w:iCs w:val="1"/>
          <w:rtl w:val="0"/>
          <w:lang w:val="en-US"/>
        </w:rPr>
        <w:t xml:space="preserve">Bread Not Stone: The Challenge of Feminist Biblical Interpretation </w:t>
      </w:r>
      <w:r>
        <w:rPr>
          <w:rStyle w:val="None"/>
          <w:rFonts w:cs="Arial Unicode MS" w:eastAsia="Arial Unicode MS"/>
          <w:rtl w:val="0"/>
          <w:lang w:val="en-US"/>
        </w:rPr>
        <w:t>(Boston: Beacon Press, 1984), p.38.</w:t>
      </w:r>
    </w:p>
  </w:footnote>
  <w:footnote w:id="14">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L.M. Russell, </w:t>
      </w:r>
      <w:r>
        <w:rPr>
          <w:rStyle w:val="None"/>
          <w:rFonts w:cs="Arial Unicode MS" w:eastAsia="Arial Unicode MS" w:hint="default"/>
          <w:rtl w:val="0"/>
          <w:lang w:val="en-US"/>
        </w:rPr>
        <w:t>“</w:t>
      </w:r>
      <w:r>
        <w:rPr>
          <w:rStyle w:val="None"/>
          <w:rFonts w:cs="Arial Unicode MS" w:eastAsia="Arial Unicode MS"/>
          <w:rtl w:val="0"/>
          <w:lang w:val="en-US"/>
        </w:rPr>
        <w:t>Introduction: Liberating the Word</w:t>
      </w:r>
      <w:r>
        <w:rPr>
          <w:rStyle w:val="None"/>
          <w:rFonts w:cs="Arial Unicode MS" w:eastAsia="Arial Unicode MS" w:hint="default"/>
          <w:rtl w:val="0"/>
          <w:lang w:val="en-US"/>
        </w:rPr>
        <w:t>”</w:t>
      </w:r>
      <w:r>
        <w:rPr>
          <w:rStyle w:val="None"/>
          <w:rFonts w:cs="Arial Unicode MS" w:eastAsia="Arial Unicode MS"/>
          <w:rtl w:val="0"/>
          <w:lang w:val="en-US"/>
        </w:rPr>
        <w:t xml:space="preserve">, in L.M Russell (ed.) </w:t>
      </w:r>
      <w:r>
        <w:rPr>
          <w:rStyle w:val="None"/>
          <w:rFonts w:cs="Arial Unicode MS" w:eastAsia="Arial Unicode MS"/>
          <w:i w:val="1"/>
          <w:iCs w:val="1"/>
          <w:rtl w:val="0"/>
          <w:lang w:val="en-US"/>
        </w:rPr>
        <w:t xml:space="preserve">Feminist Interpretation of the Bible </w:t>
      </w:r>
      <w:r>
        <w:rPr>
          <w:rStyle w:val="None"/>
          <w:rFonts w:cs="Arial Unicode MS" w:eastAsia="Arial Unicode MS"/>
          <w:rtl w:val="0"/>
          <w:lang w:val="en-US"/>
        </w:rPr>
        <w:t>(London: Westminster John Knox Press, 1985), p.15.</w:t>
      </w:r>
    </w:p>
  </w:footnote>
  <w:footnote w:id="15">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A.C. Thiselton, </w:t>
      </w:r>
      <w:r>
        <w:rPr>
          <w:rStyle w:val="None"/>
          <w:rFonts w:cs="Arial Unicode MS" w:eastAsia="Arial Unicode MS"/>
          <w:i w:val="1"/>
          <w:iCs w:val="1"/>
          <w:rtl w:val="0"/>
          <w:lang w:val="en-US"/>
        </w:rPr>
        <w:t xml:space="preserve">New horizons in Hermeneutics: The Theory and Practice of Transforming Biblical Reading </w:t>
      </w:r>
      <w:r>
        <w:rPr>
          <w:rStyle w:val="None"/>
          <w:rFonts w:cs="Arial Unicode MS" w:eastAsia="Arial Unicode MS"/>
          <w:rtl w:val="0"/>
          <w:lang w:val="nl-NL"/>
        </w:rPr>
        <w:t>(Grand Rapids: Zondervan, 1992)</w:t>
      </w:r>
      <w:r>
        <w:rPr>
          <w:rStyle w:val="None"/>
          <w:rFonts w:cs="Arial Unicode MS" w:eastAsia="Arial Unicode MS"/>
          <w:rtl w:val="0"/>
          <w:lang w:val="en-US"/>
        </w:rPr>
        <w:t>, pp.438-439.</w:t>
      </w:r>
    </w:p>
  </w:footnote>
  <w:footnote w:id="16">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R.R. Reuther, </w:t>
      </w:r>
      <w:r>
        <w:rPr>
          <w:rStyle w:val="None"/>
          <w:rFonts w:cs="Arial Unicode MS" w:eastAsia="Arial Unicode MS" w:hint="default"/>
          <w:rtl w:val="0"/>
          <w:lang w:val="en-US"/>
        </w:rPr>
        <w:t>“</w:t>
      </w:r>
      <w:r>
        <w:rPr>
          <w:rStyle w:val="None"/>
          <w:rFonts w:cs="Arial Unicode MS" w:eastAsia="Arial Unicode MS"/>
          <w:rtl w:val="0"/>
          <w:lang w:val="en-US"/>
        </w:rPr>
        <w:t>Feminist Interpretation: A Method of Correlation</w:t>
      </w:r>
      <w:r>
        <w:rPr>
          <w:rStyle w:val="None"/>
          <w:rFonts w:cs="Arial Unicode MS" w:eastAsia="Arial Unicode MS" w:hint="default"/>
          <w:rtl w:val="0"/>
          <w:lang w:val="en-US"/>
        </w:rPr>
        <w:t>”</w:t>
      </w:r>
      <w:r>
        <w:rPr>
          <w:rStyle w:val="None"/>
          <w:rFonts w:cs="Arial Unicode MS" w:eastAsia="Arial Unicode MS"/>
          <w:rtl w:val="0"/>
          <w:lang w:val="en-US"/>
        </w:rPr>
        <w:t xml:space="preserve">, in L.M.Russell (ed.), </w:t>
      </w:r>
      <w:r>
        <w:rPr>
          <w:rStyle w:val="None"/>
          <w:rFonts w:cs="Arial Unicode MS" w:eastAsia="Arial Unicode MS"/>
          <w:i w:val="1"/>
          <w:iCs w:val="1"/>
          <w:rtl w:val="0"/>
          <w:lang w:val="en-US"/>
        </w:rPr>
        <w:t>Feminist Interpretation of the Bible,</w:t>
      </w:r>
      <w:r>
        <w:rPr>
          <w:rStyle w:val="None"/>
          <w:rFonts w:cs="Arial Unicode MS" w:eastAsia="Arial Unicode MS"/>
          <w:i w:val="1"/>
          <w:iCs w:val="1"/>
          <w:rtl w:val="0"/>
          <w:lang w:val="de-DE"/>
        </w:rPr>
        <w:t xml:space="preserve"> (London: Westminster John Knox Press, 1985)</w:t>
      </w:r>
      <w:r>
        <w:rPr>
          <w:rStyle w:val="None"/>
          <w:rFonts w:cs="Arial Unicode MS" w:eastAsia="Arial Unicode MS"/>
          <w:i w:val="1"/>
          <w:iCs w:val="1"/>
          <w:rtl w:val="0"/>
          <w:lang w:val="en-US"/>
        </w:rPr>
        <w:t xml:space="preserve">, </w:t>
      </w:r>
      <w:r>
        <w:rPr>
          <w:rStyle w:val="None"/>
          <w:rFonts w:cs="Arial Unicode MS" w:eastAsia="Arial Unicode MS"/>
          <w:rtl w:val="0"/>
          <w:lang w:val="en-US"/>
        </w:rPr>
        <w:t>pp.112-116.</w:t>
      </w:r>
    </w:p>
  </w:footnote>
  <w:footnote w:id="17">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L.M. Russell, </w:t>
      </w:r>
      <w:r>
        <w:rPr>
          <w:rStyle w:val="None"/>
          <w:rFonts w:cs="Arial Unicode MS" w:eastAsia="Arial Unicode MS" w:hint="default"/>
          <w:rtl w:val="0"/>
          <w:lang w:val="en-US"/>
        </w:rPr>
        <w:t>“</w:t>
      </w:r>
      <w:r>
        <w:rPr>
          <w:rStyle w:val="None"/>
          <w:rFonts w:cs="Arial Unicode MS" w:eastAsia="Arial Unicode MS"/>
          <w:rtl w:val="0"/>
          <w:lang w:val="en-US"/>
        </w:rPr>
        <w:t>Authority and the Challenge of Feminist Interpretation</w:t>
      </w:r>
      <w:r>
        <w:rPr>
          <w:rStyle w:val="None"/>
          <w:rFonts w:cs="Arial Unicode MS" w:eastAsia="Arial Unicode MS" w:hint="default"/>
          <w:rtl w:val="0"/>
          <w:lang w:val="en-US"/>
        </w:rPr>
        <w:t>”</w:t>
      </w:r>
      <w:r>
        <w:rPr>
          <w:rStyle w:val="None"/>
          <w:rFonts w:cs="Arial Unicode MS" w:eastAsia="Arial Unicode MS"/>
          <w:rtl w:val="0"/>
          <w:lang w:val="en-US"/>
        </w:rPr>
        <w:t xml:space="preserve">, in L.M Russell (ed.), </w:t>
      </w:r>
      <w:r>
        <w:rPr>
          <w:rStyle w:val="None"/>
          <w:rFonts w:cs="Arial Unicode MS" w:eastAsia="Arial Unicode MS"/>
          <w:i w:val="1"/>
          <w:iCs w:val="1"/>
          <w:rtl w:val="0"/>
          <w:lang w:val="en-US"/>
        </w:rPr>
        <w:t>Feminist Interpretation of the Bible,</w:t>
      </w:r>
      <w:r>
        <w:rPr>
          <w:rStyle w:val="None"/>
          <w:rFonts w:cs="Arial Unicode MS" w:eastAsia="Arial Unicode MS"/>
          <w:i w:val="1"/>
          <w:iCs w:val="1"/>
          <w:rtl w:val="0"/>
        </w:rPr>
        <w:t xml:space="preserve"> </w:t>
      </w:r>
      <w:r>
        <w:rPr>
          <w:rStyle w:val="None"/>
          <w:rFonts w:cs="Arial Unicode MS" w:eastAsia="Arial Unicode MS"/>
          <w:rtl w:val="0"/>
          <w:lang w:val="de-DE"/>
        </w:rPr>
        <w:t>(London: Westminster John Knox Press, 1985)</w:t>
      </w:r>
      <w:r>
        <w:rPr>
          <w:rStyle w:val="None"/>
          <w:rFonts w:cs="Arial Unicode MS" w:eastAsia="Arial Unicode MS"/>
          <w:i w:val="1"/>
          <w:iCs w:val="1"/>
          <w:rtl w:val="0"/>
          <w:lang w:val="en-US"/>
        </w:rPr>
        <w:t xml:space="preserve">, </w:t>
      </w:r>
      <w:r>
        <w:rPr>
          <w:rStyle w:val="None"/>
          <w:rFonts w:cs="Arial Unicode MS" w:eastAsia="Arial Unicode MS"/>
          <w:rtl w:val="0"/>
          <w:lang w:val="en-US"/>
        </w:rPr>
        <w:t>pp.138-139.</w:t>
      </w:r>
    </w:p>
  </w:footnote>
  <w:footnote w:id="18">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Storkey, </w:t>
      </w:r>
      <w:r>
        <w:rPr>
          <w:rStyle w:val="None"/>
          <w:rFonts w:cs="Arial Unicode MS" w:eastAsia="Arial Unicode MS"/>
          <w:i w:val="1"/>
          <w:iCs w:val="1"/>
          <w:rtl w:val="0"/>
          <w:lang w:val="en-US"/>
        </w:rPr>
        <w:t xml:space="preserve">Feminism, </w:t>
      </w:r>
      <w:r>
        <w:rPr>
          <w:rStyle w:val="None"/>
          <w:rFonts w:cs="Arial Unicode MS" w:eastAsia="Arial Unicode MS"/>
          <w:rtl w:val="0"/>
          <w:lang w:val="en-US"/>
        </w:rPr>
        <w:t>p.127.</w:t>
      </w:r>
    </w:p>
  </w:footnote>
  <w:footnote w:id="19">
    <w:p>
      <w:pPr>
        <w:pStyle w:val="Footnote"/>
      </w:pPr>
      <w:r>
        <w:rPr>
          <w:rStyle w:val="None"/>
          <w:sz w:val="22"/>
          <w:szCs w:val="22"/>
          <w:vertAlign w:val="superscript"/>
        </w:rPr>
        <w:footnoteRef/>
      </w:r>
      <w:r>
        <w:rPr>
          <w:rStyle w:val="None"/>
          <w:rFonts w:cs="Arial Unicode MS" w:eastAsia="Arial Unicode MS"/>
          <w:rtl w:val="0"/>
          <w:lang w:val="en-US"/>
        </w:rPr>
        <w:t xml:space="preserve"> M.T. </w:t>
      </w:r>
      <w:r>
        <w:rPr>
          <w:rStyle w:val="None"/>
          <w:rFonts w:cs="Arial Unicode MS" w:eastAsia="Arial Unicode MS"/>
          <w:rtl w:val="0"/>
          <w:lang w:val="de-DE"/>
        </w:rPr>
        <w:t>Wacker,</w:t>
      </w:r>
      <w:r>
        <w:rPr>
          <w:rStyle w:val="None"/>
          <w:rFonts w:cs="Arial Unicode MS" w:eastAsia="Arial Unicode MS"/>
          <w:rtl w:val="0"/>
          <w:lang w:val="en-US"/>
        </w:rPr>
        <w:t xml:space="preserve"> </w:t>
      </w:r>
      <w:r>
        <w:rPr>
          <w:rStyle w:val="None"/>
          <w:rFonts w:cs="Arial Unicode MS" w:eastAsia="Arial Unicode MS" w:hint="default"/>
          <w:rtl w:val="0"/>
        </w:rPr>
        <w:t>‘</w:t>
      </w:r>
      <w:r>
        <w:rPr>
          <w:rStyle w:val="None"/>
          <w:rFonts w:cs="Arial Unicode MS" w:eastAsia="Arial Unicode MS"/>
          <w:rtl w:val="0"/>
          <w:lang w:val="en-US"/>
        </w:rPr>
        <w:t>Feminist Exegetical Hermeneutics</w:t>
      </w:r>
      <w:r>
        <w:rPr>
          <w:rStyle w:val="None"/>
          <w:rFonts w:cs="Arial Unicode MS" w:eastAsia="Arial Unicode MS" w:hint="default"/>
          <w:rtl w:val="0"/>
        </w:rPr>
        <w:t>’</w:t>
      </w:r>
      <w:r>
        <w:rPr>
          <w:rStyle w:val="None"/>
          <w:rFonts w:cs="Arial Unicode MS" w:eastAsia="Arial Unicode MS"/>
          <w:rtl w:val="0"/>
        </w:rPr>
        <w:t xml:space="preserve">, </w:t>
      </w:r>
      <w:r>
        <w:rPr>
          <w:rStyle w:val="None"/>
          <w:rFonts w:cs="Arial Unicode MS" w:eastAsia="Arial Unicode MS"/>
          <w:rtl w:val="0"/>
          <w:lang w:val="en-US"/>
        </w:rPr>
        <w:t xml:space="preserve">in L. Schottroff, S. Schroer and M.T. Wacker (eds.), </w:t>
      </w:r>
      <w:r>
        <w:rPr>
          <w:rStyle w:val="None"/>
          <w:rFonts w:cs="Arial Unicode MS" w:eastAsia="Arial Unicode MS"/>
          <w:i w:val="1"/>
          <w:iCs w:val="1"/>
          <w:rtl w:val="0"/>
          <w:lang w:val="en-US"/>
        </w:rPr>
        <w:t>Feminist Interpretation: The Bible in Women</w:t>
      </w:r>
      <w:r>
        <w:rPr>
          <w:rStyle w:val="None"/>
          <w:rFonts w:cs="Arial Unicode MS" w:eastAsia="Arial Unicode MS" w:hint="default"/>
          <w:i w:val="1"/>
          <w:iCs w:val="1"/>
          <w:rtl w:val="0"/>
        </w:rPr>
        <w:t>’</w:t>
      </w:r>
      <w:r>
        <w:rPr>
          <w:rStyle w:val="None"/>
          <w:rFonts w:cs="Arial Unicode MS" w:eastAsia="Arial Unicode MS"/>
          <w:i w:val="1"/>
          <w:iCs w:val="1"/>
          <w:rtl w:val="0"/>
          <w:lang w:val="fr-FR"/>
        </w:rPr>
        <w:t>s Perspective</w:t>
      </w:r>
      <w:r>
        <w:rPr>
          <w:rStyle w:val="None"/>
          <w:rFonts w:cs="Arial Unicode MS" w:eastAsia="Arial Unicode MS"/>
          <w:rtl w:val="0"/>
        </w:rPr>
        <w:t>,</w:t>
      </w:r>
      <w:r>
        <w:rPr>
          <w:rStyle w:val="None"/>
          <w:rFonts w:cs="Arial Unicode MS" w:eastAsia="Arial Unicode MS"/>
          <w:rtl w:val="0"/>
          <w:lang w:val="en-US"/>
        </w:rPr>
        <w:t xml:space="preserve"> (Minneapolis: Fortress Press, 1998), p38</w:t>
      </w:r>
      <w:r>
        <w:rPr>
          <w:rStyle w:val="None"/>
          <w:rFonts w:cs="Arial Unicode MS" w:eastAsia="Arial Unicode MS"/>
          <w:rtl w:val="0"/>
        </w:rPr>
        <w:t>.</w:t>
      </w:r>
    </w:p>
  </w:footnote>
  <w:footnote w:id="20">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I. Paul, </w:t>
      </w:r>
      <w:r>
        <w:rPr>
          <w:rStyle w:val="None"/>
          <w:rFonts w:cs="Arial Unicode MS" w:eastAsia="Arial Unicode MS"/>
          <w:i w:val="1"/>
          <w:iCs w:val="1"/>
          <w:rtl w:val="0"/>
          <w:lang w:val="en-US"/>
        </w:rPr>
        <w:t>Women and Authority: The Key biblical Texts</w:t>
      </w:r>
      <w:r>
        <w:rPr>
          <w:rStyle w:val="None"/>
          <w:rFonts w:cs="Arial Unicode MS" w:eastAsia="Arial Unicode MS"/>
          <w:rtl w:val="0"/>
          <w:lang w:val="en-US"/>
        </w:rPr>
        <w:t xml:space="preserve"> (Cambridge: Grove Books, 2011), p.6; Stoerkey, </w:t>
      </w:r>
      <w:r>
        <w:rPr>
          <w:rStyle w:val="None"/>
          <w:rFonts w:cs="Arial Unicode MS" w:eastAsia="Arial Unicode MS"/>
          <w:i w:val="1"/>
          <w:iCs w:val="1"/>
          <w:rtl w:val="0"/>
          <w:lang w:val="en-US"/>
        </w:rPr>
        <w:t>What</w:t>
      </w:r>
      <w:r>
        <w:rPr>
          <w:rStyle w:val="None"/>
          <w:rFonts w:cs="Arial Unicode MS" w:eastAsia="Arial Unicode MS" w:hint="default"/>
          <w:i w:val="1"/>
          <w:iCs w:val="1"/>
          <w:rtl w:val="0"/>
          <w:lang w:val="en-US"/>
        </w:rPr>
        <w:t>’</w:t>
      </w:r>
      <w:r>
        <w:rPr>
          <w:rStyle w:val="None"/>
          <w:rFonts w:cs="Arial Unicode MS" w:eastAsia="Arial Unicode MS"/>
          <w:i w:val="1"/>
          <w:iCs w:val="1"/>
          <w:rtl w:val="0"/>
          <w:lang w:val="en-US"/>
        </w:rPr>
        <w:t xml:space="preserve">s Right </w:t>
      </w:r>
      <w:r>
        <w:rPr>
          <w:rStyle w:val="None"/>
          <w:rFonts w:cs="Arial Unicode MS" w:eastAsia="Arial Unicode MS"/>
          <w:rtl w:val="0"/>
          <w:lang w:val="en-US"/>
        </w:rPr>
        <w:t>p.151.</w:t>
      </w:r>
    </w:p>
  </w:footnote>
  <w:footnote w:id="21">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P. Payne, </w:t>
      </w:r>
      <w:r>
        <w:rPr>
          <w:rStyle w:val="None"/>
          <w:rFonts w:cs="Arial Unicode MS" w:eastAsia="Arial Unicode MS"/>
          <w:i w:val="1"/>
          <w:iCs w:val="1"/>
          <w:rtl w:val="0"/>
          <w:lang w:val="en-US"/>
        </w:rPr>
        <w:t>Man and Woman, One in Christ: An Exegetical and Theological Study of Paul</w:t>
      </w:r>
      <w:r>
        <w:rPr>
          <w:rStyle w:val="None"/>
          <w:rFonts w:cs="Arial Unicode MS" w:eastAsia="Arial Unicode MS" w:hint="default"/>
          <w:i w:val="1"/>
          <w:iCs w:val="1"/>
          <w:rtl w:val="0"/>
          <w:lang w:val="en-US"/>
        </w:rPr>
        <w:t>’</w:t>
      </w:r>
      <w:r>
        <w:rPr>
          <w:rStyle w:val="None"/>
          <w:rFonts w:cs="Arial Unicode MS" w:eastAsia="Arial Unicode MS"/>
          <w:i w:val="1"/>
          <w:iCs w:val="1"/>
          <w:rtl w:val="0"/>
          <w:lang w:val="en-US"/>
        </w:rPr>
        <w:t xml:space="preserve">s Letters </w:t>
      </w:r>
      <w:r>
        <w:rPr>
          <w:rStyle w:val="None"/>
          <w:rFonts w:cs="Arial Unicode MS" w:eastAsia="Arial Unicode MS"/>
          <w:rtl w:val="0"/>
          <w:lang w:val="en-US"/>
        </w:rPr>
        <w:t>(Grand Rapids: Zondervan, 2009), p.461.</w:t>
      </w:r>
    </w:p>
  </w:footnote>
  <w:footnote w:id="22">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i w:val="1"/>
          <w:iCs w:val="1"/>
          <w:rtl w:val="0"/>
          <w:lang w:val="en-US"/>
        </w:rPr>
        <w:t xml:space="preserve">ibid, </w:t>
      </w:r>
      <w:r>
        <w:rPr>
          <w:rStyle w:val="None"/>
          <w:rFonts w:cs="Arial Unicode MS" w:eastAsia="Arial Unicode MS"/>
          <w:rtl w:val="0"/>
          <w:lang w:val="en-US"/>
        </w:rPr>
        <w:t>pp.217-267.</w:t>
      </w:r>
    </w:p>
  </w:footnote>
  <w:footnote w:id="23">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i w:val="1"/>
          <w:iCs w:val="1"/>
          <w:rtl w:val="0"/>
          <w:lang w:val="en-US"/>
        </w:rPr>
        <w:t xml:space="preserve">ibid, </w:t>
      </w:r>
      <w:r>
        <w:rPr>
          <w:rStyle w:val="None"/>
          <w:rFonts w:cs="Arial Unicode MS" w:eastAsia="Arial Unicode MS"/>
          <w:rtl w:val="0"/>
          <w:lang w:val="en-US"/>
        </w:rPr>
        <w:t xml:space="preserve">p.27. </w:t>
      </w:r>
    </w:p>
  </w:footnote>
  <w:footnote w:id="24">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Wacker </w:t>
      </w:r>
      <w:r>
        <w:rPr>
          <w:rStyle w:val="None"/>
          <w:rFonts w:cs="Arial Unicode MS" w:eastAsia="Arial Unicode MS" w:hint="default"/>
          <w:rtl w:val="0"/>
          <w:lang w:val="en-US"/>
        </w:rPr>
        <w:t>“</w:t>
      </w:r>
      <w:r>
        <w:rPr>
          <w:rStyle w:val="None"/>
          <w:rFonts w:cs="Arial Unicode MS" w:eastAsia="Arial Unicode MS"/>
          <w:rtl w:val="0"/>
          <w:lang w:val="en-US"/>
        </w:rPr>
        <w:t>Hermeneutics</w:t>
      </w:r>
      <w:r>
        <w:rPr>
          <w:rStyle w:val="None"/>
          <w:rFonts w:cs="Arial Unicode MS" w:eastAsia="Arial Unicode MS" w:hint="default"/>
          <w:rtl w:val="0"/>
          <w:lang w:val="en-US"/>
        </w:rPr>
        <w:t>”</w:t>
      </w:r>
      <w:r>
        <w:rPr>
          <w:rStyle w:val="None"/>
          <w:rFonts w:cs="Arial Unicode MS" w:eastAsia="Arial Unicode MS"/>
          <w:rtl w:val="0"/>
          <w:lang w:val="en-US"/>
        </w:rPr>
        <w:t>, p.37.</w:t>
      </w:r>
    </w:p>
  </w:footnote>
  <w:footnote w:id="25">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i w:val="1"/>
          <w:iCs w:val="1"/>
          <w:rtl w:val="0"/>
          <w:lang w:val="en-US"/>
        </w:rPr>
        <w:t xml:space="preserve">ibid, </w:t>
      </w:r>
      <w:r>
        <w:rPr>
          <w:rStyle w:val="None"/>
          <w:rFonts w:cs="Arial Unicode MS" w:eastAsia="Arial Unicode MS"/>
          <w:rtl w:val="0"/>
          <w:lang w:val="en-US"/>
        </w:rPr>
        <w:t>p.38.</w:t>
      </w:r>
    </w:p>
  </w:footnote>
  <w:footnote w:id="26">
    <w:p>
      <w:pPr>
        <w:pStyle w:val="Footnote"/>
      </w:pPr>
      <w:r>
        <w:rPr>
          <w:rStyle w:val="None"/>
          <w:sz w:val="22"/>
          <w:szCs w:val="22"/>
          <w:vertAlign w:val="superscript"/>
        </w:rPr>
        <w:footnoteRef/>
      </w:r>
      <w:r>
        <w:rPr>
          <w:rStyle w:val="None"/>
          <w:rFonts w:cs="Arial Unicode MS" w:eastAsia="Arial Unicode MS"/>
          <w:rtl w:val="0"/>
          <w:lang w:val="de-DE"/>
        </w:rPr>
        <w:t xml:space="preserve"> Wacker</w:t>
      </w:r>
      <w:r>
        <w:rPr>
          <w:rStyle w:val="None"/>
          <w:rFonts w:cs="Arial Unicode MS" w:eastAsia="Arial Unicode MS"/>
          <w:rtl w:val="0"/>
          <w:lang w:val="en-US"/>
        </w:rPr>
        <w:t xml:space="preserve">, </w:t>
      </w:r>
      <w:r>
        <w:rPr>
          <w:rStyle w:val="None"/>
          <w:rFonts w:cs="Arial Unicode MS" w:eastAsia="Arial Unicode MS" w:hint="default"/>
          <w:rtl w:val="0"/>
          <w:lang w:val="en-US"/>
        </w:rPr>
        <w:t>“</w:t>
      </w:r>
      <w:r>
        <w:rPr>
          <w:rStyle w:val="None"/>
          <w:rFonts w:cs="Arial Unicode MS" w:eastAsia="Arial Unicode MS"/>
          <w:rtl w:val="0"/>
          <w:lang w:val="en-US"/>
        </w:rPr>
        <w:t>Feminist Criticism</w:t>
      </w:r>
      <w:r>
        <w:rPr>
          <w:rStyle w:val="None"/>
          <w:rFonts w:cs="Arial Unicode MS" w:eastAsia="Arial Unicode MS" w:hint="default"/>
          <w:rtl w:val="0"/>
          <w:lang w:val="en-US"/>
        </w:rPr>
        <w:t>”</w:t>
      </w:r>
      <w:r>
        <w:rPr>
          <w:rStyle w:val="None"/>
          <w:rFonts w:cs="Arial Unicode MS" w:eastAsia="Arial Unicode MS"/>
          <w:rtl w:val="0"/>
          <w:lang w:val="en-US"/>
        </w:rPr>
        <w:t>, p.636.</w:t>
      </w:r>
    </w:p>
  </w:footnote>
  <w:footnote w:id="27">
    <w:p>
      <w:pPr>
        <w:pStyle w:val="Footnote"/>
      </w:pPr>
      <w:r>
        <w:rPr>
          <w:rStyle w:val="None"/>
          <w:sz w:val="22"/>
          <w:szCs w:val="22"/>
          <w:vertAlign w:val="superscript"/>
        </w:rPr>
        <w:footnoteRef/>
      </w:r>
      <w:r>
        <w:rPr>
          <w:rStyle w:val="None"/>
          <w:rFonts w:cs="Arial Unicode MS" w:eastAsia="Arial Unicode MS"/>
          <w:rtl w:val="0"/>
          <w:lang w:val="en-US"/>
        </w:rPr>
        <w:t xml:space="preserve"> J.C. Exum, </w:t>
      </w:r>
      <w:r>
        <w:rPr>
          <w:rStyle w:val="None"/>
          <w:rFonts w:cs="Arial Unicode MS" w:eastAsia="Arial Unicode MS" w:hint="default"/>
          <w:rtl w:val="0"/>
          <w:lang w:val="en-US"/>
        </w:rPr>
        <w:t>“‘</w:t>
      </w:r>
      <w:r>
        <w:rPr>
          <w:rStyle w:val="None"/>
          <w:rFonts w:cs="Arial Unicode MS" w:eastAsia="Arial Unicode MS"/>
          <w:rtl w:val="0"/>
          <w:lang w:val="en-US"/>
        </w:rPr>
        <w:t>You Shall Let Every Daughter Live</w:t>
      </w:r>
      <w:r>
        <w:rPr>
          <w:rStyle w:val="None"/>
          <w:rFonts w:cs="Arial Unicode MS" w:eastAsia="Arial Unicode MS" w:hint="default"/>
          <w:rtl w:val="0"/>
          <w:lang w:val="en-US"/>
        </w:rPr>
        <w:t>’</w:t>
      </w:r>
      <w:r>
        <w:rPr>
          <w:rStyle w:val="None"/>
          <w:rFonts w:cs="Arial Unicode MS" w:eastAsia="Arial Unicode MS"/>
          <w:rtl w:val="0"/>
          <w:lang w:val="en-US"/>
        </w:rPr>
        <w:t>: A Study of Exodus 1:8-2:10</w:t>
      </w:r>
      <w:r>
        <w:rPr>
          <w:rStyle w:val="None"/>
          <w:rFonts w:cs="Arial Unicode MS" w:eastAsia="Arial Unicode MS" w:hint="default"/>
          <w:rtl w:val="0"/>
          <w:lang w:val="en-US"/>
        </w:rPr>
        <w:t>”</w:t>
      </w:r>
      <w:r>
        <w:rPr>
          <w:rStyle w:val="None"/>
          <w:rFonts w:cs="Arial Unicode MS" w:eastAsia="Arial Unicode MS"/>
          <w:rtl w:val="0"/>
          <w:lang w:val="en-US"/>
        </w:rPr>
        <w:t xml:space="preserve">, </w:t>
      </w:r>
      <w:r>
        <w:rPr>
          <w:rStyle w:val="None"/>
          <w:rFonts w:cs="Arial Unicode MS" w:eastAsia="Arial Unicode MS"/>
          <w:i w:val="1"/>
          <w:iCs w:val="1"/>
          <w:rtl w:val="0"/>
          <w:lang w:val="en-US"/>
        </w:rPr>
        <w:t>Semeia</w:t>
      </w:r>
      <w:r>
        <w:rPr>
          <w:rStyle w:val="None"/>
          <w:rFonts w:cs="Arial Unicode MS" w:eastAsia="Arial Unicode MS"/>
          <w:rtl w:val="0"/>
          <w:lang w:val="en-US"/>
        </w:rPr>
        <w:t xml:space="preserve"> 28, (1983) pp.63-82.</w:t>
      </w:r>
    </w:p>
  </w:footnote>
  <w:footnote w:id="28">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i w:val="1"/>
          <w:iCs w:val="1"/>
          <w:rtl w:val="0"/>
          <w:lang w:val="en-US"/>
        </w:rPr>
        <w:t xml:space="preserve">ibid, </w:t>
      </w:r>
      <w:r>
        <w:rPr>
          <w:rStyle w:val="None"/>
          <w:rFonts w:cs="Arial Unicode MS" w:eastAsia="Arial Unicode MS"/>
          <w:rtl w:val="0"/>
          <w:lang w:val="en-US"/>
        </w:rPr>
        <w:t>p.75.</w:t>
      </w:r>
    </w:p>
  </w:footnote>
  <w:footnote w:id="29">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i w:val="1"/>
          <w:iCs w:val="1"/>
          <w:rtl w:val="0"/>
          <w:lang w:val="en-US"/>
        </w:rPr>
        <w:t xml:space="preserve">ibid, </w:t>
      </w:r>
      <w:r>
        <w:rPr>
          <w:rStyle w:val="None"/>
          <w:rFonts w:cs="Arial Unicode MS" w:eastAsia="Arial Unicode MS"/>
          <w:rtl w:val="0"/>
          <w:lang w:val="en-US"/>
        </w:rPr>
        <w:t>p.82.</w:t>
      </w:r>
    </w:p>
  </w:footnote>
  <w:footnote w:id="30">
    <w:p>
      <w:pPr>
        <w:pStyle w:val="Footnote"/>
      </w:pPr>
      <w:r>
        <w:rPr>
          <w:rStyle w:val="None"/>
          <w:sz w:val="22"/>
          <w:szCs w:val="22"/>
          <w:vertAlign w:val="superscript"/>
        </w:rPr>
        <w:footnoteRef/>
      </w:r>
      <w:r>
        <w:rPr>
          <w:rStyle w:val="None"/>
          <w:rFonts w:cs="Arial Unicode MS" w:eastAsia="Arial Unicode MS"/>
          <w:rtl w:val="0"/>
          <w:lang w:val="en-US"/>
        </w:rPr>
        <w:t xml:space="preserve"> K. Ehrensperger, </w:t>
      </w:r>
      <w:r>
        <w:rPr>
          <w:rStyle w:val="None"/>
          <w:rFonts w:cs="Arial Unicode MS" w:eastAsia="Arial Unicode MS" w:hint="default"/>
          <w:rtl w:val="0"/>
          <w:lang w:val="en-US"/>
        </w:rPr>
        <w:t>“</w:t>
      </w:r>
      <w:r>
        <w:rPr>
          <w:rStyle w:val="None"/>
          <w:rFonts w:cs="Arial Unicode MS" w:eastAsia="Arial Unicode MS"/>
          <w:rtl w:val="0"/>
          <w:lang w:val="en-US"/>
        </w:rPr>
        <w:t xml:space="preserve">Feminist </w:t>
      </w:r>
      <w:r>
        <w:rPr>
          <w:rStyle w:val="None"/>
          <w:rFonts w:cs="Arial Unicode MS" w:eastAsia="Arial Unicode MS"/>
          <w:rtl w:val="0"/>
          <w:lang w:val="it-IT"/>
        </w:rPr>
        <w:t>Criticism</w:t>
      </w:r>
      <w:r>
        <w:rPr>
          <w:rStyle w:val="None"/>
          <w:rFonts w:cs="Arial Unicode MS" w:eastAsia="Arial Unicode MS" w:hint="default"/>
          <w:rtl w:val="0"/>
          <w:lang w:val="en-US"/>
        </w:rPr>
        <w:t>”</w:t>
      </w:r>
      <w:r>
        <w:rPr>
          <w:rStyle w:val="None"/>
          <w:rFonts w:cs="Arial Unicode MS" w:eastAsia="Arial Unicode MS"/>
          <w:rtl w:val="0"/>
          <w:lang w:val="en-US"/>
        </w:rPr>
        <w:t xml:space="preserve">, in P. Gooder (ed.), </w:t>
      </w:r>
      <w:r>
        <w:rPr>
          <w:rStyle w:val="None"/>
          <w:rFonts w:cs="Arial Unicode MS" w:eastAsia="Arial Unicode MS"/>
          <w:i w:val="1"/>
          <w:iCs w:val="1"/>
          <w:rtl w:val="0"/>
          <w:lang w:val="en-US"/>
        </w:rPr>
        <w:t>Searching for Meaning: An Introduction to Interpreting the New Testament</w:t>
      </w:r>
      <w:r>
        <w:rPr>
          <w:rStyle w:val="None"/>
          <w:rFonts w:cs="Arial Unicode MS" w:eastAsia="Arial Unicode MS"/>
          <w:rtl w:val="0"/>
          <w:lang w:val="en-US"/>
        </w:rPr>
        <w:t xml:space="preserve"> (London: SPCK, 2008), pp.140-141; Paul, </w:t>
      </w:r>
      <w:r>
        <w:rPr>
          <w:rStyle w:val="None"/>
          <w:rFonts w:cs="Arial Unicode MS" w:eastAsia="Arial Unicode MS"/>
          <w:i w:val="1"/>
          <w:iCs w:val="1"/>
          <w:rtl w:val="0"/>
          <w:lang w:val="en-US"/>
        </w:rPr>
        <w:t xml:space="preserve">Women and Authority, </w:t>
      </w:r>
      <w:r>
        <w:rPr>
          <w:rStyle w:val="None"/>
          <w:rFonts w:cs="Arial Unicode MS" w:eastAsia="Arial Unicode MS"/>
          <w:rtl w:val="0"/>
          <w:lang w:val="en-US"/>
        </w:rPr>
        <w:t xml:space="preserve">pp.14-15; N.T. Wright, </w:t>
      </w:r>
      <w:r>
        <w:rPr>
          <w:rStyle w:val="None"/>
          <w:rFonts w:cs="Arial Unicode MS" w:eastAsia="Arial Unicode MS" w:hint="default"/>
          <w:rtl w:val="0"/>
          <w:lang w:val="en-US"/>
        </w:rPr>
        <w:t>“</w:t>
      </w:r>
      <w:r>
        <w:rPr>
          <w:rStyle w:val="None"/>
          <w:rFonts w:cs="Arial Unicode MS" w:eastAsia="Arial Unicode MS"/>
          <w:rtl w:val="0"/>
          <w:lang w:val="en-US"/>
        </w:rPr>
        <w:t>Women</w:t>
      </w:r>
      <w:r>
        <w:rPr>
          <w:rStyle w:val="None"/>
          <w:rFonts w:cs="Arial Unicode MS" w:eastAsia="Arial Unicode MS" w:hint="default"/>
          <w:rtl w:val="0"/>
          <w:lang w:val="en-US"/>
        </w:rPr>
        <w:t>’</w:t>
      </w:r>
      <w:r>
        <w:rPr>
          <w:rStyle w:val="None"/>
          <w:rFonts w:cs="Arial Unicode MS" w:eastAsia="Arial Unicode MS"/>
          <w:rtl w:val="0"/>
          <w:lang w:val="en-US"/>
        </w:rPr>
        <w:t>s Service in the Church: The Biblical Basis</w:t>
      </w:r>
      <w:r>
        <w:rPr>
          <w:rStyle w:val="None"/>
          <w:rFonts w:cs="Arial Unicode MS" w:eastAsia="Arial Unicode MS" w:hint="default"/>
          <w:rtl w:val="0"/>
          <w:lang w:val="en-US"/>
        </w:rPr>
        <w:t>”</w:t>
      </w:r>
      <w:r>
        <w:rPr>
          <w:rStyle w:val="None"/>
          <w:rFonts w:cs="Arial Unicode MS" w:eastAsia="Arial Unicode MS"/>
          <w:rtl w:val="0"/>
          <w:lang w:val="en-US"/>
        </w:rPr>
        <w:t xml:space="preserve">. A conference paper for the Symposium, </w:t>
      </w:r>
      <w:r>
        <w:rPr>
          <w:rStyle w:val="None"/>
          <w:rFonts w:cs="Arial Unicode MS" w:eastAsia="Arial Unicode MS" w:hint="default"/>
          <w:rtl w:val="0"/>
          <w:lang w:val="en-US"/>
        </w:rPr>
        <w:t>‘</w:t>
      </w:r>
      <w:r>
        <w:rPr>
          <w:rStyle w:val="None"/>
          <w:rFonts w:cs="Arial Unicode MS" w:eastAsia="Arial Unicode MS"/>
          <w:rtl w:val="0"/>
          <w:lang w:val="en-US"/>
        </w:rPr>
        <w:t>Men, Women and the Church</w:t>
      </w:r>
      <w:r>
        <w:rPr>
          <w:rStyle w:val="None"/>
          <w:rFonts w:cs="Arial Unicode MS" w:eastAsia="Arial Unicode MS" w:hint="default"/>
          <w:rtl w:val="0"/>
          <w:lang w:val="en-US"/>
        </w:rPr>
        <w:t>’</w:t>
      </w:r>
      <w:r>
        <w:rPr>
          <w:rStyle w:val="None"/>
          <w:rFonts w:cs="Arial Unicode MS" w:eastAsia="Arial Unicode MS"/>
          <w:rtl w:val="0"/>
          <w:lang w:val="en-US"/>
        </w:rPr>
        <w:t>, St John</w:t>
      </w:r>
      <w:r>
        <w:rPr>
          <w:rStyle w:val="None"/>
          <w:rFonts w:cs="Arial Unicode MS" w:eastAsia="Arial Unicode MS" w:hint="default"/>
          <w:rtl w:val="0"/>
          <w:lang w:val="en-US"/>
        </w:rPr>
        <w:t>’</w:t>
      </w:r>
      <w:r>
        <w:rPr>
          <w:rStyle w:val="None"/>
          <w:rFonts w:cs="Arial Unicode MS" w:eastAsia="Arial Unicode MS"/>
          <w:rtl w:val="0"/>
          <w:lang w:val="en-US"/>
        </w:rPr>
        <w:t xml:space="preserve">s College, Durham, September 4 2004. Accessed on 26/8/19 at: </w:t>
      </w:r>
      <w:r>
        <w:rPr>
          <w:rStyle w:val="Hyperlink.0"/>
        </w:rPr>
        <w:fldChar w:fldCharType="begin" w:fldLock="0"/>
      </w:r>
      <w:r>
        <w:rPr>
          <w:rStyle w:val="Hyperlink.0"/>
        </w:rPr>
        <w:instrText xml:space="preserve"> HYPERLINK "http://ntwrightpage.com/2016/07/12/womens-service-in-the-church-the-biblical-basis/"</w:instrText>
      </w:r>
      <w:r>
        <w:rPr>
          <w:rStyle w:val="Hyperlink.0"/>
        </w:rPr>
        <w:fldChar w:fldCharType="separate" w:fldLock="0"/>
      </w:r>
      <w:r>
        <w:rPr>
          <w:rStyle w:val="Hyperlink.0"/>
          <w:rFonts w:cs="Arial Unicode MS" w:eastAsia="Arial Unicode MS"/>
          <w:rtl w:val="0"/>
          <w:lang w:val="en-US"/>
        </w:rPr>
        <w:t>http://ntwrightpage.com/2016/07/12/womens-service-in-the-church-the-biblical-basis/</w:t>
      </w:r>
      <w:r>
        <w:rPr/>
        <w:fldChar w:fldCharType="end" w:fldLock="0"/>
      </w:r>
      <w:r>
        <w:rPr>
          <w:rStyle w:val="None"/>
          <w:rFonts w:cs="Arial Unicode MS" w:eastAsia="Arial Unicode MS"/>
          <w:rtl w:val="0"/>
          <w:lang w:val="en-US"/>
        </w:rPr>
        <w:t xml:space="preserve"> </w:t>
      </w:r>
    </w:p>
  </w:footnote>
  <w:footnote w:id="31">
    <w:p>
      <w:pPr>
        <w:pStyle w:val="Footnote"/>
      </w:pPr>
      <w:r>
        <w:rPr>
          <w:rStyle w:val="None"/>
          <w:sz w:val="22"/>
          <w:szCs w:val="22"/>
          <w:vertAlign w:val="superscript"/>
        </w:rPr>
        <w:footnoteRef/>
      </w:r>
      <w:r>
        <w:rPr>
          <w:rStyle w:val="None"/>
          <w:rFonts w:cs="Arial Unicode MS" w:eastAsia="Arial Unicode MS"/>
          <w:rtl w:val="0"/>
          <w:lang w:val="en-US"/>
        </w:rPr>
        <w:t xml:space="preserve"> Thiselton, </w:t>
      </w:r>
      <w:r>
        <w:rPr>
          <w:rStyle w:val="None"/>
          <w:rFonts w:cs="Arial Unicode MS" w:eastAsia="Arial Unicode MS"/>
          <w:i w:val="1"/>
          <w:iCs w:val="1"/>
          <w:rtl w:val="0"/>
          <w:lang w:val="en-US"/>
        </w:rPr>
        <w:t xml:space="preserve">New Horizons, </w:t>
      </w:r>
      <w:r>
        <w:rPr>
          <w:rStyle w:val="None"/>
          <w:rFonts w:cs="Arial Unicode MS" w:eastAsia="Arial Unicode MS"/>
          <w:rtl w:val="0"/>
          <w:lang w:val="en-US"/>
        </w:rPr>
        <w:t>p.434.</w:t>
      </w:r>
    </w:p>
  </w:footnote>
  <w:footnote w:id="32">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P. Trible, </w:t>
      </w:r>
      <w:r>
        <w:rPr>
          <w:rStyle w:val="None"/>
          <w:rFonts w:cs="Arial Unicode MS" w:eastAsia="Arial Unicode MS"/>
          <w:i w:val="1"/>
          <w:iCs w:val="1"/>
          <w:rtl w:val="0"/>
          <w:lang w:val="en-US"/>
        </w:rPr>
        <w:t>Texts of Terror</w:t>
      </w:r>
      <w:r>
        <w:rPr>
          <w:rStyle w:val="None"/>
          <w:rFonts w:cs="Arial Unicode MS" w:eastAsia="Arial Unicode MS"/>
          <w:rtl w:val="0"/>
          <w:lang w:val="en-US"/>
        </w:rPr>
        <w:t xml:space="preserve"> (London: SCM Press, 2002). </w:t>
      </w:r>
    </w:p>
  </w:footnote>
  <w:footnote w:id="33">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Loades, </w:t>
      </w:r>
      <w:r>
        <w:rPr>
          <w:rStyle w:val="None"/>
          <w:rFonts w:cs="Arial Unicode MS" w:eastAsia="Arial Unicode MS"/>
          <w:i w:val="1"/>
          <w:iCs w:val="1"/>
          <w:rtl w:val="0"/>
          <w:lang w:val="en-US"/>
        </w:rPr>
        <w:t xml:space="preserve">Feminist Interpretation, </w:t>
      </w:r>
      <w:r>
        <w:rPr>
          <w:rStyle w:val="None"/>
          <w:rFonts w:cs="Arial Unicode MS" w:eastAsia="Arial Unicode MS"/>
          <w:rtl w:val="0"/>
          <w:lang w:val="en-US"/>
        </w:rPr>
        <w:t>pp.85-86.</w:t>
      </w:r>
    </w:p>
  </w:footnote>
  <w:footnote w:id="34">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Trible, </w:t>
      </w:r>
      <w:r>
        <w:rPr>
          <w:rStyle w:val="None"/>
          <w:rFonts w:cs="Arial Unicode MS" w:eastAsia="Arial Unicode MS"/>
          <w:i w:val="1"/>
          <w:iCs w:val="1"/>
          <w:rtl w:val="0"/>
          <w:lang w:val="en-US"/>
        </w:rPr>
        <w:t xml:space="preserve">Texts of Terror, </w:t>
      </w:r>
      <w:r>
        <w:rPr>
          <w:rStyle w:val="None"/>
          <w:rFonts w:cs="Arial Unicode MS" w:eastAsia="Arial Unicode MS"/>
          <w:rtl w:val="0"/>
          <w:lang w:val="en-US"/>
        </w:rPr>
        <w:t>p.3.</w:t>
      </w:r>
    </w:p>
  </w:footnote>
  <w:footnote w:id="35">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i w:val="1"/>
          <w:iCs w:val="1"/>
          <w:rtl w:val="0"/>
          <w:lang w:val="en-US"/>
        </w:rPr>
        <w:t xml:space="preserve">ibid, </w:t>
      </w:r>
      <w:r>
        <w:rPr>
          <w:rStyle w:val="None"/>
          <w:rFonts w:cs="Arial Unicode MS" w:eastAsia="Arial Unicode MS"/>
          <w:rtl w:val="0"/>
          <w:lang w:val="en-US"/>
        </w:rPr>
        <w:t>p.63.</w:t>
      </w:r>
    </w:p>
  </w:footnote>
  <w:footnote w:id="36">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Loades, </w:t>
      </w:r>
      <w:r>
        <w:rPr>
          <w:rStyle w:val="None"/>
          <w:rFonts w:cs="Arial Unicode MS" w:eastAsia="Arial Unicode MS"/>
          <w:i w:val="1"/>
          <w:iCs w:val="1"/>
          <w:rtl w:val="0"/>
          <w:lang w:val="en-US"/>
        </w:rPr>
        <w:t xml:space="preserve">Feminist Interpretation, </w:t>
      </w:r>
      <w:r>
        <w:rPr>
          <w:rStyle w:val="None"/>
          <w:rFonts w:cs="Arial Unicode MS" w:eastAsia="Arial Unicode MS"/>
          <w:rtl w:val="0"/>
          <w:lang w:val="en-US"/>
        </w:rPr>
        <w:t>p.89.</w:t>
      </w:r>
    </w:p>
  </w:footnote>
  <w:footnote w:id="37">
    <w:p>
      <w:pPr>
        <w:pStyle w:val="Footnote"/>
      </w:pPr>
      <w:r>
        <w:rPr>
          <w:rStyle w:val="None"/>
          <w:sz w:val="22"/>
          <w:szCs w:val="22"/>
          <w:vertAlign w:val="superscript"/>
        </w:rPr>
        <w:footnoteRef/>
      </w:r>
      <w:r>
        <w:rPr>
          <w:rStyle w:val="None"/>
          <w:rFonts w:cs="Arial Unicode MS" w:eastAsia="Arial Unicode MS"/>
          <w:rtl w:val="0"/>
          <w:lang w:val="en-US"/>
        </w:rPr>
        <w:t xml:space="preserve"> </w:t>
      </w:r>
      <w:r>
        <w:rPr>
          <w:rStyle w:val="None"/>
          <w:rFonts w:cs="Arial Unicode MS" w:eastAsia="Arial Unicode MS"/>
          <w:rtl w:val="0"/>
          <w:lang w:val="de-DE"/>
        </w:rPr>
        <w:t>Sch</w:t>
      </w:r>
      <w:r>
        <w:rPr>
          <w:rStyle w:val="None"/>
          <w:rFonts w:cs="Arial Unicode MS" w:eastAsia="Arial Unicode MS" w:hint="default"/>
          <w:rtl w:val="0"/>
        </w:rPr>
        <w:t>ü</w:t>
      </w:r>
      <w:r>
        <w:rPr>
          <w:rStyle w:val="None"/>
          <w:rFonts w:cs="Arial Unicode MS" w:eastAsia="Arial Unicode MS"/>
          <w:rtl w:val="0"/>
          <w:lang w:val="da-DK"/>
        </w:rPr>
        <w:t>ssler</w:t>
      </w:r>
      <w:r>
        <w:rPr>
          <w:rStyle w:val="None"/>
          <w:rFonts w:cs="Arial Unicode MS" w:eastAsia="Arial Unicode MS"/>
          <w:rtl w:val="0"/>
          <w:lang w:val="en-US"/>
        </w:rPr>
        <w:t xml:space="preserve"> Fiorenza, </w:t>
      </w:r>
      <w:r>
        <w:rPr>
          <w:rStyle w:val="None"/>
          <w:rFonts w:cs="Arial Unicode MS" w:eastAsia="Arial Unicode MS"/>
          <w:i w:val="1"/>
          <w:iCs w:val="1"/>
          <w:rtl w:val="0"/>
          <w:lang w:val="en-US"/>
        </w:rPr>
        <w:t xml:space="preserve">Bread Not Stone, </w:t>
      </w:r>
      <w:r>
        <w:rPr>
          <w:rStyle w:val="None"/>
          <w:rFonts w:cs="Arial Unicode MS" w:eastAsia="Arial Unicode MS"/>
          <w:rtl w:val="0"/>
          <w:lang w:val="en-US"/>
        </w:rPr>
        <w:t>p.4.</w:t>
      </w:r>
    </w:p>
  </w:footnote>
  <w:footnote w:id="38">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i w:val="1"/>
          <w:iCs w:val="1"/>
          <w:rtl w:val="0"/>
          <w:lang w:val="en-US"/>
        </w:rPr>
        <w:t xml:space="preserve">ibid, </w:t>
      </w:r>
      <w:r>
        <w:rPr>
          <w:rStyle w:val="None"/>
          <w:rFonts w:cs="Arial Unicode MS" w:eastAsia="Arial Unicode MS"/>
          <w:rtl w:val="0"/>
          <w:lang w:val="en-US"/>
        </w:rPr>
        <w:t>p.15.</w:t>
      </w:r>
    </w:p>
  </w:footnote>
  <w:footnote w:id="39">
    <w:p>
      <w:pPr>
        <w:pStyle w:val="Footnote"/>
      </w:pPr>
      <w:r>
        <w:rPr>
          <w:rStyle w:val="None"/>
          <w:sz w:val="22"/>
          <w:szCs w:val="22"/>
          <w:vertAlign w:val="superscript"/>
        </w:rPr>
        <w:footnoteRef/>
      </w:r>
      <w:r>
        <w:rPr>
          <w:rStyle w:val="None"/>
          <w:rFonts w:cs="Arial Unicode MS" w:eastAsia="Arial Unicode MS"/>
          <w:i w:val="1"/>
          <w:iCs w:val="1"/>
          <w:rtl w:val="0"/>
          <w:lang w:val="en-US"/>
        </w:rPr>
        <w:t xml:space="preserve">, </w:t>
      </w:r>
      <w:r>
        <w:rPr>
          <w:rStyle w:val="None"/>
          <w:rFonts w:cs="Arial Unicode MS" w:eastAsia="Arial Unicode MS"/>
          <w:rtl w:val="0"/>
          <w:lang w:val="en-US"/>
        </w:rPr>
        <w:t xml:space="preserve">E. </w:t>
      </w:r>
      <w:r>
        <w:rPr>
          <w:rStyle w:val="None"/>
          <w:rFonts w:cs="Arial Unicode MS" w:eastAsia="Arial Unicode MS"/>
          <w:rtl w:val="0"/>
          <w:lang w:val="de-DE"/>
        </w:rPr>
        <w:t>Sch</w:t>
      </w:r>
      <w:r>
        <w:rPr>
          <w:rStyle w:val="None"/>
          <w:rFonts w:cs="Arial Unicode MS" w:eastAsia="Arial Unicode MS" w:hint="default"/>
          <w:rtl w:val="0"/>
        </w:rPr>
        <w:t>ü</w:t>
      </w:r>
      <w:r>
        <w:rPr>
          <w:rStyle w:val="None"/>
          <w:rFonts w:cs="Arial Unicode MS" w:eastAsia="Arial Unicode MS"/>
          <w:rtl w:val="0"/>
          <w:lang w:val="it-IT"/>
        </w:rPr>
        <w:t>ssler Fiorenza,</w:t>
      </w:r>
      <w:r>
        <w:rPr>
          <w:rStyle w:val="None"/>
          <w:rFonts w:cs="Arial Unicode MS" w:eastAsia="Arial Unicode MS"/>
          <w:rtl w:val="0"/>
          <w:lang w:val="en-US"/>
        </w:rPr>
        <w:t xml:space="preserve"> </w:t>
      </w:r>
      <w:r>
        <w:rPr>
          <w:rStyle w:val="None"/>
          <w:rFonts w:cs="Arial Unicode MS" w:eastAsia="Arial Unicode MS"/>
          <w:i w:val="1"/>
          <w:iCs w:val="1"/>
          <w:rtl w:val="0"/>
          <w:lang w:val="en-US"/>
        </w:rPr>
        <w:t>In Memory of Her: A Feminist Theological Reconstruction of Christian Origins, Second Edition</w:t>
      </w:r>
      <w:r>
        <w:rPr>
          <w:rStyle w:val="None"/>
          <w:rFonts w:cs="Arial Unicode MS" w:eastAsia="Arial Unicode MS"/>
          <w:rtl w:val="0"/>
          <w:lang w:val="en-US"/>
        </w:rPr>
        <w:t xml:space="preserve"> (London: SCM Press, 1994), xliii</w:t>
      </w:r>
    </w:p>
  </w:footnote>
  <w:footnote w:id="40">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Loades, </w:t>
      </w:r>
      <w:r>
        <w:rPr>
          <w:rStyle w:val="None"/>
          <w:rFonts w:cs="Arial Unicode MS" w:eastAsia="Arial Unicode MS"/>
          <w:i w:val="1"/>
          <w:iCs w:val="1"/>
          <w:rtl w:val="0"/>
          <w:lang w:val="en-US"/>
        </w:rPr>
        <w:t xml:space="preserve">Feminist Interpretation, </w:t>
      </w:r>
      <w:r>
        <w:rPr>
          <w:rStyle w:val="None"/>
          <w:rFonts w:cs="Arial Unicode MS" w:eastAsia="Arial Unicode MS"/>
          <w:rtl w:val="0"/>
          <w:lang w:val="en-US"/>
        </w:rPr>
        <w:t>p.89.</w:t>
      </w:r>
    </w:p>
  </w:footnote>
  <w:footnote w:id="41">
    <w:p>
      <w:pPr>
        <w:pStyle w:val="Footnote"/>
      </w:pPr>
      <w:r>
        <w:rPr>
          <w:rStyle w:val="None"/>
          <w:sz w:val="22"/>
          <w:szCs w:val="22"/>
          <w:vertAlign w:val="superscript"/>
        </w:rPr>
        <w:footnoteRef/>
      </w:r>
      <w:r>
        <w:rPr>
          <w:rStyle w:val="None"/>
          <w:rFonts w:cs="Arial Unicode MS" w:eastAsia="Arial Unicode MS"/>
          <w:rtl w:val="0"/>
          <w:lang w:val="de-DE"/>
        </w:rPr>
        <w:t xml:space="preserve"> Sch</w:t>
      </w:r>
      <w:r>
        <w:rPr>
          <w:rStyle w:val="None"/>
          <w:rFonts w:cs="Arial Unicode MS" w:eastAsia="Arial Unicode MS" w:hint="default"/>
          <w:rtl w:val="0"/>
        </w:rPr>
        <w:t>ü</w:t>
      </w:r>
      <w:r>
        <w:rPr>
          <w:rStyle w:val="None"/>
          <w:rFonts w:cs="Arial Unicode MS" w:eastAsia="Arial Unicode MS"/>
          <w:rtl w:val="0"/>
          <w:lang w:val="it-IT"/>
        </w:rPr>
        <w:t>ssler Fiorenza</w:t>
      </w:r>
      <w:r>
        <w:rPr>
          <w:rStyle w:val="None"/>
          <w:rFonts w:cs="Arial Unicode MS" w:eastAsia="Arial Unicode MS"/>
          <w:rtl w:val="0"/>
          <w:lang w:val="en-US"/>
        </w:rPr>
        <w:t xml:space="preserve">, </w:t>
      </w:r>
      <w:r>
        <w:rPr>
          <w:rStyle w:val="None"/>
          <w:rFonts w:cs="Arial Unicode MS" w:eastAsia="Arial Unicode MS"/>
          <w:i w:val="1"/>
          <w:iCs w:val="1"/>
          <w:rtl w:val="0"/>
          <w:lang w:val="en-US"/>
        </w:rPr>
        <w:t xml:space="preserve">In Memory, </w:t>
      </w:r>
      <w:r>
        <w:rPr>
          <w:rStyle w:val="None"/>
          <w:rFonts w:cs="Arial Unicode MS" w:eastAsia="Arial Unicode MS"/>
          <w:rtl w:val="0"/>
          <w:lang w:val="en-US"/>
        </w:rPr>
        <w:t>pp.167-168.</w:t>
      </w:r>
    </w:p>
  </w:footnote>
  <w:footnote w:id="42">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Loades, </w:t>
      </w:r>
      <w:r>
        <w:rPr>
          <w:rStyle w:val="None"/>
          <w:rFonts w:cs="Arial Unicode MS" w:eastAsia="Arial Unicode MS"/>
          <w:i w:val="1"/>
          <w:iCs w:val="1"/>
          <w:rtl w:val="0"/>
          <w:lang w:val="en-US"/>
        </w:rPr>
        <w:t xml:space="preserve">Feminist Interpretation, </w:t>
      </w:r>
      <w:r>
        <w:rPr>
          <w:rStyle w:val="None"/>
          <w:rFonts w:cs="Arial Unicode MS" w:eastAsia="Arial Unicode MS"/>
          <w:rtl w:val="0"/>
          <w:lang w:val="en-US"/>
        </w:rPr>
        <w:t>p.90.</w:t>
      </w:r>
    </w:p>
  </w:footnote>
  <w:footnote w:id="43">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R. Letham, </w:t>
      </w:r>
      <w:r>
        <w:rPr>
          <w:rStyle w:val="None"/>
          <w:rFonts w:cs="Arial Unicode MS" w:eastAsia="Arial Unicode MS" w:hint="default"/>
          <w:rtl w:val="0"/>
          <w:lang w:val="en-US"/>
        </w:rPr>
        <w:t>“</w:t>
      </w:r>
      <w:r>
        <w:rPr>
          <w:rStyle w:val="None"/>
          <w:rFonts w:cs="Arial Unicode MS" w:eastAsia="Arial Unicode MS"/>
          <w:rtl w:val="0"/>
          <w:lang w:val="en-US"/>
        </w:rPr>
        <w:t>The Hermeneutics of Feminism</w:t>
      </w:r>
      <w:r>
        <w:rPr>
          <w:rStyle w:val="None"/>
          <w:rFonts w:cs="Arial Unicode MS" w:eastAsia="Arial Unicode MS" w:hint="default"/>
          <w:rtl w:val="0"/>
          <w:lang w:val="en-US"/>
        </w:rPr>
        <w:t>”</w:t>
      </w:r>
      <w:r>
        <w:rPr>
          <w:rStyle w:val="None"/>
          <w:rFonts w:cs="Arial Unicode MS" w:eastAsia="Arial Unicode MS"/>
          <w:rtl w:val="0"/>
          <w:lang w:val="en-US"/>
        </w:rPr>
        <w:t xml:space="preserve">, </w:t>
      </w:r>
      <w:r>
        <w:rPr>
          <w:rStyle w:val="None"/>
          <w:rFonts w:cs="Arial Unicode MS" w:eastAsia="Arial Unicode MS"/>
          <w:i w:val="1"/>
          <w:iCs w:val="1"/>
          <w:rtl w:val="0"/>
          <w:lang w:val="en-US"/>
        </w:rPr>
        <w:t>Themelios</w:t>
      </w:r>
      <w:r>
        <w:rPr>
          <w:rStyle w:val="None"/>
          <w:rFonts w:cs="Arial Unicode MS" w:eastAsia="Arial Unicode MS"/>
          <w:rtl w:val="0"/>
          <w:lang w:val="en-US"/>
        </w:rPr>
        <w:t>, (1992),</w:t>
      </w:r>
      <w:r>
        <w:rPr>
          <w:rStyle w:val="None"/>
          <w:rFonts w:cs="Arial Unicode MS" w:eastAsia="Arial Unicode MS"/>
          <w:i w:val="1"/>
          <w:iCs w:val="1"/>
          <w:rtl w:val="0"/>
          <w:lang w:val="en-US"/>
        </w:rPr>
        <w:t xml:space="preserve"> </w:t>
      </w:r>
      <w:r>
        <w:rPr>
          <w:rStyle w:val="None"/>
          <w:rFonts w:cs="Arial Unicode MS" w:eastAsia="Arial Unicode MS"/>
          <w:rtl w:val="0"/>
          <w:lang w:val="en-US"/>
        </w:rPr>
        <w:t>17(3), p.5.</w:t>
      </w:r>
    </w:p>
  </w:footnote>
  <w:footnote w:id="44">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N.T. Wright, </w:t>
      </w:r>
      <w:r>
        <w:rPr>
          <w:rStyle w:val="None"/>
          <w:rFonts w:cs="Arial Unicode MS" w:eastAsia="Arial Unicode MS"/>
          <w:i w:val="1"/>
          <w:iCs w:val="1"/>
          <w:rtl w:val="0"/>
          <w:lang w:val="en-US"/>
        </w:rPr>
        <w:t xml:space="preserve">The Resurrection of the Son of God </w:t>
      </w:r>
      <w:r>
        <w:rPr>
          <w:rStyle w:val="None"/>
          <w:rFonts w:cs="Arial Unicode MS" w:eastAsia="Arial Unicode MS"/>
          <w:rtl w:val="0"/>
          <w:lang w:val="en-US"/>
        </w:rPr>
        <w:t>(London: SPCK), p.607.</w:t>
      </w:r>
    </w:p>
  </w:footnote>
  <w:footnote w:id="45">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P. Trible, </w:t>
      </w:r>
      <w:r>
        <w:rPr>
          <w:rStyle w:val="None"/>
          <w:rFonts w:cs="Arial Unicode MS" w:eastAsia="Arial Unicode MS" w:hint="default"/>
          <w:rtl w:val="0"/>
          <w:lang w:val="en-US"/>
        </w:rPr>
        <w:t>“</w:t>
      </w:r>
      <w:r>
        <w:rPr>
          <w:rStyle w:val="None"/>
          <w:rFonts w:cs="Arial Unicode MS" w:eastAsia="Arial Unicode MS"/>
          <w:rtl w:val="0"/>
          <w:lang w:val="en-US"/>
        </w:rPr>
        <w:t>Postscript: Jottings on the Journey</w:t>
      </w:r>
      <w:r>
        <w:rPr>
          <w:rStyle w:val="None"/>
          <w:rFonts w:cs="Arial Unicode MS" w:eastAsia="Arial Unicode MS" w:hint="default"/>
          <w:rtl w:val="0"/>
          <w:lang w:val="en-US"/>
        </w:rPr>
        <w:t>”</w:t>
      </w:r>
      <w:r>
        <w:rPr>
          <w:rStyle w:val="None"/>
          <w:rFonts w:cs="Arial Unicode MS" w:eastAsia="Arial Unicode MS"/>
          <w:rtl w:val="0"/>
          <w:lang w:val="en-US"/>
        </w:rPr>
        <w:t xml:space="preserve">, in L.M. Russell (ed.), </w:t>
      </w:r>
      <w:r>
        <w:rPr>
          <w:rStyle w:val="None"/>
          <w:rFonts w:cs="Arial Unicode MS" w:eastAsia="Arial Unicode MS"/>
          <w:i w:val="1"/>
          <w:iCs w:val="1"/>
          <w:rtl w:val="0"/>
          <w:lang w:val="en-US"/>
        </w:rPr>
        <w:t xml:space="preserve">Feminist Interpretation of the Bible </w:t>
      </w:r>
      <w:r>
        <w:rPr>
          <w:rStyle w:val="None"/>
          <w:rFonts w:cs="Arial Unicode MS" w:eastAsia="Arial Unicode MS"/>
          <w:rtl w:val="0"/>
          <w:lang w:val="de-DE"/>
        </w:rPr>
        <w:t>(London: Westminster John Knox Press, 1985)</w:t>
      </w:r>
      <w:r>
        <w:rPr>
          <w:rStyle w:val="None"/>
          <w:rFonts w:cs="Arial Unicode MS" w:eastAsia="Arial Unicode MS"/>
          <w:rtl w:val="0"/>
          <w:lang w:val="en-US"/>
        </w:rPr>
        <w:t xml:space="preserve">, p.149; </w:t>
      </w:r>
      <w:r>
        <w:rPr>
          <w:rStyle w:val="None"/>
          <w:rFonts w:cs="Arial Unicode MS" w:eastAsia="Arial Unicode MS"/>
          <w:rtl w:val="0"/>
          <w:lang w:val="de-DE"/>
        </w:rPr>
        <w:t>Sch</w:t>
      </w:r>
      <w:r>
        <w:rPr>
          <w:rStyle w:val="None"/>
          <w:rFonts w:cs="Arial Unicode MS" w:eastAsia="Arial Unicode MS" w:hint="default"/>
          <w:rtl w:val="0"/>
        </w:rPr>
        <w:t>ü</w:t>
      </w:r>
      <w:r>
        <w:rPr>
          <w:rStyle w:val="None"/>
          <w:rFonts w:cs="Arial Unicode MS" w:eastAsia="Arial Unicode MS"/>
          <w:rtl w:val="0"/>
          <w:lang w:val="it-IT"/>
        </w:rPr>
        <w:t>ssler Fiorenza</w:t>
      </w:r>
      <w:r>
        <w:rPr>
          <w:rStyle w:val="None"/>
          <w:rFonts w:cs="Arial Unicode MS" w:eastAsia="Arial Unicode MS"/>
          <w:i w:val="1"/>
          <w:iCs w:val="1"/>
          <w:rtl w:val="0"/>
          <w:lang w:val="en-US"/>
        </w:rPr>
        <w:t xml:space="preserve">, Bread Not Stone, </w:t>
      </w:r>
      <w:r>
        <w:rPr>
          <w:rStyle w:val="None"/>
          <w:rFonts w:cs="Arial Unicode MS" w:eastAsia="Arial Unicode MS"/>
          <w:rtl w:val="0"/>
          <w:lang w:val="en-US"/>
        </w:rPr>
        <w:t>p.18.</w:t>
      </w:r>
    </w:p>
  </w:footnote>
  <w:footnote w:id="46">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Letham, </w:t>
      </w:r>
      <w:r>
        <w:rPr>
          <w:rStyle w:val="None"/>
          <w:rFonts w:cs="Arial Unicode MS" w:eastAsia="Arial Unicode MS" w:hint="default"/>
          <w:rtl w:val="0"/>
          <w:lang w:val="en-US"/>
        </w:rPr>
        <w:t>“</w:t>
      </w:r>
      <w:r>
        <w:rPr>
          <w:rStyle w:val="None"/>
          <w:rFonts w:cs="Arial Unicode MS" w:eastAsia="Arial Unicode MS"/>
          <w:rtl w:val="0"/>
          <w:lang w:val="en-US"/>
        </w:rPr>
        <w:t>Hermeneutics of Feminism</w:t>
      </w:r>
      <w:r>
        <w:rPr>
          <w:rStyle w:val="None"/>
          <w:rFonts w:cs="Arial Unicode MS" w:eastAsia="Arial Unicode MS" w:hint="default"/>
          <w:rtl w:val="0"/>
          <w:lang w:val="en-US"/>
        </w:rPr>
        <w:t>”</w:t>
      </w:r>
      <w:r>
        <w:rPr>
          <w:rStyle w:val="None"/>
          <w:rFonts w:cs="Arial Unicode MS" w:eastAsia="Arial Unicode MS"/>
          <w:rtl w:val="0"/>
          <w:lang w:val="en-US"/>
        </w:rPr>
        <w:t>, p.8.</w:t>
      </w:r>
    </w:p>
  </w:footnote>
  <w:footnote w:id="47">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Trible, </w:t>
      </w:r>
      <w:r>
        <w:rPr>
          <w:rStyle w:val="None"/>
          <w:rFonts w:cs="Arial Unicode MS" w:eastAsia="Arial Unicode MS" w:hint="default"/>
          <w:rtl w:val="0"/>
          <w:lang w:val="en-US"/>
        </w:rPr>
        <w:t>“</w:t>
      </w:r>
      <w:r>
        <w:rPr>
          <w:rStyle w:val="None"/>
          <w:rFonts w:cs="Arial Unicode MS" w:eastAsia="Arial Unicode MS"/>
          <w:rtl w:val="0"/>
          <w:lang w:val="en-US"/>
        </w:rPr>
        <w:t>Postscript</w:t>
      </w:r>
      <w:r>
        <w:rPr>
          <w:rStyle w:val="None"/>
          <w:rFonts w:cs="Arial Unicode MS" w:eastAsia="Arial Unicode MS" w:hint="default"/>
          <w:rtl w:val="0"/>
          <w:lang w:val="en-US"/>
        </w:rPr>
        <w:t>”</w:t>
      </w:r>
      <w:r>
        <w:rPr>
          <w:rStyle w:val="None"/>
          <w:rFonts w:cs="Arial Unicode MS" w:eastAsia="Arial Unicode MS"/>
          <w:rtl w:val="0"/>
          <w:lang w:val="en-US"/>
        </w:rPr>
        <w:t>, p. 149.</w:t>
      </w:r>
    </w:p>
  </w:footnote>
  <w:footnote w:id="48">
    <w:p>
      <w:pPr>
        <w:pStyle w:val="Footnote"/>
      </w:pPr>
      <w:r>
        <w:rPr>
          <w:rStyle w:val="None"/>
          <w:sz w:val="22"/>
          <w:szCs w:val="22"/>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 xml:space="preserve">Reuther, </w:t>
      </w:r>
      <w:r>
        <w:rPr>
          <w:rStyle w:val="None"/>
          <w:rFonts w:cs="Arial Unicode MS" w:eastAsia="Arial Unicode MS" w:hint="default"/>
          <w:rtl w:val="0"/>
          <w:lang w:val="en-US"/>
        </w:rPr>
        <w:t>“</w:t>
      </w:r>
      <w:r>
        <w:rPr>
          <w:rStyle w:val="None"/>
          <w:rFonts w:cs="Arial Unicode MS" w:eastAsia="Arial Unicode MS"/>
          <w:rtl w:val="0"/>
          <w:lang w:val="en-US"/>
        </w:rPr>
        <w:t>Feminist Interpretation</w:t>
      </w:r>
      <w:r>
        <w:rPr>
          <w:rStyle w:val="None"/>
          <w:rFonts w:cs="Arial Unicode MS" w:eastAsia="Arial Unicode MS" w:hint="default"/>
          <w:rtl w:val="0"/>
          <w:lang w:val="en-US"/>
        </w:rPr>
        <w:t>”</w:t>
      </w:r>
      <w:r>
        <w:rPr>
          <w:rStyle w:val="None"/>
          <w:rFonts w:cs="Arial Unicode MS" w:eastAsia="Arial Unicode MS"/>
          <w:rtl w:val="0"/>
          <w:lang w:val="en-US"/>
        </w:rPr>
        <w:t>, p.117.</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1"/>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Baskerville" w:cs="Arial Unicode MS" w:hAnsi="Baskerville" w:eastAsia="Arial Unicode MS"/>
      <w:b w:val="0"/>
      <w:bCs w:val="0"/>
      <w:i w:val="0"/>
      <w:iCs w:val="0"/>
      <w:caps w:val="1"/>
      <w:strike w:val="0"/>
      <w:dstrike w:val="0"/>
      <w:outline w:val="0"/>
      <w:color w:val="000000"/>
      <w:spacing w:val="0"/>
      <w:kern w:val="0"/>
      <w:position w:val="0"/>
      <w:sz w:val="20"/>
      <w:szCs w:val="20"/>
      <w:u w:val="none" w:color="000000"/>
      <w:vertAlign w:val="baseline"/>
      <w14:textOutline w14:w="12700" w14:cap="flat">
        <w14:noFill/>
        <w14:miter w14:lim="400000"/>
      </w14:textOutline>
      <w14:textFill>
        <w14:solidFill>
          <w14:srgbClr w14:val="000000"/>
        </w14:solidFill>
      </w14:textFill>
    </w:rPr>
  </w:style>
  <w:style w:type="paragraph" w:styleId="Attribution">
    <w:name w:val="Attribution"/>
    <w:next w:val="Body 2"/>
    <w:pPr>
      <w:keepNext w:val="0"/>
      <w:keepLines w:val="0"/>
      <w:pageBreakBefore w:val="0"/>
      <w:widowControl w:val="1"/>
      <w:shd w:val="clear" w:color="auto" w:fill="auto"/>
      <w:suppressAutoHyphens w:val="0"/>
      <w:bidi w:val="0"/>
      <w:spacing w:before="0" w:after="0" w:line="312" w:lineRule="auto"/>
      <w:ind w:left="0" w:right="0" w:firstLine="0"/>
      <w:jc w:val="left"/>
      <w:outlineLvl w:val="0"/>
    </w:pPr>
    <w:rPr>
      <w:rFonts w:ascii="Baskerville" w:cs="Arial Unicode MS" w:hAnsi="Baskerville" w:eastAsia="Arial Unicode MS"/>
      <w:b w:val="0"/>
      <w:bCs w:val="0"/>
      <w:i w:val="0"/>
      <w:iCs w:val="0"/>
      <w:caps w:val="0"/>
      <w:smallCaps w:val="0"/>
      <w:strike w:val="0"/>
      <w:dstrike w:val="0"/>
      <w:outline w:val="0"/>
      <w:color w:val="000000"/>
      <w:spacing w:val="0"/>
      <w:kern w:val="0"/>
      <w:position w:val="0"/>
      <w:sz w:val="26"/>
      <w:szCs w:val="26"/>
      <w:u w:val="none" w:color="000000"/>
      <w:vertAlign w:val="baseline"/>
      <w:lang w:val="en-US"/>
      <w14:textOutline w14:w="12700" w14:cap="flat">
        <w14:noFill/>
        <w14:miter w14:lim="400000"/>
      </w14:textOutline>
      <w14:textFill>
        <w14:solidFill>
          <w14:srgbClr w14:val="000000"/>
        </w14:solidFill>
      </w14:textFill>
    </w:rPr>
  </w:style>
  <w:style w:type="paragraph" w:styleId="Body 2">
    <w:name w:val="Body 2"/>
    <w:next w:val="Body 2"/>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Baskerville" w:cs="Arial Unicode MS" w:hAnsi="Baskerville" w:eastAsia="Arial Unicode MS"/>
      <w:b w:val="0"/>
      <w:bCs w:val="0"/>
      <w:i w:val="0"/>
      <w:iCs w:val="0"/>
      <w:caps w:val="0"/>
      <w:smallCaps w:val="0"/>
      <w:strike w:val="0"/>
      <w:dstrike w:val="0"/>
      <w:outline w:val="0"/>
      <w:color w:val="444444"/>
      <w:spacing w:val="0"/>
      <w:kern w:val="0"/>
      <w:position w:val="0"/>
      <w:sz w:val="24"/>
      <w:szCs w:val="24"/>
      <w:u w:val="none" w:color="444444"/>
      <w:vertAlign w:val="baseline"/>
      <w:lang w:val="en-US"/>
      <w14:textOutline w14:w="12700" w14:cap="flat">
        <w14:noFill/>
        <w14:miter w14:lim="400000"/>
      </w14:textOutline>
      <w14:textFill>
        <w14:solidFill>
          <w14:srgbClr w14:val="444444"/>
        </w14:solidFill>
      </w14:textFill>
    </w:rPr>
  </w:style>
  <w:style w:type="paragraph" w:styleId="Subtitle">
    <w:name w:val="Subtitle"/>
    <w:next w:val="Body 2"/>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Baskerville" w:cs="Arial Unicode MS" w:hAnsi="Baskerville" w:eastAsia="Arial Unicode MS"/>
      <w:b w:val="0"/>
      <w:bCs w:val="0"/>
      <w:i w:val="0"/>
      <w:iCs w:val="0"/>
      <w:caps w:val="0"/>
      <w:smallCaps w:val="0"/>
      <w:strike w:val="0"/>
      <w:dstrike w:val="0"/>
      <w:outline w:val="0"/>
      <w:color w:val="dc5922"/>
      <w:spacing w:val="6"/>
      <w:kern w:val="0"/>
      <w:position w:val="0"/>
      <w:sz w:val="64"/>
      <w:szCs w:val="64"/>
      <w:u w:val="none" w:color="dc5922"/>
      <w:vertAlign w:val="baseline"/>
      <w:lang w:val="en-US"/>
      <w14:textOutline w14:w="12700" w14:cap="flat">
        <w14:noFill/>
        <w14:miter w14:lim="400000"/>
      </w14:textOutline>
      <w14:textFill>
        <w14:solidFill>
          <w14:srgbClr w14:val="DC5922"/>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360" w:lineRule="auto"/>
      <w:ind w:left="0" w:right="0" w:firstLine="540"/>
      <w:jc w:val="left"/>
      <w:outlineLvl w:val="9"/>
    </w:pPr>
    <w:rPr>
      <w:rFonts w:ascii="Baskerville" w:cs="Baskerville" w:hAnsi="Baskerville" w:eastAsia="Baskerville"/>
      <w:b w:val="0"/>
      <w:bCs w:val="0"/>
      <w:i w:val="0"/>
      <w:iCs w:val="0"/>
      <w:caps w:val="0"/>
      <w:smallCaps w:val="0"/>
      <w:strike w:val="0"/>
      <w:dstrike w:val="0"/>
      <w:outline w:val="0"/>
      <w:color w:val="000000"/>
      <w:spacing w:val="0"/>
      <w:kern w:val="0"/>
      <w:position w:val="0"/>
      <w:sz w:val="24"/>
      <w:szCs w:val="24"/>
      <w:u w:val="none" w:color="000000"/>
      <w:vertAlign w:val="baseline"/>
      <w14:textOutline w14:w="12700" w14:cap="flat">
        <w14:noFill/>
        <w14:miter w14:lim="400000"/>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Baskerville" w:cs="Baskerville" w:hAnsi="Baskerville" w:eastAsia="Baskerville"/>
      <w:b w:val="0"/>
      <w:bCs w:val="0"/>
      <w:i w:val="0"/>
      <w:iCs w:val="0"/>
      <w:caps w:val="0"/>
      <w:smallCaps w:val="0"/>
      <w:strike w:val="0"/>
      <w:dstrike w:val="0"/>
      <w:outline w:val="0"/>
      <w:color w:val="444444"/>
      <w:spacing w:val="0"/>
      <w:kern w:val="0"/>
      <w:position w:val="0"/>
      <w:sz w:val="20"/>
      <w:szCs w:val="20"/>
      <w:u w:val="none" w:color="444444"/>
      <w:vertAlign w:val="baseline"/>
      <w14:textOutline w14:w="12700" w14:cap="flat">
        <w14:noFill/>
        <w14:miter w14:lim="400000"/>
      </w14:textOutline>
      <w14:textFill>
        <w14:solidFill>
          <w14:srgbClr w14:val="444444"/>
        </w14:solidFill>
      </w14:textFill>
    </w:rPr>
  </w:style>
  <w:style w:type="character" w:styleId="None">
    <w:name w:val="None"/>
  </w:style>
  <w:style w:type="character" w:styleId="Hyperlink.0">
    <w:name w:val="Hyperlink.0"/>
    <w:basedOn w:val="None"/>
    <w:next w:val="Hyperlink.0"/>
    <w:rPr>
      <w:u w:val="singl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Baskerville" w:cs="Baskerville" w:hAnsi="Baskerville" w:eastAsia="Baskerville"/>
      <w:b w:val="0"/>
      <w:bCs w:val="0"/>
      <w:i w:val="0"/>
      <w:iCs w:val="0"/>
      <w:caps w:val="0"/>
      <w:smallCaps w:val="0"/>
      <w:strike w:val="0"/>
      <w:dstrike w:val="0"/>
      <w:outline w:val="0"/>
      <w:color w:val="444444"/>
      <w:spacing w:val="0"/>
      <w:kern w:val="0"/>
      <w:position w:val="0"/>
      <w:sz w:val="24"/>
      <w:szCs w:val="24"/>
      <w:u w:val="none" w:color="444444"/>
      <w:vertAlign w:val="baseline"/>
      <w14:textOutline w14:w="12700" w14:cap="flat">
        <w14:noFill/>
        <w14:miter w14:lim="400000"/>
      </w14:textOutline>
      <w14:textFill>
        <w14:solidFill>
          <w14:srgbClr w14:val="444444"/>
        </w14:solidFill>
      </w14:textFill>
    </w:rPr>
  </w:style>
  <w:style w:type="character" w:styleId="Hyperlink.1">
    <w:name w:val="Hyperlink.1"/>
    <w:basedOn w:val="None"/>
    <w:next w:val="Hyperlink.1"/>
    <w:rPr>
      <w:outline w:val="0"/>
      <w:color w:val="222222"/>
      <w:sz w:val="22"/>
      <w:szCs w:val="22"/>
      <w:u w:val="single" w:color="222222"/>
      <w:shd w:val="clear" w:color="auto" w:fill="ffffff"/>
      <w:lang w:val="en-US"/>
      <w14:textFill>
        <w14:solidFill>
          <w14:srgbClr w14:val="222222"/>
        </w14:solidFill>
      </w14:textFill>
    </w:rPr>
  </w:style>
  <w:style w:type="character" w:styleId="Hyperlink.2">
    <w:name w:val="Hyperlink.2"/>
    <w:basedOn w:val="None"/>
    <w:next w:val="Hyperlink.2"/>
    <w:rPr>
      <w:sz w:val="22"/>
      <w:szCs w:val="22"/>
      <w:u w:val="singl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4_Essay">
  <a:themeElements>
    <a:clrScheme name="04_Essay">
      <a:dk1>
        <a:srgbClr val="000000"/>
      </a:dk1>
      <a:lt1>
        <a:srgbClr val="FFFFFF"/>
      </a:lt1>
      <a:dk2>
        <a:srgbClr val="A7A7A7"/>
      </a:dk2>
      <a:lt2>
        <a:srgbClr val="535353"/>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Helvetica Neue"/>
        <a:ea typeface="Helvetica Neue"/>
        <a:cs typeface="Helvetica Neue"/>
      </a:majorFont>
      <a:minorFont>
        <a:latin typeface="Baskerville"/>
        <a:ea typeface="Baskerville"/>
        <a:cs typeface="Baskerville"/>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Baskerville SemiBold"/>
            <a:ea typeface="Baskerville SemiBold"/>
            <a:cs typeface="Baskerville SemiBold"/>
            <a:sym typeface="Baskerville SemiBold"/>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Baskerville SemiBold"/>
            <a:ea typeface="Baskerville SemiBold"/>
            <a:cs typeface="Baskerville SemiBold"/>
            <a:sym typeface="Baskerville SemiBold"/>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