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jc w:val="center"/>
        <w:rPr>
          <w:rFonts w:ascii="Times New Roman" w:hAnsi="Times New Roman" w:cs="Times New Roman"/>
        </w:rPr>
      </w:pPr>
    </w:p>
    <w:p>
      <w:pPr>
        <w:spacing w:line="360" w:lineRule="auto"/>
        <w:jc w:val="center"/>
        <w:rPr>
          <w:rFonts w:ascii="Times New Roman" w:hAnsi="Times New Roman" w:cs="Times New Roman"/>
          <w:b/>
          <w:bCs/>
          <w:color w:val="000000"/>
          <w:sz w:val="56"/>
          <w:szCs w:val="56"/>
          <w:shd w:val="clear" w:color="auto" w:fill="FBFBFB"/>
        </w:rPr>
      </w:pPr>
      <w:bookmarkStart w:id="0" w:name="_GoBack"/>
    </w:p>
    <w:p>
      <w:pPr>
        <w:jc w:val="center"/>
        <w:rPr>
          <w:rFonts w:ascii="Times New Roman" w:hAnsi="Times New Roman" w:cs="Times New Roman"/>
          <w:b/>
          <w:bCs/>
          <w:color w:val="000000"/>
          <w:sz w:val="56"/>
          <w:szCs w:val="56"/>
          <w:shd w:val="clear" w:color="auto" w:fill="FBFBFB"/>
        </w:rPr>
      </w:pPr>
      <w:r>
        <w:rPr>
          <w:rFonts w:ascii="Times New Roman" w:hAnsi="Times New Roman" w:cs="Times New Roman"/>
          <w:b/>
          <w:bCs/>
          <w:color w:val="000000"/>
          <w:sz w:val="56"/>
          <w:szCs w:val="56"/>
          <w:shd w:val="clear" w:color="auto" w:fill="FBFBFB"/>
        </w:rPr>
        <w:t>PROJECT MANAGEMENT</w:t>
      </w:r>
      <w:bookmarkEnd w:id="0"/>
    </w:p>
    <w:p>
      <w:pPr>
        <w:jc w:val="center"/>
        <w:rPr>
          <w:rFonts w:ascii="Times New Roman" w:hAnsi="Times New Roman" w:cs="Times New Roman"/>
          <w:b/>
          <w:bCs/>
          <w:color w:val="000000"/>
          <w:sz w:val="32"/>
          <w:szCs w:val="32"/>
          <w:shd w:val="clear" w:color="auto" w:fill="FBFBFB"/>
        </w:rPr>
      </w:pPr>
      <w:r>
        <w:rPr>
          <w:rFonts w:ascii="Times New Roman" w:hAnsi="Times New Roman" w:cs="Times New Roman"/>
          <w:b/>
          <w:bCs/>
          <w:color w:val="000000"/>
          <w:sz w:val="32"/>
          <w:szCs w:val="32"/>
          <w:shd w:val="clear" w:color="auto" w:fill="FBFBFB"/>
        </w:rPr>
        <w:t xml:space="preserve"> ASSESSMENT 1</w:t>
      </w:r>
    </w:p>
    <w:p>
      <w:pPr>
        <w:jc w:val="center"/>
        <w:rPr>
          <w:rFonts w:ascii="Times New Roman" w:hAnsi="Times New Roman" w:cs="Times New Roman"/>
          <w:b/>
          <w:color w:val="000000" w:themeColor="text1"/>
          <w:sz w:val="32"/>
          <w14:textFill>
            <w14:solidFill>
              <w14:schemeClr w14:val="tx1"/>
            </w14:solidFill>
          </w14:textFill>
        </w:rPr>
      </w:pPr>
      <w:r>
        <w:rPr>
          <w:rFonts w:ascii="Times New Roman" w:hAnsi="Times New Roman" w:cs="Times New Roman"/>
          <w:b/>
          <w:color w:val="000000" w:themeColor="text1"/>
          <w:sz w:val="32"/>
          <w14:textFill>
            <w14:solidFill>
              <w14:schemeClr w14:val="tx1"/>
            </w14:solidFill>
          </w14:textFill>
        </w:rPr>
        <w:t>SIMONA ELENA BECHEANU</w:t>
      </w:r>
    </w:p>
    <w:p>
      <w:pPr>
        <w:jc w:val="center"/>
        <w:rPr>
          <w:rFonts w:ascii="Times New Roman" w:hAnsi="Times New Roman" w:cs="Times New Roman"/>
          <w:b/>
          <w:color w:val="000000" w:themeColor="text1"/>
          <w:sz w:val="32"/>
          <w14:textFill>
            <w14:solidFill>
              <w14:schemeClr w14:val="tx1"/>
            </w14:solidFill>
          </w14:textFill>
        </w:rPr>
      </w:pPr>
      <w:r>
        <w:rPr>
          <w:rFonts w:ascii="Times New Roman" w:hAnsi="Times New Roman" w:cs="Times New Roman"/>
          <w:b/>
          <w:color w:val="000000" w:themeColor="text1"/>
          <w:sz w:val="32"/>
          <w14:textFill>
            <w14:solidFill>
              <w14:schemeClr w14:val="tx1"/>
            </w14:solidFill>
          </w14:textFill>
        </w:rPr>
        <w:t>STUDENT ID:2019936</w:t>
      </w:r>
    </w:p>
    <w:p>
      <w:pPr>
        <w:jc w:val="center"/>
        <w:rPr>
          <w:rFonts w:ascii="Times New Roman" w:hAnsi="Times New Roman" w:cs="Times New Roman"/>
          <w:b/>
          <w:bCs/>
          <w:color w:val="000000"/>
          <w:sz w:val="32"/>
          <w:szCs w:val="32"/>
          <w:shd w:val="clear" w:color="auto" w:fill="FBFBFB"/>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spacing w:line="360" w:lineRule="auto"/>
        <w:jc w:val="center"/>
        <w:rPr>
          <w:rFonts w:ascii="Arial" w:hAnsi="Arial" w:eastAsia="Times New Roman" w:cs="Arial"/>
          <w:b/>
          <w:bCs/>
          <w:color w:val="000000"/>
          <w:sz w:val="22"/>
          <w:szCs w:val="22"/>
        </w:rPr>
      </w:pPr>
      <w:r>
        <w:rPr>
          <w:rFonts w:ascii="Arial" w:hAnsi="Arial" w:eastAsia="Times New Roman" w:cs="Arial"/>
          <w:b/>
          <w:bCs/>
          <w:color w:val="000000"/>
          <w:sz w:val="22"/>
          <w:szCs w:val="22"/>
        </w:rPr>
        <w:t>Table of Contents</w:t>
      </w:r>
    </w:p>
    <w:p>
      <w:pPr>
        <w:pStyle w:val="3"/>
        <w:rPr>
          <w:rFonts w:eastAsia="Arial"/>
          <w:u w:val="single"/>
        </w:rPr>
      </w:pPr>
      <w:r>
        <w:rPr>
          <w:rFonts w:eastAsia="Arial"/>
          <w:u w:val="single"/>
        </w:rPr>
        <w:t>1.Introduction……………………………………………………………………………3</w:t>
      </w:r>
    </w:p>
    <w:p>
      <w:pPr>
        <w:pStyle w:val="3"/>
        <w:rPr>
          <w:rFonts w:eastAsia="Arial"/>
        </w:rPr>
      </w:pPr>
      <w:r>
        <w:fldChar w:fldCharType="begin"/>
      </w:r>
      <w:r>
        <w:instrText xml:space="preserve"> HYPERLINK \l "_Toc109923744" </w:instrText>
      </w:r>
      <w:r>
        <w:fldChar w:fldCharType="separate"/>
      </w:r>
      <w:r>
        <w:rPr>
          <w:rStyle w:val="10"/>
          <w:rFonts w:ascii="Times New Roman" w:hAnsi="Times New Roman" w:cs="Times New Roman"/>
          <w:color w:val="000000"/>
        </w:rPr>
        <w:t>2. Critical evaluation of Crossrail project</w:t>
      </w:r>
      <w:r>
        <w:rPr>
          <w:rStyle w:val="6"/>
          <w:rFonts w:eastAsia="Arial"/>
          <w:color w:val="000000"/>
        </w:rPr>
        <w:tab/>
      </w:r>
      <w:r>
        <w:rPr>
          <w:rStyle w:val="6"/>
          <w:rFonts w:eastAsia="Arial"/>
          <w:color w:val="000000"/>
        </w:rPr>
        <w:t>…………………………………………..3</w:t>
      </w:r>
      <w:r>
        <w:rPr>
          <w:rStyle w:val="6"/>
          <w:rFonts w:eastAsia="Arial"/>
          <w:color w:val="000000"/>
        </w:rPr>
        <w:fldChar w:fldCharType="end"/>
      </w:r>
    </w:p>
    <w:p>
      <w:pPr>
        <w:pStyle w:val="3"/>
        <w:rPr>
          <w:rFonts w:eastAsia="Arial"/>
        </w:rPr>
      </w:pPr>
      <w:r>
        <w:fldChar w:fldCharType="begin"/>
      </w:r>
      <w:r>
        <w:instrText xml:space="preserve"> HYPERLINK \l "_Toc109923745" </w:instrText>
      </w:r>
      <w:r>
        <w:fldChar w:fldCharType="separate"/>
      </w:r>
      <w:r>
        <w:rPr>
          <w:rStyle w:val="10"/>
          <w:rFonts w:ascii="Times New Roman" w:hAnsi="Times New Roman" w:cs="Times New Roman"/>
          <w:color w:val="000000"/>
        </w:rPr>
        <w:t xml:space="preserve">3. Conclusion and recommendations </w:t>
      </w:r>
      <w:r>
        <w:rPr>
          <w:rStyle w:val="6"/>
          <w:rFonts w:eastAsia="Arial"/>
          <w:color w:val="000000"/>
        </w:rPr>
        <w:tab/>
      </w:r>
      <w:r>
        <w:rPr>
          <w:rStyle w:val="6"/>
          <w:rFonts w:eastAsia="Arial"/>
          <w:color w:val="000000"/>
        </w:rPr>
        <w:t>…………………………………………………..7</w:t>
      </w:r>
      <w:r>
        <w:rPr>
          <w:rStyle w:val="6"/>
          <w:rFonts w:eastAsia="Arial"/>
          <w:color w:val="000000"/>
        </w:rPr>
        <w:fldChar w:fldCharType="end"/>
      </w:r>
    </w:p>
    <w:p>
      <w:pPr>
        <w:rPr>
          <w:rFonts w:ascii="Times New Roman" w:hAnsi="Times New Roman" w:eastAsia="Times New Roman" w:cs="Times New Roman"/>
        </w:rPr>
      </w:pPr>
      <w:r>
        <w:fldChar w:fldCharType="begin"/>
      </w:r>
      <w:r>
        <w:instrText xml:space="preserve"> HYPERLINK \l "_Toc109923746" </w:instrText>
      </w:r>
      <w:r>
        <w:fldChar w:fldCharType="separate"/>
      </w:r>
      <w:r>
        <w:rPr>
          <w:rStyle w:val="10"/>
          <w:rFonts w:ascii="Times New Roman" w:hAnsi="Times New Roman" w:cs="Times New Roman"/>
          <w:color w:val="000000"/>
          <w:shd w:val="clear" w:color="auto" w:fill="FBFBFB"/>
        </w:rPr>
        <w:t>Reference</w:t>
      </w:r>
      <w:r>
        <w:rPr>
          <w:rStyle w:val="6"/>
          <w:rFonts w:ascii="Times New Roman" w:hAnsi="Times New Roman" w:eastAsia="Arial" w:cs="Times New Roman"/>
          <w:color w:val="000000"/>
        </w:rPr>
        <w:tab/>
      </w:r>
      <w:r>
        <w:rPr>
          <w:rStyle w:val="6"/>
          <w:rFonts w:ascii="Times New Roman" w:hAnsi="Times New Roman" w:eastAsia="Arial" w:cs="Times New Roman"/>
          <w:color w:val="000000"/>
        </w:rPr>
        <w:t>…………………………………………………………………………..8</w:t>
      </w:r>
      <w:r>
        <w:rPr>
          <w:rStyle w:val="6"/>
          <w:rFonts w:ascii="Times New Roman" w:hAnsi="Times New Roman" w:eastAsia="Arial" w:cs="Times New Roman"/>
          <w:color w:val="000000"/>
        </w:rPr>
        <w:fldChar w:fldCharType="end"/>
      </w:r>
    </w:p>
    <w:p>
      <w:pPr>
        <w:spacing w:line="360" w:lineRule="auto"/>
        <w:rPr>
          <w:rFonts w:ascii="Times New Roman" w:hAnsi="Times New Roman" w:cs="Times New Roman"/>
          <w:b/>
          <w:bCs/>
          <w:color w:val="000000"/>
          <w:shd w:val="clear" w:color="auto" w:fill="FBFBFB"/>
        </w:rPr>
      </w:pPr>
      <w:r>
        <w:rPr>
          <w:rFonts w:ascii="Times New Roman" w:hAnsi="Times New Roman" w:cs="Times New Roman"/>
          <w:b/>
          <w:bCs/>
          <w:color w:val="000000"/>
          <w:shd w:val="clear" w:color="auto" w:fill="FBFBFB"/>
        </w:rPr>
        <w:br w:type="page"/>
      </w:r>
      <w:r>
        <w:rPr>
          <w:rFonts w:ascii="Times New Roman" w:hAnsi="Times New Roman" w:cs="Times New Roman"/>
        </w:rPr>
        <w:t xml:space="preserve">1. </w:t>
      </w:r>
      <w:r>
        <w:rPr>
          <w:rFonts w:ascii="Times New Roman" w:hAnsi="Times New Roman" w:cs="Times New Roman"/>
          <w:b/>
          <w:bCs/>
        </w:rPr>
        <w:t>Introduction</w:t>
      </w:r>
    </w:p>
    <w:p>
      <w:pPr>
        <w:rPr>
          <w:rFonts w:ascii="Times New Roman" w:hAnsi="Times New Roman" w:cs="Times New Roman"/>
        </w:rPr>
      </w:pPr>
      <w:r>
        <w:rPr>
          <w:rFonts w:ascii="Times New Roman" w:hAnsi="Times New Roman" w:cs="Times New Roman"/>
        </w:rPr>
        <w:t>The two main components of managing any project are project development and management. It is the strategic management, planning, and control of a project across the course of its developmental cycle. The process of project management planning will start at the beginning and end at the end. Project management involves five main stages: project initiation, planning, execution, monitoring, and closure. Based on the project management framework, many Crossrail project settings will be discussed in this article. This essay will also highlight other factors that help to explain the project's delays and cost overruns. The largest transportation project under development in the UK is called Crossrail (Sweet, 2019). This project attempts to revitalise and quicken commercial offices and retail space. These initiatives will improve the nation's economy significantly.</w:t>
      </w:r>
    </w:p>
    <w:p>
      <w:pPr>
        <w:rPr>
          <w:rFonts w:ascii="Times New Roman" w:hAnsi="Times New Roman" w:cs="Times New Roman"/>
        </w:rPr>
      </w:pPr>
      <w:r>
        <w:rPr>
          <w:rFonts w:ascii="Times New Roman" w:hAnsi="Times New Roman" w:cs="Times New Roman"/>
        </w:rPr>
        <w:t>These initiatives will deal with many sources, such as new project methodologies. Due of its connection to Crossrail, it has been identified with Bentley Systems. The technology related with Building Information Modeling (BIM) and Common Data Environment (CDE) is utilised to build the idea of railroad projects (Medeossi and Nash, 2020). It has been noticed that a comprehensive strategy is used to ensure its sustainability. Additionally, this article has made an argument for the cross rail project's economic performance. Many areas, such as the location of the risks and programmes, have been identified where the government has fallen short in providing justification. Numerous important warnings are overlooked or disregarded. It is well known that the projects often have problems. Cost inflation and project financing</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2. </w:t>
      </w:r>
      <w:r>
        <w:rPr>
          <w:rFonts w:ascii="Times New Roman" w:hAnsi="Times New Roman" w:cs="Times New Roman"/>
          <w:b/>
          <w:bCs/>
        </w:rPr>
        <w:t>Critical evaluation of Crossrail project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Elizabeth line, often known as the Crossrail Project, is the largest major building project in London. It has been identified as the intricate project that would connect Heathrow Airport with Reading at the western end before continuing on to Abbey Wood in South East London and Shenfield in Essex. The planned length of the railway, including stops at 41 stations, is about 73 miles. When it starts operating, it will be regarded as a component of Transport for London. With original investment of $15.6 billion, work began in 2008, and completion was projected for 2019 (Medeossi and Nash, 2020). But work is still being done on the project. Through a variety of strategies, including reducing congestion on trains and in the current subterranean system, increasing rail capacity by 10%, and reducing travel times between various locations in London, Crossrail will provide lasting results. More than 200 million people per year are expected to use Crossrail, according to its plans. Eight additional underground stations will be linked by twin-bore tunnels that are 21 kilometres long. The significance of this cross-rail on tying together commercial, industrial, and transportation centres is enormous.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project was originally sanctioned for £15.9 billion. Various organisations have contributed to the project's finances (Crossrail.co.uk, 2022). Crossrail is an actual government financed project, but it is managed and operated by a publicly traded, privately controlled enterprise. The most important part of the Crossrail project has been designing and planning; as a result, 23 framework design contracts have been issued. Additionally, 80 contracts for construction and logistics have been issued. The six delivery roles of health and safety, commerce, quality, the environment, social sustainability, and community connections will all benefit from the work structure. Digital innovation has been used to the project. The project's digital version makes it easier to explore the railway's important operational activities as well as its design and construction phases. Setting up cooperation between 34 enabled work contracts, 23 design contracts, and 56 logistics and construction contracts has been the railway organization's first major hurdle (Crossrail.co.uk, 2022). However, the management made an effort to support the job by using technology innovation to enable easy information sharing for developing innovative information deliverables.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Crossrail intends to be identified with a sustainable method of growth. Together with the department of transportation, Transport of London created sustainable objectives to be met at project's conclusion. The development of social, environmental, and economic sustainability will benefit from this initiative. The best possible economic sustainability will be attained by this Crossrail project amassing a net value of £42 billion during its 60-year operating lifespan (Gsd.harvard.edu, 2022). As traffic will be less congested, locations will be more accessible, and travel times will be shorter, competitiveness factors will rise. This building project started out by successfully creating over 55000 job possibilities and lowering the unemployment rate. It will add around £10.6 billion to the value of real estate. It was intended that all the excavated materials would be utilised again for creating wetlands, industrial sites, and recreational facilities in consideration of environmental sustainability. Due to the installation of emission controls on every instrument, the construction's pollution was reduced by 83 percent. Additional relevant criteria that were initially defined for the project were effectively satisfied. 18.6% of carbon emissions have been achieved (Parliament.uk, 2022). LED lighting has been installed throughout along the construction tunnel to help save electricity.</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It has been recognised that a number of issues have contributed to the project delivery delay, nevertheless. The project was supposed to be finished by 2019, however it has now been postponed until 2021. On May 21, the authorised organisation began its operational trial run. Concerning points have been brought up about the slippage of cost and schedule, the opening of the track, and obtaining value for money. On the other hand, it was decided to revise the budget and timeline in April 2019 since the project was not feasible. This delay is occurring for a number of reasons. The management process had to start again after hiring a new magnet team. Continuously emerging issues force management to revise its strategy while maintaining an optimistic level of production. Following the announcement of the official shutdown beginning in March 2020, Crossrail Ltd. has halted development for nine weeks. Lockdown and the Covid 19 epidemic have a direct 15 percent influence on the expected cost (Parliament.uk, 2022). In addition, following the lockdown, severe regulations on social distance have caused further work delays. Blockades, which are used continuously and are part of strategic working strategies, have been put into place.</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Additionally, it required a very long time to work on the safety of various assets. Over 500,000 digital and physical assets were incorporated into the railway's whole track. These resources provide metals for security and fire safety alarm detection. The hiring of crucial new hires is another factor that caused the Crossrail project to be delayed. The authorised authority had severe difficulties putting the line into operation after changes in costs and timing. After operation and maintenance have been successfully completed, many organisations are involved in launching passenger services. However, adjustments to the working schedule have been made as a consequence of changes in responsibility within the authorised organisation. After trial running and trial operation, continuing work creates a new risk for schedule and operational expenditures. The expense of the programme has beyond the organization's financial capacity. Crossrail Ltd. said that an increase in expenses is anticipated to range from £800 million to £1.1 billion in august 2020. (Nao.org.uk, 2022). Contractors are still identifying various jobs and operations that must be carried out, which raises the anticipated expenses.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Elizabeth line is connected to important sustainability considerations, nevertheless, as was noted in the earlier section of this article. However, certain issues, including their viability, have come up. The Elizabeth line was created to link several locations and enhance connection. Planning has thus been done in accordance with the demand for the years 2011 and 2015. In 2015–16, there have been modifications to the passenger travel history. Additionally, the pattern of travel altered both during and after Covid. As a result, a sound financial planning strategy has some effects. The need for rail will decline by 18% by 2031, according to more sophisticated data from statistical analysis. Accordingly, it is also predicted that the UK government would experience a major loss in the economy if their growth rate stays low.</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main component of the project management lifecycle is the evaluation of risks and their reduction. There has been a hole in the risk assessment processes, as shown by many mishaps that happened during the building of Crossrail. A fire at the electrical substation was reported in November 2019. These explosions have been linked to a series of malfunctions, including a delay in the power supply to the core tunnels. It may have caused delays in the thorough testing of several systems. This tragedy has interfered with a three-month work schedule that was planned in advance. However, it was noted that the explosion was not the main cause of the projects' delays (Bensalah et al. 2019). When a new head was hired in November 2018, it became apparent that the working team did not have a firm grasp of what was being done. After then, it was noted as being at risk due to the task's poor assessment, identification, mitigation, or reporting. As a consequence, it has led to similar events. In order to complete the project by a certain deadline, the team of project representatives has not been effective in processing delivery tasks that must be completed immediately.</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According to Crossrail, there have been no programmatic failures found. It has been emphasised, nonetheless, that the organisation did not comprehend the scope and complexity of the project. It is additionally highlighted that in 2016, evidence of the construction of stations deviated from its original plan and was further rescheduled, causing a delay. The optimism bias of focusing on what would be accomplished first and preventing future delays in the project's completion was caused by peer pressure of missing the deadline of the project as well as problems that were often generated in the programme method (Bensalah et al. 2019). Assessments of risk are rarely given much weight. The Department has also acknowledged the necessity for a more rigorous evaluation of the commissioning of the issues with managing the demands of complex programmes.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person accountable for each activity should be indicated when relaying the project's essential information, such as the monitoring procedure and operational testing (Gsd.harvard.edu, 2022). Transport for London should implement a benefits realisation plan that emphasises elements including the line's anticipated benefits, the chosen construction method, tracking benefits over time, and defined governance structures. Projects like Crossrail are linked to several cutting-edge strategies that have evolved throughout time. It has been reported earlier that megaprojects refrain from using creative methods to save costs and minimise hazards.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project's cumulative risk has not been recognised by Crossrail Ltd. Therefore, it is strongly advised that the committee communicate in order to ensure that the essential openness in the internal process is followed. Respectful dialogue with the committee should have ensured that the programme teams and project timetables were revised and reconsidered. It is not anticipated of Crossrail or the government that they have not disclosed the project's true status and have not found the main source of the delay. Potential cost increases of up to £3 billion may have occurred due to inadequate consideration for the value of public funds (Rahimzadeh, 2018). It is important to appreciate this circumstance and take significant action. Additional project delays resulted from the assignment being rescheduled, although these were unrelated to any meetings with the relevant committee.</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According to the report mentioned above, there was a significant gap in the management of this megaproject. The five managerial roles identified by Henry Fayol may be discussed in this situation. The project's planning, organising, command, coordination, and control are key components. Making a metastructure for the project is part of planning. Organizing entails gathering the resources needed to finish a task. In keeping with the Elizabeth line, it has been noted that it has been unable to fill critical positions in a timely manner, leading to skill shortages. The command will determine how to have competent workers and obtain the best output from every employee (Galli, 2022). However, according to management, some staff lack the necessary expertise of their jobs. The latter two phases, coordination and control, were missing from the Elizabeth line project, which caused a delay and increased project costs. An essential idea that aids in developing a scientific approach to a job in the construction industry is scientific management theory. In order to take into account the highest possible level of job efficiency, it is advised that this theory be used in the workplace (Müller, 2019). The theory of system management is an additional theory that may be used in this investigation. Mega Projects include a number of tasks that must be completed in unison in order to accomplish certain objectives.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3. </w:t>
      </w:r>
      <w:r>
        <w:rPr>
          <w:rFonts w:ascii="Times New Roman" w:hAnsi="Times New Roman" w:cs="Times New Roman"/>
          <w:b/>
          <w:bCs/>
        </w:rPr>
        <w:t>Conclusion</w:t>
      </w:r>
      <w:r>
        <w:rPr>
          <w:rFonts w:ascii="Times New Roman" w:hAnsi="Times New Roman" w:cs="Times New Roman"/>
        </w:rPr>
        <w:t>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This article has shown that project management is crucial for completing a project on time and with the necessary deliverables. Different variables, including cost overrun and delay, have been analysed in the essay above. Therefore, the project's contribution to sustaining a strong attitude to the project may be strongly stressed in this article. Effective team member communication, risk management, better planning, document sharing and access, resource management enhancements, and process standardisation are a few elements that have undergone careful analysis. Each component is interconnected with the others, and they all worked together to make the project successful. Further, it can be said that proper implementation of all project management components would support the project working criteria's efficient operation. It also makes it easier for project teams to concentrate on their primary tasks rather than adding on excess work. On the basis of the current scenario of delays and cost inflation, it might be suggested that Transport for London find effective personnel and talents that will help to maintain the program's worth. Crossrail ought to manage this project for RfLi so that additional care plans are put forth in successfully finishing the project.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In this article, certain project management weaknesses with regard to the Elizabeth line have been exposed. Projects created by Crossrail have been linked to several sustainability aspects, including economic and environmental sustainability. Sustainability in terms of the economy and the environment has been successfully maintained. The goal lines for the environmental criteria have been fulfilled effectively. Additionally, it has created a lot of job possibilities during the process. Concerning points have been brought up about the slippage of cost and schedule, the opening of the track, and obtaining value for money. Continuously emerging issues force management to revise its strategy while maintaining an optimistic level of production. The hiring of crucial new hires is another factor that caused the Crossrail project to be delayed. The authorised authority had severe difficulties putting the line into operation after changes in costs and timing. The working procedure for ensuring the safety of various assets took much longer. The organisation did not comprehend the size and complexity of the project. This demonstrates how badly Crossrail Ltd. failed to uphold the fundamental rule of project management.</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b/>
          <w:bCs/>
          <w:i/>
          <w:iCs/>
          <w:color w:val="000000" w:themeColor="text1"/>
          <w:kern w:val="36"/>
          <w:shd w:val="clear" w:color="auto" w:fill="FBFBFB"/>
          <w14:textFill>
            <w14:solidFill>
              <w14:schemeClr w14:val="tx1"/>
            </w14:solidFill>
          </w14:textFill>
        </w:rPr>
      </w:pPr>
      <w:r>
        <w:rPr>
          <w:rFonts w:ascii="Times New Roman" w:hAnsi="Times New Roman" w:cs="Times New Roman"/>
          <w:b/>
          <w:bCs/>
          <w:i/>
          <w:iCs/>
          <w:color w:val="000000" w:themeColor="text1"/>
          <w:kern w:val="36"/>
          <w:shd w:val="clear" w:color="auto" w:fill="FBFBFB"/>
          <w14:textFill>
            <w14:solidFill>
              <w14:schemeClr w14:val="tx1"/>
            </w14:solidFill>
          </w14:textFill>
        </w:rPr>
        <w:t>Reference</w:t>
      </w:r>
    </w:p>
    <w:p>
      <w:pPr>
        <w:spacing w:line="360" w:lineRule="auto"/>
        <w:rPr>
          <w:rFonts w:ascii="Times New Roman" w:hAnsi="Times New Roman" w:eastAsia="Arial" w:cs="Times New Roman"/>
          <w:b/>
          <w:bCs/>
          <w:color w:val="000000"/>
        </w:rPr>
      </w:pPr>
      <w:r>
        <w:rPr>
          <w:rFonts w:ascii="Times New Roman" w:hAnsi="Times New Roman" w:eastAsia="Arial" w:cs="Times New Roman"/>
          <w:b/>
          <w:bCs/>
          <w:color w:val="000000"/>
        </w:rPr>
        <w:t>Journals</w:t>
      </w:r>
    </w:p>
    <w:p>
      <w:pPr>
        <w:shd w:val="clear" w:color="auto" w:fill="FFFFFF"/>
        <w:spacing w:line="360" w:lineRule="auto"/>
        <w:jc w:val="both"/>
        <w:rPr>
          <w:rFonts w:ascii="Times New Roman" w:hAnsi="Times New Roman" w:eastAsia="Arial" w:cs="Times New Roman"/>
          <w:color w:val="000000"/>
          <w:shd w:val="clear" w:color="auto" w:fill="FFFFFF"/>
        </w:rPr>
      </w:pPr>
      <w:r>
        <w:rPr>
          <w:rFonts w:ascii="Times New Roman" w:hAnsi="Times New Roman" w:eastAsia="Arial" w:cs="Times New Roman"/>
          <w:color w:val="000000"/>
          <w:shd w:val="clear" w:color="auto" w:fill="FFFFFF"/>
        </w:rPr>
        <w:t xml:space="preserve">Bensalah, M., Elouadi, A. and Mharzi, H., 2019. Overview: the opportunity of BIM in railway. </w:t>
      </w:r>
      <w:r>
        <w:rPr>
          <w:rFonts w:ascii="Times New Roman" w:hAnsi="Times New Roman" w:eastAsia="Arial" w:cs="Times New Roman"/>
          <w:i/>
          <w:iCs/>
          <w:color w:val="000000"/>
          <w:shd w:val="clear" w:color="auto" w:fill="FFFFFF"/>
        </w:rPr>
        <w:t>Smart and Sustainable Built Environment</w:t>
      </w:r>
      <w:r>
        <w:rPr>
          <w:rFonts w:ascii="Times New Roman" w:hAnsi="Times New Roman" w:eastAsia="Arial" w:cs="Times New Roman"/>
          <w:color w:val="000000"/>
          <w:shd w:val="clear" w:color="auto" w:fill="FFFFFF"/>
        </w:rPr>
        <w:t>.</w:t>
      </w:r>
    </w:p>
    <w:p>
      <w:pPr>
        <w:shd w:val="clear" w:color="auto" w:fill="FFFFFF"/>
        <w:spacing w:line="360" w:lineRule="auto"/>
        <w:jc w:val="both"/>
        <w:rPr>
          <w:rFonts w:ascii="Times New Roman" w:hAnsi="Times New Roman" w:eastAsia="Arial" w:cs="Times New Roman"/>
          <w:color w:val="000000"/>
          <w:shd w:val="clear" w:color="auto" w:fill="FFFFFF"/>
        </w:rPr>
      </w:pPr>
      <w:r>
        <w:rPr>
          <w:rFonts w:ascii="Times New Roman" w:hAnsi="Times New Roman" w:eastAsia="Arial" w:cs="Times New Roman"/>
          <w:color w:val="000000"/>
          <w:shd w:val="clear" w:color="auto" w:fill="FFFFFF"/>
        </w:rPr>
        <w:t xml:space="preserve">Galli, B.J., 2022. Effective Motivation Theories and Strategies for Project Management Environments. </w:t>
      </w:r>
      <w:r>
        <w:rPr>
          <w:rFonts w:ascii="Times New Roman" w:hAnsi="Times New Roman" w:eastAsia="Arial" w:cs="Times New Roman"/>
          <w:i/>
          <w:iCs/>
          <w:color w:val="000000"/>
          <w:shd w:val="clear" w:color="auto" w:fill="FFFFFF"/>
        </w:rPr>
        <w:t>International Journal of Applied Logistics (IJAL)</w:t>
      </w:r>
      <w:r>
        <w:rPr>
          <w:rFonts w:ascii="Times New Roman" w:hAnsi="Times New Roman" w:eastAsia="Arial" w:cs="Times New Roman"/>
          <w:color w:val="000000"/>
          <w:shd w:val="clear" w:color="auto" w:fill="FFFFFF"/>
        </w:rPr>
        <w:t xml:space="preserve">, </w:t>
      </w:r>
      <w:r>
        <w:rPr>
          <w:rFonts w:ascii="Times New Roman" w:hAnsi="Times New Roman" w:eastAsia="Arial" w:cs="Times New Roman"/>
          <w:i/>
          <w:iCs/>
          <w:color w:val="000000"/>
          <w:shd w:val="clear" w:color="auto" w:fill="FFFFFF"/>
        </w:rPr>
        <w:t>12</w:t>
      </w:r>
      <w:r>
        <w:rPr>
          <w:rFonts w:ascii="Times New Roman" w:hAnsi="Times New Roman" w:eastAsia="Arial" w:cs="Times New Roman"/>
          <w:color w:val="000000"/>
          <w:shd w:val="clear" w:color="auto" w:fill="FFFFFF"/>
        </w:rPr>
        <w:t>(1), pp.1-18.</w:t>
      </w:r>
    </w:p>
    <w:p>
      <w:pPr>
        <w:shd w:val="clear" w:color="auto" w:fill="FFFFFF"/>
        <w:spacing w:line="360" w:lineRule="auto"/>
        <w:jc w:val="both"/>
        <w:rPr>
          <w:rFonts w:ascii="Times New Roman" w:hAnsi="Times New Roman" w:eastAsia="Arial" w:cs="Times New Roman"/>
          <w:color w:val="000000"/>
          <w:shd w:val="clear" w:color="auto" w:fill="FFFFFF"/>
        </w:rPr>
      </w:pPr>
      <w:r>
        <w:rPr>
          <w:rFonts w:ascii="Times New Roman" w:hAnsi="Times New Roman" w:eastAsia="Arial" w:cs="Times New Roman"/>
          <w:color w:val="000000"/>
          <w:shd w:val="clear" w:color="auto" w:fill="FFFFFF"/>
        </w:rPr>
        <w:t xml:space="preserve">Medeossi, G. and Nash, A., 2020. Reducing Delays on High-Density Railway Lines: London–Shenfield Case Study. </w:t>
      </w:r>
      <w:r>
        <w:rPr>
          <w:rFonts w:ascii="Times New Roman" w:hAnsi="Times New Roman" w:eastAsia="Arial" w:cs="Times New Roman"/>
          <w:i/>
          <w:iCs/>
          <w:color w:val="000000"/>
          <w:shd w:val="clear" w:color="auto" w:fill="FFFFFF"/>
        </w:rPr>
        <w:t>Transportation Research Record</w:t>
      </w:r>
      <w:r>
        <w:rPr>
          <w:rFonts w:ascii="Times New Roman" w:hAnsi="Times New Roman" w:eastAsia="Arial" w:cs="Times New Roman"/>
          <w:color w:val="000000"/>
          <w:shd w:val="clear" w:color="auto" w:fill="FFFFFF"/>
        </w:rPr>
        <w:t xml:space="preserve">, </w:t>
      </w:r>
      <w:r>
        <w:rPr>
          <w:rFonts w:ascii="Times New Roman" w:hAnsi="Times New Roman" w:eastAsia="Arial" w:cs="Times New Roman"/>
          <w:i/>
          <w:iCs/>
          <w:color w:val="000000"/>
          <w:shd w:val="clear" w:color="auto" w:fill="FFFFFF"/>
        </w:rPr>
        <w:t>2674</w:t>
      </w:r>
      <w:r>
        <w:rPr>
          <w:rFonts w:ascii="Times New Roman" w:hAnsi="Times New Roman" w:eastAsia="Arial" w:cs="Times New Roman"/>
          <w:color w:val="000000"/>
          <w:shd w:val="clear" w:color="auto" w:fill="FFFFFF"/>
        </w:rPr>
        <w:t>(7), pp.193-205.</w:t>
      </w:r>
    </w:p>
    <w:p>
      <w:pPr>
        <w:shd w:val="clear" w:color="auto" w:fill="FFFFFF"/>
        <w:spacing w:line="360" w:lineRule="auto"/>
        <w:jc w:val="both"/>
        <w:rPr>
          <w:rFonts w:ascii="Times New Roman" w:hAnsi="Times New Roman" w:eastAsia="Arial" w:cs="Times New Roman"/>
          <w:color w:val="000000"/>
          <w:shd w:val="clear" w:color="auto" w:fill="FFFFFF"/>
        </w:rPr>
      </w:pPr>
      <w:r>
        <w:rPr>
          <w:rFonts w:ascii="Times New Roman" w:hAnsi="Times New Roman" w:eastAsia="Arial" w:cs="Times New Roman"/>
          <w:color w:val="000000"/>
          <w:shd w:val="clear" w:color="auto" w:fill="FFFFFF"/>
        </w:rPr>
        <w:t xml:space="preserve">Müller, R., Drouin, N. and Sankaran, S., 2019. Modeling organizational project management. </w:t>
      </w:r>
      <w:r>
        <w:rPr>
          <w:rFonts w:ascii="Times New Roman" w:hAnsi="Times New Roman" w:eastAsia="Arial" w:cs="Times New Roman"/>
          <w:i/>
          <w:iCs/>
          <w:color w:val="000000"/>
          <w:shd w:val="clear" w:color="auto" w:fill="FFFFFF"/>
        </w:rPr>
        <w:t>Project Management Journal</w:t>
      </w:r>
      <w:r>
        <w:rPr>
          <w:rFonts w:ascii="Times New Roman" w:hAnsi="Times New Roman" w:eastAsia="Arial" w:cs="Times New Roman"/>
          <w:color w:val="000000"/>
          <w:shd w:val="clear" w:color="auto" w:fill="FFFFFF"/>
        </w:rPr>
        <w:t xml:space="preserve">, </w:t>
      </w:r>
      <w:r>
        <w:rPr>
          <w:rFonts w:ascii="Times New Roman" w:hAnsi="Times New Roman" w:eastAsia="Arial" w:cs="Times New Roman"/>
          <w:i/>
          <w:iCs/>
          <w:color w:val="000000"/>
          <w:shd w:val="clear" w:color="auto" w:fill="FFFFFF"/>
        </w:rPr>
        <w:t>50</w:t>
      </w:r>
      <w:r>
        <w:rPr>
          <w:rFonts w:ascii="Times New Roman" w:hAnsi="Times New Roman" w:eastAsia="Arial" w:cs="Times New Roman"/>
          <w:color w:val="000000"/>
          <w:shd w:val="clear" w:color="auto" w:fill="FFFFFF"/>
        </w:rPr>
        <w:t>(4), pp.499-513.</w:t>
      </w:r>
    </w:p>
    <w:p>
      <w:pPr>
        <w:shd w:val="clear" w:color="auto" w:fill="FFFFFF"/>
        <w:spacing w:line="360" w:lineRule="auto"/>
        <w:jc w:val="both"/>
        <w:rPr>
          <w:rFonts w:ascii="Times New Roman" w:hAnsi="Times New Roman" w:eastAsia="Arial" w:cs="Times New Roman"/>
          <w:color w:val="000000"/>
          <w:shd w:val="clear" w:color="auto" w:fill="FFFFFF"/>
        </w:rPr>
      </w:pPr>
      <w:r>
        <w:rPr>
          <w:rFonts w:ascii="Times New Roman" w:hAnsi="Times New Roman" w:eastAsia="Arial" w:cs="Times New Roman"/>
          <w:color w:val="000000"/>
          <w:shd w:val="clear" w:color="auto" w:fill="FFFFFF"/>
        </w:rPr>
        <w:t xml:space="preserve">Rahimzadeh, A., Tang, W., Sher, W. and Davis, P., 2018, January. Management of excavated material in infrastructure construction-a critical review of literature. In </w:t>
      </w:r>
      <w:r>
        <w:rPr>
          <w:rFonts w:ascii="Times New Roman" w:hAnsi="Times New Roman" w:eastAsia="Arial" w:cs="Times New Roman"/>
          <w:i/>
          <w:iCs/>
          <w:color w:val="000000"/>
          <w:shd w:val="clear" w:color="auto" w:fill="FFFFFF"/>
        </w:rPr>
        <w:t>International Conference on Architecture and Civil Engineering, Sydney, Australia</w:t>
      </w:r>
      <w:r>
        <w:rPr>
          <w:rFonts w:ascii="Times New Roman" w:hAnsi="Times New Roman" w:eastAsia="Arial" w:cs="Times New Roman"/>
          <w:color w:val="000000"/>
          <w:shd w:val="clear" w:color="auto" w:fill="FFFFFF"/>
        </w:rPr>
        <w:t>.</w:t>
      </w:r>
    </w:p>
    <w:p>
      <w:pPr>
        <w:shd w:val="clear" w:color="auto" w:fill="FFFFFF"/>
        <w:spacing w:line="360" w:lineRule="auto"/>
        <w:jc w:val="both"/>
        <w:rPr>
          <w:rFonts w:ascii="Times New Roman" w:hAnsi="Times New Roman" w:eastAsia="Arial" w:cs="Times New Roman"/>
          <w:color w:val="000000"/>
          <w:shd w:val="clear" w:color="auto" w:fill="FFFFFF"/>
        </w:rPr>
      </w:pPr>
      <w:r>
        <w:rPr>
          <w:rFonts w:ascii="Times New Roman" w:hAnsi="Times New Roman" w:eastAsia="Arial" w:cs="Times New Roman"/>
          <w:color w:val="000000"/>
          <w:shd w:val="clear" w:color="auto" w:fill="FFFFFF"/>
        </w:rPr>
        <w:t xml:space="preserve">Sweet, R., 2019. Damned if they did: A defence of Crossrail. </w:t>
      </w:r>
      <w:r>
        <w:rPr>
          <w:rFonts w:ascii="Times New Roman" w:hAnsi="Times New Roman" w:eastAsia="Arial" w:cs="Times New Roman"/>
          <w:i/>
          <w:iCs/>
          <w:color w:val="000000"/>
          <w:shd w:val="clear" w:color="auto" w:fill="FFFFFF"/>
        </w:rPr>
        <w:t>Construction Research and Innovation</w:t>
      </w:r>
      <w:r>
        <w:rPr>
          <w:rFonts w:ascii="Times New Roman" w:hAnsi="Times New Roman" w:eastAsia="Arial" w:cs="Times New Roman"/>
          <w:color w:val="000000"/>
          <w:shd w:val="clear" w:color="auto" w:fill="FFFFFF"/>
        </w:rPr>
        <w:t xml:space="preserve">, </w:t>
      </w:r>
      <w:r>
        <w:rPr>
          <w:rFonts w:ascii="Times New Roman" w:hAnsi="Times New Roman" w:eastAsia="Arial" w:cs="Times New Roman"/>
          <w:i/>
          <w:iCs/>
          <w:color w:val="000000"/>
          <w:shd w:val="clear" w:color="auto" w:fill="FFFFFF"/>
        </w:rPr>
        <w:t>10</w:t>
      </w:r>
      <w:r>
        <w:rPr>
          <w:rFonts w:ascii="Times New Roman" w:hAnsi="Times New Roman" w:eastAsia="Arial" w:cs="Times New Roman"/>
          <w:color w:val="000000"/>
          <w:shd w:val="clear" w:color="auto" w:fill="FFFFFF"/>
        </w:rPr>
        <w:t>(2), pp.32-38.</w:t>
      </w:r>
    </w:p>
    <w:p>
      <w:pPr>
        <w:spacing w:line="360" w:lineRule="auto"/>
        <w:rPr>
          <w:rFonts w:ascii="Times New Roman" w:hAnsi="Times New Roman" w:eastAsia="Arial" w:cs="Times New Roman"/>
          <w:b/>
          <w:bCs/>
          <w:color w:val="000000"/>
        </w:rPr>
      </w:pPr>
      <w:r>
        <w:rPr>
          <w:rFonts w:ascii="Times New Roman" w:hAnsi="Times New Roman" w:eastAsia="Arial" w:cs="Times New Roman"/>
          <w:b/>
          <w:bCs/>
          <w:color w:val="000000"/>
        </w:rPr>
        <w:t>Website</w:t>
      </w:r>
    </w:p>
    <w:p>
      <w:pPr>
        <w:shd w:val="clear" w:color="auto" w:fill="FFFFFF"/>
        <w:spacing w:line="360" w:lineRule="auto"/>
        <w:jc w:val="both"/>
        <w:rPr>
          <w:rFonts w:ascii="Times New Roman" w:hAnsi="Times New Roman" w:eastAsia="Times New Roman" w:cs="Times New Roman"/>
          <w:color w:val="000000"/>
        </w:rPr>
      </w:pPr>
      <w:r>
        <w:rPr>
          <w:rFonts w:ascii="Times New Roman" w:hAnsi="Times New Roman" w:cs="Times New Roman"/>
          <w:color w:val="000000"/>
        </w:rPr>
        <w:t xml:space="preserve">Crossrail.co.uk, 2022 </w:t>
      </w:r>
      <w:r>
        <w:rPr>
          <w:rFonts w:ascii="Times New Roman" w:hAnsi="Times New Roman" w:cs="Times New Roman"/>
          <w:i/>
          <w:iCs/>
          <w:color w:val="000000"/>
        </w:rPr>
        <w:t>Crossrail Review</w:t>
      </w:r>
      <w:r>
        <w:rPr>
          <w:rFonts w:ascii="Times New Roman" w:hAnsi="Times New Roman" w:cs="Times New Roman"/>
          <w:color w:val="000000"/>
        </w:rPr>
        <w:t xml:space="preserve"> Available at: https://learninglegacy.crossrail.co.uk [Accessed on 27</w:t>
      </w:r>
      <w:r>
        <w:rPr>
          <w:rFonts w:ascii="Times New Roman" w:hAnsi="Times New Roman" w:cs="Times New Roman"/>
          <w:color w:val="000000"/>
          <w:vertAlign w:val="superscript"/>
        </w:rPr>
        <w:t>th</w:t>
      </w:r>
      <w:r>
        <w:rPr>
          <w:rFonts w:ascii="Times New Roman" w:hAnsi="Times New Roman" w:cs="Times New Roman"/>
          <w:color w:val="000000"/>
        </w:rPr>
        <w:t xml:space="preserve"> July]</w:t>
      </w:r>
    </w:p>
    <w:p>
      <w:pPr>
        <w:shd w:val="clear" w:color="auto" w:fill="FFFFFF"/>
        <w:spacing w:line="360" w:lineRule="auto"/>
        <w:jc w:val="both"/>
        <w:rPr>
          <w:rFonts w:ascii="Times New Roman" w:hAnsi="Times New Roman" w:cs="Times New Roman"/>
          <w:color w:val="000000"/>
        </w:rPr>
      </w:pPr>
      <w:r>
        <w:rPr>
          <w:rFonts w:ascii="Times New Roman" w:hAnsi="Times New Roman" w:cs="Times New Roman"/>
          <w:color w:val="000000"/>
        </w:rPr>
        <w:t xml:space="preserve">Gsd.harvard.edu, 2022 </w:t>
      </w:r>
      <w:r>
        <w:rPr>
          <w:rFonts w:ascii="Times New Roman" w:hAnsi="Times New Roman" w:cs="Times New Roman"/>
          <w:i/>
          <w:iCs/>
          <w:color w:val="000000"/>
        </w:rPr>
        <w:t>Crossrail -Elizabeth Line London, UK</w:t>
      </w:r>
      <w:r>
        <w:rPr>
          <w:rFonts w:ascii="Times New Roman" w:hAnsi="Times New Roman" w:cs="Times New Roman"/>
          <w:color w:val="000000"/>
        </w:rPr>
        <w:t xml:space="preserve">  Available at: https://research.gsd.harvard.edu [Accessed on 27</w:t>
      </w:r>
      <w:r>
        <w:rPr>
          <w:rFonts w:ascii="Times New Roman" w:hAnsi="Times New Roman" w:cs="Times New Roman"/>
          <w:color w:val="000000"/>
          <w:vertAlign w:val="superscript"/>
        </w:rPr>
        <w:t>th</w:t>
      </w:r>
      <w:r>
        <w:rPr>
          <w:rFonts w:ascii="Times New Roman" w:hAnsi="Times New Roman" w:cs="Times New Roman"/>
          <w:color w:val="000000"/>
        </w:rPr>
        <w:t xml:space="preserve"> July]</w:t>
      </w:r>
    </w:p>
    <w:p>
      <w:pPr>
        <w:shd w:val="clear" w:color="auto" w:fill="FFFFFF"/>
        <w:spacing w:line="360" w:lineRule="auto"/>
        <w:jc w:val="both"/>
        <w:rPr>
          <w:rFonts w:ascii="Times New Roman" w:hAnsi="Times New Roman" w:cs="Times New Roman"/>
          <w:color w:val="000000"/>
        </w:rPr>
      </w:pPr>
      <w:r>
        <w:rPr>
          <w:rFonts w:ascii="Times New Roman" w:hAnsi="Times New Roman" w:cs="Times New Roman"/>
          <w:color w:val="000000"/>
        </w:rPr>
        <w:t>Nao.org.uk, 2022</w:t>
      </w:r>
      <w:r>
        <w:rPr>
          <w:rFonts w:ascii="Times New Roman" w:hAnsi="Times New Roman" w:cs="Times New Roman"/>
          <w:i/>
          <w:iCs/>
          <w:color w:val="000000"/>
        </w:rPr>
        <w:t>Crossrail – a progress update (Summary) - National Audit Office</w:t>
      </w:r>
      <w:r>
        <w:rPr>
          <w:rFonts w:ascii="Times New Roman" w:hAnsi="Times New Roman" w:cs="Times New Roman"/>
          <w:color w:val="000000"/>
        </w:rPr>
        <w:t xml:space="preserve"> Available at: https://www.nao.org.uk [Accessed on 27</w:t>
      </w:r>
      <w:r>
        <w:rPr>
          <w:rFonts w:ascii="Times New Roman" w:hAnsi="Times New Roman" w:cs="Times New Roman"/>
          <w:color w:val="000000"/>
          <w:vertAlign w:val="superscript"/>
        </w:rPr>
        <w:t>th</w:t>
      </w:r>
      <w:r>
        <w:rPr>
          <w:rFonts w:ascii="Times New Roman" w:hAnsi="Times New Roman" w:cs="Times New Roman"/>
          <w:color w:val="000000"/>
        </w:rPr>
        <w:t xml:space="preserve"> July]</w:t>
      </w:r>
    </w:p>
    <w:p>
      <w:pPr>
        <w:shd w:val="clear" w:color="auto" w:fill="FFFFFF"/>
        <w:spacing w:line="360" w:lineRule="auto"/>
        <w:jc w:val="both"/>
        <w:rPr>
          <w:rFonts w:ascii="Times New Roman" w:hAnsi="Times New Roman" w:cs="Times New Roman"/>
          <w:color w:val="000000"/>
        </w:rPr>
      </w:pPr>
      <w:r>
        <w:rPr>
          <w:rFonts w:ascii="Times New Roman" w:hAnsi="Times New Roman" w:cs="Times New Roman"/>
          <w:color w:val="000000"/>
        </w:rPr>
        <w:t xml:space="preserve">Parliament.uk, 2022 </w:t>
      </w:r>
      <w:r>
        <w:rPr>
          <w:rFonts w:ascii="Times New Roman" w:hAnsi="Times New Roman" w:cs="Times New Roman"/>
          <w:i/>
          <w:iCs/>
          <w:color w:val="000000"/>
        </w:rPr>
        <w:t>Crossrail: progress review - Parliament (publications</w:t>
      </w:r>
      <w:r>
        <w:rPr>
          <w:rFonts w:ascii="Times New Roman" w:hAnsi="Times New Roman" w:cs="Times New Roman"/>
          <w:color w:val="000000"/>
        </w:rPr>
        <w:t>) Available at: https://publications.parliament.uk[Accessed on 27</w:t>
      </w:r>
      <w:r>
        <w:rPr>
          <w:rFonts w:ascii="Times New Roman" w:hAnsi="Times New Roman" w:cs="Times New Roman"/>
          <w:color w:val="000000"/>
          <w:vertAlign w:val="superscript"/>
        </w:rPr>
        <w:t>th</w:t>
      </w:r>
      <w:r>
        <w:rPr>
          <w:rFonts w:ascii="Times New Roman" w:hAnsi="Times New Roman" w:cs="Times New Roman"/>
          <w:color w:val="000000"/>
        </w:rPr>
        <w:t xml:space="preserve"> July]</w:t>
      </w:r>
    </w:p>
    <w:p>
      <w:pPr>
        <w:rPr>
          <w:rFonts w:ascii="Times New Roman" w:hAnsi="Times New Roman" w:cs="Times New Roman"/>
        </w:rPr>
      </w:pPr>
    </w:p>
    <w:p>
      <w:pPr>
        <w:rPr>
          <w:rFonts w:ascii="Times New Roman" w:hAnsi="Times New Roman" w:cs="Times New Roman"/>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Calibri">
    <w:altName w:val="Helvetica Neue"/>
    <w:panose1 w:val="00000000000000000000"/>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mbria Math">
    <w:altName w:val="Kingsoft Math"/>
    <w:panose1 w:val="02040503050406030204"/>
    <w:charset w:val="00"/>
    <w:family w:val="roman"/>
    <w:pitch w:val="default"/>
    <w:sig w:usb0="00000000" w:usb1="00000000" w:usb2="00000000" w:usb3="00000000" w:csb0="0000019F" w:csb1="00000000"/>
  </w:font>
  <w:font w:name="Kingsoft Math">
    <w:panose1 w:val="02040503050406030204"/>
    <w:charset w:val="00"/>
    <w:family w:val="auto"/>
    <w:pitch w:val="default"/>
    <w:sig w:usb0="80000087" w:usb1="00002068"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4"/>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ECA"/>
    <w:rsid w:val="002A6ECA"/>
    <w:rsid w:val="003031EC"/>
    <w:rsid w:val="003A0DD9"/>
    <w:rsid w:val="005B3846"/>
    <w:rsid w:val="0093593A"/>
    <w:rsid w:val="009F6A8E"/>
    <w:rsid w:val="DFB522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GB" w:eastAsia="en-US" w:bidi="ar-SA"/>
    </w:rPr>
  </w:style>
  <w:style w:type="paragraph" w:styleId="2">
    <w:name w:val="heading 1"/>
    <w:basedOn w:val="1"/>
    <w:next w:val="1"/>
    <w:link w:val="8"/>
    <w:qFormat/>
    <w:uiPriority w:val="99"/>
    <w:pPr>
      <w:keepNext/>
      <w:keepLines/>
      <w:spacing w:before="240"/>
      <w:outlineLvl w:val="0"/>
    </w:pPr>
    <w:rPr>
      <w:rFonts w:asciiTheme="majorHAnsi" w:hAnsiTheme="majorHAnsi" w:eastAsiaTheme="majorEastAsia" w:cstheme="majorBidi"/>
      <w:color w:val="2F5597" w:themeColor="accent1" w:themeShade="BF"/>
      <w:sz w:val="32"/>
      <w:szCs w:val="32"/>
    </w:rPr>
  </w:style>
  <w:style w:type="character" w:default="1" w:styleId="4">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toc 1"/>
    <w:basedOn w:val="1"/>
    <w:next w:val="1"/>
    <w:unhideWhenUsed/>
    <w:qFormat/>
    <w:uiPriority w:val="99"/>
    <w:pPr>
      <w:spacing w:before="100" w:beforeAutospacing="1" w:after="100" w:line="360" w:lineRule="auto"/>
    </w:pPr>
    <w:rPr>
      <w:rFonts w:ascii="Times New Roman" w:hAnsi="Times New Roman" w:eastAsia="Times New Roman" w:cs="Times New Roman"/>
      <w:color w:val="000000" w:themeColor="text1"/>
      <w:shd w:val="clear" w:color="auto" w:fill="FBFBFB"/>
      <w:lang w:eastAsia="en-GB"/>
      <w14:textFill>
        <w14:solidFill>
          <w14:schemeClr w14:val="tx1"/>
        </w14:solidFill>
      </w14:textFill>
    </w:rPr>
  </w:style>
  <w:style w:type="character" w:styleId="5">
    <w:name w:val="FollowedHyperlink"/>
    <w:basedOn w:val="4"/>
    <w:unhideWhenUsed/>
    <w:qFormat/>
    <w:uiPriority w:val="99"/>
    <w:rPr>
      <w:color w:val="954F72" w:themeColor="followedHyperlink"/>
      <w:u w:val="single"/>
      <w14:textFill>
        <w14:solidFill>
          <w14:schemeClr w14:val="folHlink"/>
        </w14:solidFill>
      </w14:textFill>
    </w:rPr>
  </w:style>
  <w:style w:type="character" w:styleId="6">
    <w:name w:val="Hyperlink"/>
    <w:basedOn w:val="4"/>
    <w:unhideWhenUsed/>
    <w:qFormat/>
    <w:uiPriority w:val="99"/>
    <w:rPr>
      <w:color w:val="0000FF"/>
      <w:u w:val="single"/>
    </w:rPr>
  </w:style>
  <w:style w:type="character" w:customStyle="1" w:styleId="8">
    <w:name w:val="Heading 1 Char"/>
    <w:basedOn w:val="4"/>
    <w:link w:val="2"/>
    <w:qFormat/>
    <w:uiPriority w:val="99"/>
    <w:rPr>
      <w:rFonts w:asciiTheme="majorHAnsi" w:hAnsiTheme="majorHAnsi" w:eastAsiaTheme="majorEastAsia" w:cstheme="majorBidi"/>
      <w:color w:val="2F5597" w:themeColor="accent1" w:themeShade="BF"/>
      <w:sz w:val="32"/>
      <w:szCs w:val="32"/>
    </w:rPr>
  </w:style>
  <w:style w:type="paragraph" w:customStyle="1" w:styleId="9">
    <w:name w:val="TOC Heading"/>
    <w:basedOn w:val="2"/>
    <w:next w:val="1"/>
    <w:qFormat/>
    <w:uiPriority w:val="39"/>
    <w:pPr>
      <w:widowControl w:val="0"/>
      <w:spacing w:before="480" w:line="273" w:lineRule="auto"/>
      <w:outlineLvl w:val="9"/>
    </w:pPr>
    <w:rPr>
      <w:rFonts w:ascii="Calibri" w:hAnsi="Calibri" w:eastAsia="SimSun" w:cs="Times New Roman"/>
      <w:b/>
      <w:bCs/>
      <w:color w:val="366091"/>
      <w:sz w:val="28"/>
      <w:szCs w:val="28"/>
      <w:lang w:eastAsia="en-GB"/>
    </w:rPr>
  </w:style>
  <w:style w:type="character" w:customStyle="1" w:styleId="10">
    <w:name w:val="15"/>
    <w:basedOn w:val="4"/>
    <w:qFormat/>
    <w:uiPriority w:val="0"/>
    <w:rPr>
      <w:rFonts w:hint="default" w:ascii="Arial" w:hAnsi="Arial" w:cs="Arial"/>
      <w:color w:val="0000FF"/>
      <w:u w:val="single"/>
    </w:rPr>
  </w:style>
  <w:style w:type="character" w:customStyle="1" w:styleId="11">
    <w:name w:val="Unresolved Mention"/>
    <w:basedOn w:val="4"/>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2752</Words>
  <Characters>15687</Characters>
  <Lines>130</Lines>
  <Paragraphs>36</Paragraphs>
  <TotalTime>0</TotalTime>
  <ScaleCrop>false</ScaleCrop>
  <LinksUpToDate>false</LinksUpToDate>
  <CharactersWithSpaces>18403</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2022-07-30T08:45:00Z</dcterms:created>
  <dc:creator>Alina Craciun</dc:creator>
  <cp:lastModifiedBy>owner</cp:lastModifiedBy>
  <dcterms:modified xsi:type="dcterms:W3CDTF">2022-08-03T13:53:20Z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