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FD422" w14:textId="77777777" w:rsidR="004F1A0C" w:rsidRPr="0057279F" w:rsidRDefault="00EE14D3">
      <w:pPr>
        <w:pStyle w:val="Normal1"/>
        <w:jc w:val="center"/>
        <w:rPr>
          <w:lang w:val="en-GB"/>
        </w:rPr>
      </w:pPr>
      <w:r w:rsidRPr="0057279F">
        <w:rPr>
          <w:noProof/>
        </w:rPr>
        <w:drawing>
          <wp:inline distT="114300" distB="114300" distL="114300" distR="114300" wp14:anchorId="567B0347" wp14:editId="48398D37">
            <wp:extent cx="3862388" cy="21478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62388" cy="2147834"/>
                    </a:xfrm>
                    <a:prstGeom prst="rect">
                      <a:avLst/>
                    </a:prstGeom>
                    <a:ln/>
                  </pic:spPr>
                </pic:pic>
              </a:graphicData>
            </a:graphic>
          </wp:inline>
        </w:drawing>
      </w:r>
    </w:p>
    <w:p w14:paraId="11F9E170" w14:textId="77777777" w:rsidR="004F1A0C" w:rsidRPr="0057279F" w:rsidRDefault="00EE14D3">
      <w:pPr>
        <w:pStyle w:val="Normal1"/>
        <w:jc w:val="center"/>
        <w:rPr>
          <w:b/>
          <w:sz w:val="30"/>
          <w:szCs w:val="30"/>
          <w:lang w:val="en-GB"/>
        </w:rPr>
      </w:pPr>
      <w:r w:rsidRPr="0057279F">
        <w:rPr>
          <w:b/>
          <w:sz w:val="30"/>
          <w:szCs w:val="30"/>
          <w:lang w:val="en-GB"/>
        </w:rPr>
        <w:t>Planning and Delivering an International Meeting/Event</w:t>
      </w:r>
    </w:p>
    <w:p w14:paraId="3A4A4B4C" w14:textId="77777777" w:rsidR="004F1A0C" w:rsidRPr="0057279F" w:rsidRDefault="004F1A0C">
      <w:pPr>
        <w:pStyle w:val="Normal1"/>
        <w:jc w:val="center"/>
        <w:rPr>
          <w:b/>
          <w:sz w:val="30"/>
          <w:szCs w:val="30"/>
          <w:lang w:val="en-GB"/>
        </w:rPr>
      </w:pPr>
    </w:p>
    <w:p w14:paraId="4F3772A2" w14:textId="77777777" w:rsidR="0057279F" w:rsidRPr="0057279F" w:rsidRDefault="00EE14D3">
      <w:pPr>
        <w:pStyle w:val="Normal1"/>
        <w:jc w:val="center"/>
        <w:rPr>
          <w:b/>
          <w:sz w:val="30"/>
          <w:szCs w:val="30"/>
          <w:lang w:val="en-GB"/>
        </w:rPr>
      </w:pPr>
      <w:r w:rsidRPr="0057279F">
        <w:rPr>
          <w:b/>
          <w:sz w:val="30"/>
          <w:szCs w:val="30"/>
          <w:lang w:val="en-GB"/>
        </w:rPr>
        <w:t xml:space="preserve">International Meetings Management </w:t>
      </w:r>
    </w:p>
    <w:p w14:paraId="1D358A65" w14:textId="77777777" w:rsidR="004F1A0C" w:rsidRPr="0057279F" w:rsidRDefault="00EE14D3">
      <w:pPr>
        <w:pStyle w:val="Normal1"/>
        <w:jc w:val="center"/>
        <w:rPr>
          <w:b/>
          <w:sz w:val="30"/>
          <w:szCs w:val="30"/>
          <w:lang w:val="en-GB"/>
        </w:rPr>
      </w:pPr>
      <w:r w:rsidRPr="0057279F">
        <w:rPr>
          <w:b/>
          <w:sz w:val="30"/>
          <w:szCs w:val="30"/>
          <w:lang w:val="en-GB"/>
        </w:rPr>
        <w:t>BMIH6007</w:t>
      </w:r>
    </w:p>
    <w:p w14:paraId="2A0AFA7E" w14:textId="77777777" w:rsidR="004F1A0C" w:rsidRPr="0057279F" w:rsidRDefault="004F1A0C">
      <w:pPr>
        <w:pStyle w:val="Normal1"/>
        <w:jc w:val="center"/>
        <w:rPr>
          <w:lang w:val="en-GB"/>
        </w:rPr>
      </w:pPr>
    </w:p>
    <w:p w14:paraId="0238774A" w14:textId="0EC4DD2A" w:rsidR="004F1A0C" w:rsidRPr="0057279F" w:rsidRDefault="00EE14D3">
      <w:pPr>
        <w:pStyle w:val="Normal1"/>
        <w:jc w:val="center"/>
        <w:rPr>
          <w:b/>
          <w:i/>
          <w:sz w:val="26"/>
          <w:szCs w:val="26"/>
          <w:lang w:val="en-GB"/>
        </w:rPr>
      </w:pPr>
      <w:r w:rsidRPr="0057279F">
        <w:rPr>
          <w:b/>
          <w:i/>
          <w:sz w:val="26"/>
          <w:szCs w:val="26"/>
          <w:lang w:val="en-GB"/>
        </w:rPr>
        <w:t>Lecturer’s Name:</w:t>
      </w:r>
      <w:r w:rsidR="00E15C79">
        <w:rPr>
          <w:b/>
          <w:i/>
          <w:sz w:val="26"/>
          <w:szCs w:val="26"/>
          <w:lang w:val="en-GB"/>
        </w:rPr>
        <w:t xml:space="preserve"> Kathryn Flynn</w:t>
      </w:r>
    </w:p>
    <w:p w14:paraId="4B44F83F" w14:textId="47946BD8" w:rsidR="004F1A0C" w:rsidRPr="0057279F" w:rsidRDefault="00EE14D3">
      <w:pPr>
        <w:pStyle w:val="Normal1"/>
        <w:jc w:val="center"/>
        <w:rPr>
          <w:b/>
          <w:i/>
          <w:sz w:val="26"/>
          <w:szCs w:val="26"/>
          <w:lang w:val="en-GB"/>
        </w:rPr>
      </w:pPr>
      <w:r w:rsidRPr="0057279F">
        <w:rPr>
          <w:b/>
          <w:i/>
          <w:sz w:val="26"/>
          <w:szCs w:val="26"/>
          <w:lang w:val="en-GB"/>
        </w:rPr>
        <w:t xml:space="preserve">Student Name: </w:t>
      </w:r>
      <w:r w:rsidR="00E15C79">
        <w:rPr>
          <w:b/>
          <w:i/>
          <w:sz w:val="26"/>
          <w:szCs w:val="26"/>
          <w:lang w:val="en-GB"/>
        </w:rPr>
        <w:t xml:space="preserve"> Daniel Ranga</w:t>
      </w:r>
    </w:p>
    <w:p w14:paraId="2FF462BB" w14:textId="73D6FE1C" w:rsidR="004F1A0C" w:rsidRPr="0057279F" w:rsidRDefault="00EE14D3">
      <w:pPr>
        <w:pStyle w:val="Normal1"/>
        <w:jc w:val="center"/>
        <w:rPr>
          <w:b/>
          <w:i/>
          <w:sz w:val="26"/>
          <w:szCs w:val="26"/>
          <w:lang w:val="en-GB"/>
        </w:rPr>
      </w:pPr>
      <w:r w:rsidRPr="0057279F">
        <w:rPr>
          <w:b/>
          <w:i/>
          <w:sz w:val="26"/>
          <w:szCs w:val="26"/>
          <w:lang w:val="en-GB"/>
        </w:rPr>
        <w:t xml:space="preserve">Student Number: </w:t>
      </w:r>
      <w:r w:rsidR="00E15C79">
        <w:rPr>
          <w:b/>
          <w:i/>
          <w:sz w:val="26"/>
          <w:szCs w:val="26"/>
          <w:lang w:val="en-GB"/>
        </w:rPr>
        <w:t xml:space="preserve"> 2118951</w:t>
      </w:r>
    </w:p>
    <w:p w14:paraId="4D7C623F" w14:textId="77777777" w:rsidR="004F1A0C" w:rsidRPr="0057279F" w:rsidRDefault="00EE14D3">
      <w:pPr>
        <w:pStyle w:val="Normal1"/>
        <w:rPr>
          <w:lang w:val="en-GB"/>
        </w:rPr>
      </w:pPr>
      <w:r w:rsidRPr="0057279F">
        <w:rPr>
          <w:lang w:val="en-GB"/>
        </w:rPr>
        <w:br w:type="page"/>
      </w:r>
    </w:p>
    <w:p w14:paraId="37D1DB36" w14:textId="77777777" w:rsidR="004F1A0C" w:rsidRPr="0057279F" w:rsidRDefault="00EE14D3">
      <w:pPr>
        <w:pStyle w:val="Normal1"/>
        <w:jc w:val="center"/>
        <w:rPr>
          <w:b/>
          <w:lang w:val="en-GB"/>
        </w:rPr>
      </w:pPr>
      <w:r w:rsidRPr="0057279F">
        <w:rPr>
          <w:b/>
          <w:lang w:val="en-GB"/>
        </w:rPr>
        <w:lastRenderedPageBreak/>
        <w:t>Abstract</w:t>
      </w:r>
    </w:p>
    <w:p w14:paraId="08D375AC" w14:textId="77777777" w:rsidR="004F1A0C" w:rsidRPr="0057279F" w:rsidRDefault="00EE14D3">
      <w:pPr>
        <w:pStyle w:val="Normal1"/>
        <w:rPr>
          <w:lang w:val="en-GB"/>
        </w:rPr>
      </w:pPr>
      <w:r w:rsidRPr="0057279F">
        <w:rPr>
          <w:lang w:val="en-GB"/>
        </w:rPr>
        <w:t xml:space="preserve">The current assignment is a report that is designed to explain the event theme of sustainability meeting the criteria of the earlier assignment as well. The perspectives related to event management in the hospitality and tourism industry would be articulated with supportive evidence from the experience of Hilton Hotels. The certification and acknowledgement of the organisation for being a pioneer in sustainability leadership would be analysed as the core evidence to support the strategic planning for the conference to be hosted by the hotel. Moreover, this report will follow the delivery considerations of the event to measure the opportunities of conferences on sustainability topics with better future perspectives. </w:t>
      </w:r>
    </w:p>
    <w:p w14:paraId="3355ECCD" w14:textId="77777777" w:rsidR="004F1A0C" w:rsidRPr="0057279F" w:rsidRDefault="00EE14D3">
      <w:pPr>
        <w:pStyle w:val="Heading1"/>
        <w:rPr>
          <w:lang w:val="en-GB"/>
        </w:rPr>
      </w:pPr>
      <w:bookmarkStart w:id="0" w:name="_g8vngb3dtp8z" w:colFirst="0" w:colLast="0"/>
      <w:bookmarkEnd w:id="0"/>
      <w:r w:rsidRPr="0057279F">
        <w:rPr>
          <w:lang w:val="en-GB"/>
        </w:rPr>
        <w:br w:type="page"/>
      </w:r>
    </w:p>
    <w:bookmarkStart w:id="1" w:name="_pjkaa33eaxnz"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rPr>
        <w:id w:val="273723001"/>
        <w:docPartObj>
          <w:docPartGallery w:val="Table of Contents"/>
          <w:docPartUnique/>
        </w:docPartObj>
      </w:sdtPr>
      <w:sdtContent>
        <w:p w14:paraId="026A397C" w14:textId="77777777" w:rsidR="00EE14D3" w:rsidRDefault="00EE14D3" w:rsidP="00EE14D3">
          <w:pPr>
            <w:pStyle w:val="TOCHeading"/>
            <w:jc w:val="center"/>
          </w:pPr>
          <w:r w:rsidRPr="00EE14D3">
            <w:rPr>
              <w:rFonts w:ascii="Times New Roman" w:hAnsi="Times New Roman" w:cs="Times New Roman"/>
              <w:color w:val="auto"/>
            </w:rPr>
            <w:t>Table of Contents</w:t>
          </w:r>
        </w:p>
        <w:p w14:paraId="402C08B0" w14:textId="77777777" w:rsidR="00EE14D3" w:rsidRDefault="00A96A9D">
          <w:pPr>
            <w:pStyle w:val="TOC1"/>
            <w:tabs>
              <w:tab w:val="right" w:leader="dot" w:pos="9350"/>
            </w:tabs>
            <w:rPr>
              <w:rFonts w:asciiTheme="minorHAnsi" w:eastAsiaTheme="minorEastAsia" w:hAnsiTheme="minorHAnsi" w:cstheme="minorBidi"/>
              <w:noProof/>
              <w:sz w:val="22"/>
              <w:szCs w:val="22"/>
              <w:lang w:val="en-US"/>
            </w:rPr>
          </w:pPr>
          <w:r>
            <w:fldChar w:fldCharType="begin"/>
          </w:r>
          <w:r w:rsidR="00EE14D3">
            <w:instrText xml:space="preserve"> TOC \o "1-3" \h \z \u </w:instrText>
          </w:r>
          <w:r>
            <w:fldChar w:fldCharType="separate"/>
          </w:r>
          <w:hyperlink w:anchor="_Toc157279059" w:history="1">
            <w:r w:rsidR="00EE14D3" w:rsidRPr="00F500CE">
              <w:rPr>
                <w:rStyle w:val="Hyperlink"/>
                <w:noProof/>
              </w:rPr>
              <w:t>Introduction</w:t>
            </w:r>
            <w:r w:rsidR="00EE14D3">
              <w:rPr>
                <w:noProof/>
                <w:webHidden/>
              </w:rPr>
              <w:tab/>
            </w:r>
            <w:r>
              <w:rPr>
                <w:noProof/>
                <w:webHidden/>
              </w:rPr>
              <w:fldChar w:fldCharType="begin"/>
            </w:r>
            <w:r w:rsidR="00EE14D3">
              <w:rPr>
                <w:noProof/>
                <w:webHidden/>
              </w:rPr>
              <w:instrText xml:space="preserve"> PAGEREF _Toc157279059 \h </w:instrText>
            </w:r>
            <w:r>
              <w:rPr>
                <w:noProof/>
                <w:webHidden/>
              </w:rPr>
            </w:r>
            <w:r>
              <w:rPr>
                <w:noProof/>
                <w:webHidden/>
              </w:rPr>
              <w:fldChar w:fldCharType="separate"/>
            </w:r>
            <w:r w:rsidR="00EE14D3">
              <w:rPr>
                <w:noProof/>
                <w:webHidden/>
              </w:rPr>
              <w:t>3</w:t>
            </w:r>
            <w:r>
              <w:rPr>
                <w:noProof/>
                <w:webHidden/>
              </w:rPr>
              <w:fldChar w:fldCharType="end"/>
            </w:r>
          </w:hyperlink>
        </w:p>
        <w:p w14:paraId="74561C15"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0" w:history="1">
            <w:r w:rsidR="00EE14D3" w:rsidRPr="00F500CE">
              <w:rPr>
                <w:rStyle w:val="Hyperlink"/>
                <w:noProof/>
              </w:rPr>
              <w:t>The Event Cycle</w:t>
            </w:r>
            <w:r w:rsidR="00EE14D3">
              <w:rPr>
                <w:noProof/>
                <w:webHidden/>
              </w:rPr>
              <w:tab/>
            </w:r>
            <w:r w:rsidR="00A96A9D">
              <w:rPr>
                <w:noProof/>
                <w:webHidden/>
              </w:rPr>
              <w:fldChar w:fldCharType="begin"/>
            </w:r>
            <w:r w:rsidR="00EE14D3">
              <w:rPr>
                <w:noProof/>
                <w:webHidden/>
              </w:rPr>
              <w:instrText xml:space="preserve"> PAGEREF _Toc157279060 \h </w:instrText>
            </w:r>
            <w:r w:rsidR="00A96A9D">
              <w:rPr>
                <w:noProof/>
                <w:webHidden/>
              </w:rPr>
            </w:r>
            <w:r w:rsidR="00A96A9D">
              <w:rPr>
                <w:noProof/>
                <w:webHidden/>
              </w:rPr>
              <w:fldChar w:fldCharType="separate"/>
            </w:r>
            <w:r w:rsidR="00EE14D3">
              <w:rPr>
                <w:noProof/>
                <w:webHidden/>
              </w:rPr>
              <w:t>3</w:t>
            </w:r>
            <w:r w:rsidR="00A96A9D">
              <w:rPr>
                <w:noProof/>
                <w:webHidden/>
              </w:rPr>
              <w:fldChar w:fldCharType="end"/>
            </w:r>
          </w:hyperlink>
        </w:p>
        <w:p w14:paraId="268041CC"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1" w:history="1">
            <w:r w:rsidR="00EE14D3" w:rsidRPr="00F500CE">
              <w:rPr>
                <w:rStyle w:val="Hyperlink"/>
                <w:noProof/>
              </w:rPr>
              <w:t>Event Concept</w:t>
            </w:r>
            <w:r w:rsidR="00EE14D3">
              <w:rPr>
                <w:noProof/>
                <w:webHidden/>
              </w:rPr>
              <w:tab/>
            </w:r>
            <w:r w:rsidR="00A96A9D">
              <w:rPr>
                <w:noProof/>
                <w:webHidden/>
              </w:rPr>
              <w:fldChar w:fldCharType="begin"/>
            </w:r>
            <w:r w:rsidR="00EE14D3">
              <w:rPr>
                <w:noProof/>
                <w:webHidden/>
              </w:rPr>
              <w:instrText xml:space="preserve"> PAGEREF _Toc157279061 \h </w:instrText>
            </w:r>
            <w:r w:rsidR="00A96A9D">
              <w:rPr>
                <w:noProof/>
                <w:webHidden/>
              </w:rPr>
            </w:r>
            <w:r w:rsidR="00A96A9D">
              <w:rPr>
                <w:noProof/>
                <w:webHidden/>
              </w:rPr>
              <w:fldChar w:fldCharType="separate"/>
            </w:r>
            <w:r w:rsidR="00EE14D3">
              <w:rPr>
                <w:noProof/>
                <w:webHidden/>
              </w:rPr>
              <w:t>6</w:t>
            </w:r>
            <w:r w:rsidR="00A96A9D">
              <w:rPr>
                <w:noProof/>
                <w:webHidden/>
              </w:rPr>
              <w:fldChar w:fldCharType="end"/>
            </w:r>
          </w:hyperlink>
        </w:p>
        <w:p w14:paraId="216905CE"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2" w:history="1">
            <w:r w:rsidR="00EE14D3" w:rsidRPr="00F500CE">
              <w:rPr>
                <w:rStyle w:val="Hyperlink"/>
                <w:noProof/>
              </w:rPr>
              <w:t>Aim and Objectives of the Event</w:t>
            </w:r>
            <w:r w:rsidR="00EE14D3">
              <w:rPr>
                <w:noProof/>
                <w:webHidden/>
              </w:rPr>
              <w:tab/>
            </w:r>
            <w:r w:rsidR="00A96A9D">
              <w:rPr>
                <w:noProof/>
                <w:webHidden/>
              </w:rPr>
              <w:fldChar w:fldCharType="begin"/>
            </w:r>
            <w:r w:rsidR="00EE14D3">
              <w:rPr>
                <w:noProof/>
                <w:webHidden/>
              </w:rPr>
              <w:instrText xml:space="preserve"> PAGEREF _Toc157279062 \h </w:instrText>
            </w:r>
            <w:r w:rsidR="00A96A9D">
              <w:rPr>
                <w:noProof/>
                <w:webHidden/>
              </w:rPr>
            </w:r>
            <w:r w:rsidR="00A96A9D">
              <w:rPr>
                <w:noProof/>
                <w:webHidden/>
              </w:rPr>
              <w:fldChar w:fldCharType="separate"/>
            </w:r>
            <w:r w:rsidR="00EE14D3">
              <w:rPr>
                <w:noProof/>
                <w:webHidden/>
              </w:rPr>
              <w:t>7</w:t>
            </w:r>
            <w:r w:rsidR="00A96A9D">
              <w:rPr>
                <w:noProof/>
                <w:webHidden/>
              </w:rPr>
              <w:fldChar w:fldCharType="end"/>
            </w:r>
          </w:hyperlink>
        </w:p>
        <w:p w14:paraId="55106961"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3" w:history="1">
            <w:r w:rsidR="00EE14D3" w:rsidRPr="00F500CE">
              <w:rPr>
                <w:rStyle w:val="Hyperlink"/>
                <w:noProof/>
              </w:rPr>
              <w:t>Event Budget</w:t>
            </w:r>
            <w:r w:rsidR="00EE14D3">
              <w:rPr>
                <w:noProof/>
                <w:webHidden/>
              </w:rPr>
              <w:tab/>
            </w:r>
            <w:r w:rsidR="00A96A9D">
              <w:rPr>
                <w:noProof/>
                <w:webHidden/>
              </w:rPr>
              <w:fldChar w:fldCharType="begin"/>
            </w:r>
            <w:r w:rsidR="00EE14D3">
              <w:rPr>
                <w:noProof/>
                <w:webHidden/>
              </w:rPr>
              <w:instrText xml:space="preserve"> PAGEREF _Toc157279063 \h </w:instrText>
            </w:r>
            <w:r w:rsidR="00A96A9D">
              <w:rPr>
                <w:noProof/>
                <w:webHidden/>
              </w:rPr>
            </w:r>
            <w:r w:rsidR="00A96A9D">
              <w:rPr>
                <w:noProof/>
                <w:webHidden/>
              </w:rPr>
              <w:fldChar w:fldCharType="separate"/>
            </w:r>
            <w:r w:rsidR="00EE14D3">
              <w:rPr>
                <w:noProof/>
                <w:webHidden/>
              </w:rPr>
              <w:t>8</w:t>
            </w:r>
            <w:r w:rsidR="00A96A9D">
              <w:rPr>
                <w:noProof/>
                <w:webHidden/>
              </w:rPr>
              <w:fldChar w:fldCharType="end"/>
            </w:r>
          </w:hyperlink>
        </w:p>
        <w:p w14:paraId="71A79B42"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4" w:history="1">
            <w:r w:rsidR="00EE14D3" w:rsidRPr="00F500CE">
              <w:rPr>
                <w:rStyle w:val="Hyperlink"/>
                <w:noProof/>
              </w:rPr>
              <w:t>Industry Trends</w:t>
            </w:r>
            <w:r w:rsidR="00EE14D3">
              <w:rPr>
                <w:noProof/>
                <w:webHidden/>
              </w:rPr>
              <w:tab/>
            </w:r>
            <w:r w:rsidR="00A96A9D">
              <w:rPr>
                <w:noProof/>
                <w:webHidden/>
              </w:rPr>
              <w:fldChar w:fldCharType="begin"/>
            </w:r>
            <w:r w:rsidR="00EE14D3">
              <w:rPr>
                <w:noProof/>
                <w:webHidden/>
              </w:rPr>
              <w:instrText xml:space="preserve"> PAGEREF _Toc157279064 \h </w:instrText>
            </w:r>
            <w:r w:rsidR="00A96A9D">
              <w:rPr>
                <w:noProof/>
                <w:webHidden/>
              </w:rPr>
            </w:r>
            <w:r w:rsidR="00A96A9D">
              <w:rPr>
                <w:noProof/>
                <w:webHidden/>
              </w:rPr>
              <w:fldChar w:fldCharType="separate"/>
            </w:r>
            <w:r w:rsidR="00EE14D3">
              <w:rPr>
                <w:noProof/>
                <w:webHidden/>
              </w:rPr>
              <w:t>9</w:t>
            </w:r>
            <w:r w:rsidR="00A96A9D">
              <w:rPr>
                <w:noProof/>
                <w:webHidden/>
              </w:rPr>
              <w:fldChar w:fldCharType="end"/>
            </w:r>
          </w:hyperlink>
        </w:p>
        <w:p w14:paraId="45FC17D4"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5" w:history="1">
            <w:r w:rsidR="00EE14D3" w:rsidRPr="00F500CE">
              <w:rPr>
                <w:rStyle w:val="Hyperlink"/>
                <w:noProof/>
              </w:rPr>
              <w:t>Cultural and Situational Considerations</w:t>
            </w:r>
            <w:r w:rsidR="00EE14D3">
              <w:rPr>
                <w:noProof/>
                <w:webHidden/>
              </w:rPr>
              <w:tab/>
            </w:r>
            <w:r w:rsidR="00A96A9D">
              <w:rPr>
                <w:noProof/>
                <w:webHidden/>
              </w:rPr>
              <w:fldChar w:fldCharType="begin"/>
            </w:r>
            <w:r w:rsidR="00EE14D3">
              <w:rPr>
                <w:noProof/>
                <w:webHidden/>
              </w:rPr>
              <w:instrText xml:space="preserve"> PAGEREF _Toc157279065 \h </w:instrText>
            </w:r>
            <w:r w:rsidR="00A96A9D">
              <w:rPr>
                <w:noProof/>
                <w:webHidden/>
              </w:rPr>
            </w:r>
            <w:r w:rsidR="00A96A9D">
              <w:rPr>
                <w:noProof/>
                <w:webHidden/>
              </w:rPr>
              <w:fldChar w:fldCharType="separate"/>
            </w:r>
            <w:r w:rsidR="00EE14D3">
              <w:rPr>
                <w:noProof/>
                <w:webHidden/>
              </w:rPr>
              <w:t>11</w:t>
            </w:r>
            <w:r w:rsidR="00A96A9D">
              <w:rPr>
                <w:noProof/>
                <w:webHidden/>
              </w:rPr>
              <w:fldChar w:fldCharType="end"/>
            </w:r>
          </w:hyperlink>
        </w:p>
        <w:p w14:paraId="732B0CBC"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6" w:history="1">
            <w:r w:rsidR="00EE14D3" w:rsidRPr="00F500CE">
              <w:rPr>
                <w:rStyle w:val="Hyperlink"/>
                <w:noProof/>
              </w:rPr>
              <w:t>Conclusion</w:t>
            </w:r>
            <w:r w:rsidR="00EE14D3">
              <w:rPr>
                <w:noProof/>
                <w:webHidden/>
              </w:rPr>
              <w:tab/>
            </w:r>
            <w:r w:rsidR="00A96A9D">
              <w:rPr>
                <w:noProof/>
                <w:webHidden/>
              </w:rPr>
              <w:fldChar w:fldCharType="begin"/>
            </w:r>
            <w:r w:rsidR="00EE14D3">
              <w:rPr>
                <w:noProof/>
                <w:webHidden/>
              </w:rPr>
              <w:instrText xml:space="preserve"> PAGEREF _Toc157279066 \h </w:instrText>
            </w:r>
            <w:r w:rsidR="00A96A9D">
              <w:rPr>
                <w:noProof/>
                <w:webHidden/>
              </w:rPr>
            </w:r>
            <w:r w:rsidR="00A96A9D">
              <w:rPr>
                <w:noProof/>
                <w:webHidden/>
              </w:rPr>
              <w:fldChar w:fldCharType="separate"/>
            </w:r>
            <w:r w:rsidR="00EE14D3">
              <w:rPr>
                <w:noProof/>
                <w:webHidden/>
              </w:rPr>
              <w:t>12</w:t>
            </w:r>
            <w:r w:rsidR="00A96A9D">
              <w:rPr>
                <w:noProof/>
                <w:webHidden/>
              </w:rPr>
              <w:fldChar w:fldCharType="end"/>
            </w:r>
          </w:hyperlink>
        </w:p>
        <w:p w14:paraId="559477A4" w14:textId="77777777" w:rsidR="00EE14D3" w:rsidRDefault="00000000">
          <w:pPr>
            <w:pStyle w:val="TOC1"/>
            <w:tabs>
              <w:tab w:val="right" w:leader="dot" w:pos="9350"/>
            </w:tabs>
            <w:rPr>
              <w:rFonts w:asciiTheme="minorHAnsi" w:eastAsiaTheme="minorEastAsia" w:hAnsiTheme="minorHAnsi" w:cstheme="minorBidi"/>
              <w:noProof/>
              <w:sz w:val="22"/>
              <w:szCs w:val="22"/>
              <w:lang w:val="en-US"/>
            </w:rPr>
          </w:pPr>
          <w:hyperlink w:anchor="_Toc157279067" w:history="1">
            <w:r w:rsidR="00EE14D3" w:rsidRPr="00F500CE">
              <w:rPr>
                <w:rStyle w:val="Hyperlink"/>
                <w:noProof/>
              </w:rPr>
              <w:t>Reference List</w:t>
            </w:r>
            <w:r w:rsidR="00EE14D3">
              <w:rPr>
                <w:noProof/>
                <w:webHidden/>
              </w:rPr>
              <w:tab/>
            </w:r>
            <w:r w:rsidR="00A96A9D">
              <w:rPr>
                <w:noProof/>
                <w:webHidden/>
              </w:rPr>
              <w:fldChar w:fldCharType="begin"/>
            </w:r>
            <w:r w:rsidR="00EE14D3">
              <w:rPr>
                <w:noProof/>
                <w:webHidden/>
              </w:rPr>
              <w:instrText xml:space="preserve"> PAGEREF _Toc157279067 \h </w:instrText>
            </w:r>
            <w:r w:rsidR="00A96A9D">
              <w:rPr>
                <w:noProof/>
                <w:webHidden/>
              </w:rPr>
            </w:r>
            <w:r w:rsidR="00A96A9D">
              <w:rPr>
                <w:noProof/>
                <w:webHidden/>
              </w:rPr>
              <w:fldChar w:fldCharType="separate"/>
            </w:r>
            <w:r w:rsidR="00EE14D3">
              <w:rPr>
                <w:noProof/>
                <w:webHidden/>
              </w:rPr>
              <w:t>13</w:t>
            </w:r>
            <w:r w:rsidR="00A96A9D">
              <w:rPr>
                <w:noProof/>
                <w:webHidden/>
              </w:rPr>
              <w:fldChar w:fldCharType="end"/>
            </w:r>
          </w:hyperlink>
        </w:p>
        <w:p w14:paraId="3BBEA56C" w14:textId="77777777" w:rsidR="00EE14D3" w:rsidRDefault="00A96A9D">
          <w:r>
            <w:fldChar w:fldCharType="end"/>
          </w:r>
        </w:p>
      </w:sdtContent>
    </w:sdt>
    <w:p w14:paraId="1BDCE7B8" w14:textId="77777777" w:rsidR="0057279F" w:rsidRDefault="0057279F">
      <w:pPr>
        <w:rPr>
          <w:b/>
        </w:rPr>
      </w:pPr>
      <w:r>
        <w:br w:type="page"/>
      </w:r>
    </w:p>
    <w:p w14:paraId="04B23C43" w14:textId="77777777" w:rsidR="004F1A0C" w:rsidRPr="0057279F" w:rsidRDefault="00EE14D3">
      <w:pPr>
        <w:pStyle w:val="Heading1"/>
        <w:rPr>
          <w:lang w:val="en-GB"/>
        </w:rPr>
      </w:pPr>
      <w:bookmarkStart w:id="2" w:name="_Toc157279059"/>
      <w:r w:rsidRPr="0057279F">
        <w:rPr>
          <w:lang w:val="en-GB"/>
        </w:rPr>
        <w:lastRenderedPageBreak/>
        <w:t>Introduction</w:t>
      </w:r>
      <w:bookmarkEnd w:id="2"/>
    </w:p>
    <w:p w14:paraId="44BE9594" w14:textId="77777777" w:rsidR="004F1A0C" w:rsidRPr="0057279F" w:rsidRDefault="00EE14D3">
      <w:pPr>
        <w:pStyle w:val="Normal1"/>
        <w:rPr>
          <w:lang w:val="en-GB"/>
        </w:rPr>
      </w:pPr>
      <w:r w:rsidRPr="0057279F">
        <w:rPr>
          <w:lang w:val="en-GB"/>
        </w:rPr>
        <w:t xml:space="preserve">The present report is dedicated to unveiling the visionary MICE Event to be conducted at Hilton Hotels as a conference on sustainability topics. This event could be named the “Sustainable Horizons Conference” for identifying its exclusivity in its assessment by uniting the pioneers and influencers working on sustainability would ensure a better prospect for the world. The Perspectives of MICE Event would be followed by a great event with the factors of “Meetings”, “Incentives”, “Conferences” and “Exhibitions”. The backdrop of the event has been designed following the standards present in the accommodation and structure of Hilton Hotels. </w:t>
      </w:r>
    </w:p>
    <w:p w14:paraId="5E7D344B" w14:textId="77777777" w:rsidR="004F1A0C" w:rsidRPr="0057279F" w:rsidRDefault="00EE14D3">
      <w:pPr>
        <w:pStyle w:val="Normal1"/>
        <w:rPr>
          <w:lang w:val="en-GB"/>
        </w:rPr>
      </w:pPr>
      <w:r w:rsidRPr="0057279F">
        <w:rPr>
          <w:lang w:val="en-GB"/>
        </w:rPr>
        <w:t xml:space="preserve">The main commitment will be followed in this report for conducting a conference as a planned business event among the areas of MICE Event. Moreover, the understanding based on selecting the conference has been derived to amplify the dedication of Hilton Hotels to promote sustainable practices in their business ideas as well (Eat Drink Hilton, 2023). The proactive measures taken by Hilton Hotels for maintaining sustainable practices in the MICE events for their venues have identified this hospitality organisation as achieving recognition in sustainability leadership. </w:t>
      </w:r>
    </w:p>
    <w:p w14:paraId="044BFFCF" w14:textId="77777777" w:rsidR="004F1A0C" w:rsidRDefault="00EE14D3">
      <w:pPr>
        <w:pStyle w:val="Heading1"/>
        <w:rPr>
          <w:lang w:val="en-GB"/>
        </w:rPr>
      </w:pPr>
      <w:bookmarkStart w:id="3" w:name="_2e0bg0vt5lrd" w:colFirst="0" w:colLast="0"/>
      <w:bookmarkStart w:id="4" w:name="_Toc157279060"/>
      <w:bookmarkEnd w:id="3"/>
      <w:r w:rsidRPr="0057279F">
        <w:rPr>
          <w:lang w:val="en-GB"/>
        </w:rPr>
        <w:t>The Event Cycle</w:t>
      </w:r>
      <w:bookmarkEnd w:id="4"/>
    </w:p>
    <w:p w14:paraId="72A16484" w14:textId="77777777" w:rsidR="00EE14D3" w:rsidRDefault="00EE14D3" w:rsidP="00EE14D3">
      <w:pPr>
        <w:pStyle w:val="Normal1"/>
        <w:jc w:val="center"/>
        <w:rPr>
          <w:lang w:val="en-GB"/>
        </w:rPr>
      </w:pPr>
      <w:r>
        <w:rPr>
          <w:noProof/>
        </w:rPr>
        <w:drawing>
          <wp:inline distT="0" distB="0" distL="0" distR="0" wp14:anchorId="62EB4953" wp14:editId="7768E6E4">
            <wp:extent cx="4295775" cy="300037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99FE43" w14:textId="77777777" w:rsidR="00EE14D3" w:rsidRDefault="00EE14D3" w:rsidP="004A1CD7">
      <w:pPr>
        <w:pStyle w:val="Caption"/>
        <w:spacing w:after="0"/>
      </w:pPr>
      <w:r w:rsidRPr="00EE14D3">
        <w:t xml:space="preserve">Figure </w:t>
      </w:r>
      <w:r w:rsidR="00000000">
        <w:fldChar w:fldCharType="begin"/>
      </w:r>
      <w:r w:rsidR="00000000">
        <w:instrText xml:space="preserve"> SEQ Figure \* ARABIC </w:instrText>
      </w:r>
      <w:r w:rsidR="00000000">
        <w:fldChar w:fldCharType="separate"/>
      </w:r>
      <w:r w:rsidRPr="00EE14D3">
        <w:t>1</w:t>
      </w:r>
      <w:r w:rsidR="00000000">
        <w:fldChar w:fldCharType="end"/>
      </w:r>
      <w:r w:rsidRPr="00EE14D3">
        <w:t>: Stages of Event Cycle</w:t>
      </w:r>
    </w:p>
    <w:p w14:paraId="12BC0FCF" w14:textId="77777777" w:rsidR="00EE14D3" w:rsidRPr="00EE14D3" w:rsidRDefault="00EE14D3" w:rsidP="00EE14D3">
      <w:pPr>
        <w:pStyle w:val="Normal1"/>
        <w:jc w:val="center"/>
        <w:rPr>
          <w:lang w:val="en-GB"/>
        </w:rPr>
      </w:pPr>
      <w:r w:rsidRPr="0057279F">
        <w:rPr>
          <w:lang w:val="en-GB"/>
        </w:rPr>
        <w:t>(Source: Created by the author)</w:t>
      </w:r>
    </w:p>
    <w:p w14:paraId="53B725E8" w14:textId="77777777" w:rsidR="004F1A0C" w:rsidRPr="0057279F" w:rsidRDefault="00EE14D3">
      <w:pPr>
        <w:pStyle w:val="Normal1"/>
        <w:rPr>
          <w:lang w:val="en-GB"/>
        </w:rPr>
      </w:pPr>
      <w:r w:rsidRPr="0057279F">
        <w:rPr>
          <w:b/>
          <w:lang w:val="en-GB"/>
        </w:rPr>
        <w:lastRenderedPageBreak/>
        <w:t>Plan</w:t>
      </w:r>
      <w:r w:rsidRPr="0057279F">
        <w:rPr>
          <w:lang w:val="en-GB"/>
        </w:rPr>
        <w:t xml:space="preserve">: In this first stage of the event cycle, the plan setting of the event is mostly event that could determine better access to the theme and objectives of the event. As opined by Coles </w:t>
      </w:r>
      <w:r w:rsidRPr="0057279F">
        <w:rPr>
          <w:i/>
          <w:lang w:val="en-GB"/>
        </w:rPr>
        <w:t>et al.</w:t>
      </w:r>
      <w:r w:rsidRPr="0057279F">
        <w:rPr>
          <w:lang w:val="en-GB"/>
        </w:rPr>
        <w:t xml:space="preserve"> (2022), the plan of the event would align the values of the venue to determine broader industry trends as the core perspective. Hilton Hotels is not an exception in this context while its earlier achievements in sustainability practices could be observed as the support for the plan required in the upcoming events. </w:t>
      </w:r>
    </w:p>
    <w:p w14:paraId="3436077B" w14:textId="77777777" w:rsidR="004F1A0C" w:rsidRPr="0057279F" w:rsidRDefault="00EE14D3">
      <w:pPr>
        <w:pStyle w:val="Normal1"/>
        <w:rPr>
          <w:lang w:val="en-GB"/>
        </w:rPr>
      </w:pPr>
      <w:r w:rsidRPr="0057279F">
        <w:rPr>
          <w:b/>
          <w:lang w:val="en-GB"/>
        </w:rPr>
        <w:t>Organise</w:t>
      </w:r>
      <w:r w:rsidRPr="0057279F">
        <w:rPr>
          <w:lang w:val="en-GB"/>
        </w:rPr>
        <w:t>: The requirements for organising the event “Sustainable Horizons Conference”</w:t>
      </w:r>
      <w:r>
        <w:rPr>
          <w:lang w:val="en-GB"/>
        </w:rPr>
        <w:t xml:space="preserve"> </w:t>
      </w:r>
      <w:r w:rsidRPr="0057279F">
        <w:rPr>
          <w:lang w:val="en-GB"/>
        </w:rPr>
        <w:t xml:space="preserve">would require maintaining the online registration process and allocating attendee communication in the process. According to Trisnayoni, Astawa and Sutama (2022), events on sustainability should include suggestions for maintaining eco-friendly accommodation in the venue. Moreover, it is expected from the planned event for Hilton Hotels that there should be a proper conference agenda to highlight the major sustainability topics and the presence of engaging speakers to highlight the sustainability requirements in the process. </w:t>
      </w:r>
    </w:p>
    <w:p w14:paraId="17C9B721" w14:textId="77777777" w:rsidR="004F1A0C" w:rsidRPr="0057279F" w:rsidRDefault="00EE14D3">
      <w:pPr>
        <w:pStyle w:val="Normal1"/>
        <w:rPr>
          <w:lang w:val="en-GB"/>
        </w:rPr>
      </w:pPr>
      <w:r w:rsidRPr="0057279F">
        <w:rPr>
          <w:b/>
          <w:lang w:val="en-GB"/>
        </w:rPr>
        <w:t>Measure</w:t>
      </w:r>
      <w:r w:rsidRPr="0057279F">
        <w:rPr>
          <w:lang w:val="en-GB"/>
        </w:rPr>
        <w:t>: This stage could depict the results in the execution of the onsite event “Sustainable Horizons Conference”</w:t>
      </w:r>
      <w:r>
        <w:rPr>
          <w:lang w:val="en-GB"/>
        </w:rPr>
        <w:t xml:space="preserve"> </w:t>
      </w:r>
      <w:r w:rsidRPr="0057279F">
        <w:rPr>
          <w:lang w:val="en-GB"/>
        </w:rPr>
        <w:t xml:space="preserve">while the check-in of the participants would be streamlined by providing them reusable badges and conference materials as the main components of sustainability. According to Nižetić </w:t>
      </w:r>
      <w:r w:rsidRPr="0057279F">
        <w:rPr>
          <w:i/>
          <w:lang w:val="en-GB"/>
        </w:rPr>
        <w:t>et al.</w:t>
      </w:r>
      <w:r w:rsidRPr="0057279F">
        <w:rPr>
          <w:lang w:val="en-GB"/>
        </w:rPr>
        <w:t xml:space="preserve"> (2019), the development of technology promotes the opportunity for using energy-efficient equipment in conference events as they support the determinants of MICE Events to the right extent. </w:t>
      </w:r>
    </w:p>
    <w:p w14:paraId="30831E5E" w14:textId="77777777" w:rsidR="004F1A0C" w:rsidRPr="0057279F" w:rsidRDefault="00EE14D3">
      <w:pPr>
        <w:pStyle w:val="Normal1"/>
        <w:rPr>
          <w:lang w:val="en-GB"/>
        </w:rPr>
      </w:pPr>
      <w:r w:rsidRPr="0057279F">
        <w:rPr>
          <w:b/>
          <w:lang w:val="en-GB"/>
        </w:rPr>
        <w:t>Analyse</w:t>
      </w:r>
      <w:r w:rsidRPr="0057279F">
        <w:rPr>
          <w:lang w:val="en-GB"/>
        </w:rPr>
        <w:t xml:space="preserve">: The analysis of the MICE Events is more prominent following the reports on sustainability impact (Wee, Mustapha and Anas, 2021). This report will be effective for Hilton Hotels as well while conducting the conference for highlighting the achievements regarding positive social impact with the involvement of stakeholders in the process. </w:t>
      </w:r>
    </w:p>
    <w:p w14:paraId="3130CA86" w14:textId="77777777" w:rsidR="004F1A0C" w:rsidRPr="0057279F" w:rsidRDefault="00EE14D3">
      <w:pPr>
        <w:pStyle w:val="Normal1"/>
        <w:rPr>
          <w:lang w:val="en-GB"/>
        </w:rPr>
      </w:pPr>
      <w:r w:rsidRPr="0057279F">
        <w:rPr>
          <w:b/>
          <w:lang w:val="en-GB"/>
        </w:rPr>
        <w:t>Share</w:t>
      </w:r>
      <w:r w:rsidRPr="0057279F">
        <w:rPr>
          <w:lang w:val="en-GB"/>
        </w:rPr>
        <w:t>: The observation following the entire experience of the event “Sustainable Horizons Conference”</w:t>
      </w:r>
      <w:r>
        <w:rPr>
          <w:lang w:val="en-GB"/>
        </w:rPr>
        <w:t xml:space="preserve"> </w:t>
      </w:r>
      <w:r w:rsidRPr="0057279F">
        <w:rPr>
          <w:lang w:val="en-GB"/>
        </w:rPr>
        <w:t xml:space="preserve">would be effective for post-event evaluation that could determine planning for future events as well in the same venue. The achievements from the knowledge base for the organisers would be refurbished to include better strategies that would contribute to the success of future sustainability conferences. </w:t>
      </w:r>
    </w:p>
    <w:p w14:paraId="37D6505F" w14:textId="77777777" w:rsidR="004F1A0C" w:rsidRPr="0057279F" w:rsidRDefault="00EE14D3">
      <w:pPr>
        <w:pStyle w:val="Heading1"/>
        <w:rPr>
          <w:lang w:val="en-GB"/>
        </w:rPr>
      </w:pPr>
      <w:bookmarkStart w:id="5" w:name="_pm7zibsu4pot" w:colFirst="0" w:colLast="0"/>
      <w:bookmarkEnd w:id="5"/>
      <w:r w:rsidRPr="0057279F">
        <w:rPr>
          <w:lang w:val="en-GB"/>
        </w:rPr>
        <w:br w:type="page"/>
      </w:r>
    </w:p>
    <w:p w14:paraId="33D6103F" w14:textId="77777777" w:rsidR="004F1A0C" w:rsidRPr="0057279F" w:rsidRDefault="00EE14D3">
      <w:pPr>
        <w:pStyle w:val="Heading1"/>
        <w:rPr>
          <w:lang w:val="en-GB"/>
        </w:rPr>
      </w:pPr>
      <w:bookmarkStart w:id="6" w:name="_3fikq4regkvm" w:colFirst="0" w:colLast="0"/>
      <w:bookmarkStart w:id="7" w:name="_Toc157279061"/>
      <w:bookmarkEnd w:id="6"/>
      <w:r w:rsidRPr="0057279F">
        <w:rPr>
          <w:lang w:val="en-GB"/>
        </w:rPr>
        <w:lastRenderedPageBreak/>
        <w:t>Event Concept</w:t>
      </w:r>
      <w:bookmarkEnd w:id="7"/>
    </w:p>
    <w:p w14:paraId="363A2285" w14:textId="77777777" w:rsidR="004F1A0C" w:rsidRPr="0057279F" w:rsidRDefault="00EE14D3">
      <w:pPr>
        <w:pStyle w:val="Normal1"/>
        <w:rPr>
          <w:lang w:val="en-GB"/>
        </w:rPr>
      </w:pPr>
      <w:r w:rsidRPr="0057279F">
        <w:rPr>
          <w:lang w:val="en-GB"/>
        </w:rPr>
        <w:t>The proposed event would be about sustainability concerns as a part of the MICE Event that would foster collaboration and ensure inspiration towards positive change in the aspect of sustainability. The prestigious position of Hilton Hotels for hosting MICE events is recognised with the appreciation of the delegates following their immense journey in the wellness workshops provided by the hotel authority (Koumelis, 2023). Considering this perspective, the current event “Sustainable Horizons Conference”</w:t>
      </w:r>
      <w:r>
        <w:rPr>
          <w:lang w:val="en-GB"/>
        </w:rPr>
        <w:t xml:space="preserve"> </w:t>
      </w:r>
      <w:r w:rsidRPr="0057279F">
        <w:rPr>
          <w:lang w:val="en-GB"/>
        </w:rPr>
        <w:t xml:space="preserve">will be focused on maintaining sustainability in action and navigating the green horizon as a determination for better innovative solutions in the industry functions. The key components of the event on a particular day will include activities following the sustainable leadership keynotes and interactive workshops followed by a compulsory refreshment break for all the guests. </w:t>
      </w:r>
    </w:p>
    <w:p w14:paraId="6F4B15CA" w14:textId="77777777" w:rsidR="004F1A0C" w:rsidRPr="0057279F" w:rsidRDefault="00EE14D3">
      <w:pPr>
        <w:pStyle w:val="Normal1"/>
        <w:rPr>
          <w:lang w:val="en-GB"/>
        </w:rPr>
      </w:pPr>
      <w:r w:rsidRPr="0057279F">
        <w:rPr>
          <w:lang w:val="en-GB"/>
        </w:rPr>
        <w:t xml:space="preserve">Interested participants of the event will be provided with their registration numbers and badges to take their seats following the preferred sustainability topics aligned at different corners of the conference hall. Here, the accommodation by the authority of Hilton Hotels is important as they provide several options for hosting the MICE Events (Eat Drink Hilton, 2023). The accommodation includes intimate arrival space for the delegates with quality drinks and the presence of a serene environment in the conference rooms. For better convenience of the delegates coming to attend the conference, 3 separate conference halls will be booked for 3 different topics to be attended on the same day. Starting with the inauguration of the event by the organisation, the highest standard of service by Hilton Hotels meets the requirements in world events. This is for not only focusing on luxury but also the comfort of the delegates as the core requirement. </w:t>
      </w:r>
    </w:p>
    <w:p w14:paraId="2E8FDF8B" w14:textId="77777777" w:rsidR="004F1A0C" w:rsidRPr="0057279F" w:rsidRDefault="00EE14D3">
      <w:pPr>
        <w:pStyle w:val="Normal1"/>
        <w:rPr>
          <w:lang w:val="en-GB"/>
        </w:rPr>
      </w:pPr>
      <w:r w:rsidRPr="0057279F">
        <w:rPr>
          <w:lang w:val="en-GB"/>
        </w:rPr>
        <w:t xml:space="preserve">The appreciation towards the Hilton Hotel is observed from the sustainability ratings for the organisation that will be used for providing the best relaxing experiences to the delegates after the end of the conference (Eat Drink Hilton, 2023). The opinion of Brescia-Zapata (2023) would be followed in this context for including sustainable event practices as a part of the 3 conferences to be held on the 3 sustainability topics on the event day. The requirements of these practices will be met in the segments of the event by presenting zero-waste initiatives by reducing single-use materials and focusing on eco-friendly disposables for cutlery and culinary. The standards of the event will be presented to the delegates featuring carbon neutrality in the accommodations as the </w:t>
      </w:r>
      <w:r w:rsidRPr="0057279F">
        <w:rPr>
          <w:lang w:val="en-GB"/>
        </w:rPr>
        <w:lastRenderedPageBreak/>
        <w:t xml:space="preserve">severe concern included in the conference (Tóffano Pereira, Filimonau and Ribeiro, 2020). The “Sustainable Horizons Conference” is expected to establish green networking events as the core consideration for establishing settings with environmental consciousness in the process. Among the guests, the experience of the representatives from different startups and innovative companies would be refurbished by presenting sustainable products in the showcase to attract delegates. This conference will be a supportive platform for them to receive better support in shaping the future of sustainability. </w:t>
      </w:r>
    </w:p>
    <w:p w14:paraId="607FA665" w14:textId="77777777" w:rsidR="004F1A0C" w:rsidRPr="0057279F" w:rsidRDefault="00EE14D3">
      <w:pPr>
        <w:pStyle w:val="Heading1"/>
        <w:rPr>
          <w:lang w:val="en-GB"/>
        </w:rPr>
      </w:pPr>
      <w:bookmarkStart w:id="8" w:name="_z54v0roc7az0" w:colFirst="0" w:colLast="0"/>
      <w:bookmarkStart w:id="9" w:name="_Toc157279062"/>
      <w:bookmarkEnd w:id="8"/>
      <w:r w:rsidRPr="0057279F">
        <w:rPr>
          <w:lang w:val="en-GB"/>
        </w:rPr>
        <w:t>Aim and Objectives of the Event</w:t>
      </w:r>
      <w:bookmarkEnd w:id="9"/>
    </w:p>
    <w:p w14:paraId="1C1F54CC" w14:textId="77777777" w:rsidR="004F1A0C" w:rsidRPr="0057279F" w:rsidRDefault="00EE14D3">
      <w:pPr>
        <w:pStyle w:val="Normal1"/>
        <w:rPr>
          <w:lang w:val="en-GB"/>
        </w:rPr>
      </w:pPr>
      <w:r w:rsidRPr="0057279F">
        <w:rPr>
          <w:lang w:val="en-GB"/>
        </w:rPr>
        <w:t>Aim: This MICE Event is dedicated to facilitating a dynamic platform for professionals successful in the field of sustainability to promote and exchange ideas for future strategies effective to the industry functions and trends.</w:t>
      </w:r>
    </w:p>
    <w:p w14:paraId="7904E35B" w14:textId="77777777" w:rsidR="004F1A0C" w:rsidRPr="0057279F" w:rsidRDefault="00EE14D3">
      <w:pPr>
        <w:pStyle w:val="Normal1"/>
        <w:rPr>
          <w:lang w:val="en-GB"/>
        </w:rPr>
      </w:pPr>
      <w:r w:rsidRPr="0057279F">
        <w:rPr>
          <w:lang w:val="en-GB"/>
        </w:rPr>
        <w:t>Objectives: Apart from that, the SMART objectives in response to the proposed event would be followed as</w:t>
      </w:r>
    </w:p>
    <w:p w14:paraId="4B9324AD" w14:textId="77777777" w:rsidR="004F1A0C" w:rsidRPr="0057279F" w:rsidRDefault="00EE14D3">
      <w:pPr>
        <w:pStyle w:val="Normal1"/>
        <w:numPr>
          <w:ilvl w:val="0"/>
          <w:numId w:val="1"/>
        </w:numPr>
        <w:spacing w:after="0"/>
        <w:rPr>
          <w:lang w:val="en-GB"/>
        </w:rPr>
      </w:pPr>
      <w:r w:rsidRPr="0057279F">
        <w:rPr>
          <w:lang w:val="en-GB"/>
        </w:rPr>
        <w:t>To encourage meaningful collaborations among the delegates and attendees of the event for promoting sustainable business projects with 30% expected success within 2030</w:t>
      </w:r>
    </w:p>
    <w:p w14:paraId="66F2DC2F" w14:textId="77777777" w:rsidR="004F1A0C" w:rsidRPr="0057279F" w:rsidRDefault="00EE14D3">
      <w:pPr>
        <w:pStyle w:val="Normal1"/>
        <w:numPr>
          <w:ilvl w:val="0"/>
          <w:numId w:val="1"/>
        </w:numPr>
        <w:spacing w:before="0" w:after="0"/>
        <w:rPr>
          <w:lang w:val="en-GB"/>
        </w:rPr>
      </w:pPr>
      <w:r w:rsidRPr="0057279F">
        <w:rPr>
          <w:lang w:val="en-GB"/>
        </w:rPr>
        <w:t>To ensure opportunities for sustainability champions to showcase their achievements and success results with better implementable solutions against identified sustainability issues highlighted in the discussions</w:t>
      </w:r>
    </w:p>
    <w:p w14:paraId="0DF5E107" w14:textId="77777777" w:rsidR="004F1A0C" w:rsidRPr="0057279F" w:rsidRDefault="00EE14D3">
      <w:pPr>
        <w:pStyle w:val="Normal1"/>
        <w:numPr>
          <w:ilvl w:val="0"/>
          <w:numId w:val="1"/>
        </w:numPr>
        <w:spacing w:before="0"/>
        <w:rPr>
          <w:lang w:val="en-GB"/>
        </w:rPr>
      </w:pPr>
      <w:r w:rsidRPr="0057279F">
        <w:rPr>
          <w:lang w:val="en-GB"/>
        </w:rPr>
        <w:t>To measure the success quotient of the sustainability solutions by observing them for 6 months minimum rather than chasing for immediate positive impact</w:t>
      </w:r>
    </w:p>
    <w:p w14:paraId="2CC676E0" w14:textId="77777777" w:rsidR="004F1A0C" w:rsidRPr="0057279F" w:rsidRDefault="00EE14D3">
      <w:pPr>
        <w:pStyle w:val="Heading1"/>
        <w:rPr>
          <w:lang w:val="en-GB"/>
        </w:rPr>
      </w:pPr>
      <w:bookmarkStart w:id="10" w:name="_os0ltuntvw5z" w:colFirst="0" w:colLast="0"/>
      <w:bookmarkEnd w:id="10"/>
      <w:r w:rsidRPr="0057279F">
        <w:rPr>
          <w:lang w:val="en-GB"/>
        </w:rPr>
        <w:br w:type="page"/>
      </w:r>
    </w:p>
    <w:p w14:paraId="54CB4518" w14:textId="77777777" w:rsidR="004F1A0C" w:rsidRPr="0057279F" w:rsidRDefault="00EE14D3">
      <w:pPr>
        <w:pStyle w:val="Heading1"/>
        <w:rPr>
          <w:lang w:val="en-GB"/>
        </w:rPr>
      </w:pPr>
      <w:bookmarkStart w:id="11" w:name="_b2l4t91keech" w:colFirst="0" w:colLast="0"/>
      <w:bookmarkStart w:id="12" w:name="_Toc157279063"/>
      <w:bookmarkEnd w:id="11"/>
      <w:r w:rsidRPr="0057279F">
        <w:rPr>
          <w:lang w:val="en-GB"/>
        </w:rPr>
        <w:lastRenderedPageBreak/>
        <w:t>Event Budget</w:t>
      </w:r>
      <w:bookmarkEnd w:id="12"/>
    </w:p>
    <w:tbl>
      <w:tblPr>
        <w:tblStyle w:val="a"/>
        <w:tblW w:w="99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1620"/>
        <w:gridCol w:w="1800"/>
        <w:gridCol w:w="1590"/>
        <w:gridCol w:w="2910"/>
      </w:tblGrid>
      <w:tr w:rsidR="004F1A0C" w:rsidRPr="0057279F" w14:paraId="0D6EF350" w14:textId="77777777">
        <w:trPr>
          <w:cantSplit/>
          <w:tblHeader/>
        </w:trPr>
        <w:tc>
          <w:tcPr>
            <w:tcW w:w="2055" w:type="dxa"/>
            <w:shd w:val="clear" w:color="auto" w:fill="auto"/>
            <w:tcMar>
              <w:top w:w="100" w:type="dxa"/>
              <w:left w:w="100" w:type="dxa"/>
              <w:bottom w:w="100" w:type="dxa"/>
              <w:right w:w="100" w:type="dxa"/>
            </w:tcMar>
          </w:tcPr>
          <w:p w14:paraId="15267BC5" w14:textId="77777777" w:rsidR="004F1A0C" w:rsidRPr="0057279F" w:rsidRDefault="00EE14D3">
            <w:pPr>
              <w:pStyle w:val="Normal1"/>
              <w:widowControl w:val="0"/>
              <w:jc w:val="center"/>
              <w:rPr>
                <w:b/>
                <w:lang w:val="en-GB"/>
              </w:rPr>
            </w:pPr>
            <w:r w:rsidRPr="0057279F">
              <w:rPr>
                <w:b/>
                <w:lang w:val="en-GB"/>
              </w:rPr>
              <w:t>Funding Sources</w:t>
            </w:r>
          </w:p>
        </w:tc>
        <w:tc>
          <w:tcPr>
            <w:tcW w:w="1620" w:type="dxa"/>
            <w:shd w:val="clear" w:color="auto" w:fill="auto"/>
            <w:tcMar>
              <w:top w:w="100" w:type="dxa"/>
              <w:left w:w="100" w:type="dxa"/>
              <w:bottom w:w="100" w:type="dxa"/>
              <w:right w:w="100" w:type="dxa"/>
            </w:tcMar>
          </w:tcPr>
          <w:p w14:paraId="0066E413" w14:textId="77777777" w:rsidR="004F1A0C" w:rsidRPr="0057279F" w:rsidRDefault="00EE14D3">
            <w:pPr>
              <w:pStyle w:val="Normal1"/>
              <w:widowControl w:val="0"/>
              <w:jc w:val="center"/>
              <w:rPr>
                <w:b/>
                <w:lang w:val="en-GB"/>
              </w:rPr>
            </w:pPr>
            <w:r w:rsidRPr="0057279F">
              <w:rPr>
                <w:b/>
                <w:lang w:val="en-GB"/>
              </w:rPr>
              <w:t>Amount (In €)</w:t>
            </w:r>
          </w:p>
        </w:tc>
        <w:tc>
          <w:tcPr>
            <w:tcW w:w="1800" w:type="dxa"/>
            <w:shd w:val="clear" w:color="auto" w:fill="auto"/>
            <w:tcMar>
              <w:top w:w="100" w:type="dxa"/>
              <w:left w:w="100" w:type="dxa"/>
              <w:bottom w:w="100" w:type="dxa"/>
              <w:right w:w="100" w:type="dxa"/>
            </w:tcMar>
          </w:tcPr>
          <w:p w14:paraId="06486687" w14:textId="77777777" w:rsidR="004F1A0C" w:rsidRPr="0057279F" w:rsidRDefault="00EE14D3">
            <w:pPr>
              <w:pStyle w:val="Normal1"/>
              <w:widowControl w:val="0"/>
              <w:pBdr>
                <w:top w:val="nil"/>
                <w:left w:val="nil"/>
                <w:bottom w:val="nil"/>
                <w:right w:val="nil"/>
                <w:between w:val="nil"/>
              </w:pBdr>
              <w:jc w:val="center"/>
              <w:rPr>
                <w:b/>
                <w:lang w:val="en-GB"/>
              </w:rPr>
            </w:pPr>
            <w:r w:rsidRPr="0057279F">
              <w:rPr>
                <w:b/>
                <w:lang w:val="en-GB"/>
              </w:rPr>
              <w:t>Expenditure</w:t>
            </w:r>
          </w:p>
        </w:tc>
        <w:tc>
          <w:tcPr>
            <w:tcW w:w="1590" w:type="dxa"/>
            <w:shd w:val="clear" w:color="auto" w:fill="auto"/>
            <w:tcMar>
              <w:top w:w="100" w:type="dxa"/>
              <w:left w:w="100" w:type="dxa"/>
              <w:bottom w:w="100" w:type="dxa"/>
              <w:right w:w="100" w:type="dxa"/>
            </w:tcMar>
          </w:tcPr>
          <w:p w14:paraId="2291F04F" w14:textId="77777777" w:rsidR="004F1A0C" w:rsidRPr="0057279F" w:rsidRDefault="00EE14D3">
            <w:pPr>
              <w:pStyle w:val="Normal1"/>
              <w:widowControl w:val="0"/>
              <w:jc w:val="center"/>
              <w:rPr>
                <w:b/>
                <w:lang w:val="en-GB"/>
              </w:rPr>
            </w:pPr>
            <w:r w:rsidRPr="0057279F">
              <w:rPr>
                <w:b/>
                <w:lang w:val="en-GB"/>
              </w:rPr>
              <w:t>Amount (In €)</w:t>
            </w:r>
          </w:p>
        </w:tc>
        <w:tc>
          <w:tcPr>
            <w:tcW w:w="2910" w:type="dxa"/>
            <w:shd w:val="clear" w:color="auto" w:fill="auto"/>
            <w:tcMar>
              <w:top w:w="100" w:type="dxa"/>
              <w:left w:w="100" w:type="dxa"/>
              <w:bottom w:w="100" w:type="dxa"/>
              <w:right w:w="100" w:type="dxa"/>
            </w:tcMar>
          </w:tcPr>
          <w:p w14:paraId="53BCCF71" w14:textId="77777777" w:rsidR="004F1A0C" w:rsidRPr="0057279F" w:rsidRDefault="00EE14D3">
            <w:pPr>
              <w:pStyle w:val="Normal1"/>
              <w:widowControl w:val="0"/>
              <w:pBdr>
                <w:top w:val="nil"/>
                <w:left w:val="nil"/>
                <w:bottom w:val="nil"/>
                <w:right w:val="nil"/>
                <w:between w:val="nil"/>
              </w:pBdr>
              <w:jc w:val="center"/>
              <w:rPr>
                <w:b/>
                <w:lang w:val="en-GB"/>
              </w:rPr>
            </w:pPr>
            <w:r w:rsidRPr="0057279F">
              <w:rPr>
                <w:b/>
                <w:lang w:val="en-GB"/>
              </w:rPr>
              <w:t xml:space="preserve">Income Generation Strategies </w:t>
            </w:r>
          </w:p>
        </w:tc>
      </w:tr>
      <w:tr w:rsidR="004F1A0C" w:rsidRPr="0057279F" w14:paraId="507E617B" w14:textId="77777777">
        <w:trPr>
          <w:cantSplit/>
          <w:tblHeader/>
        </w:trPr>
        <w:tc>
          <w:tcPr>
            <w:tcW w:w="2055" w:type="dxa"/>
            <w:shd w:val="clear" w:color="auto" w:fill="auto"/>
            <w:tcMar>
              <w:top w:w="100" w:type="dxa"/>
              <w:left w:w="100" w:type="dxa"/>
              <w:bottom w:w="100" w:type="dxa"/>
              <w:right w:w="100" w:type="dxa"/>
            </w:tcMar>
          </w:tcPr>
          <w:p w14:paraId="74790A58"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Registration Fees</w:t>
            </w:r>
          </w:p>
        </w:tc>
        <w:tc>
          <w:tcPr>
            <w:tcW w:w="1620" w:type="dxa"/>
            <w:shd w:val="clear" w:color="auto" w:fill="auto"/>
            <w:tcMar>
              <w:top w:w="100" w:type="dxa"/>
              <w:left w:w="100" w:type="dxa"/>
              <w:bottom w:w="100" w:type="dxa"/>
              <w:right w:w="100" w:type="dxa"/>
            </w:tcMar>
          </w:tcPr>
          <w:p w14:paraId="628EBA58"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50,000</w:t>
            </w:r>
          </w:p>
        </w:tc>
        <w:tc>
          <w:tcPr>
            <w:tcW w:w="1800" w:type="dxa"/>
            <w:shd w:val="clear" w:color="auto" w:fill="auto"/>
            <w:tcMar>
              <w:top w:w="100" w:type="dxa"/>
              <w:left w:w="100" w:type="dxa"/>
              <w:bottom w:w="100" w:type="dxa"/>
              <w:right w:w="100" w:type="dxa"/>
            </w:tcMar>
          </w:tcPr>
          <w:p w14:paraId="188F9CDC"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Venue Costs</w:t>
            </w:r>
          </w:p>
        </w:tc>
        <w:tc>
          <w:tcPr>
            <w:tcW w:w="1590" w:type="dxa"/>
            <w:shd w:val="clear" w:color="auto" w:fill="auto"/>
            <w:tcMar>
              <w:top w:w="100" w:type="dxa"/>
              <w:left w:w="100" w:type="dxa"/>
              <w:bottom w:w="100" w:type="dxa"/>
              <w:right w:w="100" w:type="dxa"/>
            </w:tcMar>
          </w:tcPr>
          <w:p w14:paraId="5881640F"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30,000</w:t>
            </w:r>
          </w:p>
        </w:tc>
        <w:tc>
          <w:tcPr>
            <w:tcW w:w="2910" w:type="dxa"/>
            <w:shd w:val="clear" w:color="auto" w:fill="auto"/>
            <w:tcMar>
              <w:top w:w="100" w:type="dxa"/>
              <w:left w:w="100" w:type="dxa"/>
              <w:bottom w:w="100" w:type="dxa"/>
              <w:right w:w="100" w:type="dxa"/>
            </w:tcMar>
          </w:tcPr>
          <w:p w14:paraId="76E87FDE"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 xml:space="preserve">Early registration discounts </w:t>
            </w:r>
          </w:p>
        </w:tc>
      </w:tr>
      <w:tr w:rsidR="004F1A0C" w:rsidRPr="0057279F" w14:paraId="09FD6F1D" w14:textId="77777777">
        <w:trPr>
          <w:cantSplit/>
          <w:trHeight w:val="1805"/>
          <w:tblHeader/>
        </w:trPr>
        <w:tc>
          <w:tcPr>
            <w:tcW w:w="2055" w:type="dxa"/>
            <w:shd w:val="clear" w:color="auto" w:fill="auto"/>
            <w:tcMar>
              <w:top w:w="100" w:type="dxa"/>
              <w:left w:w="100" w:type="dxa"/>
              <w:bottom w:w="100" w:type="dxa"/>
              <w:right w:w="100" w:type="dxa"/>
            </w:tcMar>
          </w:tcPr>
          <w:p w14:paraId="1B6E9303"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Sponsorship Packages</w:t>
            </w:r>
          </w:p>
        </w:tc>
        <w:tc>
          <w:tcPr>
            <w:tcW w:w="1620" w:type="dxa"/>
            <w:shd w:val="clear" w:color="auto" w:fill="auto"/>
            <w:tcMar>
              <w:top w:w="100" w:type="dxa"/>
              <w:left w:w="100" w:type="dxa"/>
              <w:bottom w:w="100" w:type="dxa"/>
              <w:right w:w="100" w:type="dxa"/>
            </w:tcMar>
          </w:tcPr>
          <w:p w14:paraId="7C0AA012"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80,000</w:t>
            </w:r>
          </w:p>
        </w:tc>
        <w:tc>
          <w:tcPr>
            <w:tcW w:w="1800" w:type="dxa"/>
            <w:shd w:val="clear" w:color="auto" w:fill="auto"/>
            <w:tcMar>
              <w:top w:w="100" w:type="dxa"/>
              <w:left w:w="100" w:type="dxa"/>
              <w:bottom w:w="100" w:type="dxa"/>
              <w:right w:w="100" w:type="dxa"/>
            </w:tcMar>
          </w:tcPr>
          <w:p w14:paraId="3EABC568"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Expenses for Speaker of the 3 separate conferences</w:t>
            </w:r>
          </w:p>
        </w:tc>
        <w:tc>
          <w:tcPr>
            <w:tcW w:w="1590" w:type="dxa"/>
            <w:shd w:val="clear" w:color="auto" w:fill="auto"/>
            <w:tcMar>
              <w:top w:w="100" w:type="dxa"/>
              <w:left w:w="100" w:type="dxa"/>
              <w:bottom w:w="100" w:type="dxa"/>
              <w:right w:w="100" w:type="dxa"/>
            </w:tcMar>
          </w:tcPr>
          <w:p w14:paraId="5EC0EBCA"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15,000</w:t>
            </w:r>
          </w:p>
        </w:tc>
        <w:tc>
          <w:tcPr>
            <w:tcW w:w="2910" w:type="dxa"/>
            <w:shd w:val="clear" w:color="auto" w:fill="auto"/>
            <w:tcMar>
              <w:top w:w="100" w:type="dxa"/>
              <w:left w:w="100" w:type="dxa"/>
              <w:bottom w:w="100" w:type="dxa"/>
              <w:right w:w="100" w:type="dxa"/>
            </w:tcMar>
          </w:tcPr>
          <w:p w14:paraId="2A228963"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Strategic Marketing Partnerships</w:t>
            </w:r>
          </w:p>
        </w:tc>
      </w:tr>
      <w:tr w:rsidR="004F1A0C" w:rsidRPr="0057279F" w14:paraId="615AA47E" w14:textId="77777777">
        <w:trPr>
          <w:cantSplit/>
          <w:tblHeader/>
        </w:trPr>
        <w:tc>
          <w:tcPr>
            <w:tcW w:w="2055" w:type="dxa"/>
            <w:shd w:val="clear" w:color="auto" w:fill="auto"/>
            <w:tcMar>
              <w:top w:w="100" w:type="dxa"/>
              <w:left w:w="100" w:type="dxa"/>
              <w:bottom w:w="100" w:type="dxa"/>
              <w:right w:w="100" w:type="dxa"/>
            </w:tcMar>
          </w:tcPr>
          <w:p w14:paraId="5A9C5E56"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Exhibition Booth Fees</w:t>
            </w:r>
          </w:p>
        </w:tc>
        <w:tc>
          <w:tcPr>
            <w:tcW w:w="1620" w:type="dxa"/>
            <w:shd w:val="clear" w:color="auto" w:fill="auto"/>
            <w:tcMar>
              <w:top w:w="100" w:type="dxa"/>
              <w:left w:w="100" w:type="dxa"/>
              <w:bottom w:w="100" w:type="dxa"/>
              <w:right w:w="100" w:type="dxa"/>
            </w:tcMar>
          </w:tcPr>
          <w:p w14:paraId="3BDBE8ED"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25,000</w:t>
            </w:r>
          </w:p>
        </w:tc>
        <w:tc>
          <w:tcPr>
            <w:tcW w:w="1800" w:type="dxa"/>
            <w:shd w:val="clear" w:color="auto" w:fill="auto"/>
            <w:tcMar>
              <w:top w:w="100" w:type="dxa"/>
              <w:left w:w="100" w:type="dxa"/>
              <w:bottom w:w="100" w:type="dxa"/>
              <w:right w:w="100" w:type="dxa"/>
            </w:tcMar>
          </w:tcPr>
          <w:p w14:paraId="7E83A436" w14:textId="77777777" w:rsidR="004F1A0C" w:rsidRPr="0057279F" w:rsidRDefault="00EE14D3">
            <w:pPr>
              <w:pStyle w:val="Normal1"/>
              <w:widowControl w:val="0"/>
              <w:rPr>
                <w:lang w:val="en-GB"/>
              </w:rPr>
            </w:pPr>
            <w:r w:rsidRPr="0057279F">
              <w:rPr>
                <w:lang w:val="en-GB"/>
              </w:rPr>
              <w:t>Marketing and Promotion</w:t>
            </w:r>
          </w:p>
        </w:tc>
        <w:tc>
          <w:tcPr>
            <w:tcW w:w="1590" w:type="dxa"/>
            <w:shd w:val="clear" w:color="auto" w:fill="auto"/>
            <w:tcMar>
              <w:top w:w="100" w:type="dxa"/>
              <w:left w:w="100" w:type="dxa"/>
              <w:bottom w:w="100" w:type="dxa"/>
              <w:right w:w="100" w:type="dxa"/>
            </w:tcMar>
          </w:tcPr>
          <w:p w14:paraId="1B3F9CD6" w14:textId="77777777" w:rsidR="004F1A0C" w:rsidRPr="0057279F" w:rsidRDefault="00EE14D3">
            <w:pPr>
              <w:pStyle w:val="Normal1"/>
              <w:widowControl w:val="0"/>
              <w:jc w:val="center"/>
              <w:rPr>
                <w:lang w:val="en-GB"/>
              </w:rPr>
            </w:pPr>
            <w:r w:rsidRPr="0057279F">
              <w:rPr>
                <w:lang w:val="en-GB"/>
              </w:rPr>
              <w:t>10,000</w:t>
            </w:r>
          </w:p>
        </w:tc>
        <w:tc>
          <w:tcPr>
            <w:tcW w:w="2910" w:type="dxa"/>
            <w:shd w:val="clear" w:color="auto" w:fill="auto"/>
            <w:tcMar>
              <w:top w:w="100" w:type="dxa"/>
              <w:left w:w="100" w:type="dxa"/>
              <w:bottom w:w="100" w:type="dxa"/>
              <w:right w:w="100" w:type="dxa"/>
            </w:tcMar>
          </w:tcPr>
          <w:p w14:paraId="727082E6"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Online sale of merchandise with further promotion</w:t>
            </w:r>
          </w:p>
        </w:tc>
      </w:tr>
      <w:tr w:rsidR="004F1A0C" w:rsidRPr="0057279F" w14:paraId="4DF24F12" w14:textId="77777777">
        <w:trPr>
          <w:cantSplit/>
          <w:tblHeader/>
        </w:trPr>
        <w:tc>
          <w:tcPr>
            <w:tcW w:w="2055" w:type="dxa"/>
            <w:shd w:val="clear" w:color="auto" w:fill="auto"/>
            <w:tcMar>
              <w:top w:w="100" w:type="dxa"/>
              <w:left w:w="100" w:type="dxa"/>
              <w:bottom w:w="100" w:type="dxa"/>
              <w:right w:w="100" w:type="dxa"/>
            </w:tcMar>
          </w:tcPr>
          <w:p w14:paraId="6D656830"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Donations</w:t>
            </w:r>
          </w:p>
        </w:tc>
        <w:tc>
          <w:tcPr>
            <w:tcW w:w="1620" w:type="dxa"/>
            <w:shd w:val="clear" w:color="auto" w:fill="auto"/>
            <w:tcMar>
              <w:top w:w="100" w:type="dxa"/>
              <w:left w:w="100" w:type="dxa"/>
              <w:bottom w:w="100" w:type="dxa"/>
              <w:right w:w="100" w:type="dxa"/>
            </w:tcMar>
          </w:tcPr>
          <w:p w14:paraId="665AE149"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15,000</w:t>
            </w:r>
          </w:p>
        </w:tc>
        <w:tc>
          <w:tcPr>
            <w:tcW w:w="1800" w:type="dxa"/>
            <w:shd w:val="clear" w:color="auto" w:fill="auto"/>
            <w:tcMar>
              <w:top w:w="100" w:type="dxa"/>
              <w:left w:w="100" w:type="dxa"/>
              <w:bottom w:w="100" w:type="dxa"/>
              <w:right w:w="100" w:type="dxa"/>
            </w:tcMar>
          </w:tcPr>
          <w:p w14:paraId="4781A46E"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 xml:space="preserve">Networking Events and production management </w:t>
            </w:r>
          </w:p>
        </w:tc>
        <w:tc>
          <w:tcPr>
            <w:tcW w:w="1590" w:type="dxa"/>
            <w:shd w:val="clear" w:color="auto" w:fill="auto"/>
            <w:tcMar>
              <w:top w:w="100" w:type="dxa"/>
              <w:left w:w="100" w:type="dxa"/>
              <w:bottom w:w="100" w:type="dxa"/>
              <w:right w:w="100" w:type="dxa"/>
            </w:tcMar>
          </w:tcPr>
          <w:p w14:paraId="538DF3EA"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7,000</w:t>
            </w:r>
          </w:p>
        </w:tc>
        <w:tc>
          <w:tcPr>
            <w:tcW w:w="2910" w:type="dxa"/>
            <w:shd w:val="clear" w:color="auto" w:fill="auto"/>
            <w:tcMar>
              <w:top w:w="100" w:type="dxa"/>
              <w:left w:w="100" w:type="dxa"/>
              <w:bottom w:w="100" w:type="dxa"/>
              <w:right w:w="100" w:type="dxa"/>
            </w:tcMar>
          </w:tcPr>
          <w:p w14:paraId="07D33DB0"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Tailoring sponsorship packages to attract business opportunities</w:t>
            </w:r>
          </w:p>
        </w:tc>
      </w:tr>
      <w:tr w:rsidR="004F1A0C" w:rsidRPr="0057279F" w14:paraId="2BD1F50F" w14:textId="77777777">
        <w:trPr>
          <w:cantSplit/>
          <w:tblHeader/>
        </w:trPr>
        <w:tc>
          <w:tcPr>
            <w:tcW w:w="2055" w:type="dxa"/>
            <w:shd w:val="clear" w:color="auto" w:fill="auto"/>
            <w:tcMar>
              <w:top w:w="100" w:type="dxa"/>
              <w:left w:w="100" w:type="dxa"/>
              <w:bottom w:w="100" w:type="dxa"/>
              <w:right w:w="100" w:type="dxa"/>
            </w:tcMar>
          </w:tcPr>
          <w:p w14:paraId="63D03FFA"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Total Income</w:t>
            </w:r>
          </w:p>
        </w:tc>
        <w:tc>
          <w:tcPr>
            <w:tcW w:w="1620" w:type="dxa"/>
            <w:shd w:val="clear" w:color="auto" w:fill="auto"/>
            <w:tcMar>
              <w:top w:w="100" w:type="dxa"/>
              <w:left w:w="100" w:type="dxa"/>
              <w:bottom w:w="100" w:type="dxa"/>
              <w:right w:w="100" w:type="dxa"/>
            </w:tcMar>
          </w:tcPr>
          <w:p w14:paraId="47333CE0"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1,70,000</w:t>
            </w:r>
          </w:p>
        </w:tc>
        <w:tc>
          <w:tcPr>
            <w:tcW w:w="1800" w:type="dxa"/>
            <w:shd w:val="clear" w:color="auto" w:fill="auto"/>
            <w:tcMar>
              <w:top w:w="100" w:type="dxa"/>
              <w:left w:w="100" w:type="dxa"/>
              <w:bottom w:w="100" w:type="dxa"/>
              <w:right w:w="100" w:type="dxa"/>
            </w:tcMar>
          </w:tcPr>
          <w:p w14:paraId="13B33C2A"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Total Expenditure</w:t>
            </w:r>
          </w:p>
        </w:tc>
        <w:tc>
          <w:tcPr>
            <w:tcW w:w="1590" w:type="dxa"/>
            <w:shd w:val="clear" w:color="auto" w:fill="auto"/>
            <w:tcMar>
              <w:top w:w="100" w:type="dxa"/>
              <w:left w:w="100" w:type="dxa"/>
              <w:bottom w:w="100" w:type="dxa"/>
              <w:right w:w="100" w:type="dxa"/>
            </w:tcMar>
          </w:tcPr>
          <w:p w14:paraId="5E17C21E" w14:textId="77777777" w:rsidR="004F1A0C" w:rsidRPr="0057279F" w:rsidRDefault="00EE14D3">
            <w:pPr>
              <w:pStyle w:val="Normal1"/>
              <w:widowControl w:val="0"/>
              <w:pBdr>
                <w:top w:val="nil"/>
                <w:left w:val="nil"/>
                <w:bottom w:val="nil"/>
                <w:right w:val="nil"/>
                <w:between w:val="nil"/>
              </w:pBdr>
              <w:jc w:val="center"/>
              <w:rPr>
                <w:lang w:val="en-GB"/>
              </w:rPr>
            </w:pPr>
            <w:r w:rsidRPr="0057279F">
              <w:rPr>
                <w:lang w:val="en-GB"/>
              </w:rPr>
              <w:t>62,000</w:t>
            </w:r>
          </w:p>
        </w:tc>
        <w:tc>
          <w:tcPr>
            <w:tcW w:w="2910" w:type="dxa"/>
            <w:shd w:val="clear" w:color="auto" w:fill="auto"/>
            <w:tcMar>
              <w:top w:w="100" w:type="dxa"/>
              <w:left w:w="100" w:type="dxa"/>
              <w:bottom w:w="100" w:type="dxa"/>
              <w:right w:w="100" w:type="dxa"/>
            </w:tcMar>
          </w:tcPr>
          <w:p w14:paraId="507ECED7" w14:textId="77777777" w:rsidR="004F1A0C" w:rsidRPr="0057279F" w:rsidRDefault="00EE14D3">
            <w:pPr>
              <w:pStyle w:val="Normal1"/>
              <w:widowControl w:val="0"/>
              <w:pBdr>
                <w:top w:val="nil"/>
                <w:left w:val="nil"/>
                <w:bottom w:val="nil"/>
                <w:right w:val="nil"/>
                <w:between w:val="nil"/>
              </w:pBdr>
              <w:rPr>
                <w:lang w:val="en-GB"/>
              </w:rPr>
            </w:pPr>
            <w:r w:rsidRPr="0057279F">
              <w:rPr>
                <w:lang w:val="en-GB"/>
              </w:rPr>
              <w:t>Expected Profit: 1,08,000</w:t>
            </w:r>
          </w:p>
        </w:tc>
      </w:tr>
    </w:tbl>
    <w:p w14:paraId="30B309F5" w14:textId="77777777" w:rsidR="004F1A0C" w:rsidRPr="0057279F" w:rsidRDefault="00EE14D3" w:rsidP="00137539">
      <w:pPr>
        <w:pStyle w:val="Caption"/>
        <w:spacing w:before="240"/>
      </w:pPr>
      <w:r>
        <w:t xml:space="preserve">Table </w:t>
      </w:r>
      <w:r w:rsidR="00000000">
        <w:fldChar w:fldCharType="begin"/>
      </w:r>
      <w:r w:rsidR="00000000">
        <w:instrText xml:space="preserve"> SEQ Table \* ARABIC </w:instrText>
      </w:r>
      <w:r w:rsidR="00000000">
        <w:fldChar w:fldCharType="separate"/>
      </w:r>
      <w:r>
        <w:rPr>
          <w:noProof/>
        </w:rPr>
        <w:t>1</w:t>
      </w:r>
      <w:r w:rsidR="00000000">
        <w:rPr>
          <w:noProof/>
        </w:rPr>
        <w:fldChar w:fldCharType="end"/>
      </w:r>
      <w:r w:rsidRPr="0057279F">
        <w:t>: Budget planning for the proposed “Sustainable Horizons Conference”</w:t>
      </w:r>
    </w:p>
    <w:p w14:paraId="5F91B6BF" w14:textId="77777777" w:rsidR="004F1A0C" w:rsidRPr="0057279F" w:rsidRDefault="00EE14D3">
      <w:pPr>
        <w:pStyle w:val="Normal1"/>
        <w:jc w:val="center"/>
        <w:rPr>
          <w:lang w:val="en-GB"/>
        </w:rPr>
      </w:pPr>
      <w:r w:rsidRPr="0057279F">
        <w:rPr>
          <w:lang w:val="en-GB"/>
        </w:rPr>
        <w:t>(Source: Created by the author)</w:t>
      </w:r>
    </w:p>
    <w:p w14:paraId="741CA6CF" w14:textId="77777777" w:rsidR="004F1A0C" w:rsidRPr="0057279F" w:rsidRDefault="00EE14D3">
      <w:pPr>
        <w:pStyle w:val="Normal1"/>
        <w:rPr>
          <w:lang w:val="en-GB"/>
        </w:rPr>
      </w:pPr>
      <w:r w:rsidRPr="0057279F">
        <w:rPr>
          <w:lang w:val="en-GB"/>
        </w:rPr>
        <w:t xml:space="preserve">From the above table, it could be observed that receiving income from the targeted funding sources would be a major support to explore all the opportunities involved in the proposed conference. Meanwhile, the expenditure design is observed to provide less concern regarding budget constraints in the process as the income-generation strategies would be effective for strengthening the fund of the event. </w:t>
      </w:r>
      <w:r w:rsidRPr="0057279F">
        <w:rPr>
          <w:lang w:val="en-GB"/>
        </w:rPr>
        <w:br w:type="page"/>
      </w:r>
    </w:p>
    <w:p w14:paraId="0A3842D9" w14:textId="77777777" w:rsidR="004F1A0C" w:rsidRPr="0057279F" w:rsidRDefault="00EE14D3">
      <w:pPr>
        <w:pStyle w:val="Heading1"/>
        <w:rPr>
          <w:lang w:val="en-GB"/>
        </w:rPr>
      </w:pPr>
      <w:bookmarkStart w:id="13" w:name="_xv54o2lrasy7" w:colFirst="0" w:colLast="0"/>
      <w:bookmarkStart w:id="14" w:name="_Toc157279064"/>
      <w:bookmarkEnd w:id="13"/>
      <w:r w:rsidRPr="0057279F">
        <w:rPr>
          <w:lang w:val="en-GB"/>
        </w:rPr>
        <w:lastRenderedPageBreak/>
        <w:t>Industry Trends</w:t>
      </w:r>
      <w:bookmarkEnd w:id="14"/>
    </w:p>
    <w:p w14:paraId="2B6924D2" w14:textId="77777777" w:rsidR="004F1A0C" w:rsidRPr="0057279F" w:rsidRDefault="00EE14D3">
      <w:pPr>
        <w:pStyle w:val="Normal1"/>
        <w:rPr>
          <w:lang w:val="en-GB"/>
        </w:rPr>
      </w:pPr>
      <w:r w:rsidRPr="0057279F">
        <w:rPr>
          <w:lang w:val="en-GB"/>
        </w:rPr>
        <w:t>Following the latest trends prominent in the event industry, it could be observed that sustainability considerations have been featured in the trend to promote better awareness among industry officials. Meanwhile, the trends in the event industry could be followed in the below segments to understand their impacts on different event types.</w:t>
      </w:r>
    </w:p>
    <w:p w14:paraId="7BB669A5" w14:textId="77777777" w:rsidR="004F1A0C" w:rsidRPr="0057279F" w:rsidRDefault="00EE14D3">
      <w:pPr>
        <w:pStyle w:val="Normal1"/>
        <w:rPr>
          <w:lang w:val="en-GB"/>
        </w:rPr>
      </w:pPr>
      <w:r w:rsidRPr="0057279F">
        <w:rPr>
          <w:b/>
          <w:i/>
          <w:lang w:val="en-GB"/>
        </w:rPr>
        <w:t>Sustainability Integration</w:t>
      </w:r>
      <w:r w:rsidRPr="0057279F">
        <w:rPr>
          <w:lang w:val="en-GB"/>
        </w:rPr>
        <w:t>: This is the latest trend obtained in event planning as the most important measure for including concern among people associated with the venet for long-term results. As opined by Singh and Rahman (2021), this trend is aligned with the access to CSR (Corporate Social Responsibilities) for measuring strict governance policies from corporate organisations with better perspectives on sustainability. This trend includes ensuring zero-carbon emissions and focusing on alternate resource usage with a much more effective measure of the ecological footprint by the event organisers.</w:t>
      </w:r>
    </w:p>
    <w:p w14:paraId="1FFFEB96" w14:textId="77777777" w:rsidR="004F1A0C" w:rsidRPr="0057279F" w:rsidRDefault="00EE14D3">
      <w:pPr>
        <w:pStyle w:val="Normal1"/>
        <w:rPr>
          <w:lang w:val="en-GB"/>
        </w:rPr>
      </w:pPr>
      <w:r w:rsidRPr="0057279F">
        <w:rPr>
          <w:b/>
          <w:i/>
          <w:lang w:val="en-GB"/>
        </w:rPr>
        <w:t>Personalisation in attendee experiences</w:t>
      </w:r>
      <w:r w:rsidRPr="0057279F">
        <w:rPr>
          <w:lang w:val="en-GB"/>
        </w:rPr>
        <w:t xml:space="preserve">: The perspective and viewpoint of the attendees coming with different business interests are better met and served in the arrangement of the event industry by personalising experiences. The presence of tailored content for the delegates attending the events with fewer business interests approaches the event more successfully with future accessibility in the corporate concern as well (Colombo and Marques, 2019). This trend includes better access to networking opportunities among corporate professionals for receiving better event experience and satisfaction quotients throughout the event as the core consideration. </w:t>
      </w:r>
    </w:p>
    <w:p w14:paraId="37FD8AB9" w14:textId="77777777" w:rsidR="004F1A0C" w:rsidRPr="0057279F" w:rsidRDefault="00EE14D3">
      <w:pPr>
        <w:pStyle w:val="Normal1"/>
        <w:rPr>
          <w:lang w:val="en-GB"/>
        </w:rPr>
      </w:pPr>
      <w:r w:rsidRPr="0057279F">
        <w:rPr>
          <w:b/>
          <w:i/>
          <w:lang w:val="en-GB"/>
        </w:rPr>
        <w:t>Measuring health and safety</w:t>
      </w:r>
      <w:r w:rsidRPr="0057279F">
        <w:rPr>
          <w:lang w:val="en-GB"/>
        </w:rPr>
        <w:t>: This trend has been refurbished after following the consequences of the COVID-19 pandemic, which has changed the entire design of safety standards and protocols (Ahmed and Sintayehu, 2022). This is much observed in the event industry following the establishment of contactless technology as the core priority for maintaining the comfort of the guests as the event with full access. The hygiene protocols in the venues of the events are modified following the standard of pollution and potential vulnerability in the environment by providing adequate medical support to the participants of the events as well.</w:t>
      </w:r>
    </w:p>
    <w:p w14:paraId="14BF9BA6" w14:textId="77777777" w:rsidR="004F1A0C" w:rsidRPr="0057279F" w:rsidRDefault="00EE14D3">
      <w:pPr>
        <w:pStyle w:val="Normal1"/>
        <w:rPr>
          <w:lang w:val="en-GB"/>
        </w:rPr>
      </w:pPr>
      <w:r w:rsidRPr="0057279F">
        <w:rPr>
          <w:b/>
          <w:i/>
          <w:lang w:val="en-GB"/>
        </w:rPr>
        <w:t>Diverse and Inclusive Programming</w:t>
      </w:r>
      <w:r w:rsidRPr="0057279F">
        <w:rPr>
          <w:lang w:val="en-GB"/>
        </w:rPr>
        <w:t xml:space="preserve">:  The growing requirements for maintaining diversity and inclusion in the operational standards of the event industry depict that the organisers are more conscious of maintaining an inclusive work culture. Irrespective of the background of the attendees, the conference events are designed on the importance of content to ensure quality </w:t>
      </w:r>
      <w:r w:rsidRPr="0057279F">
        <w:rPr>
          <w:lang w:val="en-GB"/>
        </w:rPr>
        <w:lastRenderedPageBreak/>
        <w:t xml:space="preserve">involvement of discussions using the opinion of the attendees (Armbrecht, 2021). The invitation to speakers for the conference events is designed by maintaining the standards to ensure the presence of diverse speaker panels in the process.  This includes the promotion of activities with a more inclusive culture maintained in the events as the core consideration from the event organisers. </w:t>
      </w:r>
    </w:p>
    <w:p w14:paraId="15C2EAE0" w14:textId="77777777" w:rsidR="004F1A0C" w:rsidRPr="0057279F" w:rsidRDefault="00EE14D3">
      <w:pPr>
        <w:pStyle w:val="Normal1"/>
        <w:rPr>
          <w:lang w:val="en-GB"/>
        </w:rPr>
      </w:pPr>
      <w:r w:rsidRPr="0057279F">
        <w:rPr>
          <w:lang w:val="en-GB"/>
        </w:rPr>
        <w:t xml:space="preserve">Considering all the mentioned perspectives, the industry trends are applicable for Hilton Hotels as the organisation is a pioneer in maintaining sustainable leadership standards in its event management. The specific requirements would be designed for the conference to be held regarding sustainability practices by measuring the usage of sustainable materials from the beginning to the end of the entire event. The continuous promotion and awareness of sustainability will be maintained in the MICE Event while the hotel authority will provide access to the attendees for attending their wellness workshops (Koumelis, 2023). This would be an exclusive feature for the delegates to introduce them to the delicacy of the event management style of the organisation. The sustainability concern in the event would be better conveyed to the delegates by providing them “Sound Healing Experience” that they could get between the breaks or after having lunch. </w:t>
      </w:r>
    </w:p>
    <w:p w14:paraId="71B9565C" w14:textId="77777777" w:rsidR="004F1A0C" w:rsidRPr="0057279F" w:rsidRDefault="00EE14D3">
      <w:pPr>
        <w:pStyle w:val="Heading1"/>
        <w:rPr>
          <w:lang w:val="en-GB"/>
        </w:rPr>
      </w:pPr>
      <w:bookmarkStart w:id="15" w:name="_9x6wo5v64m43" w:colFirst="0" w:colLast="0"/>
      <w:bookmarkEnd w:id="15"/>
      <w:r w:rsidRPr="0057279F">
        <w:rPr>
          <w:lang w:val="en-GB"/>
        </w:rPr>
        <w:br w:type="page"/>
      </w:r>
    </w:p>
    <w:p w14:paraId="6E32F018" w14:textId="77777777" w:rsidR="004F1A0C" w:rsidRPr="0057279F" w:rsidRDefault="00EE14D3">
      <w:pPr>
        <w:pStyle w:val="Heading1"/>
        <w:rPr>
          <w:lang w:val="en-GB"/>
        </w:rPr>
      </w:pPr>
      <w:bookmarkStart w:id="16" w:name="_k7dqutt6od29" w:colFirst="0" w:colLast="0"/>
      <w:bookmarkStart w:id="17" w:name="_Toc157279065"/>
      <w:bookmarkEnd w:id="16"/>
      <w:r w:rsidRPr="0057279F">
        <w:rPr>
          <w:lang w:val="en-GB"/>
        </w:rPr>
        <w:lastRenderedPageBreak/>
        <w:t>Cultural and Situational Considerations</w:t>
      </w:r>
      <w:bookmarkEnd w:id="17"/>
    </w:p>
    <w:p w14:paraId="3331BF7B" w14:textId="77777777" w:rsidR="004F1A0C" w:rsidRPr="0057279F" w:rsidRDefault="00EE14D3">
      <w:pPr>
        <w:pStyle w:val="Normal1"/>
        <w:rPr>
          <w:lang w:val="en-GB"/>
        </w:rPr>
      </w:pPr>
      <w:r w:rsidRPr="0057279F">
        <w:rPr>
          <w:b/>
          <w:i/>
          <w:lang w:val="en-GB"/>
        </w:rPr>
        <w:t>Cultural Sensitivity</w:t>
      </w:r>
      <w:r w:rsidRPr="0057279F">
        <w:rPr>
          <w:lang w:val="en-GB"/>
        </w:rPr>
        <w:t xml:space="preserve">: Following the greater perspective of the event to be held at Hilton Hotels, the wider cultural consideration includes the measures of cultural sensitivity in the process. Before arranging the MICE Event, the responsibility of the organiser is to look into the differences in culture for better communication establishment during the event (Liberty International Tourism Group, 2023). The focus on cultural sensitivity would enhance the prosperity of the event with a positive image in the event industry and hospitality services. </w:t>
      </w:r>
    </w:p>
    <w:p w14:paraId="168BA7C7" w14:textId="77777777" w:rsidR="004F1A0C" w:rsidRPr="0057279F" w:rsidRDefault="00EE14D3">
      <w:pPr>
        <w:pStyle w:val="Normal1"/>
        <w:rPr>
          <w:lang w:val="en-GB"/>
        </w:rPr>
      </w:pPr>
      <w:r w:rsidRPr="0057279F">
        <w:rPr>
          <w:b/>
          <w:i/>
          <w:lang w:val="en-GB"/>
        </w:rPr>
        <w:t>Technology Infrastructure</w:t>
      </w:r>
      <w:r w:rsidRPr="0057279F">
        <w:rPr>
          <w:lang w:val="en-GB"/>
        </w:rPr>
        <w:t xml:space="preserve">: The global change requirements in the application of advanced technology should be mandated in the technology infrastructure of the MICE Event as well. The concern of the “Sustainable Horizons Conference” will be better aligned in this process while the host venue needs to maintain seamless connectivity and real-time virtual assistance to the attendees of the event. </w:t>
      </w:r>
    </w:p>
    <w:p w14:paraId="06B04BD2" w14:textId="77777777" w:rsidR="004F1A0C" w:rsidRPr="0057279F" w:rsidRDefault="00EE14D3">
      <w:pPr>
        <w:pStyle w:val="Normal1"/>
        <w:rPr>
          <w:lang w:val="en-GB"/>
        </w:rPr>
      </w:pPr>
      <w:r w:rsidRPr="0057279F">
        <w:rPr>
          <w:b/>
          <w:i/>
          <w:lang w:val="en-GB"/>
        </w:rPr>
        <w:t>Local Customs and Traditions</w:t>
      </w:r>
      <w:r w:rsidRPr="0057279F">
        <w:rPr>
          <w:lang w:val="en-GB"/>
        </w:rPr>
        <w:t xml:space="preserve">: The achievement of Hilton Hotels in Malaysia covering the “Sustainability MICE Series” is the best example of maintaining local customs and traditions by the organisation with more possibilities in the tourism industry. The event organisation segment of the hotel would focus on presenting local customs while provisioning accommodations to the delegates to maintain a better professional relationship with them. </w:t>
      </w:r>
    </w:p>
    <w:p w14:paraId="3459788D" w14:textId="77777777" w:rsidR="004F1A0C" w:rsidRPr="0057279F" w:rsidRDefault="00EE14D3">
      <w:pPr>
        <w:pStyle w:val="Normal1"/>
        <w:rPr>
          <w:lang w:val="en-GB"/>
        </w:rPr>
      </w:pPr>
      <w:r w:rsidRPr="0057279F">
        <w:rPr>
          <w:b/>
          <w:i/>
          <w:lang w:val="en-GB"/>
        </w:rPr>
        <w:t>Business Practices and Etiquette</w:t>
      </w:r>
      <w:r w:rsidRPr="0057279F">
        <w:rPr>
          <w:lang w:val="en-GB"/>
        </w:rPr>
        <w:t xml:space="preserve">: The arrangement of the MICE Event should be more careful by following the business etiquette of the hosting country. The cultural prohibitions strictly followed in Malaysia should be acknowledged to the attendees to avoid any unpleasant consequences during or after the event. </w:t>
      </w:r>
    </w:p>
    <w:p w14:paraId="67729B14" w14:textId="77777777" w:rsidR="004F1A0C" w:rsidRPr="0057279F" w:rsidRDefault="00EE14D3">
      <w:pPr>
        <w:pStyle w:val="Normal1"/>
        <w:rPr>
          <w:lang w:val="en-GB"/>
        </w:rPr>
      </w:pPr>
      <w:r w:rsidRPr="0057279F">
        <w:rPr>
          <w:b/>
          <w:i/>
          <w:lang w:val="en-GB"/>
        </w:rPr>
        <w:t>Legal and Regulatory Compliance</w:t>
      </w:r>
      <w:r w:rsidRPr="0057279F">
        <w:rPr>
          <w:lang w:val="en-GB"/>
        </w:rPr>
        <w:t xml:space="preserve">: The governing policies and standards set by the county’s government should be mentioned to the attendees to take care of their stay at the hotel with adherence to all regulatory compliance in the process. The MICE Event should be followed up by a team of government officials one day before to ensure the presence of all required safety standards mentioned by the government as a part of regulatory compliance. </w:t>
      </w:r>
    </w:p>
    <w:p w14:paraId="32B430A6" w14:textId="77777777" w:rsidR="004F1A0C" w:rsidRPr="0057279F" w:rsidRDefault="00EE14D3">
      <w:pPr>
        <w:pStyle w:val="Normal1"/>
        <w:rPr>
          <w:lang w:val="en-GB"/>
        </w:rPr>
      </w:pPr>
      <w:r w:rsidRPr="0057279F">
        <w:rPr>
          <w:b/>
          <w:i/>
          <w:lang w:val="en-GB"/>
        </w:rPr>
        <w:t>Economic Factors</w:t>
      </w:r>
      <w:r w:rsidRPr="0057279F">
        <w:rPr>
          <w:lang w:val="en-GB"/>
        </w:rPr>
        <w:t xml:space="preserve">: The arrangement of the MICE Event should be followed up with the economic situation of the hosting country. This is a major factor in determining that the budget </w:t>
      </w:r>
      <w:r w:rsidRPr="0057279F">
        <w:rPr>
          <w:lang w:val="en-GB"/>
        </w:rPr>
        <w:lastRenderedPageBreak/>
        <w:t xml:space="preserve">plan for the event would be productive in terms of gaining the potential funding sources to make the event successful. </w:t>
      </w:r>
    </w:p>
    <w:p w14:paraId="45BB16BD" w14:textId="77777777" w:rsidR="004F1A0C" w:rsidRPr="0057279F" w:rsidRDefault="00EE14D3">
      <w:pPr>
        <w:pStyle w:val="Normal1"/>
        <w:rPr>
          <w:lang w:val="en-GB"/>
        </w:rPr>
      </w:pPr>
      <w:r w:rsidRPr="0057279F">
        <w:rPr>
          <w:b/>
          <w:i/>
          <w:lang w:val="en-GB"/>
        </w:rPr>
        <w:t>Weather and Climate</w:t>
      </w:r>
      <w:r w:rsidRPr="0057279F">
        <w:rPr>
          <w:lang w:val="en-GB"/>
        </w:rPr>
        <w:t xml:space="preserve">: The overall understanding and determination related to the MICE Event should meet the weather and climate situation of the hosting country as a core concern. Here, the event should be organised following the weather forecast to ensure that the attendees will not have communication or transportation issues due to disturbed or unpleasant weather. </w:t>
      </w:r>
    </w:p>
    <w:p w14:paraId="3564209C" w14:textId="77777777" w:rsidR="004F1A0C" w:rsidRPr="0057279F" w:rsidRDefault="00EE14D3">
      <w:pPr>
        <w:pStyle w:val="Heading1"/>
        <w:rPr>
          <w:lang w:val="en-GB"/>
        </w:rPr>
      </w:pPr>
      <w:bookmarkStart w:id="18" w:name="_jus9hajepwam" w:colFirst="0" w:colLast="0"/>
      <w:bookmarkStart w:id="19" w:name="_Toc157279066"/>
      <w:bookmarkEnd w:id="18"/>
      <w:r w:rsidRPr="0057279F">
        <w:rPr>
          <w:lang w:val="en-GB"/>
        </w:rPr>
        <w:t>Conclusion</w:t>
      </w:r>
      <w:bookmarkEnd w:id="19"/>
    </w:p>
    <w:p w14:paraId="5D43D33E" w14:textId="77777777" w:rsidR="004F1A0C" w:rsidRPr="0057279F" w:rsidRDefault="00EE14D3">
      <w:pPr>
        <w:pStyle w:val="Normal1"/>
        <w:rPr>
          <w:lang w:val="en-GB"/>
        </w:rPr>
      </w:pPr>
      <w:r w:rsidRPr="0057279F">
        <w:rPr>
          <w:lang w:val="en-GB"/>
        </w:rPr>
        <w:t xml:space="preserve">The overall discussion on the requirements for conducting a successful MICE Event depicts the opportunities for the conference event to be conducted on the topics of sustainability. The opportunities involved in the event are discussed with the measures covering better access to the future of the tourism industry with better hospitality infrastructure. </w:t>
      </w:r>
      <w:r w:rsidRPr="0057279F">
        <w:rPr>
          <w:lang w:val="en-GB"/>
        </w:rPr>
        <w:br w:type="page"/>
      </w:r>
    </w:p>
    <w:p w14:paraId="0E0BD1CF" w14:textId="77777777" w:rsidR="004F1A0C" w:rsidRPr="0057279F" w:rsidRDefault="00EE14D3">
      <w:pPr>
        <w:pStyle w:val="Heading1"/>
        <w:rPr>
          <w:lang w:val="en-GB"/>
        </w:rPr>
      </w:pPr>
      <w:bookmarkStart w:id="20" w:name="_h5ztft6em5fk" w:colFirst="0" w:colLast="0"/>
      <w:bookmarkStart w:id="21" w:name="_Toc157279067"/>
      <w:bookmarkEnd w:id="20"/>
      <w:r w:rsidRPr="0057279F">
        <w:rPr>
          <w:lang w:val="en-GB"/>
        </w:rPr>
        <w:lastRenderedPageBreak/>
        <w:t>Reference List</w:t>
      </w:r>
      <w:bookmarkEnd w:id="21"/>
    </w:p>
    <w:p w14:paraId="767CB555" w14:textId="77777777" w:rsidR="004F1A0C" w:rsidRPr="0057279F" w:rsidRDefault="00EE14D3">
      <w:pPr>
        <w:pStyle w:val="Normal1"/>
        <w:spacing w:before="0" w:after="240"/>
        <w:rPr>
          <w:lang w:val="en-GB"/>
        </w:rPr>
      </w:pPr>
      <w:r w:rsidRPr="0057279F">
        <w:rPr>
          <w:lang w:val="en-GB"/>
        </w:rPr>
        <w:t xml:space="preserve">Ahmed, A. and Sintayehu, B. (2022) ‘Implementation of Covid-19 protection protocols and its implication on learning &amp; teaching in public schools’, </w:t>
      </w:r>
      <w:r w:rsidRPr="0057279F">
        <w:rPr>
          <w:i/>
          <w:lang w:val="en-GB"/>
        </w:rPr>
        <w:t>Heliyon</w:t>
      </w:r>
      <w:r w:rsidRPr="0057279F">
        <w:rPr>
          <w:lang w:val="en-GB"/>
        </w:rPr>
        <w:t>, 8(5), p. e09362. Available at: https://doi.org/10.1016/j.heliyon.2022.e09362.</w:t>
      </w:r>
    </w:p>
    <w:p w14:paraId="2945747E" w14:textId="77777777" w:rsidR="004F1A0C" w:rsidRPr="0057279F" w:rsidRDefault="00EE14D3">
      <w:pPr>
        <w:pStyle w:val="Normal1"/>
        <w:spacing w:before="0" w:after="240"/>
        <w:rPr>
          <w:lang w:val="en-GB"/>
        </w:rPr>
      </w:pPr>
      <w:r w:rsidRPr="0057279F">
        <w:rPr>
          <w:lang w:val="en-GB"/>
        </w:rPr>
        <w:t xml:space="preserve">Armbrecht, J. (2021) ‘Event quality, perceived value, satisfaction and behavioural intentions in an event context’, </w:t>
      </w:r>
      <w:r w:rsidRPr="0057279F">
        <w:rPr>
          <w:i/>
          <w:lang w:val="en-GB"/>
        </w:rPr>
        <w:t>Scandinavian Journal of Hospitality and Tourism</w:t>
      </w:r>
      <w:r w:rsidRPr="0057279F">
        <w:rPr>
          <w:lang w:val="en-GB"/>
        </w:rPr>
        <w:t>, 21(2), pp. 169–191. Available at: https://doi.org/10.1080/15022250.2021.1877191.</w:t>
      </w:r>
    </w:p>
    <w:p w14:paraId="6892CDED" w14:textId="77777777" w:rsidR="004F1A0C" w:rsidRPr="0057279F" w:rsidRDefault="00EE14D3">
      <w:pPr>
        <w:pStyle w:val="Normal1"/>
        <w:spacing w:before="0" w:after="240"/>
        <w:rPr>
          <w:lang w:val="en-GB"/>
        </w:rPr>
      </w:pPr>
      <w:r w:rsidRPr="0057279F">
        <w:rPr>
          <w:lang w:val="en-GB"/>
        </w:rPr>
        <w:t xml:space="preserve">Brescia-Zapata, M. (2023) ‘Towards sustainable and accessible events: an exploratory research perspective’, </w:t>
      </w:r>
      <w:r w:rsidRPr="0057279F">
        <w:rPr>
          <w:i/>
          <w:lang w:val="en-GB"/>
        </w:rPr>
        <w:t>Universal Access in the Information Society</w:t>
      </w:r>
      <w:r w:rsidRPr="0057279F">
        <w:rPr>
          <w:lang w:val="en-GB"/>
        </w:rPr>
        <w:t>, pp. 1–10. Available at: https://doi.org/10.1007/s10209-023-01069-9.</w:t>
      </w:r>
    </w:p>
    <w:p w14:paraId="62F2FA3A" w14:textId="77777777" w:rsidR="004F1A0C" w:rsidRPr="0057279F" w:rsidRDefault="00EE14D3">
      <w:pPr>
        <w:pStyle w:val="Normal1"/>
        <w:spacing w:before="0" w:after="240"/>
        <w:rPr>
          <w:lang w:val="en-GB"/>
        </w:rPr>
      </w:pPr>
      <w:r w:rsidRPr="0057279F">
        <w:rPr>
          <w:lang w:val="en-GB"/>
        </w:rPr>
        <w:t xml:space="preserve">Coles, T. </w:t>
      </w:r>
      <w:r w:rsidRPr="0057279F">
        <w:rPr>
          <w:i/>
          <w:lang w:val="en-GB"/>
        </w:rPr>
        <w:t>et al.</w:t>
      </w:r>
      <w:r w:rsidRPr="0057279F">
        <w:rPr>
          <w:lang w:val="en-GB"/>
        </w:rPr>
        <w:t xml:space="preserve"> (2022) ‘Experiencing Event Management During the Coronavirus Pandemic: A Public Sector Perspective’, </w:t>
      </w:r>
      <w:r w:rsidRPr="0057279F">
        <w:rPr>
          <w:i/>
          <w:lang w:val="en-GB"/>
        </w:rPr>
        <w:t>Frontiers in Sports and Active Living</w:t>
      </w:r>
      <w:r w:rsidRPr="0057279F">
        <w:rPr>
          <w:lang w:val="en-GB"/>
        </w:rPr>
        <w:t>, 3, p. 814146. Available at: https://doi.org/10.3389/fspor.2021.814146.</w:t>
      </w:r>
    </w:p>
    <w:p w14:paraId="1E7669F3" w14:textId="77777777" w:rsidR="004F1A0C" w:rsidRPr="0057279F" w:rsidRDefault="00EE14D3">
      <w:pPr>
        <w:pStyle w:val="Normal1"/>
        <w:spacing w:before="0" w:after="240"/>
        <w:rPr>
          <w:lang w:val="en-GB"/>
        </w:rPr>
      </w:pPr>
      <w:r w:rsidRPr="0057279F">
        <w:rPr>
          <w:lang w:val="en-GB"/>
        </w:rPr>
        <w:t xml:space="preserve">Colombo, A. and Marques, L. (2019) ‘Motivation and experience in symbiotic events: an illustrative example grounded in culture and business events’, </w:t>
      </w:r>
      <w:r w:rsidRPr="0057279F">
        <w:rPr>
          <w:i/>
          <w:lang w:val="en-GB"/>
        </w:rPr>
        <w:t>Journal of Policy Research in Tourism, Leisure and Events</w:t>
      </w:r>
      <w:r w:rsidRPr="0057279F">
        <w:rPr>
          <w:lang w:val="en-GB"/>
        </w:rPr>
        <w:t>, 12(2), pp. 1–17. Available at: https://doi.org/10.1080/19407963.2019.1657437.</w:t>
      </w:r>
    </w:p>
    <w:p w14:paraId="3FCB51D0" w14:textId="77777777" w:rsidR="004F1A0C" w:rsidRPr="0057279F" w:rsidRDefault="00EE14D3">
      <w:pPr>
        <w:pStyle w:val="Normal1"/>
        <w:spacing w:before="0" w:after="240"/>
        <w:rPr>
          <w:lang w:val="en-GB"/>
        </w:rPr>
      </w:pPr>
      <w:r w:rsidRPr="0057279F">
        <w:rPr>
          <w:lang w:val="en-GB"/>
        </w:rPr>
        <w:t xml:space="preserve">Eat Drink Hilton (2023) </w:t>
      </w:r>
      <w:r w:rsidRPr="0057279F">
        <w:rPr>
          <w:i/>
          <w:lang w:val="en-GB"/>
        </w:rPr>
        <w:t>MICE at Hilton: Various Venues for Your Ultimate Team Getaway</w:t>
      </w:r>
      <w:r w:rsidRPr="0057279F">
        <w:rPr>
          <w:lang w:val="en-GB"/>
        </w:rPr>
        <w:t xml:space="preserve">, </w:t>
      </w:r>
      <w:r w:rsidRPr="0057279F">
        <w:rPr>
          <w:i/>
          <w:lang w:val="en-GB"/>
        </w:rPr>
        <w:t>Eat. Drink. Hilton.</w:t>
      </w:r>
      <w:r w:rsidRPr="0057279F">
        <w:rPr>
          <w:lang w:val="en-GB"/>
        </w:rPr>
        <w:t xml:space="preserve"> Available at: https://eatdrinkhilton.com/mice-at-hilton-various-venues-for-your-ultimate-team-getaway/ (Accessed: 27 January 2024).</w:t>
      </w:r>
    </w:p>
    <w:p w14:paraId="760E7DCA" w14:textId="77777777" w:rsidR="004F1A0C" w:rsidRPr="0057279F" w:rsidRDefault="00EE14D3">
      <w:pPr>
        <w:pStyle w:val="Normal1"/>
        <w:spacing w:before="0" w:after="240"/>
        <w:rPr>
          <w:lang w:val="en-GB"/>
        </w:rPr>
      </w:pPr>
      <w:r w:rsidRPr="0057279F">
        <w:rPr>
          <w:lang w:val="en-GB"/>
        </w:rPr>
        <w:t xml:space="preserve">Koumelis, T. (2023) </w:t>
      </w:r>
      <w:r w:rsidRPr="0057279F">
        <w:rPr>
          <w:i/>
          <w:lang w:val="en-GB"/>
        </w:rPr>
        <w:t>Hilton leads the way in infusing wellness into MICE events</w:t>
      </w:r>
      <w:r w:rsidRPr="0057279F">
        <w:rPr>
          <w:lang w:val="en-GB"/>
        </w:rPr>
        <w:t xml:space="preserve">, </w:t>
      </w:r>
      <w:r w:rsidRPr="0057279F">
        <w:rPr>
          <w:i/>
          <w:lang w:val="en-GB"/>
        </w:rPr>
        <w:t>TravelDailyNews Asia &amp; Pacific</w:t>
      </w:r>
      <w:r w:rsidRPr="0057279F">
        <w:rPr>
          <w:lang w:val="en-GB"/>
        </w:rPr>
        <w:t>. Available at: https://www.traveldailynews.asia/mice-industry/hilton-leads-the-way-in-infusing-wellness-into-mice-events/ (Accessed: 27 January 2024).</w:t>
      </w:r>
    </w:p>
    <w:p w14:paraId="24FC976F" w14:textId="77777777" w:rsidR="004F1A0C" w:rsidRPr="0057279F" w:rsidRDefault="00EE14D3">
      <w:pPr>
        <w:pStyle w:val="Normal1"/>
        <w:spacing w:before="0" w:after="240"/>
        <w:rPr>
          <w:lang w:val="en-GB"/>
        </w:rPr>
      </w:pPr>
      <w:r w:rsidRPr="0057279F">
        <w:rPr>
          <w:lang w:val="en-GB"/>
        </w:rPr>
        <w:t xml:space="preserve">Liberty International Tourism Group (2023) </w:t>
      </w:r>
      <w:r w:rsidRPr="0057279F">
        <w:rPr>
          <w:i/>
          <w:lang w:val="en-GB"/>
        </w:rPr>
        <w:t>Inclusivity and Diversity in MICE Events: Fostering an Empowering Environment</w:t>
      </w:r>
      <w:r w:rsidRPr="0057279F">
        <w:rPr>
          <w:lang w:val="en-GB"/>
        </w:rPr>
        <w:t xml:space="preserve">, </w:t>
      </w:r>
      <w:r w:rsidRPr="0057279F">
        <w:rPr>
          <w:i/>
          <w:lang w:val="en-GB"/>
        </w:rPr>
        <w:t>www.linkedin.com</w:t>
      </w:r>
      <w:r w:rsidRPr="0057279F">
        <w:rPr>
          <w:lang w:val="en-GB"/>
        </w:rPr>
        <w:t xml:space="preserve">. Available at: </w:t>
      </w:r>
      <w:r w:rsidRPr="0057279F">
        <w:rPr>
          <w:lang w:val="en-GB"/>
        </w:rPr>
        <w:lastRenderedPageBreak/>
        <w:t>https://www.linkedin.com/pulse/inclusivity-diversity-mice-events-fostering/ (Accessed: 27 January 2024).</w:t>
      </w:r>
    </w:p>
    <w:p w14:paraId="094A4A47" w14:textId="77777777" w:rsidR="004F1A0C" w:rsidRPr="0057279F" w:rsidRDefault="00EE14D3">
      <w:pPr>
        <w:pStyle w:val="Normal1"/>
        <w:spacing w:before="0" w:after="240"/>
        <w:rPr>
          <w:lang w:val="en-GB"/>
        </w:rPr>
      </w:pPr>
      <w:r w:rsidRPr="0057279F">
        <w:rPr>
          <w:lang w:val="en-GB"/>
        </w:rPr>
        <w:t xml:space="preserve">Nižetić, S. </w:t>
      </w:r>
      <w:r w:rsidRPr="0057279F">
        <w:rPr>
          <w:i/>
          <w:lang w:val="en-GB"/>
        </w:rPr>
        <w:t>et al.</w:t>
      </w:r>
      <w:r w:rsidRPr="0057279F">
        <w:rPr>
          <w:lang w:val="en-GB"/>
        </w:rPr>
        <w:t xml:space="preserve"> (2019) ‘Smart technologies for promotion of energy efficiency, utilization of sustainable resources and waste management’, </w:t>
      </w:r>
      <w:r w:rsidRPr="0057279F">
        <w:rPr>
          <w:i/>
          <w:lang w:val="en-GB"/>
        </w:rPr>
        <w:t>Journal of Cleaner Production</w:t>
      </w:r>
      <w:r w:rsidRPr="0057279F">
        <w:rPr>
          <w:lang w:val="en-GB"/>
        </w:rPr>
        <w:t>, 231, pp. 565–591. Available at: https://doi.org/10.1016/j.jclepro.2019.04.397.</w:t>
      </w:r>
    </w:p>
    <w:p w14:paraId="02104E2E" w14:textId="77777777" w:rsidR="004F1A0C" w:rsidRPr="0057279F" w:rsidRDefault="00EE14D3">
      <w:pPr>
        <w:pStyle w:val="Normal1"/>
        <w:spacing w:before="0" w:after="240"/>
        <w:rPr>
          <w:lang w:val="en-GB"/>
        </w:rPr>
      </w:pPr>
      <w:r w:rsidRPr="0057279F">
        <w:rPr>
          <w:lang w:val="en-GB"/>
        </w:rPr>
        <w:t xml:space="preserve">Singh, A.P. and Rahman, Z. (2021) ‘Integrating corporate sustainability and sustainable development goals: towards a multi-stakeholder framework’, </w:t>
      </w:r>
      <w:r w:rsidRPr="0057279F">
        <w:rPr>
          <w:i/>
          <w:lang w:val="en-GB"/>
        </w:rPr>
        <w:t>Cogent Business &amp; Management</w:t>
      </w:r>
      <w:r w:rsidRPr="0057279F">
        <w:rPr>
          <w:lang w:val="en-GB"/>
        </w:rPr>
        <w:t>. Edited by F. Olan, 8(1), p. 1985686. Available at: https://doi.org/10.1080/23311975.2021.1985686.</w:t>
      </w:r>
    </w:p>
    <w:p w14:paraId="4693D9A8" w14:textId="77777777" w:rsidR="004F1A0C" w:rsidRPr="0057279F" w:rsidRDefault="00EE14D3">
      <w:pPr>
        <w:pStyle w:val="Normal1"/>
        <w:spacing w:before="0" w:after="240"/>
        <w:rPr>
          <w:lang w:val="en-GB"/>
        </w:rPr>
      </w:pPr>
      <w:r w:rsidRPr="0057279F">
        <w:rPr>
          <w:lang w:val="en-GB"/>
        </w:rPr>
        <w:t xml:space="preserve">Tóffano Pereira, R.P., Filimonau, V. and Ribeiro, G.M. (2020) ‘Projecting the carbon footprint of tourist accommodation at the 2030 FIFA World Cup’, </w:t>
      </w:r>
      <w:r w:rsidRPr="0057279F">
        <w:rPr>
          <w:i/>
          <w:lang w:val="en-GB"/>
        </w:rPr>
        <w:t>Cleaner and Responsible Consumption</w:t>
      </w:r>
      <w:r w:rsidRPr="0057279F">
        <w:rPr>
          <w:lang w:val="en-GB"/>
        </w:rPr>
        <w:t>, 1, p. 100004. Available at: https://doi.org/10.1016/j.clrc.2020.100004.</w:t>
      </w:r>
    </w:p>
    <w:p w14:paraId="3111DC8C" w14:textId="77777777" w:rsidR="004F1A0C" w:rsidRPr="0057279F" w:rsidRDefault="00EE14D3">
      <w:pPr>
        <w:pStyle w:val="Normal1"/>
        <w:spacing w:before="0" w:after="240"/>
        <w:rPr>
          <w:lang w:val="en-GB"/>
        </w:rPr>
      </w:pPr>
      <w:r w:rsidRPr="0057279F">
        <w:rPr>
          <w:lang w:val="en-GB"/>
        </w:rPr>
        <w:t xml:space="preserve">Trisnayoni, R.A., Astawa, I.P. and Sutama, I.K. (2022) ‘Sustainable MICE Event Practices: An Explorative Study’, </w:t>
      </w:r>
      <w:r w:rsidRPr="0057279F">
        <w:rPr>
          <w:i/>
          <w:lang w:val="en-GB"/>
        </w:rPr>
        <w:t>International Journal of Travel, Hospitality and Events</w:t>
      </w:r>
      <w:r w:rsidRPr="0057279F">
        <w:rPr>
          <w:lang w:val="en-GB"/>
        </w:rPr>
        <w:t>, 1(1), pp. 74–82. Available at: https://doi.org/10.56743/ijothe.v1i1.9.</w:t>
      </w:r>
    </w:p>
    <w:p w14:paraId="1546C187" w14:textId="77777777" w:rsidR="004F1A0C" w:rsidRPr="0057279F" w:rsidRDefault="00EE14D3">
      <w:pPr>
        <w:pStyle w:val="Normal1"/>
        <w:spacing w:before="0" w:after="240"/>
        <w:rPr>
          <w:lang w:val="en-GB"/>
        </w:rPr>
      </w:pPr>
      <w:r w:rsidRPr="0057279F">
        <w:rPr>
          <w:lang w:val="en-GB"/>
        </w:rPr>
        <w:t xml:space="preserve">Wee, H., Mustapha, N.A. and Anas, M.S. (2021) ‘Characteristic of Green Event Practices in MICE Tourism: A Systematic Literature Review’, </w:t>
      </w:r>
      <w:r w:rsidRPr="0057279F">
        <w:rPr>
          <w:i/>
          <w:lang w:val="en-GB"/>
        </w:rPr>
        <w:t>International Journal of Academic Research in Business and Social Sciences</w:t>
      </w:r>
      <w:r w:rsidRPr="0057279F">
        <w:rPr>
          <w:lang w:val="en-GB"/>
        </w:rPr>
        <w:t>, 11(16), pp. 271–291. Available at: http://dx.doi.org/10.6007/IJARBSS/v11-i16/11234.</w:t>
      </w:r>
    </w:p>
    <w:sectPr w:rsidR="004F1A0C" w:rsidRPr="0057279F" w:rsidSect="00E410BC">
      <w:footerReference w:type="defaul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1D90E" w14:textId="77777777" w:rsidR="00E410BC" w:rsidRDefault="00E410BC" w:rsidP="004F1A0C">
      <w:pPr>
        <w:spacing w:before="0" w:after="0" w:line="240" w:lineRule="auto"/>
      </w:pPr>
      <w:r>
        <w:separator/>
      </w:r>
    </w:p>
  </w:endnote>
  <w:endnote w:type="continuationSeparator" w:id="0">
    <w:p w14:paraId="2C720F96" w14:textId="77777777" w:rsidR="00E410BC" w:rsidRDefault="00E410BC" w:rsidP="004F1A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6F9A5" w14:textId="77777777" w:rsidR="004F1A0C" w:rsidRDefault="00A96A9D">
    <w:pPr>
      <w:pStyle w:val="Normal1"/>
      <w:jc w:val="right"/>
    </w:pPr>
    <w:r>
      <w:fldChar w:fldCharType="begin"/>
    </w:r>
    <w:r w:rsidR="00EE14D3">
      <w:instrText>PAGE</w:instrText>
    </w:r>
    <w:r>
      <w:fldChar w:fldCharType="separate"/>
    </w:r>
    <w:r w:rsidR="00137539">
      <w:rPr>
        <w:noProof/>
      </w:rPr>
      <w:t>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5FCEF" w14:textId="77777777" w:rsidR="004F1A0C" w:rsidRDefault="004F1A0C">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21364" w14:textId="77777777" w:rsidR="00E410BC" w:rsidRDefault="00E410BC" w:rsidP="004F1A0C">
      <w:pPr>
        <w:spacing w:before="0" w:after="0" w:line="240" w:lineRule="auto"/>
      </w:pPr>
      <w:r>
        <w:separator/>
      </w:r>
    </w:p>
  </w:footnote>
  <w:footnote w:type="continuationSeparator" w:id="0">
    <w:p w14:paraId="2A200723" w14:textId="77777777" w:rsidR="00E410BC" w:rsidRDefault="00E410BC" w:rsidP="004F1A0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C06FD3"/>
    <w:multiLevelType w:val="multilevel"/>
    <w:tmpl w:val="FE9E9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4278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1A0C"/>
    <w:rsid w:val="00137539"/>
    <w:rsid w:val="004A1CD7"/>
    <w:rsid w:val="004F1A0C"/>
    <w:rsid w:val="0057279F"/>
    <w:rsid w:val="00843DB2"/>
    <w:rsid w:val="00A96A9D"/>
    <w:rsid w:val="00E15C79"/>
    <w:rsid w:val="00E410BC"/>
    <w:rsid w:val="00EE1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319A"/>
  <w15:docId w15:val="{09CD2799-1F82-4A81-BE6C-D3E06F03E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A9D"/>
    <w:rPr>
      <w:lang w:val="en-GB"/>
    </w:rPr>
  </w:style>
  <w:style w:type="paragraph" w:styleId="Heading1">
    <w:name w:val="heading 1"/>
    <w:basedOn w:val="Normal1"/>
    <w:next w:val="Normal1"/>
    <w:rsid w:val="004F1A0C"/>
    <w:pPr>
      <w:keepNext/>
      <w:keepLines/>
      <w:outlineLvl w:val="0"/>
    </w:pPr>
    <w:rPr>
      <w:b/>
    </w:rPr>
  </w:style>
  <w:style w:type="paragraph" w:styleId="Heading2">
    <w:name w:val="heading 2"/>
    <w:basedOn w:val="Normal1"/>
    <w:next w:val="Normal1"/>
    <w:rsid w:val="004F1A0C"/>
    <w:pPr>
      <w:keepNext/>
      <w:keepLines/>
      <w:spacing w:before="360"/>
      <w:outlineLvl w:val="1"/>
    </w:pPr>
    <w:rPr>
      <w:sz w:val="32"/>
      <w:szCs w:val="32"/>
    </w:rPr>
  </w:style>
  <w:style w:type="paragraph" w:styleId="Heading3">
    <w:name w:val="heading 3"/>
    <w:basedOn w:val="Normal1"/>
    <w:next w:val="Normal1"/>
    <w:rsid w:val="004F1A0C"/>
    <w:pPr>
      <w:keepNext/>
      <w:keepLines/>
      <w:spacing w:before="320" w:after="80"/>
      <w:outlineLvl w:val="2"/>
    </w:pPr>
    <w:rPr>
      <w:color w:val="434343"/>
      <w:sz w:val="28"/>
      <w:szCs w:val="28"/>
    </w:rPr>
  </w:style>
  <w:style w:type="paragraph" w:styleId="Heading4">
    <w:name w:val="heading 4"/>
    <w:basedOn w:val="Normal1"/>
    <w:next w:val="Normal1"/>
    <w:rsid w:val="004F1A0C"/>
    <w:pPr>
      <w:keepNext/>
      <w:keepLines/>
      <w:spacing w:before="280" w:after="80"/>
      <w:outlineLvl w:val="3"/>
    </w:pPr>
    <w:rPr>
      <w:color w:val="666666"/>
    </w:rPr>
  </w:style>
  <w:style w:type="paragraph" w:styleId="Heading5">
    <w:name w:val="heading 5"/>
    <w:basedOn w:val="Normal1"/>
    <w:next w:val="Normal1"/>
    <w:rsid w:val="004F1A0C"/>
    <w:pPr>
      <w:keepNext/>
      <w:keepLines/>
      <w:spacing w:before="240" w:after="80"/>
      <w:outlineLvl w:val="4"/>
    </w:pPr>
    <w:rPr>
      <w:color w:val="666666"/>
      <w:sz w:val="22"/>
      <w:szCs w:val="22"/>
    </w:rPr>
  </w:style>
  <w:style w:type="paragraph" w:styleId="Heading6">
    <w:name w:val="heading 6"/>
    <w:basedOn w:val="Normal1"/>
    <w:next w:val="Normal1"/>
    <w:rsid w:val="004F1A0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F1A0C"/>
  </w:style>
  <w:style w:type="paragraph" w:styleId="Title">
    <w:name w:val="Title"/>
    <w:basedOn w:val="Normal1"/>
    <w:next w:val="Normal1"/>
    <w:rsid w:val="004F1A0C"/>
    <w:pPr>
      <w:keepNext/>
      <w:keepLines/>
      <w:spacing w:before="0" w:after="60"/>
    </w:pPr>
    <w:rPr>
      <w:sz w:val="52"/>
      <w:szCs w:val="52"/>
    </w:rPr>
  </w:style>
  <w:style w:type="paragraph" w:styleId="Subtitle">
    <w:name w:val="Subtitle"/>
    <w:basedOn w:val="Normal1"/>
    <w:next w:val="Normal1"/>
    <w:rsid w:val="004F1A0C"/>
    <w:pPr>
      <w:keepNext/>
      <w:keepLines/>
      <w:spacing w:before="0" w:after="320"/>
    </w:pPr>
    <w:rPr>
      <w:rFonts w:ascii="Arial" w:eastAsia="Arial" w:hAnsi="Arial" w:cs="Arial"/>
      <w:color w:val="666666"/>
      <w:sz w:val="30"/>
      <w:szCs w:val="30"/>
    </w:rPr>
  </w:style>
  <w:style w:type="table" w:customStyle="1" w:styleId="a">
    <w:basedOn w:val="TableNormal"/>
    <w:rsid w:val="004F1A0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7279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79F"/>
    <w:rPr>
      <w:rFonts w:ascii="Tahoma" w:hAnsi="Tahoma" w:cs="Tahoma"/>
      <w:sz w:val="16"/>
      <w:szCs w:val="16"/>
    </w:rPr>
  </w:style>
  <w:style w:type="paragraph" w:styleId="TOCHeading">
    <w:name w:val="TOC Heading"/>
    <w:basedOn w:val="Heading1"/>
    <w:next w:val="Normal"/>
    <w:uiPriority w:val="39"/>
    <w:semiHidden/>
    <w:unhideWhenUsed/>
    <w:qFormat/>
    <w:rsid w:val="00EE14D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E14D3"/>
    <w:pPr>
      <w:spacing w:after="100"/>
    </w:pPr>
  </w:style>
  <w:style w:type="character" w:styleId="Hyperlink">
    <w:name w:val="Hyperlink"/>
    <w:basedOn w:val="DefaultParagraphFont"/>
    <w:uiPriority w:val="99"/>
    <w:unhideWhenUsed/>
    <w:rsid w:val="00EE14D3"/>
    <w:rPr>
      <w:color w:val="0000FF" w:themeColor="hyperlink"/>
      <w:u w:val="single"/>
    </w:rPr>
  </w:style>
  <w:style w:type="paragraph" w:styleId="Caption">
    <w:name w:val="caption"/>
    <w:basedOn w:val="Normal"/>
    <w:next w:val="Normal"/>
    <w:uiPriority w:val="35"/>
    <w:unhideWhenUsed/>
    <w:qFormat/>
    <w:rsid w:val="00EE14D3"/>
    <w:pPr>
      <w:spacing w:before="0" w:after="200"/>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310777">
      <w:bodyDiv w:val="1"/>
      <w:marLeft w:val="0"/>
      <w:marRight w:val="0"/>
      <w:marTop w:val="0"/>
      <w:marBottom w:val="0"/>
      <w:divBdr>
        <w:top w:val="none" w:sz="0" w:space="0" w:color="auto"/>
        <w:left w:val="none" w:sz="0" w:space="0" w:color="auto"/>
        <w:bottom w:val="none" w:sz="0" w:space="0" w:color="auto"/>
        <w:right w:val="none" w:sz="0" w:space="0" w:color="auto"/>
      </w:divBdr>
      <w:divsChild>
        <w:div w:id="527180980">
          <w:marLeft w:val="547"/>
          <w:marRight w:val="0"/>
          <w:marTop w:val="0"/>
          <w:marBottom w:val="0"/>
          <w:divBdr>
            <w:top w:val="none" w:sz="0" w:space="0" w:color="auto"/>
            <w:left w:val="none" w:sz="0" w:space="0" w:color="auto"/>
            <w:bottom w:val="none" w:sz="0" w:space="0" w:color="auto"/>
            <w:right w:val="none" w:sz="0" w:space="0" w:color="auto"/>
          </w:divBdr>
        </w:div>
      </w:divsChild>
    </w:div>
    <w:div w:id="1716351468">
      <w:bodyDiv w:val="1"/>
      <w:marLeft w:val="0"/>
      <w:marRight w:val="0"/>
      <w:marTop w:val="0"/>
      <w:marBottom w:val="0"/>
      <w:divBdr>
        <w:top w:val="none" w:sz="0" w:space="0" w:color="auto"/>
        <w:left w:val="none" w:sz="0" w:space="0" w:color="auto"/>
        <w:bottom w:val="none" w:sz="0" w:space="0" w:color="auto"/>
        <w:right w:val="none" w:sz="0" w:space="0" w:color="auto"/>
      </w:divBdr>
      <w:divsChild>
        <w:div w:id="1629042554">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79E9BD-EAE9-44CD-99DA-A25CC2DE6276}"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E6955B43-25C0-4011-8EBA-C0C27FF2A40A}">
      <dgm:prSet phldrT="[Text]" custT="1"/>
      <dgm:spPr/>
      <dgm:t>
        <a:bodyPr/>
        <a:lstStyle/>
        <a:p>
          <a:r>
            <a:rPr lang="en-US" sz="1200" b="1">
              <a:latin typeface="Times New Roman" pitchFamily="18" charset="0"/>
              <a:cs typeface="Times New Roman" pitchFamily="18" charset="0"/>
            </a:rPr>
            <a:t>Stages of Event Cycle</a:t>
          </a:r>
        </a:p>
      </dgm:t>
    </dgm:pt>
    <dgm:pt modelId="{BF474A2E-872B-4F71-8CF4-1D7FEDBE0988}" type="parTrans" cxnId="{56EF6765-22FC-4B54-9C54-A7C12858BEAE}">
      <dgm:prSet/>
      <dgm:spPr/>
      <dgm:t>
        <a:bodyPr/>
        <a:lstStyle/>
        <a:p>
          <a:endParaRPr lang="en-US"/>
        </a:p>
      </dgm:t>
    </dgm:pt>
    <dgm:pt modelId="{FCD02D37-02B8-41D3-900B-A7CF5D591A52}" type="sibTrans" cxnId="{56EF6765-22FC-4B54-9C54-A7C12858BEAE}">
      <dgm:prSet/>
      <dgm:spPr/>
      <dgm:t>
        <a:bodyPr/>
        <a:lstStyle/>
        <a:p>
          <a:endParaRPr lang="en-US"/>
        </a:p>
      </dgm:t>
    </dgm:pt>
    <dgm:pt modelId="{7A5943B2-8991-43F6-96F8-9F1AA6A891EA}">
      <dgm:prSet phldrT="[Text]" custT="1"/>
      <dgm:spPr/>
      <dgm:t>
        <a:bodyPr/>
        <a:lstStyle/>
        <a:p>
          <a:r>
            <a:rPr lang="en-GB" sz="1200" b="1">
              <a:latin typeface="Times New Roman" pitchFamily="18" charset="0"/>
              <a:cs typeface="Times New Roman" pitchFamily="18" charset="0"/>
            </a:rPr>
            <a:t>Plan</a:t>
          </a:r>
          <a:endParaRPr lang="en-US" sz="1200" b="1">
            <a:latin typeface="Times New Roman" pitchFamily="18" charset="0"/>
            <a:cs typeface="Times New Roman" pitchFamily="18" charset="0"/>
          </a:endParaRPr>
        </a:p>
      </dgm:t>
    </dgm:pt>
    <dgm:pt modelId="{D3D9E01F-F2A5-45C8-AD9F-793D8B217EE8}" type="parTrans" cxnId="{0C8D1325-5AB9-460B-8F0E-26622386F05E}">
      <dgm:prSet/>
      <dgm:spPr/>
      <dgm:t>
        <a:bodyPr/>
        <a:lstStyle/>
        <a:p>
          <a:endParaRPr lang="en-US"/>
        </a:p>
      </dgm:t>
    </dgm:pt>
    <dgm:pt modelId="{28CE41B0-5EB9-43CE-B446-B6ABD6AC9E11}" type="sibTrans" cxnId="{0C8D1325-5AB9-460B-8F0E-26622386F05E}">
      <dgm:prSet/>
      <dgm:spPr/>
      <dgm:t>
        <a:bodyPr/>
        <a:lstStyle/>
        <a:p>
          <a:endParaRPr lang="en-US"/>
        </a:p>
      </dgm:t>
    </dgm:pt>
    <dgm:pt modelId="{B27E7683-B377-4856-90F0-D9847606440D}">
      <dgm:prSet custT="1"/>
      <dgm:spPr/>
      <dgm:t>
        <a:bodyPr/>
        <a:lstStyle/>
        <a:p>
          <a:r>
            <a:rPr lang="en-GB" sz="1200" b="1">
              <a:latin typeface="Times New Roman" pitchFamily="18" charset="0"/>
              <a:cs typeface="Times New Roman" pitchFamily="18" charset="0"/>
            </a:rPr>
            <a:t>Organise</a:t>
          </a:r>
          <a:endParaRPr lang="en-US" sz="1200" b="1">
            <a:latin typeface="Times New Roman" pitchFamily="18" charset="0"/>
            <a:cs typeface="Times New Roman" pitchFamily="18" charset="0"/>
          </a:endParaRPr>
        </a:p>
      </dgm:t>
    </dgm:pt>
    <dgm:pt modelId="{6EDD924F-5BEA-43C8-A88E-DAEBE13138BD}" type="parTrans" cxnId="{8F5891ED-34C0-40C7-AA3F-57F200126856}">
      <dgm:prSet/>
      <dgm:spPr/>
      <dgm:t>
        <a:bodyPr/>
        <a:lstStyle/>
        <a:p>
          <a:endParaRPr lang="en-US"/>
        </a:p>
      </dgm:t>
    </dgm:pt>
    <dgm:pt modelId="{9F66EDBC-793A-4EA1-9759-EC5F9F479BA0}" type="sibTrans" cxnId="{8F5891ED-34C0-40C7-AA3F-57F200126856}">
      <dgm:prSet/>
      <dgm:spPr/>
      <dgm:t>
        <a:bodyPr/>
        <a:lstStyle/>
        <a:p>
          <a:endParaRPr lang="en-US"/>
        </a:p>
      </dgm:t>
    </dgm:pt>
    <dgm:pt modelId="{81E83F51-BA41-4B8E-8E9F-B40CB88D4712}">
      <dgm:prSet custT="1"/>
      <dgm:spPr/>
      <dgm:t>
        <a:bodyPr/>
        <a:lstStyle/>
        <a:p>
          <a:r>
            <a:rPr lang="en-GB" sz="1200" b="1">
              <a:latin typeface="Times New Roman" pitchFamily="18" charset="0"/>
              <a:cs typeface="Times New Roman" pitchFamily="18" charset="0"/>
            </a:rPr>
            <a:t>Measure</a:t>
          </a:r>
          <a:endParaRPr lang="en-US" sz="1200" b="1">
            <a:latin typeface="Times New Roman" pitchFamily="18" charset="0"/>
            <a:cs typeface="Times New Roman" pitchFamily="18" charset="0"/>
          </a:endParaRPr>
        </a:p>
      </dgm:t>
    </dgm:pt>
    <dgm:pt modelId="{DCA2DB0D-70A5-4C8B-877F-05221D024B3D}" type="parTrans" cxnId="{EC077589-F870-4EC2-B923-18B75BB0A4CC}">
      <dgm:prSet/>
      <dgm:spPr/>
      <dgm:t>
        <a:bodyPr/>
        <a:lstStyle/>
        <a:p>
          <a:endParaRPr lang="en-US"/>
        </a:p>
      </dgm:t>
    </dgm:pt>
    <dgm:pt modelId="{2D9F71D2-B999-4F1E-89B9-AA32C25F94C0}" type="sibTrans" cxnId="{EC077589-F870-4EC2-B923-18B75BB0A4CC}">
      <dgm:prSet/>
      <dgm:spPr/>
      <dgm:t>
        <a:bodyPr/>
        <a:lstStyle/>
        <a:p>
          <a:endParaRPr lang="en-US"/>
        </a:p>
      </dgm:t>
    </dgm:pt>
    <dgm:pt modelId="{FEA64EBC-AC87-4138-9D29-1D822BE5F9F1}">
      <dgm:prSet custT="1"/>
      <dgm:spPr/>
      <dgm:t>
        <a:bodyPr/>
        <a:lstStyle/>
        <a:p>
          <a:r>
            <a:rPr lang="en-GB" sz="1200" b="1">
              <a:latin typeface="Times New Roman" pitchFamily="18" charset="0"/>
              <a:cs typeface="Times New Roman" pitchFamily="18" charset="0"/>
            </a:rPr>
            <a:t>Analyse</a:t>
          </a:r>
          <a:endParaRPr lang="en-US" sz="1200" b="1">
            <a:latin typeface="Times New Roman" pitchFamily="18" charset="0"/>
            <a:cs typeface="Times New Roman" pitchFamily="18" charset="0"/>
          </a:endParaRPr>
        </a:p>
      </dgm:t>
    </dgm:pt>
    <dgm:pt modelId="{E0ECA576-C4C1-413C-801F-462EDB983D3C}" type="parTrans" cxnId="{0AC33B88-BBC5-46D1-B38D-7A2A5C76C583}">
      <dgm:prSet/>
      <dgm:spPr/>
      <dgm:t>
        <a:bodyPr/>
        <a:lstStyle/>
        <a:p>
          <a:endParaRPr lang="en-US"/>
        </a:p>
      </dgm:t>
    </dgm:pt>
    <dgm:pt modelId="{6F37AD0A-4FA7-408D-BA36-8ADCFDF4CEB7}" type="sibTrans" cxnId="{0AC33B88-BBC5-46D1-B38D-7A2A5C76C583}">
      <dgm:prSet/>
      <dgm:spPr/>
      <dgm:t>
        <a:bodyPr/>
        <a:lstStyle/>
        <a:p>
          <a:endParaRPr lang="en-US"/>
        </a:p>
      </dgm:t>
    </dgm:pt>
    <dgm:pt modelId="{5EFAC854-2399-42CE-9CF5-40EEB1FAE0DF}">
      <dgm:prSet custT="1"/>
      <dgm:spPr/>
      <dgm:t>
        <a:bodyPr/>
        <a:lstStyle/>
        <a:p>
          <a:r>
            <a:rPr lang="en-GB" sz="1200" b="1">
              <a:latin typeface="Times New Roman" pitchFamily="18" charset="0"/>
              <a:cs typeface="Times New Roman" pitchFamily="18" charset="0"/>
            </a:rPr>
            <a:t>Share</a:t>
          </a:r>
          <a:endParaRPr lang="en-US" sz="1200" b="1">
            <a:latin typeface="Times New Roman" pitchFamily="18" charset="0"/>
            <a:cs typeface="Times New Roman" pitchFamily="18" charset="0"/>
          </a:endParaRPr>
        </a:p>
      </dgm:t>
    </dgm:pt>
    <dgm:pt modelId="{661A8A2B-ABA2-495F-AE63-093F6D980F14}" type="parTrans" cxnId="{9F0FCDEC-4ED6-411A-8787-48A172318778}">
      <dgm:prSet/>
      <dgm:spPr/>
      <dgm:t>
        <a:bodyPr/>
        <a:lstStyle/>
        <a:p>
          <a:endParaRPr lang="en-US"/>
        </a:p>
      </dgm:t>
    </dgm:pt>
    <dgm:pt modelId="{53460E4C-4A10-4949-9BA8-DF140AB4F62B}" type="sibTrans" cxnId="{9F0FCDEC-4ED6-411A-8787-48A172318778}">
      <dgm:prSet/>
      <dgm:spPr/>
      <dgm:t>
        <a:bodyPr/>
        <a:lstStyle/>
        <a:p>
          <a:endParaRPr lang="en-US"/>
        </a:p>
      </dgm:t>
    </dgm:pt>
    <dgm:pt modelId="{2C934C5B-1F11-47EE-BC12-668BF7664E4B}" type="pres">
      <dgm:prSet presAssocID="{7279E9BD-EAE9-44CD-99DA-A25CC2DE6276}" presName="Name0" presStyleCnt="0">
        <dgm:presLayoutVars>
          <dgm:chMax val="1"/>
          <dgm:dir/>
          <dgm:animLvl val="ctr"/>
          <dgm:resizeHandles val="exact"/>
        </dgm:presLayoutVars>
      </dgm:prSet>
      <dgm:spPr/>
    </dgm:pt>
    <dgm:pt modelId="{916C93B2-AAB7-42D7-A3D8-A5E9229A7EC1}" type="pres">
      <dgm:prSet presAssocID="{E6955B43-25C0-4011-8EBA-C0C27FF2A40A}" presName="centerShape" presStyleLbl="node0" presStyleIdx="0" presStyleCnt="1"/>
      <dgm:spPr/>
    </dgm:pt>
    <dgm:pt modelId="{E3ADA2A5-CB3E-4F3C-BF29-34D51DDE7549}" type="pres">
      <dgm:prSet presAssocID="{7A5943B2-8991-43F6-96F8-9F1AA6A891EA}" presName="node" presStyleLbl="node1" presStyleIdx="0" presStyleCnt="5">
        <dgm:presLayoutVars>
          <dgm:bulletEnabled val="1"/>
        </dgm:presLayoutVars>
      </dgm:prSet>
      <dgm:spPr/>
    </dgm:pt>
    <dgm:pt modelId="{32FCE4A0-8981-4E38-BA05-08544276E888}" type="pres">
      <dgm:prSet presAssocID="{7A5943B2-8991-43F6-96F8-9F1AA6A891EA}" presName="dummy" presStyleCnt="0"/>
      <dgm:spPr/>
    </dgm:pt>
    <dgm:pt modelId="{A07117D1-2D36-4A55-8A47-355E1127C2CE}" type="pres">
      <dgm:prSet presAssocID="{28CE41B0-5EB9-43CE-B446-B6ABD6AC9E11}" presName="sibTrans" presStyleLbl="sibTrans2D1" presStyleIdx="0" presStyleCnt="5"/>
      <dgm:spPr/>
    </dgm:pt>
    <dgm:pt modelId="{AEECB485-9F10-42FA-8EF8-68F21BC95676}" type="pres">
      <dgm:prSet presAssocID="{B27E7683-B377-4856-90F0-D9847606440D}" presName="node" presStyleLbl="node1" presStyleIdx="1" presStyleCnt="5">
        <dgm:presLayoutVars>
          <dgm:bulletEnabled val="1"/>
        </dgm:presLayoutVars>
      </dgm:prSet>
      <dgm:spPr/>
    </dgm:pt>
    <dgm:pt modelId="{E1C50E63-8381-4B6B-A2A6-C63170DFA53E}" type="pres">
      <dgm:prSet presAssocID="{B27E7683-B377-4856-90F0-D9847606440D}" presName="dummy" presStyleCnt="0"/>
      <dgm:spPr/>
    </dgm:pt>
    <dgm:pt modelId="{0005519A-A370-458D-9717-D0A03AC0B9FD}" type="pres">
      <dgm:prSet presAssocID="{9F66EDBC-793A-4EA1-9759-EC5F9F479BA0}" presName="sibTrans" presStyleLbl="sibTrans2D1" presStyleIdx="1" presStyleCnt="5"/>
      <dgm:spPr/>
    </dgm:pt>
    <dgm:pt modelId="{61E095E9-A8BE-498F-B470-18D9F3AC4AD0}" type="pres">
      <dgm:prSet presAssocID="{81E83F51-BA41-4B8E-8E9F-B40CB88D4712}" presName="node" presStyleLbl="node1" presStyleIdx="2" presStyleCnt="5">
        <dgm:presLayoutVars>
          <dgm:bulletEnabled val="1"/>
        </dgm:presLayoutVars>
      </dgm:prSet>
      <dgm:spPr/>
    </dgm:pt>
    <dgm:pt modelId="{8C959B9C-4347-4749-97BC-98E08E253530}" type="pres">
      <dgm:prSet presAssocID="{81E83F51-BA41-4B8E-8E9F-B40CB88D4712}" presName="dummy" presStyleCnt="0"/>
      <dgm:spPr/>
    </dgm:pt>
    <dgm:pt modelId="{CAF63CC0-BD06-41D3-AB40-3D4B561A2819}" type="pres">
      <dgm:prSet presAssocID="{2D9F71D2-B999-4F1E-89B9-AA32C25F94C0}" presName="sibTrans" presStyleLbl="sibTrans2D1" presStyleIdx="2" presStyleCnt="5"/>
      <dgm:spPr/>
    </dgm:pt>
    <dgm:pt modelId="{2EB0E019-6C84-43ED-8C09-2514490C59E2}" type="pres">
      <dgm:prSet presAssocID="{FEA64EBC-AC87-4138-9D29-1D822BE5F9F1}" presName="node" presStyleLbl="node1" presStyleIdx="3" presStyleCnt="5">
        <dgm:presLayoutVars>
          <dgm:bulletEnabled val="1"/>
        </dgm:presLayoutVars>
      </dgm:prSet>
      <dgm:spPr/>
    </dgm:pt>
    <dgm:pt modelId="{C7A468F8-D3DE-4DA8-9E51-B130593A7CB6}" type="pres">
      <dgm:prSet presAssocID="{FEA64EBC-AC87-4138-9D29-1D822BE5F9F1}" presName="dummy" presStyleCnt="0"/>
      <dgm:spPr/>
    </dgm:pt>
    <dgm:pt modelId="{83A82725-B6E7-48AD-9C22-B26644CF6CE7}" type="pres">
      <dgm:prSet presAssocID="{6F37AD0A-4FA7-408D-BA36-8ADCFDF4CEB7}" presName="sibTrans" presStyleLbl="sibTrans2D1" presStyleIdx="3" presStyleCnt="5"/>
      <dgm:spPr/>
    </dgm:pt>
    <dgm:pt modelId="{F1482A69-C16E-414C-909F-B4F714C50D06}" type="pres">
      <dgm:prSet presAssocID="{5EFAC854-2399-42CE-9CF5-40EEB1FAE0DF}" presName="node" presStyleLbl="node1" presStyleIdx="4" presStyleCnt="5">
        <dgm:presLayoutVars>
          <dgm:bulletEnabled val="1"/>
        </dgm:presLayoutVars>
      </dgm:prSet>
      <dgm:spPr/>
    </dgm:pt>
    <dgm:pt modelId="{B90479E8-BEA7-40F1-9D60-9060740635AD}" type="pres">
      <dgm:prSet presAssocID="{5EFAC854-2399-42CE-9CF5-40EEB1FAE0DF}" presName="dummy" presStyleCnt="0"/>
      <dgm:spPr/>
    </dgm:pt>
    <dgm:pt modelId="{BF718C97-1689-4DAA-950E-F2506178B6B2}" type="pres">
      <dgm:prSet presAssocID="{53460E4C-4A10-4949-9BA8-DF140AB4F62B}" presName="sibTrans" presStyleLbl="sibTrans2D1" presStyleIdx="4" presStyleCnt="5"/>
      <dgm:spPr/>
    </dgm:pt>
  </dgm:ptLst>
  <dgm:cxnLst>
    <dgm:cxn modelId="{F9044804-75E8-47D7-8FB1-5CD4EE208E0D}" type="presOf" srcId="{9F66EDBC-793A-4EA1-9759-EC5F9F479BA0}" destId="{0005519A-A370-458D-9717-D0A03AC0B9FD}" srcOrd="0" destOrd="0" presId="urn:microsoft.com/office/officeart/2005/8/layout/radial6"/>
    <dgm:cxn modelId="{9FE0A904-72AF-42CC-AAA6-168C3894039A}" type="presOf" srcId="{E6955B43-25C0-4011-8EBA-C0C27FF2A40A}" destId="{916C93B2-AAB7-42D7-A3D8-A5E9229A7EC1}" srcOrd="0" destOrd="0" presId="urn:microsoft.com/office/officeart/2005/8/layout/radial6"/>
    <dgm:cxn modelId="{EBC77309-2019-42A1-9CB1-6879745104B6}" type="presOf" srcId="{28CE41B0-5EB9-43CE-B446-B6ABD6AC9E11}" destId="{A07117D1-2D36-4A55-8A47-355E1127C2CE}" srcOrd="0" destOrd="0" presId="urn:microsoft.com/office/officeart/2005/8/layout/radial6"/>
    <dgm:cxn modelId="{1E6EE90E-7D2C-48BA-BD8B-C5F6C98176A8}" type="presOf" srcId="{6F37AD0A-4FA7-408D-BA36-8ADCFDF4CEB7}" destId="{83A82725-B6E7-48AD-9C22-B26644CF6CE7}" srcOrd="0" destOrd="0" presId="urn:microsoft.com/office/officeart/2005/8/layout/radial6"/>
    <dgm:cxn modelId="{0C8D1325-5AB9-460B-8F0E-26622386F05E}" srcId="{E6955B43-25C0-4011-8EBA-C0C27FF2A40A}" destId="{7A5943B2-8991-43F6-96F8-9F1AA6A891EA}" srcOrd="0" destOrd="0" parTransId="{D3D9E01F-F2A5-45C8-AD9F-793D8B217EE8}" sibTransId="{28CE41B0-5EB9-43CE-B446-B6ABD6AC9E11}"/>
    <dgm:cxn modelId="{7D89B526-693E-44A7-81AF-69DCDA06FEC8}" type="presOf" srcId="{2D9F71D2-B999-4F1E-89B9-AA32C25F94C0}" destId="{CAF63CC0-BD06-41D3-AB40-3D4B561A2819}" srcOrd="0" destOrd="0" presId="urn:microsoft.com/office/officeart/2005/8/layout/radial6"/>
    <dgm:cxn modelId="{848FD230-0EAA-4353-BBC2-2A883D3D3911}" type="presOf" srcId="{FEA64EBC-AC87-4138-9D29-1D822BE5F9F1}" destId="{2EB0E019-6C84-43ED-8C09-2514490C59E2}" srcOrd="0" destOrd="0" presId="urn:microsoft.com/office/officeart/2005/8/layout/radial6"/>
    <dgm:cxn modelId="{56EF6765-22FC-4B54-9C54-A7C12858BEAE}" srcId="{7279E9BD-EAE9-44CD-99DA-A25CC2DE6276}" destId="{E6955B43-25C0-4011-8EBA-C0C27FF2A40A}" srcOrd="0" destOrd="0" parTransId="{BF474A2E-872B-4F71-8CF4-1D7FEDBE0988}" sibTransId="{FCD02D37-02B8-41D3-900B-A7CF5D591A52}"/>
    <dgm:cxn modelId="{7BE25B56-812D-4881-B566-9443FEA84E12}" type="presOf" srcId="{53460E4C-4A10-4949-9BA8-DF140AB4F62B}" destId="{BF718C97-1689-4DAA-950E-F2506178B6B2}" srcOrd="0" destOrd="0" presId="urn:microsoft.com/office/officeart/2005/8/layout/radial6"/>
    <dgm:cxn modelId="{0AC33B88-BBC5-46D1-B38D-7A2A5C76C583}" srcId="{E6955B43-25C0-4011-8EBA-C0C27FF2A40A}" destId="{FEA64EBC-AC87-4138-9D29-1D822BE5F9F1}" srcOrd="3" destOrd="0" parTransId="{E0ECA576-C4C1-413C-801F-462EDB983D3C}" sibTransId="{6F37AD0A-4FA7-408D-BA36-8ADCFDF4CEB7}"/>
    <dgm:cxn modelId="{EC077589-F870-4EC2-B923-18B75BB0A4CC}" srcId="{E6955B43-25C0-4011-8EBA-C0C27FF2A40A}" destId="{81E83F51-BA41-4B8E-8E9F-B40CB88D4712}" srcOrd="2" destOrd="0" parTransId="{DCA2DB0D-70A5-4C8B-877F-05221D024B3D}" sibTransId="{2D9F71D2-B999-4F1E-89B9-AA32C25F94C0}"/>
    <dgm:cxn modelId="{5F86E8B2-7188-4134-A441-626AB046EC57}" type="presOf" srcId="{81E83F51-BA41-4B8E-8E9F-B40CB88D4712}" destId="{61E095E9-A8BE-498F-B470-18D9F3AC4AD0}" srcOrd="0" destOrd="0" presId="urn:microsoft.com/office/officeart/2005/8/layout/radial6"/>
    <dgm:cxn modelId="{9E23DEC7-CB0A-447B-B55E-9D83E5A4842E}" type="presOf" srcId="{7A5943B2-8991-43F6-96F8-9F1AA6A891EA}" destId="{E3ADA2A5-CB3E-4F3C-BF29-34D51DDE7549}" srcOrd="0" destOrd="0" presId="urn:microsoft.com/office/officeart/2005/8/layout/radial6"/>
    <dgm:cxn modelId="{9A4710C9-0C6A-4C68-9F27-FFAF4B39D0F8}" type="presOf" srcId="{B27E7683-B377-4856-90F0-D9847606440D}" destId="{AEECB485-9F10-42FA-8EF8-68F21BC95676}" srcOrd="0" destOrd="0" presId="urn:microsoft.com/office/officeart/2005/8/layout/radial6"/>
    <dgm:cxn modelId="{A7B090DB-1823-419F-A024-5A198E49EED2}" type="presOf" srcId="{5EFAC854-2399-42CE-9CF5-40EEB1FAE0DF}" destId="{F1482A69-C16E-414C-909F-B4F714C50D06}" srcOrd="0" destOrd="0" presId="urn:microsoft.com/office/officeart/2005/8/layout/radial6"/>
    <dgm:cxn modelId="{9F0FCDEC-4ED6-411A-8787-48A172318778}" srcId="{E6955B43-25C0-4011-8EBA-C0C27FF2A40A}" destId="{5EFAC854-2399-42CE-9CF5-40EEB1FAE0DF}" srcOrd="4" destOrd="0" parTransId="{661A8A2B-ABA2-495F-AE63-093F6D980F14}" sibTransId="{53460E4C-4A10-4949-9BA8-DF140AB4F62B}"/>
    <dgm:cxn modelId="{8F5891ED-34C0-40C7-AA3F-57F200126856}" srcId="{E6955B43-25C0-4011-8EBA-C0C27FF2A40A}" destId="{B27E7683-B377-4856-90F0-D9847606440D}" srcOrd="1" destOrd="0" parTransId="{6EDD924F-5BEA-43C8-A88E-DAEBE13138BD}" sibTransId="{9F66EDBC-793A-4EA1-9759-EC5F9F479BA0}"/>
    <dgm:cxn modelId="{7915E1EF-99ED-4352-84F7-8DD31BE9A97F}" type="presOf" srcId="{7279E9BD-EAE9-44CD-99DA-A25CC2DE6276}" destId="{2C934C5B-1F11-47EE-BC12-668BF7664E4B}" srcOrd="0" destOrd="0" presId="urn:microsoft.com/office/officeart/2005/8/layout/radial6"/>
    <dgm:cxn modelId="{3F5C8FC8-4F0C-43B6-B097-BC11A43EC0DC}" type="presParOf" srcId="{2C934C5B-1F11-47EE-BC12-668BF7664E4B}" destId="{916C93B2-AAB7-42D7-A3D8-A5E9229A7EC1}" srcOrd="0" destOrd="0" presId="urn:microsoft.com/office/officeart/2005/8/layout/radial6"/>
    <dgm:cxn modelId="{BC9480A2-4256-47F1-86A2-0700F8EE31E4}" type="presParOf" srcId="{2C934C5B-1F11-47EE-BC12-668BF7664E4B}" destId="{E3ADA2A5-CB3E-4F3C-BF29-34D51DDE7549}" srcOrd="1" destOrd="0" presId="urn:microsoft.com/office/officeart/2005/8/layout/radial6"/>
    <dgm:cxn modelId="{C8AE5814-671A-416B-88FE-5CB229B342C5}" type="presParOf" srcId="{2C934C5B-1F11-47EE-BC12-668BF7664E4B}" destId="{32FCE4A0-8981-4E38-BA05-08544276E888}" srcOrd="2" destOrd="0" presId="urn:microsoft.com/office/officeart/2005/8/layout/radial6"/>
    <dgm:cxn modelId="{5F592E95-AE5E-4E19-9BA5-701A7B310ACE}" type="presParOf" srcId="{2C934C5B-1F11-47EE-BC12-668BF7664E4B}" destId="{A07117D1-2D36-4A55-8A47-355E1127C2CE}" srcOrd="3" destOrd="0" presId="urn:microsoft.com/office/officeart/2005/8/layout/radial6"/>
    <dgm:cxn modelId="{79737F11-EB73-4637-A66F-CB3858119B6B}" type="presParOf" srcId="{2C934C5B-1F11-47EE-BC12-668BF7664E4B}" destId="{AEECB485-9F10-42FA-8EF8-68F21BC95676}" srcOrd="4" destOrd="0" presId="urn:microsoft.com/office/officeart/2005/8/layout/radial6"/>
    <dgm:cxn modelId="{4FF31895-DBB6-4814-8073-14557CCA5299}" type="presParOf" srcId="{2C934C5B-1F11-47EE-BC12-668BF7664E4B}" destId="{E1C50E63-8381-4B6B-A2A6-C63170DFA53E}" srcOrd="5" destOrd="0" presId="urn:microsoft.com/office/officeart/2005/8/layout/radial6"/>
    <dgm:cxn modelId="{2EB43E2C-2D7E-4C7C-9D7F-2E385745FC79}" type="presParOf" srcId="{2C934C5B-1F11-47EE-BC12-668BF7664E4B}" destId="{0005519A-A370-458D-9717-D0A03AC0B9FD}" srcOrd="6" destOrd="0" presId="urn:microsoft.com/office/officeart/2005/8/layout/radial6"/>
    <dgm:cxn modelId="{3F1ED163-3B38-4D1F-BA11-80C08BFFC4AD}" type="presParOf" srcId="{2C934C5B-1F11-47EE-BC12-668BF7664E4B}" destId="{61E095E9-A8BE-498F-B470-18D9F3AC4AD0}" srcOrd="7" destOrd="0" presId="urn:microsoft.com/office/officeart/2005/8/layout/radial6"/>
    <dgm:cxn modelId="{E83B024D-14D3-4D1C-A5F3-1F1214BA9F64}" type="presParOf" srcId="{2C934C5B-1F11-47EE-BC12-668BF7664E4B}" destId="{8C959B9C-4347-4749-97BC-98E08E253530}" srcOrd="8" destOrd="0" presId="urn:microsoft.com/office/officeart/2005/8/layout/radial6"/>
    <dgm:cxn modelId="{343F77FC-4AE8-49E2-AE82-198A56F96C02}" type="presParOf" srcId="{2C934C5B-1F11-47EE-BC12-668BF7664E4B}" destId="{CAF63CC0-BD06-41D3-AB40-3D4B561A2819}" srcOrd="9" destOrd="0" presId="urn:microsoft.com/office/officeart/2005/8/layout/radial6"/>
    <dgm:cxn modelId="{03338E1B-2C5D-402B-8A60-9F2A4C3F5CD5}" type="presParOf" srcId="{2C934C5B-1F11-47EE-BC12-668BF7664E4B}" destId="{2EB0E019-6C84-43ED-8C09-2514490C59E2}" srcOrd="10" destOrd="0" presId="urn:microsoft.com/office/officeart/2005/8/layout/radial6"/>
    <dgm:cxn modelId="{84AA91C3-6E34-4403-ADDB-81B5632FD8A4}" type="presParOf" srcId="{2C934C5B-1F11-47EE-BC12-668BF7664E4B}" destId="{C7A468F8-D3DE-4DA8-9E51-B130593A7CB6}" srcOrd="11" destOrd="0" presId="urn:microsoft.com/office/officeart/2005/8/layout/radial6"/>
    <dgm:cxn modelId="{81AD01E8-74CF-4A40-9F16-D679C5E17189}" type="presParOf" srcId="{2C934C5B-1F11-47EE-BC12-668BF7664E4B}" destId="{83A82725-B6E7-48AD-9C22-B26644CF6CE7}" srcOrd="12" destOrd="0" presId="urn:microsoft.com/office/officeart/2005/8/layout/radial6"/>
    <dgm:cxn modelId="{7D03A5A3-6106-4B4D-A8CC-444BEFF9A00D}" type="presParOf" srcId="{2C934C5B-1F11-47EE-BC12-668BF7664E4B}" destId="{F1482A69-C16E-414C-909F-B4F714C50D06}" srcOrd="13" destOrd="0" presId="urn:microsoft.com/office/officeart/2005/8/layout/radial6"/>
    <dgm:cxn modelId="{8867F20E-3F96-475D-9B0B-A08B20D0A19C}" type="presParOf" srcId="{2C934C5B-1F11-47EE-BC12-668BF7664E4B}" destId="{B90479E8-BEA7-40F1-9D60-9060740635AD}" srcOrd="14" destOrd="0" presId="urn:microsoft.com/office/officeart/2005/8/layout/radial6"/>
    <dgm:cxn modelId="{DFE7C309-15E8-4F58-ADC4-D74688446051}" type="presParOf" srcId="{2C934C5B-1F11-47EE-BC12-668BF7664E4B}" destId="{BF718C97-1689-4DAA-950E-F2506178B6B2}" srcOrd="15"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718C97-1689-4DAA-950E-F2506178B6B2}">
      <dsp:nvSpPr>
        <dsp:cNvPr id="0" name=""/>
        <dsp:cNvSpPr/>
      </dsp:nvSpPr>
      <dsp:spPr>
        <a:xfrm>
          <a:off x="911411" y="369548"/>
          <a:ext cx="2472951" cy="2472951"/>
        </a:xfrm>
        <a:prstGeom prst="blockArc">
          <a:avLst>
            <a:gd name="adj1" fmla="val 11880000"/>
            <a:gd name="adj2" fmla="val 16200000"/>
            <a:gd name="adj3" fmla="val 463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3A82725-B6E7-48AD-9C22-B26644CF6CE7}">
      <dsp:nvSpPr>
        <dsp:cNvPr id="0" name=""/>
        <dsp:cNvSpPr/>
      </dsp:nvSpPr>
      <dsp:spPr>
        <a:xfrm>
          <a:off x="911411" y="369548"/>
          <a:ext cx="2472951" cy="2472951"/>
        </a:xfrm>
        <a:prstGeom prst="blockArc">
          <a:avLst>
            <a:gd name="adj1" fmla="val 7560000"/>
            <a:gd name="adj2" fmla="val 11880000"/>
            <a:gd name="adj3" fmla="val 463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AF63CC0-BD06-41D3-AB40-3D4B561A2819}">
      <dsp:nvSpPr>
        <dsp:cNvPr id="0" name=""/>
        <dsp:cNvSpPr/>
      </dsp:nvSpPr>
      <dsp:spPr>
        <a:xfrm>
          <a:off x="911411" y="369548"/>
          <a:ext cx="2472951" cy="2472951"/>
        </a:xfrm>
        <a:prstGeom prst="blockArc">
          <a:avLst>
            <a:gd name="adj1" fmla="val 3240000"/>
            <a:gd name="adj2" fmla="val 7560000"/>
            <a:gd name="adj3" fmla="val 463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005519A-A370-458D-9717-D0A03AC0B9FD}">
      <dsp:nvSpPr>
        <dsp:cNvPr id="0" name=""/>
        <dsp:cNvSpPr/>
      </dsp:nvSpPr>
      <dsp:spPr>
        <a:xfrm>
          <a:off x="911411" y="369548"/>
          <a:ext cx="2472951" cy="2472951"/>
        </a:xfrm>
        <a:prstGeom prst="blockArc">
          <a:avLst>
            <a:gd name="adj1" fmla="val 20520000"/>
            <a:gd name="adj2" fmla="val 3240000"/>
            <a:gd name="adj3" fmla="val 463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7117D1-2D36-4A55-8A47-355E1127C2CE}">
      <dsp:nvSpPr>
        <dsp:cNvPr id="0" name=""/>
        <dsp:cNvSpPr/>
      </dsp:nvSpPr>
      <dsp:spPr>
        <a:xfrm>
          <a:off x="911411" y="369548"/>
          <a:ext cx="2472951" cy="2472951"/>
        </a:xfrm>
        <a:prstGeom prst="blockArc">
          <a:avLst>
            <a:gd name="adj1" fmla="val 16200000"/>
            <a:gd name="adj2" fmla="val 20520000"/>
            <a:gd name="adj3" fmla="val 463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16C93B2-AAB7-42D7-A3D8-A5E9229A7EC1}">
      <dsp:nvSpPr>
        <dsp:cNvPr id="0" name=""/>
        <dsp:cNvSpPr/>
      </dsp:nvSpPr>
      <dsp:spPr>
        <a:xfrm>
          <a:off x="1579452" y="1037589"/>
          <a:ext cx="1136870" cy="113687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Stages of Event Cycle</a:t>
          </a:r>
        </a:p>
      </dsp:txBody>
      <dsp:txXfrm>
        <a:off x="1745943" y="1204080"/>
        <a:ext cx="803888" cy="803888"/>
      </dsp:txXfrm>
    </dsp:sp>
    <dsp:sp modelId="{E3ADA2A5-CB3E-4F3C-BF29-34D51DDE7549}">
      <dsp:nvSpPr>
        <dsp:cNvPr id="0" name=""/>
        <dsp:cNvSpPr/>
      </dsp:nvSpPr>
      <dsp:spPr>
        <a:xfrm>
          <a:off x="1749982" y="293"/>
          <a:ext cx="795809" cy="79580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Plan</a:t>
          </a:r>
          <a:endParaRPr lang="en-US" sz="1200" b="1" kern="1200">
            <a:latin typeface="Times New Roman" pitchFamily="18" charset="0"/>
            <a:cs typeface="Times New Roman" pitchFamily="18" charset="0"/>
          </a:endParaRPr>
        </a:p>
      </dsp:txBody>
      <dsp:txXfrm>
        <a:off x="1866526" y="116837"/>
        <a:ext cx="562721" cy="562721"/>
      </dsp:txXfrm>
    </dsp:sp>
    <dsp:sp modelId="{AEECB485-9F10-42FA-8EF8-68F21BC95676}">
      <dsp:nvSpPr>
        <dsp:cNvPr id="0" name=""/>
        <dsp:cNvSpPr/>
      </dsp:nvSpPr>
      <dsp:spPr>
        <a:xfrm>
          <a:off x="2898694" y="834880"/>
          <a:ext cx="795809" cy="79580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Organise</a:t>
          </a:r>
          <a:endParaRPr lang="en-US" sz="1200" b="1" kern="1200">
            <a:latin typeface="Times New Roman" pitchFamily="18" charset="0"/>
            <a:cs typeface="Times New Roman" pitchFamily="18" charset="0"/>
          </a:endParaRPr>
        </a:p>
      </dsp:txBody>
      <dsp:txXfrm>
        <a:off x="3015238" y="951424"/>
        <a:ext cx="562721" cy="562721"/>
      </dsp:txXfrm>
    </dsp:sp>
    <dsp:sp modelId="{61E095E9-A8BE-498F-B470-18D9F3AC4AD0}">
      <dsp:nvSpPr>
        <dsp:cNvPr id="0" name=""/>
        <dsp:cNvSpPr/>
      </dsp:nvSpPr>
      <dsp:spPr>
        <a:xfrm>
          <a:off x="2459925" y="2185272"/>
          <a:ext cx="795809" cy="79580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Measure</a:t>
          </a:r>
          <a:endParaRPr lang="en-US" sz="1200" b="1" kern="1200">
            <a:latin typeface="Times New Roman" pitchFamily="18" charset="0"/>
            <a:cs typeface="Times New Roman" pitchFamily="18" charset="0"/>
          </a:endParaRPr>
        </a:p>
      </dsp:txBody>
      <dsp:txXfrm>
        <a:off x="2576469" y="2301816"/>
        <a:ext cx="562721" cy="562721"/>
      </dsp:txXfrm>
    </dsp:sp>
    <dsp:sp modelId="{2EB0E019-6C84-43ED-8C09-2514490C59E2}">
      <dsp:nvSpPr>
        <dsp:cNvPr id="0" name=""/>
        <dsp:cNvSpPr/>
      </dsp:nvSpPr>
      <dsp:spPr>
        <a:xfrm>
          <a:off x="1040040" y="2185272"/>
          <a:ext cx="795809" cy="79580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Analyse</a:t>
          </a:r>
          <a:endParaRPr lang="en-US" sz="1200" b="1" kern="1200">
            <a:latin typeface="Times New Roman" pitchFamily="18" charset="0"/>
            <a:cs typeface="Times New Roman" pitchFamily="18" charset="0"/>
          </a:endParaRPr>
        </a:p>
      </dsp:txBody>
      <dsp:txXfrm>
        <a:off x="1156584" y="2301816"/>
        <a:ext cx="562721" cy="562721"/>
      </dsp:txXfrm>
    </dsp:sp>
    <dsp:sp modelId="{F1482A69-C16E-414C-909F-B4F714C50D06}">
      <dsp:nvSpPr>
        <dsp:cNvPr id="0" name=""/>
        <dsp:cNvSpPr/>
      </dsp:nvSpPr>
      <dsp:spPr>
        <a:xfrm>
          <a:off x="601271" y="834880"/>
          <a:ext cx="795809" cy="79580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Share</a:t>
          </a:r>
          <a:endParaRPr lang="en-US" sz="1200" b="1" kern="1200">
            <a:latin typeface="Times New Roman" pitchFamily="18" charset="0"/>
            <a:cs typeface="Times New Roman" pitchFamily="18" charset="0"/>
          </a:endParaRPr>
        </a:p>
      </dsp:txBody>
      <dsp:txXfrm>
        <a:off x="717815" y="951424"/>
        <a:ext cx="562721" cy="56272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AEE150-4EEF-40A0-A7F5-7AFAA4520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3172</Words>
  <Characters>18086</Characters>
  <Application>Microsoft Office Word</Application>
  <DocSecurity>0</DocSecurity>
  <Lines>150</Lines>
  <Paragraphs>42</Paragraphs>
  <ScaleCrop>false</ScaleCrop>
  <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Ranga (2118951)</cp:lastModifiedBy>
  <cp:revision>2</cp:revision>
  <dcterms:created xsi:type="dcterms:W3CDTF">2024-01-27T14:39:00Z</dcterms:created>
  <dcterms:modified xsi:type="dcterms:W3CDTF">2024-01-29T09:46:00Z</dcterms:modified>
</cp:coreProperties>
</file>