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sans-serif" w:cs="sans-serif" w:asciiTheme="majorAscii" w:hAnsiTheme="majorAscii"/>
          <w:i w:val="0"/>
          <w:iCs w:val="0"/>
          <w:caps w:val="0"/>
          <w:color w:val="000000"/>
          <w:spacing w:val="0"/>
          <w:kern w:val="0"/>
          <w:sz w:val="28"/>
          <w:szCs w:val="28"/>
          <w:shd w:val="clear" w:fill="FFFFFF"/>
          <w:lang w:val="en-US" w:eastAsia="zh-CN" w:bidi="ar"/>
          <w14:ligatures w14:val="standardContextual"/>
        </w:rPr>
      </w:pPr>
      <w:r>
        <w:rPr>
          <w:rFonts w:hint="default" w:eastAsia="sans-serif" w:cs="sans-serif" w:asciiTheme="majorAscii" w:hAnsiTheme="majorAscii"/>
          <w:i w:val="0"/>
          <w:iCs w:val="0"/>
          <w:caps w:val="0"/>
          <w:color w:val="000000"/>
          <w:spacing w:val="0"/>
          <w:kern w:val="0"/>
          <w:sz w:val="28"/>
          <w:szCs w:val="28"/>
          <w:shd w:val="clear" w:fill="FFFFFF"/>
          <w:lang w:val="en-US" w:eastAsia="zh-CN" w:bidi="ar"/>
          <w14:ligatures w14:val="standardContextual"/>
        </w:rPr>
        <w:t>T</w:t>
      </w:r>
      <w:r>
        <w:rPr>
          <w:rFonts w:hint="default" w:eastAsia="sans-serif" w:cs="sans-serif" w:asciiTheme="majorAscii" w:hAnsiTheme="majorAscii"/>
          <w:i w:val="0"/>
          <w:iCs w:val="0"/>
          <w:caps w:val="0"/>
          <w:color w:val="000000"/>
          <w:spacing w:val="0"/>
          <w:kern w:val="0"/>
          <w:sz w:val="28"/>
          <w:szCs w:val="28"/>
          <w:shd w:val="clear" w:fill="FFFFFF"/>
          <w:lang w:val="en-US" w:eastAsia="zh-CN" w:bidi="ar"/>
          <w14:ligatures w14:val="standardContextual"/>
        </w:rPr>
        <w:t xml:space="preserve">eaching methods used in broadcasting and </w:t>
      </w:r>
      <w:r>
        <w:rPr>
          <w:rFonts w:hint="default" w:eastAsia="sans-serif" w:cs="sans-serif" w:asciiTheme="majorAscii" w:hAnsiTheme="majorAscii"/>
          <w:i w:val="0"/>
          <w:iCs w:val="0"/>
          <w:color w:val="000000"/>
          <w:spacing w:val="0"/>
          <w:kern w:val="0"/>
          <w:sz w:val="28"/>
          <w:szCs w:val="28"/>
          <w:shd w:val="clear" w:fill="FFFFFF"/>
          <w:lang w:val="en-US" w:eastAsia="zh-CN" w:bidi="ar"/>
          <w14:ligatures w14:val="standardContextual"/>
        </w:rPr>
        <w:t>vocalisation</w:t>
      </w:r>
      <w:r>
        <w:rPr>
          <w:rFonts w:hint="default" w:eastAsia="sans-serif" w:cs="sans-serif" w:asciiTheme="majorAscii" w:hAnsiTheme="majorAscii"/>
          <w:i w:val="0"/>
          <w:iCs w:val="0"/>
          <w:caps w:val="0"/>
          <w:color w:val="000000"/>
          <w:spacing w:val="0"/>
          <w:kern w:val="0"/>
          <w:sz w:val="28"/>
          <w:szCs w:val="28"/>
          <w:shd w:val="clear" w:fill="FFFFFF"/>
          <w:lang w:val="en-US" w:eastAsia="zh-CN" w:bidi="ar"/>
          <w14:ligatures w14:val="standardContextual"/>
        </w:rPr>
        <w:t xml:space="preserve"> courses in four universities in China</w:t>
      </w:r>
    </w:p>
    <w:p>
      <w:pPr>
        <w:jc w:val="both"/>
        <w:rPr>
          <w:rFonts w:hint="default" w:eastAsia="sans-serif" w:cs="sans-serif" w:asciiTheme="majorAscii" w:hAnsiTheme="majorAscii"/>
          <w:i w:val="0"/>
          <w:iCs w:val="0"/>
          <w:caps w:val="0"/>
          <w:color w:val="000000"/>
          <w:spacing w:val="0"/>
          <w:kern w:val="0"/>
          <w:sz w:val="28"/>
          <w:szCs w:val="28"/>
          <w:shd w:val="clear" w:fill="FFFFFF"/>
          <w:lang w:val="en-US" w:eastAsia="zh-CN" w:bidi="ar"/>
          <w14:ligatures w14:val="standardContextual"/>
        </w:rPr>
      </w:pPr>
    </w:p>
    <w:tbl>
      <w:tblPr>
        <w:tblStyle w:val="4"/>
        <w:tblW w:w="86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8644"/>
      </w:tblGrid>
      <w:tr>
        <w:trPr>
          <w:wAfter w:w="0" w:type="auto"/>
          <w:trHeight w:val="90" w:hRule="atLeast"/>
        </w:trPr>
        <w:tc>
          <w:tcPr>
            <w:tcW w:w="8644" w:type="dxa"/>
          </w:tcPr>
          <w:p>
            <w:pPr>
              <w:jc w:val="both"/>
              <w:rPr>
                <w:rFonts w:hint="default" w:eastAsia="sans-serif" w:cs="sans-serif" w:asciiTheme="minorAscii" w:hAnsiTheme="minorAscii"/>
                <w:b/>
                <w:bCs/>
                <w:i w:val="0"/>
                <w:iCs w:val="0"/>
                <w:caps w:val="0"/>
                <w:color w:val="000000"/>
                <w:spacing w:val="0"/>
                <w:kern w:val="0"/>
                <w:sz w:val="24"/>
                <w:szCs w:val="24"/>
                <w:shd w:val="clear" w:fill="FFFFFF"/>
                <w:lang w:val="en-US" w:eastAsia="zh-CN" w:bidi="ar"/>
                <w14:ligatures w14:val="standardContextual"/>
              </w:rPr>
            </w:pPr>
            <w:r>
              <w:rPr>
                <w:rFonts w:hint="default" w:eastAsia="sans-serif" w:cs="sans-serif" w:asciiTheme="minorAscii" w:hAnsiTheme="minorAscii"/>
                <w:b/>
                <w:bCs/>
                <w:i w:val="0"/>
                <w:iCs w:val="0"/>
                <w:caps w:val="0"/>
                <w:color w:val="000000"/>
                <w:spacing w:val="0"/>
                <w:kern w:val="0"/>
                <w:sz w:val="24"/>
                <w:szCs w:val="24"/>
                <w:shd w:val="clear" w:fill="FFFFFF"/>
                <w:lang w:val="en-US" w:eastAsia="zh-CN" w:bidi="ar"/>
                <w14:ligatures w14:val="standardContextual"/>
              </w:rPr>
              <w:t>Introduction</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Broadcasting and vocalisation course is a very important basic course for broadcasting and hosting majors (Li, 2017), which is usually offered in the first year of the university (Lu,2018). This course is offered to correct students' pronunciation and equip them with a more scientific way of using their voice (Liu,2017).</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In recent years, the development of the media has affected the development of professional skills of students majoring in broadcasting and vocalisation at universities (Hu,2017), coupled with the trend of diversification and digitisation in the delivery of lectures at Chinese universities (Xu, 2020), which has led to a change in the delivery of broadcasting and vocalisation course at some universities in China (Liu and Li, 2022).</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Based on the researcher's interest in the subject and an in-depth knowledge of the subject over a period of eight years, the researcher will explore the following research questions in four universities in China with different levels of broadcasting and vocalisation programmes:</w:t>
            </w:r>
          </w:p>
          <w:p>
            <w:pPr>
              <w:keepNext w:val="0"/>
              <w:keepLines w:val="0"/>
              <w:widowControl/>
              <w:numPr>
                <w:ilvl w:val="0"/>
                <w:numId w:val="1"/>
              </w:numPr>
              <w:suppressLineNumbers w:val="0"/>
              <w:spacing w:line="240" w:lineRule="auto"/>
              <w:jc w:val="left"/>
              <w:rPr>
                <w:rFonts w:hint="default" w:cs="Arial Regular" w:asciiTheme="minorAscii" w:hAnsiTheme="minorAscii"/>
                <w:b/>
                <w:bCs w:val="0"/>
                <w:sz w:val="24"/>
                <w:szCs w:val="24"/>
                <w:lang w:val="en-US" w:eastAsia="zh-CN"/>
              </w:rPr>
            </w:pPr>
            <w:r>
              <w:rPr>
                <w:rFonts w:hint="default" w:cs="Arial Regular" w:asciiTheme="minorAscii" w:hAnsiTheme="minorAscii"/>
                <w:b/>
                <w:bCs w:val="0"/>
                <w:sz w:val="24"/>
                <w:szCs w:val="24"/>
                <w:lang w:val="en-US" w:eastAsia="zh-CN"/>
              </w:rPr>
              <w:t>What teaching methods do teachers use in broadcasting and vocalisation courses ？</w:t>
            </w:r>
          </w:p>
          <w:p>
            <w:pPr>
              <w:keepNext w:val="0"/>
              <w:keepLines w:val="0"/>
              <w:widowControl/>
              <w:numPr>
                <w:ilvl w:val="0"/>
                <w:numId w:val="0"/>
              </w:numPr>
              <w:suppressLineNumbers w:val="0"/>
              <w:spacing w:line="240" w:lineRule="auto"/>
              <w:jc w:val="left"/>
              <w:rPr>
                <w:rFonts w:hint="default" w:cs="Arial Regular" w:asciiTheme="minorAscii" w:hAnsiTheme="minorAscii"/>
                <w:b w:val="0"/>
                <w:bCs/>
                <w:sz w:val="24"/>
                <w:szCs w:val="24"/>
                <w:lang w:val="en-US" w:eastAsia="zh-CN"/>
              </w:rPr>
            </w:pPr>
            <w:r>
              <w:rPr>
                <w:rFonts w:hint="default" w:cs="Arial Regular" w:asciiTheme="minorAscii" w:hAnsiTheme="minorAscii"/>
                <w:b w:val="0"/>
                <w:bCs/>
                <w:sz w:val="24"/>
                <w:szCs w:val="24"/>
                <w:lang w:val="en-US" w:eastAsia="zh-CN"/>
              </w:rPr>
              <w:t>- What are the evaluations of the teaching methods they have chosen by the teachers?</w:t>
            </w:r>
          </w:p>
          <w:p>
            <w:pPr>
              <w:keepNext w:val="0"/>
              <w:keepLines w:val="0"/>
              <w:widowControl/>
              <w:numPr>
                <w:ilvl w:val="0"/>
                <w:numId w:val="0"/>
              </w:numPr>
              <w:suppressLineNumbers w:val="0"/>
              <w:spacing w:line="240" w:lineRule="auto"/>
              <w:jc w:val="left"/>
              <w:rPr>
                <w:rFonts w:hint="default" w:cs="Arial Regular" w:asciiTheme="minorAscii" w:hAnsiTheme="minorAscii"/>
                <w:b w:val="0"/>
                <w:bCs/>
                <w:sz w:val="24"/>
                <w:szCs w:val="24"/>
                <w:lang w:val="en-US" w:eastAsia="zh-CN"/>
              </w:rPr>
            </w:pPr>
            <w:r>
              <w:rPr>
                <w:rFonts w:hint="default" w:cs="Arial Regular" w:asciiTheme="minorAscii" w:hAnsiTheme="minorAscii"/>
                <w:b w:val="0"/>
                <w:bCs/>
                <w:sz w:val="24"/>
                <w:szCs w:val="24"/>
                <w:lang w:val="en-US" w:eastAsia="zh-CN"/>
              </w:rPr>
              <w:t>-What are their evaluations of the teaching methods chosen by other teachers?</w:t>
            </w:r>
          </w:p>
          <w:p>
            <w:pPr>
              <w:keepNext w:val="0"/>
              <w:keepLines w:val="0"/>
              <w:widowControl/>
              <w:numPr>
                <w:ilvl w:val="0"/>
                <w:numId w:val="1"/>
              </w:numPr>
              <w:suppressLineNumbers w:val="0"/>
              <w:spacing w:line="240" w:lineRule="auto"/>
              <w:jc w:val="left"/>
              <w:rPr>
                <w:rFonts w:hint="default" w:cs="Arial Regular" w:asciiTheme="minorAscii" w:hAnsiTheme="minorAscii"/>
                <w:b w:val="0"/>
                <w:bCs/>
                <w:sz w:val="24"/>
                <w:szCs w:val="24"/>
                <w:lang w:val="en-US" w:eastAsia="zh-CN"/>
              </w:rPr>
            </w:pPr>
            <w:r>
              <w:rPr>
                <w:rFonts w:hint="default" w:cs="Arial Regular" w:asciiTheme="minorAscii" w:hAnsiTheme="minorAscii"/>
                <w:b/>
                <w:bCs w:val="0"/>
                <w:sz w:val="24"/>
                <w:szCs w:val="24"/>
                <w:lang w:val="en-US" w:eastAsia="zh-CN"/>
              </w:rPr>
              <w:t>How do teachers choose different teaching methods ？</w:t>
            </w:r>
          </w:p>
          <w:p>
            <w:pPr>
              <w:keepNext w:val="0"/>
              <w:keepLines w:val="0"/>
              <w:widowControl/>
              <w:numPr>
                <w:ilvl w:val="0"/>
                <w:numId w:val="0"/>
              </w:numPr>
              <w:suppressLineNumbers w:val="0"/>
              <w:spacing w:line="240" w:lineRule="auto"/>
              <w:jc w:val="left"/>
              <w:rPr>
                <w:rFonts w:hint="default" w:cs="Arial Regular" w:asciiTheme="minorAscii" w:hAnsiTheme="minorAscii"/>
                <w:b w:val="0"/>
                <w:bCs/>
                <w:sz w:val="24"/>
                <w:szCs w:val="24"/>
                <w:lang w:val="en-US" w:eastAsia="zh-CN"/>
              </w:rPr>
            </w:pPr>
            <w:r>
              <w:rPr>
                <w:rFonts w:hint="default" w:cs="Arial Regular" w:asciiTheme="minorAscii" w:hAnsiTheme="minorAscii"/>
                <w:b w:val="0"/>
                <w:bCs/>
                <w:sz w:val="24"/>
                <w:szCs w:val="24"/>
                <w:lang w:val="en-US" w:eastAsia="zh-CN"/>
              </w:rPr>
              <w:t xml:space="preserve">-What is the influence of the professional level of a university on the choice of teaching methods by teachers?? </w:t>
            </w:r>
          </w:p>
          <w:p>
            <w:pPr>
              <w:keepNext w:val="0"/>
              <w:keepLines w:val="0"/>
              <w:widowControl/>
              <w:numPr>
                <w:ilvl w:val="0"/>
                <w:numId w:val="0"/>
              </w:numPr>
              <w:suppressLineNumbers w:val="0"/>
              <w:spacing w:line="240" w:lineRule="auto"/>
              <w:jc w:val="left"/>
              <w:rPr>
                <w:rFonts w:hint="default" w:cs="Arial Regular" w:asciiTheme="minorAscii" w:hAnsiTheme="minorAscii"/>
                <w:b w:val="0"/>
                <w:bCs/>
                <w:sz w:val="24"/>
                <w:szCs w:val="24"/>
                <w:lang w:val="en-US" w:eastAsia="zh-CN"/>
              </w:rPr>
            </w:pPr>
            <w:r>
              <w:rPr>
                <w:rFonts w:hint="default" w:cs="Arial Regular" w:asciiTheme="minorAscii" w:hAnsiTheme="minorAscii"/>
                <w:b w:val="0"/>
                <w:bCs/>
                <w:sz w:val="24"/>
                <w:szCs w:val="24"/>
                <w:lang w:val="en-US" w:eastAsia="zh-CN"/>
              </w:rPr>
              <w:t>-What is the influence of a teacher's personal learning experience on the choice of teaching methods?</w:t>
            </w:r>
          </w:p>
          <w:p>
            <w:pPr>
              <w:keepNext w:val="0"/>
              <w:keepLines w:val="0"/>
              <w:widowControl/>
              <w:numPr>
                <w:ilvl w:val="0"/>
                <w:numId w:val="0"/>
              </w:numPr>
              <w:suppressLineNumbers w:val="0"/>
              <w:spacing w:line="240" w:lineRule="auto"/>
              <w:jc w:val="left"/>
              <w:rPr>
                <w:rFonts w:hint="default" w:cs="Arial Regular" w:asciiTheme="minorAscii" w:hAnsiTheme="minorAscii"/>
                <w:b w:val="0"/>
                <w:bCs/>
                <w:sz w:val="24"/>
                <w:szCs w:val="24"/>
                <w:lang w:val="en-US" w:eastAsia="zh-CN"/>
              </w:rPr>
            </w:pPr>
            <w:r>
              <w:rPr>
                <w:rFonts w:hint="default" w:cs="Arial Regular" w:asciiTheme="minorAscii" w:hAnsiTheme="minorAscii"/>
                <w:b w:val="0"/>
                <w:bCs/>
                <w:sz w:val="24"/>
                <w:szCs w:val="24"/>
                <w:lang w:val="en-US" w:eastAsia="zh-CN"/>
              </w:rPr>
              <w:t>-Does the students' college entrance examination scores and their growth regions have any influence on the teaching meth</w:t>
            </w:r>
            <w:bookmarkStart w:id="0" w:name="_GoBack"/>
            <w:bookmarkEnd w:id="0"/>
            <w:r>
              <w:rPr>
                <w:rFonts w:hint="default" w:cs="Arial Regular" w:asciiTheme="minorAscii" w:hAnsiTheme="minorAscii"/>
                <w:b w:val="0"/>
                <w:bCs/>
                <w:sz w:val="24"/>
                <w:szCs w:val="24"/>
                <w:lang w:val="en-US" w:eastAsia="zh-CN"/>
              </w:rPr>
              <w:t>ods chosen by teachers?</w:t>
            </w:r>
          </w:p>
          <w:p>
            <w:pPr>
              <w:keepNext w:val="0"/>
              <w:keepLines w:val="0"/>
              <w:widowControl/>
              <w:numPr>
                <w:ilvl w:val="0"/>
                <w:numId w:val="0"/>
              </w:numPr>
              <w:suppressLineNumbers w:val="0"/>
              <w:spacing w:line="240" w:lineRule="auto"/>
              <w:jc w:val="left"/>
              <w:rPr>
                <w:rFonts w:hint="default" w:cs="Arial Regular" w:asciiTheme="minorAscii" w:hAnsiTheme="minorAscii"/>
                <w:b w:val="0"/>
                <w:bCs/>
                <w:sz w:val="24"/>
                <w:szCs w:val="24"/>
                <w:lang w:val="en-US" w:eastAsia="zh-CN"/>
              </w:rPr>
            </w:pPr>
          </w:p>
          <w:p>
            <w:pPr>
              <w:keepNext w:val="0"/>
              <w:keepLines w:val="0"/>
              <w:widowControl/>
              <w:numPr>
                <w:ilvl w:val="0"/>
                <w:numId w:val="1"/>
              </w:numPr>
              <w:suppressLineNumbers w:val="0"/>
              <w:spacing w:line="240" w:lineRule="auto"/>
              <w:jc w:val="left"/>
              <w:rPr>
                <w:rFonts w:hint="default" w:asciiTheme="minorAscii" w:hAnsiTheme="minorAscii"/>
                <w:sz w:val="24"/>
                <w:szCs w:val="24"/>
              </w:rPr>
            </w:pPr>
            <w:r>
              <w:rPr>
                <w:rFonts w:hint="default" w:cs="Arial Regular" w:asciiTheme="minorAscii" w:hAnsiTheme="minorAscii"/>
                <w:b/>
                <w:bCs w:val="0"/>
                <w:sz w:val="24"/>
                <w:szCs w:val="24"/>
                <w:lang w:val="en-US" w:eastAsia="zh-CN"/>
              </w:rPr>
              <w:t>What is the student's experience with the broadcasting and voice courses?</w:t>
            </w:r>
          </w:p>
          <w:p>
            <w:pPr>
              <w:keepNext w:val="0"/>
              <w:keepLines w:val="0"/>
              <w:widowControl/>
              <w:numPr>
                <w:numId w:val="0"/>
              </w:numPr>
              <w:suppressLineNumbers w:val="0"/>
              <w:spacing w:line="240" w:lineRule="auto"/>
              <w:jc w:val="left"/>
              <w:rPr>
                <w:rFonts w:hint="default" w:cs="Arial Regular" w:asciiTheme="minorAscii" w:hAnsiTheme="minorAscii"/>
                <w:b w:val="0"/>
                <w:bCs/>
                <w:sz w:val="24"/>
                <w:szCs w:val="24"/>
                <w:lang w:val="en-US" w:eastAsia="zh-CN"/>
              </w:rPr>
            </w:pPr>
          </w:p>
          <w:p>
            <w:pPr>
              <w:keepNext w:val="0"/>
              <w:keepLines w:val="0"/>
              <w:widowControl/>
              <w:numPr>
                <w:numId w:val="0"/>
              </w:numPr>
              <w:suppressLineNumbers w:val="0"/>
              <w:spacing w:line="240" w:lineRule="auto"/>
              <w:jc w:val="left"/>
              <w:rPr>
                <w:rFonts w:hint="default" w:asciiTheme="minorAscii" w:hAnsiTheme="minorAscii"/>
                <w:sz w:val="24"/>
                <w:szCs w:val="24"/>
              </w:rPr>
            </w:pPr>
            <w:r>
              <w:rPr>
                <w:rFonts w:hint="default" w:asciiTheme="minorAscii" w:hAnsiTheme="minorAscii"/>
                <w:sz w:val="24"/>
                <w:szCs w:val="24"/>
              </w:rPr>
              <w:t>This study hopes to summarise and discuss the teaching methods used by teachers at four universities, and to provide some effective recommendations based on empirical research for the reform of this course.</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At present, there is still a gap in the research on broadcasting and vocalisation course in Chinese universities. Firstly, although a large number of scholars have proposed reforms to this subject, most of the conclusions are not supported by empirical research. Secondly, a few scholars have summarised the results of teaching reform in a single institution. For example, researcher Li (2023) compared the teaching effectiveness of one institution using traditional and hybrid teaching methods, but there is a lack of comparative studies on multiple institutions. In summary this study expects to conduct empirical research on four Chinese universities to fill the above research gap.</w:t>
            </w:r>
          </w:p>
          <w:p>
            <w:pPr>
              <w:pStyle w:val="2"/>
              <w:keepNext w:val="0"/>
              <w:keepLines w:val="0"/>
              <w:widowControl/>
              <w:suppressLineNumbers w:val="0"/>
              <w:rPr>
                <w:rFonts w:hint="default" w:asciiTheme="minorAscii" w:hAnsiTheme="minorAscii"/>
                <w:sz w:val="24"/>
                <w:szCs w:val="24"/>
                <w:lang w:val="en-US" w:eastAsia="zh-CN"/>
              </w:rPr>
            </w:pPr>
          </w:p>
        </w:tc>
      </w:tr>
      <w:tr>
        <w:tc>
          <w:tcPr>
            <w:tcW w:w="8644" w:type="dxa"/>
          </w:tcPr>
          <w:p>
            <w:pPr>
              <w:pStyle w:val="2"/>
              <w:keepNext w:val="0"/>
              <w:keepLines w:val="0"/>
              <w:widowControl/>
              <w:suppressLineNumbers w:val="0"/>
              <w:rPr>
                <w:rFonts w:hint="default" w:asciiTheme="minorAscii" w:hAnsiTheme="minorAscii"/>
                <w:b/>
                <w:bCs/>
                <w:sz w:val="24"/>
                <w:szCs w:val="24"/>
                <w:lang w:val="en-US" w:eastAsia="zh-CN"/>
              </w:rPr>
            </w:pPr>
          </w:p>
          <w:p>
            <w:pPr>
              <w:pStyle w:val="2"/>
              <w:keepNext w:val="0"/>
              <w:keepLines w:val="0"/>
              <w:widowControl/>
              <w:suppressLineNumbers w:val="0"/>
              <w:rPr>
                <w:rFonts w:hint="default" w:asciiTheme="minorAscii" w:hAnsiTheme="minorAscii"/>
                <w:sz w:val="24"/>
                <w:szCs w:val="24"/>
              </w:rPr>
            </w:pPr>
            <w:r>
              <w:rPr>
                <w:rFonts w:hint="default" w:asciiTheme="minorAscii" w:hAnsiTheme="minorAscii"/>
                <w:b/>
                <w:bCs/>
                <w:sz w:val="24"/>
                <w:szCs w:val="24"/>
              </w:rPr>
              <w:t>Research Paradigm and Methodology</w:t>
            </w:r>
            <w:r>
              <w:rPr>
                <w:rFonts w:hint="default" w:asciiTheme="minorAscii" w:hAnsiTheme="minorAscii"/>
                <w:sz w:val="24"/>
                <w:szCs w:val="24"/>
              </w:rPr>
              <w:t xml:space="preserve">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This study is grounded in the constructivist paradigm, which aims to understand the process of multiple construction of classroom practices and subjective experiences of teachers and students (Lincoln &amp; Guba, 1985).</w:t>
            </w: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rPr>
              <w:t xml:space="preserve">1 Ontology </w:t>
            </w:r>
          </w:p>
          <w:p>
            <w:pPr>
              <w:keepNext w:val="0"/>
              <w:keepLines w:val="0"/>
              <w:widowControl/>
              <w:suppressLineNumbers w:val="0"/>
              <w:jc w:val="left"/>
              <w:rPr>
                <w:rFonts w:hint="default" w:asciiTheme="minorAscii" w:hAnsiTheme="minorAscii"/>
                <w:sz w:val="24"/>
                <w:szCs w:val="24"/>
              </w:rPr>
            </w:pPr>
            <w:r>
              <w:rPr>
                <w:rFonts w:hint="default" w:asciiTheme="minorAscii" w:hAnsiTheme="minorAscii"/>
                <w:sz w:val="24"/>
                <w:szCs w:val="24"/>
              </w:rPr>
              <w:t>This study adopts a constructivist ontology, which argues that classroom teaching is not a single objective entity, but a dynamic field constructed by a variety of factors such as teachers, students, course content and cultural context (Lincoln &amp; Guba, 1985). Different teachers and groups of students may construct their own ‘realities’ in the same classroom, which can be interpreted differently and cannot be summarised by a single standard (Lincoln &amp; Guba, 1985). At the same time, teaching behaviours and meanings are embedded in specific professional levels, geographical cultures and personal experiences, and need to be understood in real classroom contexts (</w:t>
            </w:r>
            <w:r>
              <w:rPr>
                <w:rFonts w:hint="default" w:eastAsia="宋体" w:cs="宋体" w:asciiTheme="minorAscii" w:hAnsiTheme="minorAscii"/>
                <w:kern w:val="0"/>
                <w:sz w:val="24"/>
                <w:szCs w:val="24"/>
                <w:lang w:val="en-US" w:eastAsia="zh-CN" w:bidi="ar"/>
              </w:rPr>
              <w:t>Patton, 2015</w:t>
            </w:r>
            <w:r>
              <w:rPr>
                <w:rFonts w:hint="default" w:asciiTheme="minorAscii" w:hAnsiTheme="minorAscii"/>
                <w:sz w:val="24"/>
                <w:szCs w:val="24"/>
              </w:rPr>
              <w:t>).</w:t>
            </w:r>
          </w:p>
          <w:p>
            <w:pPr>
              <w:keepNext w:val="0"/>
              <w:keepLines w:val="0"/>
              <w:widowControl/>
              <w:suppressLineNumbers w:val="0"/>
              <w:jc w:val="left"/>
              <w:rPr>
                <w:rFonts w:hint="default" w:asciiTheme="minorAscii" w:hAnsiTheme="minorAscii"/>
                <w:sz w:val="24"/>
                <w:szCs w:val="24"/>
              </w:rPr>
            </w:pP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lang w:val="en-US" w:eastAsia="zh-CN"/>
              </w:rPr>
              <w:t>2</w:t>
            </w:r>
            <w:r>
              <w:rPr>
                <w:rFonts w:hint="default" w:asciiTheme="minorAscii" w:hAnsiTheme="minorAscii"/>
                <w:b/>
                <w:bCs/>
                <w:sz w:val="24"/>
                <w:szCs w:val="24"/>
              </w:rPr>
              <w:t xml:space="preserve"> Epistemology </w:t>
            </w:r>
          </w:p>
          <w:p>
            <w:pPr>
              <w:keepNext w:val="0"/>
              <w:keepLines w:val="0"/>
              <w:widowControl/>
              <w:suppressLineNumbers w:val="0"/>
              <w:jc w:val="left"/>
              <w:rPr>
                <w:rFonts w:hint="default" w:asciiTheme="minorAscii" w:hAnsiTheme="minorAscii"/>
                <w:sz w:val="24"/>
                <w:szCs w:val="24"/>
              </w:rPr>
            </w:pPr>
            <w:r>
              <w:rPr>
                <w:rFonts w:hint="default" w:asciiTheme="minorAscii" w:hAnsiTheme="minorAscii"/>
                <w:sz w:val="24"/>
                <w:szCs w:val="24"/>
              </w:rPr>
              <w:t>The epistemology of this study is grounded in a constructivist stance, which emphasises that knowledge is co-produced in the interaction between the researcher and the participant, and rejects the “objectification” of social phenomena into measurable variables, arguing for a focus on contextualised subjective experiences and symbolic systems (</w:t>
            </w:r>
            <w:r>
              <w:rPr>
                <w:rFonts w:hint="default" w:eastAsia="宋体" w:cs="宋体" w:asciiTheme="minorAscii" w:hAnsiTheme="minorAscii"/>
                <w:kern w:val="0"/>
                <w:sz w:val="24"/>
                <w:szCs w:val="24"/>
                <w:lang w:val="en-US" w:eastAsia="zh-CN" w:bidi="ar"/>
              </w:rPr>
              <w:t>Creswell &amp; Poth, 2018</w:t>
            </w:r>
            <w:r>
              <w:rPr>
                <w:rFonts w:hint="default" w:asciiTheme="minorAscii" w:hAnsiTheme="minorAscii"/>
                <w:sz w:val="24"/>
                <w:szCs w:val="24"/>
              </w:rPr>
              <w:t>).This position requires the researcher to be reflective in data collection and analysis. This means that the researcher listens, questions, and reflects, co-constructs a picture of understanding of teaching methods with teachers and students in interviews (</w:t>
            </w:r>
            <w:r>
              <w:rPr>
                <w:rFonts w:hint="default" w:eastAsia="宋体" w:cs="宋体" w:asciiTheme="minorAscii" w:hAnsiTheme="minorAscii"/>
                <w:kern w:val="0"/>
                <w:sz w:val="24"/>
                <w:szCs w:val="24"/>
                <w:lang w:val="en-US" w:eastAsia="zh-CN" w:bidi="ar"/>
              </w:rPr>
              <w:t>Kvale &amp; Brinkmann, 2009</w:t>
            </w:r>
            <w:r>
              <w:rPr>
                <w:rFonts w:hint="default" w:asciiTheme="minorAscii" w:hAnsiTheme="minorAscii"/>
                <w:sz w:val="24"/>
                <w:szCs w:val="24"/>
              </w:rPr>
              <w:t>), and triangulates during the process, continually reflecting on researcher bias and enhancing the credibility of findings (Lincoln &amp; Guba, 1985</w:t>
            </w:r>
            <w:r>
              <w:rPr>
                <w:rFonts w:hint="default" w:asciiTheme="minorAscii" w:hAnsiTheme="minorAscii"/>
                <w:sz w:val="24"/>
                <w:szCs w:val="24"/>
                <w:lang w:val="en-US"/>
              </w:rPr>
              <w:t>)</w:t>
            </w:r>
            <w:r>
              <w:rPr>
                <w:rFonts w:hint="default" w:asciiTheme="minorAscii" w:hAnsiTheme="minorAscii"/>
                <w:sz w:val="24"/>
                <w:szCs w:val="24"/>
              </w:rPr>
              <w:t>.</w:t>
            </w:r>
          </w:p>
          <w:p>
            <w:pPr>
              <w:pStyle w:val="2"/>
              <w:keepNext w:val="0"/>
              <w:keepLines w:val="0"/>
              <w:widowControl/>
              <w:suppressLineNumbers w:val="0"/>
              <w:rPr>
                <w:rFonts w:hint="default" w:asciiTheme="minorAscii" w:hAnsiTheme="minorAscii"/>
                <w:b/>
                <w:bCs/>
                <w:sz w:val="24"/>
                <w:szCs w:val="24"/>
                <w:lang w:val="en-US" w:eastAsia="zh-CN"/>
              </w:rPr>
            </w:pP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lang w:val="en-US" w:eastAsia="zh-CN"/>
              </w:rPr>
              <w:t>3</w:t>
            </w:r>
            <w:r>
              <w:rPr>
                <w:rFonts w:hint="default" w:asciiTheme="minorAscii" w:hAnsiTheme="minorAscii"/>
                <w:b/>
                <w:bCs/>
                <w:sz w:val="24"/>
                <w:szCs w:val="24"/>
              </w:rPr>
              <w:t xml:space="preserve"> Methodology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Two qualitative methods will be used in this study: non-intrusive classroom observation and semi-structured in-depth interviews.</w:t>
            </w:r>
          </w:p>
          <w:p>
            <w:pPr>
              <w:keepNext w:val="0"/>
              <w:keepLines w:val="0"/>
              <w:widowControl/>
              <w:suppressLineNumbers w:val="0"/>
              <w:jc w:val="left"/>
              <w:rPr>
                <w:rFonts w:hint="default" w:asciiTheme="minorAscii" w:hAnsiTheme="minorAscii"/>
                <w:sz w:val="24"/>
                <w:szCs w:val="24"/>
              </w:rPr>
            </w:pPr>
            <w:r>
              <w:rPr>
                <w:rFonts w:hint="default" w:asciiTheme="minorAscii" w:hAnsiTheme="minorAscii"/>
                <w:b/>
                <w:bCs/>
                <w:sz w:val="24"/>
                <w:szCs w:val="24"/>
              </w:rPr>
              <w:t>Non-intrusive classroom observation:</w:t>
            </w:r>
            <w:r>
              <w:rPr>
                <w:rFonts w:hint="default" w:asciiTheme="minorAscii" w:hAnsiTheme="minorAscii"/>
                <w:sz w:val="24"/>
                <w:szCs w:val="24"/>
              </w:rPr>
              <w:t xml:space="preserve"> the researcher takes the role of a bystander to record the natural interaction and vocal practice style of teachers and students without interfering in the classroom teaching and learning process, so as to obtain contextualised and detailed data (</w:t>
            </w:r>
            <w:r>
              <w:rPr>
                <w:rFonts w:hint="default" w:eastAsia="宋体" w:cs="宋体" w:asciiTheme="minorAscii" w:hAnsiTheme="minorAscii"/>
                <w:kern w:val="0"/>
                <w:sz w:val="24"/>
                <w:szCs w:val="24"/>
                <w:lang w:val="en-US" w:eastAsia="zh-CN" w:bidi="ar"/>
              </w:rPr>
              <w:t>Silverman, 2013</w:t>
            </w:r>
            <w:r>
              <w:rPr>
                <w:rFonts w:hint="default" w:asciiTheme="minorAscii" w:hAnsiTheme="minorAscii"/>
                <w:sz w:val="24"/>
                <w:szCs w:val="24"/>
              </w:rPr>
              <w:t>).</w:t>
            </w:r>
          </w:p>
          <w:p>
            <w:pPr>
              <w:keepNext w:val="0"/>
              <w:keepLines w:val="0"/>
              <w:widowControl/>
              <w:suppressLineNumbers w:val="0"/>
              <w:jc w:val="left"/>
              <w:rPr>
                <w:rFonts w:hint="default" w:asciiTheme="minorAscii" w:hAnsiTheme="minorAscii"/>
                <w:sz w:val="24"/>
                <w:szCs w:val="24"/>
              </w:rPr>
            </w:pPr>
            <w:r>
              <w:rPr>
                <w:rFonts w:hint="default" w:asciiTheme="minorAscii" w:hAnsiTheme="minorAscii"/>
                <w:b/>
                <w:bCs/>
                <w:sz w:val="24"/>
                <w:szCs w:val="24"/>
              </w:rPr>
              <w:t>Semi-structured in-depth interviews:</w:t>
            </w:r>
            <w:r>
              <w:rPr>
                <w:rFonts w:hint="default" w:asciiTheme="minorAscii" w:hAnsiTheme="minorAscii"/>
                <w:sz w:val="24"/>
                <w:szCs w:val="24"/>
              </w:rPr>
              <w:t xml:space="preserve"> based on a pre-determined thematic framework (e.g., motivation for choosing teaching methods, evaluation of effectiveness, etc.), the order of the questions and the way of asking questions were flexibly adjusted during the interview process, which not only ensured the focus of the study, but also allowed the interviewees to freely express their experiences and reflections, so as to realise that the researcher and the participants could co-construct their understanding of classroom practice (</w:t>
            </w:r>
            <w:r>
              <w:rPr>
                <w:rFonts w:hint="default" w:eastAsia="宋体" w:cs="宋体" w:asciiTheme="minorAscii" w:hAnsiTheme="minorAscii"/>
                <w:kern w:val="0"/>
                <w:sz w:val="24"/>
                <w:szCs w:val="24"/>
                <w:lang w:val="en-US" w:eastAsia="zh-CN" w:bidi="ar"/>
              </w:rPr>
              <w:t>Kvale &amp; Brinkmann, 2009</w:t>
            </w:r>
            <w:r>
              <w:rPr>
                <w:rFonts w:hint="default" w:asciiTheme="minorAscii" w:hAnsiTheme="minorAscii"/>
                <w:sz w:val="24"/>
                <w:szCs w:val="24"/>
              </w:rPr>
              <w:t>).</w:t>
            </w:r>
          </w:p>
          <w:p>
            <w:pPr>
              <w:pStyle w:val="2"/>
              <w:keepNext w:val="0"/>
              <w:keepLines w:val="0"/>
              <w:widowControl/>
              <w:suppressLineNumbers w:val="0"/>
              <w:rPr>
                <w:rFonts w:hint="default" w:asciiTheme="minorAscii" w:hAnsiTheme="minorAscii"/>
                <w:sz w:val="24"/>
                <w:szCs w:val="24"/>
              </w:rPr>
            </w:pP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rPr>
              <w:t xml:space="preserve">4 Fit with the research questions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Q1 On the types of teaching methods: non-intrusive observation was used to obtain first-hand behavioural data on classroom practice, providing an empirical basis for identifying the types of methods used by teachers, such as vocal demonstration, interactive guiding, and feedback methods.</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Q2 Motivation of teaching method choices: Interviews guided teachers to explore how factors such as their professional background, learning experiences, institutional hierarchy, and student characteristics (admission scores, regional differences) influenced their teaching choices.</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Q3 Students' experience of the course: Interviews with students were conducted to reflect their learning experiences and evaluations of different teaching strategies, including changes in motivation, affective responses, and self-efficacy.</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b/>
                <w:bCs/>
                <w:sz w:val="24"/>
                <w:szCs w:val="24"/>
              </w:rPr>
              <w:t xml:space="preserve">5 Methodological Strengths and Limitations </w:t>
            </w:r>
          </w:p>
          <w:p>
            <w:pPr>
              <w:keepNext w:val="0"/>
              <w:keepLines w:val="0"/>
              <w:widowControl/>
              <w:suppressLineNumbers w:val="0"/>
              <w:jc w:val="left"/>
              <w:rPr>
                <w:rFonts w:hint="default" w:asciiTheme="minorAscii" w:hAnsiTheme="minorAscii"/>
                <w:sz w:val="24"/>
                <w:szCs w:val="24"/>
              </w:rPr>
            </w:pPr>
            <w:r>
              <w:rPr>
                <w:rFonts w:hint="default" w:asciiTheme="minorAscii" w:hAnsiTheme="minorAscii"/>
                <w:sz w:val="24"/>
                <w:szCs w:val="24"/>
              </w:rPr>
              <w:t>The strengths of using both methods, firstly qualitative methods capture the complexity and multiple perspectives of teaching practice and reveal the subjective meaning construction of participants (</w:t>
            </w:r>
            <w:r>
              <w:rPr>
                <w:rFonts w:hint="default" w:eastAsia="宋体" w:cs="宋体" w:asciiTheme="minorAscii" w:hAnsiTheme="minorAscii"/>
                <w:kern w:val="0"/>
                <w:sz w:val="24"/>
                <w:szCs w:val="24"/>
                <w:lang w:val="en-US" w:eastAsia="zh-CN" w:bidi="ar"/>
              </w:rPr>
              <w:t>Creswell &amp; Poth, 2018</w:t>
            </w:r>
            <w:r>
              <w:rPr>
                <w:rFonts w:hint="default" w:asciiTheme="minorAscii" w:hAnsiTheme="minorAscii"/>
                <w:sz w:val="24"/>
                <w:szCs w:val="24"/>
              </w:rPr>
              <w:t>). Secondly non-intrusive observation ensures that behaviours take place in an authentic classroom setting, ensuring as much authenticity and naturalness as possible (</w:t>
            </w:r>
            <w:r>
              <w:rPr>
                <w:rFonts w:hint="default" w:eastAsia="宋体" w:cs="宋体" w:asciiTheme="minorAscii" w:hAnsiTheme="minorAscii"/>
                <w:kern w:val="0"/>
                <w:sz w:val="24"/>
                <w:szCs w:val="24"/>
                <w:lang w:val="en-US" w:eastAsia="zh-CN" w:bidi="ar"/>
              </w:rPr>
              <w:t>Silverman, 2013</w:t>
            </w:r>
            <w:r>
              <w:rPr>
                <w:rFonts w:hint="default" w:asciiTheme="minorAscii" w:hAnsiTheme="minorAscii"/>
                <w:sz w:val="24"/>
                <w:szCs w:val="24"/>
              </w:rPr>
              <w:t>). The use of classroom observation allows the researcher to maintain a degree of objectivity, coupled with semi-structured interviews that are both framed and open-ended, allowing the researcher to follow up with timely questions and effectively dig for deeper information (</w:t>
            </w:r>
            <w:r>
              <w:rPr>
                <w:rFonts w:hint="default" w:eastAsia="宋体" w:cs="宋体" w:asciiTheme="minorAscii" w:hAnsiTheme="minorAscii"/>
                <w:kern w:val="0"/>
                <w:sz w:val="24"/>
                <w:szCs w:val="24"/>
                <w:lang w:val="en-US" w:eastAsia="zh-CN" w:bidi="ar"/>
              </w:rPr>
              <w:t>Patton, 2015</w:t>
            </w:r>
            <w:r>
              <w:rPr>
                <w:rFonts w:hint="default" w:asciiTheme="minorAscii" w:hAnsiTheme="minorAscii"/>
                <w:sz w:val="24"/>
                <w:szCs w:val="24"/>
              </w:rPr>
              <w:t>).</w:t>
            </w:r>
          </w:p>
          <w:p>
            <w:pPr>
              <w:keepNext w:val="0"/>
              <w:keepLines w:val="0"/>
              <w:widowControl/>
              <w:suppressLineNumbers w:val="0"/>
              <w:jc w:val="left"/>
              <w:rPr>
                <w:rFonts w:hint="default" w:asciiTheme="minorAscii" w:hAnsiTheme="minorAscii"/>
                <w:sz w:val="24"/>
                <w:szCs w:val="24"/>
              </w:rPr>
            </w:pPr>
            <w:r>
              <w:rPr>
                <w:rFonts w:hint="default" w:asciiTheme="minorAscii" w:hAnsiTheme="minorAscii"/>
                <w:sz w:val="24"/>
                <w:szCs w:val="24"/>
              </w:rPr>
              <w:t>However there are limitations to both methods, firstly qualitative samples and natural fields are difficult to replicate accurately and external validity is limited (</w:t>
            </w:r>
            <w:r>
              <w:rPr>
                <w:rFonts w:hint="default" w:eastAsia="宋体" w:cs="宋体" w:asciiTheme="minorAscii" w:hAnsiTheme="minorAscii"/>
                <w:kern w:val="0"/>
                <w:sz w:val="24"/>
                <w:szCs w:val="24"/>
                <w:lang w:val="en-US" w:eastAsia="zh-CN" w:bidi="ar"/>
              </w:rPr>
              <w:t>Patton, 2015</w:t>
            </w:r>
            <w:r>
              <w:rPr>
                <w:rFonts w:hint="default" w:asciiTheme="minorAscii" w:hAnsiTheme="minorAscii"/>
                <w:sz w:val="24"/>
                <w:szCs w:val="24"/>
              </w:rPr>
              <w:t>). Secondly the researcher's preconceptions and interview guides may influence data collection and interpretation and require continuous reflection (</w:t>
            </w:r>
            <w:r>
              <w:rPr>
                <w:rFonts w:hint="default" w:eastAsia="宋体" w:cs="宋体" w:asciiTheme="minorAscii" w:hAnsiTheme="minorAscii"/>
                <w:kern w:val="0"/>
                <w:sz w:val="24"/>
                <w:szCs w:val="24"/>
                <w:lang w:val="en-US" w:eastAsia="zh-CN" w:bidi="ar"/>
              </w:rPr>
              <w:t>Silverman, 2013</w:t>
            </w:r>
            <w:r>
              <w:rPr>
                <w:rFonts w:hint="default" w:asciiTheme="minorAscii" w:hAnsiTheme="minorAscii"/>
                <w:sz w:val="24"/>
                <w:szCs w:val="24"/>
              </w:rPr>
              <w:t>). Moreover, the researcher needs to observe and conduct in-depth interviews for a long period of time during the research process which requires a significant investment of manpower, time and post-coding and analysis costs (</w:t>
            </w:r>
            <w:r>
              <w:rPr>
                <w:rFonts w:hint="default" w:eastAsia="宋体" w:cs="宋体" w:asciiTheme="minorAscii" w:hAnsiTheme="minorAscii"/>
                <w:kern w:val="0"/>
                <w:sz w:val="24"/>
                <w:szCs w:val="24"/>
                <w:lang w:val="en-US" w:eastAsia="zh-CN" w:bidi="ar"/>
              </w:rPr>
              <w:t>Patton, 2015</w:t>
            </w:r>
            <w:r>
              <w:rPr>
                <w:rFonts w:hint="default" w:asciiTheme="minorAscii" w:hAnsiTheme="minorAscii"/>
                <w:sz w:val="24"/>
                <w:szCs w:val="24"/>
              </w:rPr>
              <w:t>). Also qualitative methods focus on description and explanation and may face the inability to test causal effects between variables as experimental designs do (</w:t>
            </w:r>
            <w:r>
              <w:rPr>
                <w:rFonts w:hint="default" w:eastAsia="宋体" w:cs="宋体" w:asciiTheme="minorAscii" w:hAnsiTheme="minorAscii"/>
                <w:kern w:val="0"/>
                <w:sz w:val="24"/>
                <w:szCs w:val="24"/>
                <w:lang w:val="en-US" w:eastAsia="zh-CN" w:bidi="ar"/>
              </w:rPr>
              <w:t>Creswell &amp; Poth, 2018</w:t>
            </w:r>
            <w:r>
              <w:rPr>
                <w:rFonts w:hint="default" w:asciiTheme="minorAscii" w:hAnsiTheme="minorAscii"/>
                <w:sz w:val="24"/>
                <w:szCs w:val="24"/>
              </w:rPr>
              <w:t>). Finally non-invasive observations and interviews require full informed consent and privacy protection, making the process more complex (</w:t>
            </w:r>
            <w:r>
              <w:rPr>
                <w:rFonts w:hint="default" w:eastAsia="宋体" w:cs="宋体" w:asciiTheme="minorAscii" w:hAnsiTheme="minorAscii"/>
                <w:kern w:val="0"/>
                <w:sz w:val="24"/>
                <w:szCs w:val="24"/>
                <w:lang w:val="en-US" w:eastAsia="zh-CN" w:bidi="ar"/>
              </w:rPr>
              <w:t>Kvale &amp; Brinkmann, 2009</w:t>
            </w:r>
            <w:r>
              <w:rPr>
                <w:rFonts w:hint="default" w:asciiTheme="minorAscii" w:hAnsiTheme="minorAscii"/>
                <w:sz w:val="24"/>
                <w:szCs w:val="24"/>
              </w:rPr>
              <w:t>).</w:t>
            </w:r>
          </w:p>
          <w:p>
            <w:pPr>
              <w:pStyle w:val="2"/>
              <w:keepNext w:val="0"/>
              <w:keepLines w:val="0"/>
              <w:widowControl/>
              <w:suppressLineNumbers w:val="0"/>
              <w:rPr>
                <w:rFonts w:hint="default" w:asciiTheme="minorAscii" w:hAnsiTheme="minorAscii" w:eastAsiaTheme="minorEastAsia"/>
                <w:sz w:val="24"/>
                <w:szCs w:val="24"/>
                <w:vertAlign w:val="baseline"/>
                <w:lang w:val="en-US" w:eastAsia="zh-CN"/>
              </w:rPr>
            </w:pPr>
          </w:p>
        </w:tc>
      </w:tr>
      <w:tr>
        <w:tc>
          <w:tcPr>
            <w:tcW w:w="8644" w:type="dxa"/>
          </w:tcPr>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rPr>
              <w:t xml:space="preserve">Research Tools </w:t>
            </w:r>
          </w:p>
          <w:p>
            <w:pPr>
              <w:pStyle w:val="2"/>
              <w:keepNext w:val="0"/>
              <w:keepLines w:val="0"/>
              <w:widowControl/>
              <w:suppressLineNumbers w:val="0"/>
              <w:rPr>
                <w:rFonts w:hint="default" w:asciiTheme="minorAscii" w:hAnsiTheme="minorAscii" w:eastAsiaTheme="minorEastAsia"/>
                <w:sz w:val="24"/>
                <w:szCs w:val="24"/>
                <w:lang w:val="en-US" w:eastAsia="zh-CN"/>
              </w:rPr>
            </w:pPr>
            <w:r>
              <w:rPr>
                <w:rFonts w:hint="default" w:asciiTheme="minorAscii" w:hAnsiTheme="minorAscii"/>
                <w:sz w:val="24"/>
                <w:szCs w:val="24"/>
              </w:rPr>
              <w:t>This study combines two types of qualitative tools to meet the data needs of different research questions</w:t>
            </w:r>
            <w:r>
              <w:rPr>
                <w:rFonts w:hint="default" w:asciiTheme="minorAscii" w:hAnsiTheme="minorAscii"/>
                <w:sz w:val="24"/>
                <w:szCs w:val="24"/>
                <w:lang w:val="en-US"/>
              </w:rPr>
              <w:t>.</w:t>
            </w:r>
          </w:p>
          <w:p>
            <w:pPr>
              <w:pStyle w:val="2"/>
              <w:keepNext w:val="0"/>
              <w:keepLines w:val="0"/>
              <w:widowControl/>
              <w:suppressLineNumbers w:val="0"/>
              <w:rPr>
                <w:rFonts w:hint="default" w:asciiTheme="minorAscii" w:hAnsiTheme="minorAscii" w:eastAsiaTheme="minorEastAsia"/>
                <w:b/>
                <w:bCs/>
                <w:sz w:val="24"/>
                <w:szCs w:val="24"/>
                <w:lang w:eastAsia="zh-CN"/>
              </w:rPr>
            </w:pPr>
            <w:r>
              <w:rPr>
                <w:rFonts w:hint="default" w:asciiTheme="minorAscii" w:hAnsiTheme="minorAscii"/>
                <w:b/>
                <w:bCs/>
                <w:sz w:val="24"/>
                <w:szCs w:val="24"/>
              </w:rPr>
              <w:t xml:space="preserve">Non-intrusive Classroom Observation </w:t>
            </w:r>
            <w:r>
              <w:rPr>
                <w:rFonts w:hint="default" w:asciiTheme="minorAscii" w:hAnsiTheme="minorAscii"/>
                <w:b/>
                <w:bCs/>
                <w:sz w:val="24"/>
                <w:szCs w:val="24"/>
                <w:lang w:eastAsia="zh-CN"/>
              </w:rPr>
              <w:t>：</w:t>
            </w: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rPr>
              <w:t xml:space="preserve">1 Instrument Design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b/>
                <w:bCs/>
                <w:sz w:val="24"/>
                <w:szCs w:val="24"/>
              </w:rPr>
              <w:t>Observation Dimension:</w:t>
            </w:r>
            <w:r>
              <w:rPr>
                <w:rFonts w:hint="default" w:asciiTheme="minorAscii" w:hAnsiTheme="minorAscii"/>
                <w:sz w:val="24"/>
                <w:szCs w:val="24"/>
              </w:rPr>
              <w:t xml:space="preserve"> based on the literature and the preliminary experiments, observation experiments will be carried out on the video of the online course about the subject in order to refine the classroom observation scale before the formal observation. Observations will cover elements of teaching sessions (demonstration, practice, feedback), types of interactions (two-way teacher-student, peer support), and non-verbal cues (gestures, glances, use of teaching aids) (Braun and Clarke, 2006). After a preliminary count, the course is commonly taught about 18 times a semester in China (including testing), and the researcher expects to observe a teacher for at least 2 sessions to increase the completeness and stability of the information obtained from the observation experiment.</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b/>
                <w:bCs/>
                <w:sz w:val="24"/>
                <w:szCs w:val="24"/>
              </w:rPr>
              <w:t>Recording method:</w:t>
            </w:r>
            <w:r>
              <w:rPr>
                <w:rFonts w:hint="default" w:asciiTheme="minorAscii" w:hAnsiTheme="minorAscii"/>
                <w:sz w:val="24"/>
                <w:szCs w:val="24"/>
              </w:rPr>
              <w:t xml:space="preserve"> The researcher currently plans to use online remote observation. The classroom will be recorded in its entirety in the classroom via live computer streaming or video camera recording. Video recordings from at least two perspectives of the same classroom will be provided to ensure completeness of observation of the classroom environment and details of participants' behaviour and language. A complete record of the classroom process is provided with notes and a timestamp tool to ensure that contextual information is preserved in multiple dimensions (Verywell Mind, 2006).</w:t>
            </w:r>
          </w:p>
          <w:p>
            <w:pPr>
              <w:pStyle w:val="2"/>
              <w:keepNext w:val="0"/>
              <w:keepLines w:val="0"/>
              <w:widowControl/>
              <w:suppressLineNumbers w:val="0"/>
              <w:rPr>
                <w:rFonts w:hint="default" w:asciiTheme="minorAscii" w:hAnsiTheme="minorAscii"/>
                <w:sz w:val="24"/>
                <w:szCs w:val="24"/>
              </w:rPr>
            </w:pP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rPr>
              <w:t xml:space="preserve">2 Strengths and Limitations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This approach allows the observed behaviours to take place in a natural classroom, with strong external transferability of findings (McLeod, 2015). Also in this approach there is spatial distance between the observer and the participant, which will reduce the tension of the participant, reduce the disruption of the observer's classroom order and teacher-student interactions, reduce the observer effect, and facilitate the obtaining of information about the unmodified behaviours (McLeod, 2015).</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Recording through video in conjunction with notes allows for retrospective observation of details such as changes in the speed and volume of the teacher's speech, frequency of use of different forms of teaching methods such as group discussion and student imitation, providing a fine-grained judgement of the pedagogical methods used by the teacher in the classroom (Gill et al., 2008). This research tool is also applicable to different universities and different modes of delivery, e.g. offline and blended teaching, to facilitate cross-campus comparisons (Patton, 2015).</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 xml:space="preserve">However, there are limitations to this approach. Observers' preconceptions may influence behavioural coding and lead to subjective bias (Patton, 2015). In addition, classroom environments and campus cultures vary across colleges and universities, making it difficult to accurately replicate the same observation conditions across institutions (Cohen, Manion and Morrison, 2018). The video and extensive note-taking method of recording requires intense post-processing and analysis by the researcher, which requires high analytical skills (Bird, 2005). Meanwhile, due to the large number of participants involved, privacy and ethical issues may arise, such as classroom video recording requires consent from all participants and the school to ensure privacy protection and data confidentiality (Berg and Lune, 2017). Finally, remote observation cannot directly explore the deeper motivations behind participants' behaviours and discourses and needs to be supplemented with interviews (Braun and Clarke, 2006). </w:t>
            </w:r>
          </w:p>
          <w:p>
            <w:pPr>
              <w:pStyle w:val="2"/>
              <w:keepNext w:val="0"/>
              <w:keepLines w:val="0"/>
              <w:widowControl/>
              <w:suppressLineNumbers w:val="0"/>
              <w:rPr>
                <w:rFonts w:hint="default" w:asciiTheme="minorAscii" w:hAnsiTheme="minorAscii"/>
                <w:sz w:val="24"/>
                <w:szCs w:val="24"/>
              </w:rPr>
            </w:pPr>
          </w:p>
          <w:p>
            <w:pPr>
              <w:pStyle w:val="2"/>
              <w:keepNext w:val="0"/>
              <w:keepLines w:val="0"/>
              <w:widowControl/>
              <w:suppressLineNumbers w:val="0"/>
              <w:rPr>
                <w:rFonts w:hint="default" w:asciiTheme="minorAscii" w:hAnsiTheme="minorAscii"/>
                <w:sz w:val="24"/>
                <w:szCs w:val="24"/>
              </w:rPr>
            </w:pPr>
            <w:r>
              <w:rPr>
                <w:rFonts w:hint="default" w:asciiTheme="minorAscii" w:hAnsiTheme="minorAscii"/>
                <w:b/>
                <w:bCs/>
                <w:sz w:val="24"/>
                <w:szCs w:val="24"/>
              </w:rPr>
              <w:t xml:space="preserve">Semi-structured in-depth interviews </w:t>
            </w:r>
            <w:r>
              <w:rPr>
                <w:rFonts w:hint="default" w:asciiTheme="minorAscii" w:hAnsiTheme="minorAscii"/>
                <w:b/>
                <w:bCs/>
                <w:sz w:val="24"/>
                <w:szCs w:val="24"/>
                <w:lang w:eastAsia="zh-CN"/>
              </w:rPr>
              <w:t>：</w:t>
            </w: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rPr>
              <w:t xml:space="preserve">1 Instrument design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Interviewees: at least one teacher of the broadcasting and vocalisation course in each of the four schools was selected to be interviewed, as well as students who participated in classroom observations. The interviews were conducted mainly with first-year students, covering students of different genders and from different regions, and the number of interviews was not less than 10 per cent of the number of observations, and the number of participants from different institutions would be adjusted according to the number of students in the school.</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Outline of interviews: Teacher interviews will focus on the themes of ‘motivations for choosing teaching methods’, ‘evaluation of own and others' teaching methods’, and ‘teaching resources and challenges’; student interviews will focus on the themes of ‘motivations for choosing teaching methods’, ‘evaluation of own and others' teaching methods’, and ‘teaching resources and challenges’. The interviews with students will focus on the themes of ‘students' learning experiences’, ‘the influence of phonological habits in their upbringing on course learning’, and ‘evaluation of different teaching methods’. An open-ended interview outline was designed for both teachers and students, with a number of follow-up questions (Kvale and Brinkmann, 2009).</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The interview process: each interview was a 30-minute online interview; the interviews were audio-recorded and brief notes were taken on the spot, which were transcribed verbatim after the interview.</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b/>
                <w:bCs/>
                <w:sz w:val="24"/>
                <w:szCs w:val="24"/>
              </w:rPr>
              <w:t xml:space="preserve">2 Strengths and Weaknesses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The interview method will be used as the core research method in this study, and its strengths and limitations present multidimensional characteristics.</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In terms of methodological strengths, the flexible and in-depth interview process allows the researcher to dynamically adjust the questioning strategy according to the feedback from the respondents, effectively capturing the key behavioural motivations and implicit cognitions (Kvale and Brinkmann, 2009); the open-ended questioning that focuses on both emotion and cognition can break through the superficial limitations of classroom observation and deeply explore the emotional dimensions and value judgments in the learning experience (DiCicco-Bloomberg, 2009). DiCicco-Bloom and Crabtree, 2006). A semi-structured outline was designed to ensure the feasibility of cross-case analyses while maintaining the flexibility of responses (Gill et al., 2008), as well as a cost-effective, small-sample strategy to optimise the allocation of research resources.</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However, there are limitations to the methodology itself, with the risk of lead bias requiring process control by the researcher through systematic training and interview logs (Patton, 2015); and data processing complexity reflected in the need for specialisation in the transcript coding session as well as being subjective to the researcher's personal experience (Bird, 2005). In addition special attention needs to be paid to the constraints of ethical privacy issues on data processing and the impact of underrepresented samples on research (Malterud, Siersma and Guassora, 2016). Together, these methodological characteristics shape the interpretive boundaries and scholarly value of this study.</w:t>
            </w:r>
          </w:p>
          <w:p>
            <w:pPr>
              <w:pStyle w:val="2"/>
              <w:keepNext w:val="0"/>
              <w:keepLines w:val="0"/>
              <w:widowControl/>
              <w:suppressLineNumbers w:val="0"/>
              <w:rPr>
                <w:rFonts w:hint="default" w:asciiTheme="minorAscii" w:hAnsiTheme="minorAscii"/>
                <w:sz w:val="24"/>
                <w:szCs w:val="24"/>
                <w:lang w:val="en-US" w:eastAsia="zh-CN"/>
              </w:rPr>
            </w:pPr>
          </w:p>
        </w:tc>
      </w:tr>
      <w:tr>
        <w:trPr>
          <w:trHeight w:val="865" w:hRule="atLeast"/>
        </w:trPr>
        <w:tc>
          <w:tcPr>
            <w:tcW w:w="8644" w:type="dxa"/>
          </w:tcPr>
          <w:p>
            <w:pPr>
              <w:pStyle w:val="2"/>
              <w:keepNext w:val="0"/>
              <w:keepLines w:val="0"/>
              <w:widowControl/>
              <w:suppressLineNumbers w:val="0"/>
              <w:rPr>
                <w:rFonts w:hint="default" w:asciiTheme="minorAscii" w:hAnsiTheme="minorAscii" w:eastAsiaTheme="minorEastAsia"/>
                <w:b/>
                <w:bCs/>
                <w:sz w:val="24"/>
                <w:szCs w:val="24"/>
                <w:lang w:val="en-US" w:eastAsia="zh-CN"/>
              </w:rPr>
            </w:pPr>
            <w:r>
              <w:rPr>
                <w:rFonts w:hint="default" w:asciiTheme="minorAscii" w:hAnsiTheme="minorAscii"/>
                <w:b/>
                <w:bCs/>
                <w:sz w:val="24"/>
                <w:szCs w:val="24"/>
                <w:lang w:val="en-US"/>
              </w:rPr>
              <w:t>S</w:t>
            </w:r>
            <w:r>
              <w:rPr>
                <w:rFonts w:hint="default" w:asciiTheme="minorAscii" w:hAnsiTheme="minorAscii"/>
                <w:b/>
                <w:bCs/>
                <w:sz w:val="24"/>
                <w:szCs w:val="24"/>
                <w:lang w:val="en-US" w:eastAsia="zh-CN"/>
              </w:rPr>
              <w:t>ampling methods</w:t>
            </w:r>
          </w:p>
          <w:p>
            <w:pPr>
              <w:pStyle w:val="2"/>
              <w:keepNext w:val="0"/>
              <w:keepLines w:val="0"/>
              <w:widowControl/>
              <w:suppressLineNumbers w:val="0"/>
            </w:pPr>
            <w:r>
              <w:t xml:space="preserve">Two complementary sampling methods will be used in this study to ensure that representative and in-depth qualitative data are obtained from two key groups, teachers and students. Snowball sampling will be used for the teacher population while stratified sampling will be used for the student population. This strategy aims to balance the feasibility of the study with the diversity of the sample to ensure the richness of the data and the validity of the analyses. </w:t>
            </w:r>
          </w:p>
          <w:p>
            <w:pPr>
              <w:pStyle w:val="2"/>
              <w:keepNext w:val="0"/>
              <w:keepLines w:val="0"/>
              <w:widowControl/>
              <w:suppressLineNumbers w:val="0"/>
              <w:rPr>
                <w:b/>
                <w:bCs/>
              </w:rPr>
            </w:pPr>
            <w:r>
              <w:rPr>
                <w:rFonts w:hint="eastAsia"/>
                <w:b/>
                <w:bCs/>
                <w:lang w:val="en-US" w:eastAsia="zh-CN"/>
              </w:rPr>
              <w:t xml:space="preserve">1 </w:t>
            </w:r>
            <w:r>
              <w:rPr>
                <w:b/>
                <w:bCs/>
              </w:rPr>
              <w:t xml:space="preserve">Teacher population: snowball sampling </w:t>
            </w:r>
          </w:p>
          <w:p>
            <w:pPr>
              <w:pStyle w:val="2"/>
              <w:keepNext w:val="0"/>
              <w:keepLines w:val="0"/>
              <w:widowControl/>
              <w:suppressLineNumbers w:val="0"/>
            </w:pPr>
            <w:r>
              <w:t xml:space="preserve">Snowball sampling is a non-probability sampling method that is suitable for studying hard-to-reach or limited-sized groups, and is particularly widely used in qualitative research (Noy, 2008). In this study, the number of teachers of broadcasting and vocalisation course is limited and distributed in different universities, which makes direct contact difficult. Therefore, the researcher will expand the sample gradually by first contacting one teacher to participate in the study through an existing educational network and requesting him or her to recommend other eligible peers. The researcher's selection of the teacher sample will be based on the ranking of broadcasting and hosting majors released by 2025 Softech, and teachers from universities with four grades A+ A B+ B will be selected respectively. </w:t>
            </w:r>
          </w:p>
          <w:p>
            <w:pPr>
              <w:pStyle w:val="2"/>
              <w:keepNext w:val="0"/>
              <w:keepLines w:val="0"/>
              <w:widowControl/>
              <w:suppressLineNumbers w:val="0"/>
            </w:pPr>
            <w:r>
              <w:t>The advantages of this method are significant: first, it breaks through professional barriers by relying on the trust transfer mechanism and effectively reaches the senior teacher group, which is difficult to be covered by traditional methods (Goodman, 1961); second, it achieves rapid sample expansion under resource constraints and saves time and economic costs (Biernacki &amp; Waldorf, 1981). However, one needs to be wary of the risk of sample bias due to social homogenisation, e.g., clustering of teaching age and institutional tiers may weaken the generalisability of findings (Heckathorn, 1997). Three levels of control are set for this purpose: 1) limiting the recommendation stratum to no more than three generations; 2) triangulation of multivariate data through teaching video analyses, lesson plan texts, etc.; and 3) testing for selectivity bias in a counterfactual framework.</w:t>
            </w:r>
          </w:p>
          <w:p>
            <w:pPr>
              <w:pStyle w:val="2"/>
              <w:keepNext w:val="0"/>
              <w:keepLines w:val="0"/>
              <w:widowControl/>
              <w:suppressLineNumbers w:val="0"/>
              <w:rPr>
                <w:b/>
                <w:bCs/>
              </w:rPr>
            </w:pPr>
            <w:r>
              <w:rPr>
                <w:rFonts w:hint="eastAsia"/>
                <w:b/>
                <w:bCs/>
                <w:lang w:val="en-US" w:eastAsia="zh-CN"/>
              </w:rPr>
              <w:t xml:space="preserve">2 </w:t>
            </w:r>
            <w:r>
              <w:rPr>
                <w:b/>
                <w:bCs/>
              </w:rPr>
              <w:t xml:space="preserve">Student population: stratified sampling </w:t>
            </w:r>
          </w:p>
          <w:p>
            <w:pPr>
              <w:pStyle w:val="2"/>
              <w:keepNext w:val="0"/>
              <w:keepLines w:val="0"/>
              <w:widowControl/>
              <w:suppressLineNumbers w:val="0"/>
            </w:pPr>
            <w:r>
              <w:t xml:space="preserve">Stratified sampling is a probability sampling method that ensures that the strata are representative of the sample by dividing the whole population into a number of subgroups (strata) with similar characteristics, and then randomly selecting a sample from each subgroup (Cochran, 1977). In this study, the student population will be stratified by geography (e.g., eastern, western) and gender (male, female) to capture the learning experiences and perspectives of students with different geographic dialect backgrounds. </w:t>
            </w:r>
          </w:p>
          <w:p>
            <w:pPr>
              <w:pStyle w:val="2"/>
              <w:keepNext w:val="0"/>
              <w:keepLines w:val="0"/>
              <w:widowControl/>
              <w:suppressLineNumbers w:val="0"/>
            </w:pPr>
            <w:r>
              <w:t xml:space="preserve">The strengths of this approach are capturing the effects of dialectal exposure differences on course acceptance through a presuppositional structure and  enhancing the statistical validity of subgroup comparisons (Cochran, 1977). And its limitation is that the researcher needs to have a good understanding of the total population in order to correctly delineate the strata and ensure that the sampling frame for each stratum is accurate (Lohr, 2010). </w:t>
            </w:r>
          </w:p>
          <w:p>
            <w:pPr>
              <w:pStyle w:val="2"/>
              <w:keepNext w:val="0"/>
              <w:keepLines w:val="0"/>
              <w:widowControl/>
              <w:suppressLineNumbers w:val="0"/>
            </w:pPr>
            <w:r>
              <w:t>Nonetheless, the researcher believes that stratified sampling is applicable to the student population of this study because much of the literature suggests that students' acceptance of broadcasting and vocalisation course is strongly linked to their geographic phonological environments in which they grew up.</w:t>
            </w:r>
          </w:p>
          <w:p>
            <w:pPr>
              <w:pStyle w:val="2"/>
              <w:keepNext w:val="0"/>
              <w:keepLines w:val="0"/>
              <w:widowControl/>
              <w:suppressLineNumbers w:val="0"/>
              <w:rPr>
                <w:rFonts w:hint="default" w:asciiTheme="minorAscii" w:hAnsiTheme="minorAscii" w:eastAsiaTheme="minorEastAsia"/>
                <w:sz w:val="24"/>
                <w:szCs w:val="24"/>
                <w:vertAlign w:val="baseline"/>
                <w:lang w:val="en-US" w:eastAsia="zh-CN"/>
              </w:rPr>
            </w:pPr>
          </w:p>
        </w:tc>
      </w:tr>
      <w:tr>
        <w:trPr>
          <w:trHeight w:val="1065" w:hRule="atLeast"/>
        </w:trPr>
        <w:tc>
          <w:tcPr>
            <w:tcW w:w="8644" w:type="dxa"/>
          </w:tcPr>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rPr>
              <w:t xml:space="preserve">Ethical Considerations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 xml:space="preserve">This study strictly adhered to the ethical norms of qualitative educational research and constructed a complete ethical framework including informed consent, privacy protection, no harm principle, validation of validity and review and supervision. </w:t>
            </w: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rPr>
              <w:t xml:space="preserve">1 Informed Consent and Voluntary Participation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 xml:space="preserve">This study guaranteed participant autonomy through a double confirmation mechanism. Prior to data collection, the researcher provided participants and their affiliated institutions with a research information notice, which clearly stated that participants could withdraw unconditionally before formal data collection and that the results of the study would be anonymised to minimise the impact on their academic evaluation or career development.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Written consent was confirmed using a digital signature confirmation model, and willingness to participate was dynamically confirmed by verbally restating key terms prior to each interview. This process not only fulfils legal compliance requirements but also reduces participants' perception of power asymmetry through transparent communication (UK Statistics Authority, 2022).</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b/>
                <w:bCs/>
                <w:sz w:val="24"/>
                <w:szCs w:val="24"/>
              </w:rPr>
              <w:t xml:space="preserve">2 Anonymity and Confidentiality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 xml:space="preserve">A three-tier desensitisation strategy was used to manage the data lifecycle in this study: the original classroom observation video files were encrypted to retain only the study code (e.g. T01-S2024); and sensitive information such as identities, location details and institutions were removed during text transcription. The storage link combines physical isolation (encrypted hard drive) and cloud permission hierarchy control, with core data accessed only by the project leader. Recorded interviews and classroom observation videos were physically destroyed upon completion of the study. For the quoted corpus, the researcher further reduced the risk of re-identification through semantic rewriting and contextual fuzzy techniques (UK Statistics Authority, 2022). </w:t>
            </w: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rPr>
              <w:t xml:space="preserve">3 The Principle of No Harm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 xml:space="preserve">In the classroom observation, the researcher used non-intrusive recording methods to minimise disruption to the teaching and learning activities by fixing the seats, delayed entry (5 minutes after the start of the class) and disabling flash devices. In the interview session, a double protection mechanism was set up: before the start of the questioning, the respondents were informed of their rights and interests and provided with a list of sensitive questions; at the same time, dynamic monitoring was implemented for sensitive topics that might be involved (e.g., personal feelings, learning experiences, examination results, etc.), so that when the respondents showed stress signals such as increased speed of speech, bodily avoidance, sighing, etc., the researcher would immediately shift the When respondents showed signs of stress such as rapid speech, physical avoidance, sighing, etc., the researcher would immediately change the topic or pause the interview (UK Statistics Authority, 2022). 5.4 </w:t>
            </w:r>
          </w:p>
          <w:p>
            <w:pPr>
              <w:pStyle w:val="2"/>
              <w:keepNext w:val="0"/>
              <w:keepLines w:val="0"/>
              <w:widowControl/>
              <w:suppressLineNumbers w:val="0"/>
              <w:rPr>
                <w:rFonts w:hint="default" w:asciiTheme="minorAscii" w:hAnsiTheme="minorAscii"/>
                <w:b/>
                <w:bCs/>
                <w:sz w:val="24"/>
                <w:szCs w:val="24"/>
              </w:rPr>
            </w:pPr>
            <w:r>
              <w:rPr>
                <w:rFonts w:hint="default" w:asciiTheme="minorAscii" w:hAnsiTheme="minorAscii"/>
                <w:b/>
                <w:bCs/>
                <w:sz w:val="24"/>
                <w:szCs w:val="24"/>
                <w:lang w:val="en-US" w:eastAsia="zh-CN"/>
              </w:rPr>
              <w:t xml:space="preserve">4 </w:t>
            </w:r>
            <w:r>
              <w:rPr>
                <w:rFonts w:hint="default" w:asciiTheme="minorAscii" w:hAnsiTheme="minorAscii"/>
                <w:b/>
                <w:bCs/>
                <w:sz w:val="24"/>
                <w:szCs w:val="24"/>
              </w:rPr>
              <w:t xml:space="preserve">Member Checking </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To improve the validity of the study, a two-way feedback mechanism was established: after the initial coding was completed, the thematic analysis map and representative corpus extracts were fed back to the interviewed teachers and students, and suggestions for semantic corrections were collected in writing to ensure that the study accurately reflected their semantics and lived experience, and to reduce the risk of misinterpretation or researcher bias ( Birt et al., 2016).</w:t>
            </w:r>
          </w:p>
          <w:p>
            <w:pPr>
              <w:pStyle w:val="2"/>
              <w:keepNext w:val="0"/>
              <w:keepLines w:val="0"/>
              <w:widowControl/>
              <w:suppressLineNumbers w:val="0"/>
              <w:rPr>
                <w:rFonts w:hint="default" w:asciiTheme="minorAscii" w:hAnsiTheme="minorAscii" w:eastAsiaTheme="minorEastAsia"/>
                <w:sz w:val="24"/>
                <w:szCs w:val="24"/>
                <w:vertAlign w:val="baseline"/>
                <w:lang w:val="en-US" w:eastAsia="zh-CN"/>
              </w:rPr>
            </w:pPr>
          </w:p>
        </w:tc>
      </w:tr>
      <w:tr>
        <w:trPr>
          <w:trHeight w:val="1257" w:hRule="atLeast"/>
        </w:trPr>
        <w:tc>
          <w:tcPr>
            <w:tcW w:w="8644" w:type="dxa"/>
          </w:tcPr>
          <w:p>
            <w:pPr>
              <w:pStyle w:val="2"/>
              <w:keepNext w:val="0"/>
              <w:keepLines w:val="0"/>
              <w:widowControl/>
              <w:suppressLineNumbers w:val="0"/>
              <w:rPr>
                <w:rFonts w:hint="default"/>
                <w:b/>
                <w:bCs/>
                <w:lang w:val="en-US"/>
              </w:rPr>
            </w:pPr>
          </w:p>
          <w:p>
            <w:pPr>
              <w:pStyle w:val="2"/>
              <w:keepNext w:val="0"/>
              <w:keepLines w:val="0"/>
              <w:widowControl/>
              <w:suppressLineNumbers w:val="0"/>
              <w:rPr>
                <w:rFonts w:hint="default"/>
                <w:b/>
                <w:bCs/>
                <w:lang w:val="en-US"/>
              </w:rPr>
            </w:pPr>
            <w:r>
              <w:rPr>
                <w:rFonts w:hint="default"/>
                <w:b/>
                <w:bCs/>
                <w:lang w:val="en-US"/>
              </w:rPr>
              <w:t>D</w:t>
            </w:r>
            <w:r>
              <w:rPr>
                <w:rFonts w:hint="eastAsia"/>
                <w:b/>
                <w:bCs/>
              </w:rPr>
              <w:t>ata analysis method</w:t>
            </w:r>
            <w:r>
              <w:rPr>
                <w:rFonts w:hint="default"/>
                <w:b/>
                <w:bCs/>
                <w:lang w:val="en-US"/>
              </w:rPr>
              <w:t>:</w:t>
            </w:r>
          </w:p>
          <w:p>
            <w:pPr>
              <w:pStyle w:val="2"/>
              <w:keepNext w:val="0"/>
              <w:keepLines w:val="0"/>
              <w:widowControl/>
              <w:suppressLineNumbers w:val="0"/>
            </w:pPr>
            <w:r>
              <w:t>In this study, classroom observation and interview data will be analysed primarily using thematic analysis. This method is suitable for identifying, analysing and interpreting patterns and themes in qualitative data, and is particularly suited to exploring teaching practices and student experiences in broadcasting and vocalisation courses.</w:t>
            </w:r>
          </w:p>
          <w:p>
            <w:pPr>
              <w:pStyle w:val="2"/>
              <w:keepNext w:val="0"/>
              <w:keepLines w:val="0"/>
              <w:widowControl/>
              <w:suppressLineNumbers w:val="0"/>
            </w:pPr>
            <w:r>
              <w:rPr>
                <w:rFonts w:hint="eastAsia"/>
                <w:b/>
                <w:bCs/>
                <w:lang w:val="en-US" w:eastAsia="zh-CN"/>
              </w:rPr>
              <w:t xml:space="preserve">1 </w:t>
            </w:r>
            <w:r>
              <w:rPr>
                <w:b/>
                <w:bCs/>
              </w:rPr>
              <w:t xml:space="preserve">Analysis of classroom observation data </w:t>
            </w:r>
          </w:p>
          <w:p>
            <w:pPr>
              <w:pStyle w:val="2"/>
              <w:keepNext w:val="0"/>
              <w:keepLines w:val="0"/>
              <w:widowControl/>
              <w:suppressLineNumbers w:val="0"/>
            </w:pPr>
            <w:r>
              <w:t xml:space="preserve">The researcher is going to transcribe the video data of the classroom observation verbatim, recording in detail the instructor's language of instruction, students' interactive responses, and non-verbal behaviours (e.g., gestures, facial expressions, pauses, etc.). Through the thematic analysis method, themes related to teaching methods, classroom interactions and student engagement were identified, providing an in-depth perspective for understanding teaching practices. </w:t>
            </w:r>
          </w:p>
          <w:p>
            <w:pPr>
              <w:pStyle w:val="2"/>
              <w:keepNext w:val="0"/>
              <w:keepLines w:val="0"/>
              <w:widowControl/>
              <w:suppressLineNumbers w:val="0"/>
              <w:rPr>
                <w:b/>
                <w:bCs/>
              </w:rPr>
            </w:pPr>
            <w:r>
              <w:rPr>
                <w:rFonts w:hint="eastAsia"/>
                <w:b/>
                <w:bCs/>
                <w:lang w:val="en-US" w:eastAsia="zh-CN"/>
              </w:rPr>
              <w:t>2</w:t>
            </w:r>
            <w:r>
              <w:rPr>
                <w:b/>
                <w:bCs/>
              </w:rPr>
              <w:t xml:space="preserve"> Analysis of Interview Data </w:t>
            </w:r>
          </w:p>
          <w:p>
            <w:pPr>
              <w:pStyle w:val="2"/>
              <w:keepNext w:val="0"/>
              <w:keepLines w:val="0"/>
              <w:widowControl/>
              <w:suppressLineNumbers w:val="0"/>
            </w:pPr>
            <w:r>
              <w:t xml:space="preserve">Teacher and student interview data will also be fully transcribed, with special labelling of important non-verbal information such as pauses, sighs and emotional expressions. These meticulous transcriptions help to capture the deeper emotions and attitudes of the participants. Subsequently, the researcher will apply thematic analysis to unearth core themes related to teaching motivation, learning experience, and course content perceptions. </w:t>
            </w:r>
          </w:p>
          <w:p>
            <w:pPr>
              <w:pStyle w:val="2"/>
              <w:keepNext w:val="0"/>
              <w:keepLines w:val="0"/>
              <w:widowControl/>
              <w:suppressLineNumbers w:val="0"/>
            </w:pPr>
            <w:r>
              <w:rPr>
                <w:rFonts w:hint="eastAsia"/>
                <w:b/>
                <w:bCs/>
                <w:lang w:val="en-US" w:eastAsia="zh-CN"/>
              </w:rPr>
              <w:t>3.</w:t>
            </w:r>
            <w:r>
              <w:t xml:space="preserve"> </w:t>
            </w:r>
            <w:r>
              <w:rPr>
                <w:b/>
                <w:bCs/>
              </w:rPr>
              <w:t>S</w:t>
            </w:r>
            <w:r>
              <w:rPr>
                <w:rFonts w:hint="eastAsia"/>
                <w:b/>
                <w:bCs/>
                <w:lang w:val="en-US" w:eastAsia="zh-CN"/>
              </w:rPr>
              <w:t>ix</w:t>
            </w:r>
            <w:r>
              <w:rPr>
                <w:b/>
                <w:bCs/>
              </w:rPr>
              <w:t xml:space="preserve"> </w:t>
            </w:r>
            <w:r>
              <w:rPr>
                <w:rFonts w:hint="default"/>
                <w:b/>
                <w:bCs/>
                <w:lang w:val="en-US"/>
              </w:rPr>
              <w:t>S</w:t>
            </w:r>
            <w:r>
              <w:rPr>
                <w:rFonts w:hint="eastAsia"/>
                <w:b/>
                <w:bCs/>
                <w:lang w:val="en-US" w:eastAsia="zh-CN"/>
              </w:rPr>
              <w:t xml:space="preserve">teps to </w:t>
            </w:r>
            <w:r>
              <w:rPr>
                <w:rFonts w:hint="default"/>
                <w:b/>
                <w:bCs/>
                <w:lang w:val="en-US" w:eastAsia="zh-CN"/>
              </w:rPr>
              <w:t>T</w:t>
            </w:r>
            <w:r>
              <w:rPr>
                <w:rFonts w:hint="eastAsia"/>
                <w:b/>
                <w:bCs/>
                <w:lang w:val="en-US" w:eastAsia="zh-CN"/>
              </w:rPr>
              <w:t xml:space="preserve">heme </w:t>
            </w:r>
            <w:r>
              <w:rPr>
                <w:rFonts w:hint="default"/>
                <w:b/>
                <w:bCs/>
                <w:lang w:val="en-US" w:eastAsia="zh-CN"/>
              </w:rPr>
              <w:t>A</w:t>
            </w:r>
            <w:r>
              <w:rPr>
                <w:rFonts w:hint="eastAsia"/>
                <w:b/>
                <w:bCs/>
                <w:lang w:val="en-US" w:eastAsia="zh-CN"/>
              </w:rPr>
              <w:t>nalysis</w:t>
            </w:r>
            <w:r>
              <w:rPr>
                <w:b/>
                <w:bCs/>
              </w:rPr>
              <w:t xml:space="preserve"> </w:t>
            </w:r>
            <w:r>
              <w:t xml:space="preserve"> </w:t>
            </w:r>
          </w:p>
          <w:p>
            <w:pPr>
              <w:pStyle w:val="2"/>
              <w:keepNext w:val="0"/>
              <w:keepLines w:val="0"/>
              <w:widowControl/>
              <w:suppressLineNumbers w:val="0"/>
            </w:pPr>
            <w:r>
              <w:t xml:space="preserve">This study will follow the six steps proposed by Braun and Clarke (2006) to conduct theme analysis: </w:t>
            </w:r>
          </w:p>
          <w:p>
            <w:pPr>
              <w:pStyle w:val="2"/>
              <w:keepNext w:val="0"/>
              <w:keepLines w:val="0"/>
              <w:widowControl/>
              <w:suppressLineNumbers w:val="0"/>
            </w:pPr>
            <w:r>
              <w:rPr>
                <w:rFonts w:hint="eastAsia"/>
                <w:lang w:val="en-US" w:eastAsia="zh-CN"/>
              </w:rPr>
              <w:t xml:space="preserve">1 </w:t>
            </w:r>
            <w:r>
              <w:t xml:space="preserve">Familiarise with the data: read the transcribed materials repeatedly to gain a deeper understanding of the content. </w:t>
            </w:r>
          </w:p>
          <w:p>
            <w:pPr>
              <w:pStyle w:val="2"/>
              <w:keepNext w:val="0"/>
              <w:keepLines w:val="0"/>
              <w:widowControl/>
              <w:suppressLineNumbers w:val="0"/>
            </w:pPr>
            <w:r>
              <w:rPr>
                <w:rFonts w:hint="eastAsia"/>
                <w:lang w:val="en-US" w:eastAsia="zh-CN"/>
              </w:rPr>
              <w:t xml:space="preserve">2 </w:t>
            </w:r>
            <w:r>
              <w:t xml:space="preserve">Generating initial codes: systematically labelling interesting features in the data. </w:t>
            </w:r>
          </w:p>
          <w:p>
            <w:pPr>
              <w:pStyle w:val="2"/>
              <w:keepNext w:val="0"/>
              <w:keepLines w:val="0"/>
              <w:widowControl/>
              <w:suppressLineNumbers w:val="0"/>
            </w:pPr>
            <w:r>
              <w:rPr>
                <w:rFonts w:hint="eastAsia"/>
                <w:lang w:val="en-US" w:eastAsia="zh-CN"/>
              </w:rPr>
              <w:t xml:space="preserve">3 </w:t>
            </w:r>
            <w:r>
              <w:t xml:space="preserve">Search for themes: organise the coding into potential themes and collect relevant data. </w:t>
            </w:r>
          </w:p>
          <w:p>
            <w:pPr>
              <w:pStyle w:val="2"/>
              <w:keepNext w:val="0"/>
              <w:keepLines w:val="0"/>
              <w:widowControl/>
              <w:suppressLineNumbers w:val="0"/>
            </w:pPr>
            <w:r>
              <w:rPr>
                <w:rFonts w:hint="eastAsia"/>
                <w:lang w:val="en-US" w:eastAsia="zh-CN"/>
              </w:rPr>
              <w:t xml:space="preserve">4 </w:t>
            </w:r>
            <w:r>
              <w:t xml:space="preserve">Reviewing themes: checking the relevance of themes to the coded segments and to the data set as a whole. </w:t>
            </w:r>
          </w:p>
          <w:p>
            <w:pPr>
              <w:pStyle w:val="2"/>
              <w:keepNext w:val="0"/>
              <w:keepLines w:val="0"/>
              <w:widowControl/>
              <w:suppressLineNumbers w:val="0"/>
            </w:pPr>
            <w:r>
              <w:rPr>
                <w:rFonts w:hint="eastAsia"/>
                <w:lang w:val="en-US" w:eastAsia="zh-CN"/>
              </w:rPr>
              <w:t xml:space="preserve">5 </w:t>
            </w:r>
            <w:r>
              <w:t xml:space="preserve">Define and name themes: refine each theme and generate clear definitions and names. </w:t>
            </w:r>
          </w:p>
          <w:p>
            <w:pPr>
              <w:pStyle w:val="2"/>
              <w:keepNext w:val="0"/>
              <w:keepLines w:val="0"/>
              <w:widowControl/>
              <w:suppressLineNumbers w:val="0"/>
            </w:pPr>
            <w:r>
              <w:rPr>
                <w:rFonts w:hint="eastAsia"/>
                <w:lang w:val="en-US" w:eastAsia="zh-CN"/>
              </w:rPr>
              <w:t xml:space="preserve">6 </w:t>
            </w:r>
            <w:r>
              <w:t>Write a report: select vivid and convincing examples and relate the analysis results to the research questions and literature.</w:t>
            </w:r>
          </w:p>
          <w:p>
            <w:pPr>
              <w:pStyle w:val="2"/>
              <w:keepNext w:val="0"/>
              <w:keepLines w:val="0"/>
              <w:widowControl/>
              <w:suppressLineNumbers w:val="0"/>
            </w:pPr>
            <w:r>
              <w:t xml:space="preserve"> </w:t>
            </w:r>
          </w:p>
          <w:p>
            <w:pPr>
              <w:pStyle w:val="2"/>
              <w:keepNext w:val="0"/>
              <w:keepLines w:val="0"/>
              <w:widowControl/>
              <w:suppressLineNumbers w:val="0"/>
            </w:pPr>
            <w:r>
              <w:rPr>
                <w:rFonts w:hint="eastAsia"/>
                <w:b/>
                <w:bCs/>
                <w:lang w:val="en-US" w:eastAsia="zh-CN"/>
              </w:rPr>
              <w:t>4</w:t>
            </w:r>
            <w:r>
              <w:rPr>
                <w:b/>
                <w:bCs/>
              </w:rPr>
              <w:t xml:space="preserve">. Strengths and Limitations of Thematic Analysis </w:t>
            </w:r>
          </w:p>
          <w:p>
            <w:pPr>
              <w:pStyle w:val="2"/>
              <w:keepNext w:val="0"/>
              <w:keepLines w:val="0"/>
              <w:widowControl/>
              <w:suppressLineNumbers w:val="0"/>
            </w:pPr>
            <w:r>
              <w:rPr>
                <w:b/>
                <w:bCs/>
              </w:rPr>
              <w:t xml:space="preserve">Strengths: </w:t>
            </w:r>
          </w:p>
          <w:p>
            <w:pPr>
              <w:pStyle w:val="2"/>
              <w:keepNext w:val="0"/>
              <w:keepLines w:val="0"/>
              <w:widowControl/>
              <w:suppressLineNumbers w:val="0"/>
            </w:pPr>
            <w:r>
              <w:rPr>
                <w:rFonts w:hint="eastAsia"/>
                <w:b/>
                <w:bCs/>
                <w:lang w:val="en-US" w:eastAsia="zh-CN"/>
              </w:rPr>
              <w:t>·</w:t>
            </w:r>
            <w:r>
              <w:rPr>
                <w:b/>
                <w:bCs/>
              </w:rPr>
              <w:t>Flexibility:</w:t>
            </w:r>
            <w:r>
              <w:t xml:space="preserve"> the method of thematic analysis does not rely on a specific theoretical framework and is applicable to a wide range of research questions and data types (Braun &amp; Clarke, 2006). </w:t>
            </w:r>
          </w:p>
          <w:p>
            <w:pPr>
              <w:pStyle w:val="2"/>
              <w:keepNext w:val="0"/>
              <w:keepLines w:val="0"/>
              <w:widowControl/>
              <w:suppressLineNumbers w:val="0"/>
            </w:pPr>
            <w:r>
              <w:rPr>
                <w:rFonts w:hint="eastAsia"/>
                <w:lang w:val="en-US" w:eastAsia="zh-CN"/>
              </w:rPr>
              <w:t>·</w:t>
            </w:r>
            <w:r>
              <w:rPr>
                <w:b/>
                <w:bCs/>
              </w:rPr>
              <w:t xml:space="preserve">Easy to master: </w:t>
            </w:r>
            <w:r>
              <w:t xml:space="preserve">the method is easy to use and suitable for researchers of different experience levels. In-depth understanding of data: the thematic analysis method is able to reveal explicit and implicit meanings in complex data in a comprehensive and nuanced way. </w:t>
            </w:r>
          </w:p>
          <w:p>
            <w:pPr>
              <w:pStyle w:val="2"/>
              <w:keepNext w:val="0"/>
              <w:keepLines w:val="0"/>
              <w:widowControl/>
              <w:suppressLineNumbers w:val="0"/>
              <w:rPr>
                <w:b/>
                <w:bCs/>
              </w:rPr>
            </w:pPr>
          </w:p>
          <w:p>
            <w:pPr>
              <w:pStyle w:val="2"/>
              <w:keepNext w:val="0"/>
              <w:keepLines w:val="0"/>
              <w:widowControl/>
              <w:suppressLineNumbers w:val="0"/>
            </w:pPr>
            <w:r>
              <w:rPr>
                <w:b/>
                <w:bCs/>
              </w:rPr>
              <w:t>Disadvantages:</w:t>
            </w:r>
            <w:r>
              <w:t xml:space="preserve"> </w:t>
            </w:r>
          </w:p>
          <w:p>
            <w:pPr>
              <w:pStyle w:val="2"/>
              <w:keepNext w:val="0"/>
              <w:keepLines w:val="0"/>
              <w:widowControl/>
              <w:suppressLineNumbers w:val="0"/>
            </w:pPr>
            <w:r>
              <w:rPr>
                <w:rFonts w:hint="eastAsia"/>
                <w:lang w:val="en-US" w:eastAsia="zh-CN"/>
              </w:rPr>
              <w:t>·</w:t>
            </w:r>
            <w:r>
              <w:rPr>
                <w:b/>
                <w:bCs/>
              </w:rPr>
              <w:t xml:space="preserve">Subjectivity: </w:t>
            </w:r>
            <w:r>
              <w:t xml:space="preserve">The researcher's perspective may affect the identification and interpretation of themes, and potential biases need to be noted. </w:t>
            </w:r>
          </w:p>
          <w:p>
            <w:pPr>
              <w:pStyle w:val="2"/>
              <w:keepNext w:val="0"/>
              <w:keepLines w:val="0"/>
              <w:widowControl/>
              <w:suppressLineNumbers w:val="0"/>
            </w:pPr>
            <w:r>
              <w:rPr>
                <w:rFonts w:hint="eastAsia"/>
                <w:b/>
                <w:bCs/>
                <w:lang w:val="en-US" w:eastAsia="zh-CN"/>
              </w:rPr>
              <w:t>·</w:t>
            </w:r>
            <w:r>
              <w:rPr>
                <w:b/>
                <w:bCs/>
              </w:rPr>
              <w:t xml:space="preserve">Limited transferability of results: </w:t>
            </w:r>
            <w:r>
              <w:t xml:space="preserve">findings from thematic analyses are often contextual and may not be applicable to other contexts or populations. </w:t>
            </w:r>
          </w:p>
          <w:p>
            <w:pPr>
              <w:pStyle w:val="2"/>
              <w:keepNext w:val="0"/>
              <w:keepLines w:val="0"/>
              <w:widowControl/>
              <w:suppressLineNumbers w:val="0"/>
            </w:pPr>
            <w:r>
              <w:rPr>
                <w:rFonts w:hint="eastAsia"/>
                <w:lang w:val="en-US" w:eastAsia="zh-CN"/>
              </w:rPr>
              <w:t>·</w:t>
            </w:r>
            <w:r>
              <w:rPr>
                <w:b/>
                <w:bCs/>
              </w:rPr>
              <w:t xml:space="preserve">Time-consuming: </w:t>
            </w:r>
            <w:r>
              <w:t xml:space="preserve">the process of coding and theme development can be time-consuming, especially when dealing with large amounts of data. </w:t>
            </w:r>
          </w:p>
          <w:p>
            <w:pPr>
              <w:pStyle w:val="2"/>
              <w:keepNext w:val="0"/>
              <w:keepLines w:val="0"/>
              <w:widowControl/>
              <w:suppressLineNumbers w:val="0"/>
              <w:rPr>
                <w:rFonts w:hint="default" w:eastAsiaTheme="minorEastAsia"/>
                <w:b/>
                <w:bCs/>
                <w:lang w:val="en-US" w:eastAsia="zh-CN"/>
              </w:rPr>
            </w:pPr>
            <w:r>
              <w:rPr>
                <w:rFonts w:hint="default"/>
                <w:b/>
                <w:bCs/>
                <w:lang w:val="en-US"/>
              </w:rPr>
              <w:t>5</w:t>
            </w:r>
            <w:r>
              <w:rPr>
                <w:b/>
                <w:bCs/>
              </w:rPr>
              <w:t>. Application of colour coding in thematic analysis</w:t>
            </w:r>
          </w:p>
          <w:p>
            <w:pPr>
              <w:pStyle w:val="2"/>
              <w:keepNext w:val="0"/>
              <w:keepLines w:val="0"/>
              <w:widowControl/>
              <w:suppressLineNumbers w:val="0"/>
            </w:pPr>
            <w:r>
              <w:t>In order to enhance the organisation and visualisation of themes, the researcher will also employ colour coding methods in the analysis process. Assigning specific colours to different codes and themes helps to identify patterns and relationships in the data more easily. This visualisation approach supports a more efficient and effective analysis process, especially when dealing with large amounts of qualitative data (Insight7, 2025).</w:t>
            </w:r>
          </w:p>
          <w:p>
            <w:pPr>
              <w:pStyle w:val="2"/>
              <w:keepNext w:val="0"/>
              <w:keepLines w:val="0"/>
              <w:widowControl/>
              <w:suppressLineNumbers w:val="0"/>
              <w:rPr>
                <w:rFonts w:hint="default"/>
                <w:lang w:val="en-US" w:eastAsia="zh-CN"/>
              </w:rPr>
            </w:pPr>
          </w:p>
        </w:tc>
      </w:tr>
      <w:tr>
        <w:trPr>
          <w:trHeight w:val="1990" w:hRule="atLeast"/>
        </w:trPr>
        <w:tc>
          <w:tcPr>
            <w:tcW w:w="8644" w:type="dxa"/>
          </w:tcPr>
          <w:p>
            <w:pPr>
              <w:pStyle w:val="2"/>
              <w:keepNext w:val="0"/>
              <w:keepLines w:val="0"/>
              <w:widowControl/>
              <w:suppressLineNumbers w:val="0"/>
              <w:rPr>
                <w:rFonts w:hint="default" w:asciiTheme="minorAscii" w:hAnsiTheme="minorAscii" w:eastAsiaTheme="minorEastAsia"/>
                <w:b/>
                <w:bCs/>
                <w:sz w:val="24"/>
                <w:szCs w:val="24"/>
                <w:lang w:val="en-US" w:eastAsia="zh-CN"/>
              </w:rPr>
            </w:pPr>
            <w:r>
              <w:rPr>
                <w:rFonts w:hint="default" w:asciiTheme="minorAscii" w:hAnsiTheme="minorAscii"/>
                <w:b/>
                <w:bCs/>
                <w:sz w:val="24"/>
                <w:szCs w:val="24"/>
                <w:lang w:val="en-US" w:eastAsia="zh-CN"/>
              </w:rPr>
              <w:t>Conclusion</w:t>
            </w:r>
          </w:p>
          <w:p>
            <w:pPr>
              <w:pStyle w:val="2"/>
              <w:keepNext w:val="0"/>
              <w:keepLines w:val="0"/>
              <w:widowControl/>
              <w:suppressLineNumbers w:val="0"/>
              <w:rPr>
                <w:rFonts w:hint="default" w:asciiTheme="minorAscii" w:hAnsiTheme="minorAscii"/>
                <w:sz w:val="24"/>
                <w:szCs w:val="24"/>
              </w:rPr>
            </w:pPr>
            <w:r>
              <w:rPr>
                <w:rFonts w:hint="default" w:asciiTheme="minorAscii" w:hAnsiTheme="minorAscii"/>
                <w:sz w:val="24"/>
                <w:szCs w:val="24"/>
              </w:rPr>
              <w:t>This study aims to combine non-intrusive classroom observation with semi-structured in-depth interviews, to obtain qualitative samples through purposive and snowball sampling, to use content and thematic analyses to investigate the current status of implementation, selection motivation, and learning experience of teaching methods in broadcasting and vocalisation courses in four different tiers of universities in China, to ensure the credibility of the study through triangulated validation, and to provide practical and feasible empirical recommendations for curriculum reform. The study also ensures the credibility of the study through triangulation, providing practical empirical suggestions for curriculum reform.</w:t>
            </w:r>
          </w:p>
          <w:p>
            <w:pPr>
              <w:pStyle w:val="2"/>
              <w:keepNext w:val="0"/>
              <w:keepLines w:val="0"/>
              <w:widowControl/>
              <w:suppressLineNumbers w:val="0"/>
              <w:rPr>
                <w:rFonts w:hint="default" w:asciiTheme="minorAscii" w:hAnsiTheme="minorAscii" w:eastAsiaTheme="minorEastAsia"/>
                <w:sz w:val="24"/>
                <w:szCs w:val="24"/>
                <w:vertAlign w:val="baseline"/>
                <w:lang w:val="en-US" w:eastAsia="zh-CN"/>
              </w:rPr>
            </w:pPr>
          </w:p>
        </w:tc>
      </w:tr>
      <w:tr>
        <w:trPr>
          <w:trHeight w:val="2895" w:hRule="atLeast"/>
        </w:trPr>
        <w:tc>
          <w:tcPr>
            <w:tcW w:w="8644" w:type="dxa"/>
          </w:tcPr>
          <w:p>
            <w:pPr>
              <w:pStyle w:val="2"/>
              <w:keepNext w:val="0"/>
              <w:keepLines w:val="0"/>
              <w:widowControl/>
              <w:suppressLineNumbers w:val="0"/>
              <w:spacing w:before="0" w:beforeAutospacing="1" w:after="0" w:afterAutospacing="1"/>
              <w:ind w:left="0" w:right="0"/>
              <w:jc w:val="left"/>
              <w:rPr>
                <w:rFonts w:hint="default" w:eastAsia="宋体" w:cs="宋体" w:asciiTheme="minorAscii" w:hAnsiTheme="minorAscii"/>
                <w:b/>
                <w:bCs/>
                <w:sz w:val="21"/>
                <w:szCs w:val="21"/>
                <w:lang w:val="en-US"/>
              </w:rPr>
            </w:pPr>
            <w:r>
              <w:rPr>
                <w:rFonts w:hint="default" w:eastAsia="宋体" w:cs="宋体" w:asciiTheme="minorAscii" w:hAnsiTheme="minorAscii"/>
                <w:b/>
                <w:bCs/>
                <w:sz w:val="21"/>
                <w:szCs w:val="21"/>
                <w:lang w:val="en-US"/>
              </w:rPr>
              <w:t>REFERENCE:</w:t>
            </w:r>
          </w:p>
          <w:p>
            <w:pPr>
              <w:spacing w:after="120"/>
              <w:jc w:val="left"/>
            </w:pPr>
            <w:r>
              <w:t>Bird, C.M. (2005) 'How I stopped dreading and learned to love transcription', Qualitative Inquiry, 11(2), pp. 226–248. https://doi.org/10.1177/1077800404273413.</w:t>
            </w:r>
          </w:p>
          <w:p>
            <w:pPr>
              <w:spacing w:after="120"/>
              <w:jc w:val="left"/>
            </w:pPr>
            <w:r>
              <w:t>Birt, L., Scott, S., Cavers, D., Campbell, C. and Walter, F. (2016) 'Member checking: a tool to enhance trustworthiness or merely a nod to validation?', Qualitative Health Research, 26(13), pp. 1802–1811. https://doi.org/10.1177/1049732316654870.</w:t>
            </w:r>
          </w:p>
          <w:p>
            <w:pPr>
              <w:spacing w:after="120"/>
              <w:jc w:val="left"/>
            </w:pPr>
            <w:r>
              <w:t>Braun, V. and Clarke, V. (2006) 'Using thematic analysis in psychology', Qualitative Research in Psychology, 3(2), pp. 77–101. https://doi.org/10.1191/1478088706qp063oa.</w:t>
            </w:r>
          </w:p>
          <w:p>
            <w:pPr>
              <w:spacing w:after="120"/>
              <w:jc w:val="left"/>
            </w:pPr>
            <w:r>
              <w:t>Creswell, J.W. and Poth, C.N. (2018) Qualitative Inquiry and Research Design: Choosing Among Five Approaches. 4th edn. Thousand Oaks, CA: SAGE Publications.</w:t>
            </w:r>
          </w:p>
          <w:p>
            <w:pPr>
              <w:spacing w:after="120"/>
              <w:jc w:val="left"/>
            </w:pPr>
            <w:r>
              <w:t>DiCicco-Bloom, B. and Crabtree, B.F. (2006) 'The qualitative research interview', Medical Education, 40(4), pp. 314–321. https://doi.org/10.1111/j.1365-2929.2006.02418.x.</w:t>
            </w:r>
          </w:p>
          <w:p>
            <w:pPr>
              <w:spacing w:after="120"/>
              <w:jc w:val="left"/>
            </w:pPr>
            <w:r>
              <w:t>Gill, P., Stewart, K., Treasure, E. and Chadwick, B. (2008) 'Methods of data collection in qualitative research: interviews and focus groups', British Dental Journal, 204(6), pp. 291–295. https://doi.org/10.1038/bdj.2008.192.</w:t>
            </w:r>
          </w:p>
          <w:p>
            <w:pPr>
              <w:spacing w:after="120"/>
              <w:jc w:val="left"/>
            </w:pPr>
            <w:r>
              <w:t>Kvale, S. and Brinkmann, S. (2009) InterViews: Learning the Craft of Qualitative Research Interviewing. 2nd edn. Thousand Oaks, CA: SAGE Publications.</w:t>
            </w:r>
          </w:p>
          <w:p>
            <w:pPr>
              <w:spacing w:after="120"/>
              <w:jc w:val="left"/>
            </w:pPr>
            <w:r>
              <w:t>Li, J. (2022) 'Problems and breakthroughs in teaching materials construction of broadcasting and hosting basic courses of higher education', SHIT, (6), pp. 54–58. Available at: https://www.cnki.net/KCMS/detail/detail.aspx?dbcode=CJFD&amp;dbname=CJFDLAST2022&amp;filename=SHIT202206054&amp;uniplatform=OVERSEA&amp;v=ILOvR0LV6SMwI6d2Mq5i3fmZiz1MzlYzQSXJgmUNG5wYpz0mCBMuWR_TquAZqT5t (Accessed: 28 March 2025).</w:t>
            </w:r>
          </w:p>
          <w:p>
            <w:pPr>
              <w:spacing w:after="120"/>
              <w:jc w:val="left"/>
            </w:pPr>
            <w:r>
              <w:t>Malterud, K., Siersma, V.D. and Guassora, A.D. (2016) 'Sample size in qualitative interview studies: guided by information power', Qualitative Health Research, 26(13), pp. 1753–1760. https://doi.org/10.1177/1049732315617444.</w:t>
            </w:r>
          </w:p>
          <w:p>
            <w:pPr>
              <w:spacing w:after="120"/>
              <w:jc w:val="left"/>
            </w:pPr>
            <w:r>
              <w:t>Patton, M.Q. (2015) Qualitative Research &amp; Evaluation Methods. 4th edn. Thousand Oaks, CA: SAGE Publications.</w:t>
            </w:r>
          </w:p>
          <w:p>
            <w:pPr>
              <w:spacing w:after="120"/>
              <w:jc w:val="left"/>
            </w:pPr>
            <w:r>
              <w:t>Silverman, D. (2013) Doing Qualitative Research: A Practical Handbook. 4th edn. London: SAGE Publications.</w:t>
            </w:r>
          </w:p>
          <w:p>
            <w:pPr>
              <w:spacing w:after="120"/>
              <w:jc w:val="left"/>
            </w:pPr>
            <w:r>
              <w:t>UK Statistics Authority (2022) 'Ethical considerations associated with Qualitative Research methods'. Available at: https://uksa.statisticsauthority.gov.uk/publication/ethical-considerations-associated-with-qualitative-research-methods/pages/5/ (Accessed: 22 April 2025).</w:t>
            </w:r>
          </w:p>
          <w:p>
            <w:pPr>
              <w:spacing w:after="120"/>
              <w:jc w:val="left"/>
            </w:pPr>
            <w:r>
              <w:t>Insight 7 (2025) 'How to Use Color Coding for Qualitative Research Data''. Available at: https://insight7.io/how-to-use-color-coding-for-qualitative-research-data/ (Accessed: 22 April 2025).</w:t>
            </w:r>
          </w:p>
          <w:p>
            <w:pPr>
              <w:spacing w:after="120"/>
              <w:jc w:val="left"/>
            </w:pPr>
            <w:r>
              <w:t>Li, Y. (2017) Research on the innovation mode of course reform of Pronunciation and Vocalization for broadcasting and hosting majors under the new situation. 新形势下播音与主持专业《语音与发声》课程改革创新模式探究 , Cnki.net. Available at: https://www.cnki.net/KCMS/detail/detail.aspx?dbcode=CJFD&amp;dbname=CJFDLAST2017&amp;filename=XJZT201717144&amp;uniplatform=OVERSEA&amp;v=G-eJ0RMZ_uOIH6l8yM4eyYSXySmgpDSYLsDqyojLYa6rNk6rx9cH7zBxeQpttQNr (Accessed: 28 March 2025).</w:t>
            </w:r>
          </w:p>
          <w:p>
            <w:pPr>
              <w:spacing w:after="120"/>
              <w:jc w:val="left"/>
            </w:pPr>
            <w:r>
              <w:t>Lu, X. (2018) A Brief analysis of how to use new media resources to improve the teaching effect of the course -- Taking the practical training course of broadcasting and vocalization as an example 浅析如何利用新媒体资源提高课程教学效果——以播音发声实践训练课程为例 , Cnki.net. Available at: https://www.cnki.net/KCMS/detail/detail.aspx?dbcode=CJFD&amp;dbname=CJFDLAST2018&amp;filename=CBLY201816186&amp;uniplatform=OVERSEA&amp;v=u7G0dHs3SKAJFxWVpVXaCcTrqdlalmk9QYN_kQIDI7V5Too2Y8mpxd70o7qVseF0 (Accessed: 28 March 2025).</w:t>
            </w:r>
          </w:p>
          <w:p>
            <w:pPr>
              <w:spacing w:after="120"/>
              <w:jc w:val="left"/>
            </w:pPr>
            <w:r>
              <w:t>Liu, N. (2017) Discussion on the practical reform of Mandarin Pronunciation and Broadcasting Pronunciation Course《普通话语音和播音发声》课程实践改革探讨 , Cnki.net. Available at: https://www.cnki.net/KCMS/detail/detail.aspx?dbcode=CJFD&amp;dbname=CJFDLAST2018&amp;filename=ZNDS201716193&amp;uniplatform=OVERSEA&amp;v=ZzzmOvhjASYVcUp32AcaAKuw7soilepmavwyA9VJ9QPQuHoH0cskkOFWriiNEnxR (Accessed: 28 March 2025).</w:t>
            </w:r>
          </w:p>
          <w:p>
            <w:pPr>
              <w:spacing w:after="120"/>
              <w:jc w:val="left"/>
            </w:pPr>
            <w:r>
              <w:t>Hu, Y. (2023) An innovative research on the theory and practice of broadcasting phonology in the media perspective 融媒体视域下播音发声学理论与实践课程的创新性探究 , Cnki.net. Available at: https://www.cnki.net/KCMS/detail/detail.aspx?dbcode=CJFD&amp;dbname=CJFDLAST2023&amp;filename=PXWS202308037&amp;uniplatform=OVERSEA&amp;v=LYmp8TWHVigLn-Lw6oNZjdy0TUfmXWtmBv2BSGITgi9jiord2kMmthhjrddsz1sP (Accessed: 28 March 2025).</w:t>
            </w:r>
          </w:p>
          <w:p>
            <w:pPr>
              <w:spacing w:after="120"/>
              <w:jc w:val="left"/>
            </w:pPr>
            <w:r>
              <w:t>Xu, S. (2020) Reflection on broadcasting theory teaching based on MOOC 基于慕课(MOOC)的播音学理论教学反思 , Cnki.net. Available at: https://www.cnki.net/KCMS/detail/detail.aspx?dbcode=CJFD&amp;dbname=CJFDLAST2020&amp;filename=XWDK202004122&amp;uniplatform=OVERSEA&amp;v=SSiLaRBB7h5fOkM4azl7eP3N8nSORyaf_7BtqhYU4hsWssuvNijSNs7pOl3kNT4D (Accessed: 28 March 2025).</w:t>
            </w:r>
          </w:p>
          <w:p>
            <w:pPr>
              <w:spacing w:after="120"/>
              <w:jc w:val="left"/>
            </w:pPr>
            <w:r>
              <w:t>Liu, J. and Li, Z. (2022) Online and offline mixed teaching practice of ‘Broadcast and sound’ course based on SPOC model 基于SPOC模式的‘播音发声’课程线上线下混合式教学实践 - CNKI, Cnki.net. Available at: https://www.cnki.net/KCMS/detail/detail.aspx?dbcode=CJFD&amp;dbname=CJFDLAST2022&amp;filename=CMEI202219032&amp;uniplatform=OVERSEA&amp;v=gVlrdNMe88Dya9qMDVzPLJ9VwyG4C_0lurzBHUFT7ss9VBOfvReun0kd3jd5kZF0 (Accessed: 6 November 2024).</w:t>
            </w:r>
          </w:p>
          <w:p>
            <w:pPr>
              <w:pStyle w:val="2"/>
              <w:keepNext w:val="0"/>
              <w:keepLines w:val="0"/>
              <w:widowControl/>
              <w:suppressLineNumbers w:val="0"/>
              <w:jc w:val="left"/>
              <w:rPr>
                <w:rFonts w:hint="default" w:asciiTheme="minorAscii" w:hAnsiTheme="minorAscii" w:eastAsiaTheme="minorEastAsia"/>
                <w:sz w:val="21"/>
                <w:szCs w:val="21"/>
                <w:vertAlign w:val="baseline"/>
                <w:lang w:val="en-US" w:eastAsia="zh-CN"/>
              </w:rPr>
            </w:pPr>
          </w:p>
        </w:tc>
      </w:tr>
    </w:tbl>
    <w:p>
      <w:pPr>
        <w:pStyle w:val="2"/>
        <w:keepNext w:val="0"/>
        <w:keepLines w:val="0"/>
        <w:widowControl/>
        <w:suppressLineNumbers w:val="0"/>
        <w:rPr>
          <w:rFonts w:hint="default" w:asciiTheme="minorAscii" w:hAnsiTheme="minorAscii" w:eastAsiaTheme="minorEastAsia"/>
          <w:sz w:val="21"/>
          <w:szCs w:val="21"/>
          <w:lang w:val="en-US" w:eastAsia="zh-CN"/>
        </w:rPr>
      </w:pPr>
    </w:p>
    <w:p>
      <w:pPr>
        <w:jc w:val="both"/>
        <w:rPr>
          <w:rFonts w:hint="default" w:eastAsia="sans-serif" w:cs="sans-serif" w:asciiTheme="minorAscii" w:hAnsiTheme="minorAscii"/>
          <w:b/>
          <w:bCs/>
          <w:i w:val="0"/>
          <w:iCs w:val="0"/>
          <w:caps w:val="0"/>
          <w:color w:val="000000"/>
          <w:spacing w:val="0"/>
          <w:kern w:val="0"/>
          <w:sz w:val="21"/>
          <w:szCs w:val="21"/>
          <w:shd w:val="clear" w:fill="FFFFFF"/>
          <w:lang w:val="en-US" w:eastAsia="zh-CN" w:bidi="ar"/>
          <w14:ligatures w14:val="standardContextua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sans-serif">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Arial Regular">
    <w:panose1 w:val="020B0704020202020204"/>
    <w:charset w:val="00"/>
    <w:family w:val="auto"/>
    <w:pitch w:val="default"/>
    <w:sig w:usb0="E0002AFF" w:usb1="C0007843" w:usb2="00000009" w:usb3="00000000" w:csb0="400001FF" w:csb1="FFFF0000"/>
  </w:font>
  <w:font w:name="Symbol">
    <w:altName w:val="Kingsoft Sign"/>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冬青黑体简体中文">
    <w:panose1 w:val="020B0300000000000000"/>
    <w:charset w:val="86"/>
    <w:family w:val="auto"/>
    <w:pitch w:val="default"/>
    <w:sig w:usb0="A00002BF" w:usb1="1ACF7CFA" w:usb2="00000016" w:usb3="00000000" w:csb0="00060007" w:csb1="00000000"/>
  </w:font>
  <w:font w:name="Calibri Light">
    <w:altName w:val="Helvetica Neue"/>
    <w:panose1 w:val="00000000000000000000"/>
    <w:charset w:val="00"/>
    <w:family w:val="auto"/>
    <w:pitch w:val="default"/>
    <w:sig w:usb0="00000000" w:usb1="00000000" w:usb2="00000000" w:usb3="00000000" w:csb0="00000000" w:csb1="00000000"/>
  </w:font>
  <w:font w:name="Snell Roundhand Regular">
    <w:panose1 w:val="02000603080000090004"/>
    <w:charset w:val="00"/>
    <w:family w:val="auto"/>
    <w:pitch w:val="default"/>
    <w:sig w:usb0="80000027" w:usb1="00000000" w:usb2="00000000" w:usb3="00000000" w:csb0="20000111" w:csb1="41000000"/>
  </w:font>
  <w:font w:name="Courier New">
    <w:panose1 w:val="020706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EECC5B"/>
    <w:multiLevelType w:val="singleLevel"/>
    <w:tmpl w:val="F5EECC5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97EC5950"/>
    <w:rsid w:val="38AA131A"/>
    <w:rsid w:val="7E8FBE62"/>
    <w:rsid w:val="7FF22EF7"/>
    <w:rsid w:val="7FF66993"/>
    <w:rsid w:val="97EC5950"/>
    <w:rsid w:val="FDFEF5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table" w:styleId="4">
    <w:name w:val="Table Grid"/>
    <w:basedOn w:val="3"/>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2025-04-22T19:53:00Z</dcterms:created>
  <dc:creator>join</dc:creator>
  <cp:lastModifiedBy>join</cp:lastModifiedBy>
  <dcterms:modified xsi:type="dcterms:W3CDTF">2025-04-23T23:16:54Z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2052-6.2.0.8299</vt:lpwstr>
  </property>
  <property fmtid="{D5CDD505-2E9C-101B-9397-08002B2CF9AE}" pid="3" name="ICV">
    <vt:lpwstr>8AEEC82B27ADD132C3E5076890E94545_41</vt:lpwstr>
  </property>
</Properties>
</file>