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497144" w14:textId="77777777" w:rsidR="00E45F96" w:rsidRPr="00053D1F" w:rsidRDefault="00E45F96" w:rsidP="00E45F96">
      <w:pPr>
        <w:spacing w:after="0" w:line="480" w:lineRule="auto"/>
        <w:jc w:val="center"/>
        <w:rPr>
          <w:rFonts w:ascii="Calibri" w:hAnsi="Calibri" w:cs="Calibri"/>
          <w:b/>
          <w:bCs/>
          <w:sz w:val="22"/>
          <w:szCs w:val="22"/>
        </w:rPr>
      </w:pPr>
      <w:r w:rsidRPr="00053D1F">
        <w:rPr>
          <w:rFonts w:ascii="Calibri" w:hAnsi="Calibri" w:cs="Calibri"/>
          <w:b/>
          <w:bCs/>
          <w:sz w:val="22"/>
          <w:szCs w:val="22"/>
        </w:rPr>
        <w:t xml:space="preserve">Training and </w:t>
      </w:r>
      <w:r>
        <w:rPr>
          <w:rFonts w:ascii="Calibri" w:hAnsi="Calibri" w:cs="Calibri"/>
          <w:b/>
          <w:bCs/>
          <w:sz w:val="22"/>
          <w:szCs w:val="22"/>
        </w:rPr>
        <w:t>S</w:t>
      </w:r>
      <w:r w:rsidRPr="00053D1F">
        <w:rPr>
          <w:rFonts w:ascii="Calibri" w:hAnsi="Calibri" w:cs="Calibri"/>
          <w:b/>
          <w:bCs/>
          <w:sz w:val="22"/>
          <w:szCs w:val="22"/>
        </w:rPr>
        <w:t xml:space="preserve">kills </w:t>
      </w:r>
      <w:r>
        <w:rPr>
          <w:rFonts w:ascii="Calibri" w:hAnsi="Calibri" w:cs="Calibri"/>
          <w:b/>
          <w:bCs/>
          <w:sz w:val="22"/>
          <w:szCs w:val="22"/>
        </w:rPr>
        <w:t>R</w:t>
      </w:r>
      <w:r w:rsidRPr="00053D1F">
        <w:rPr>
          <w:rFonts w:ascii="Calibri" w:hAnsi="Calibri" w:cs="Calibri"/>
          <w:b/>
          <w:bCs/>
          <w:sz w:val="22"/>
          <w:szCs w:val="22"/>
        </w:rPr>
        <w:t xml:space="preserve">equired for </w:t>
      </w:r>
      <w:r>
        <w:rPr>
          <w:rFonts w:ascii="Calibri" w:hAnsi="Calibri" w:cs="Calibri"/>
          <w:b/>
          <w:bCs/>
          <w:sz w:val="22"/>
          <w:szCs w:val="22"/>
        </w:rPr>
        <w:t>A</w:t>
      </w:r>
      <w:r w:rsidRPr="00053D1F">
        <w:rPr>
          <w:rFonts w:ascii="Calibri" w:hAnsi="Calibri" w:cs="Calibri"/>
          <w:b/>
          <w:bCs/>
          <w:sz w:val="22"/>
          <w:szCs w:val="22"/>
        </w:rPr>
        <w:t xml:space="preserve">ssessing </w:t>
      </w:r>
      <w:r>
        <w:rPr>
          <w:rFonts w:ascii="Calibri" w:hAnsi="Calibri" w:cs="Calibri"/>
          <w:b/>
          <w:bCs/>
          <w:sz w:val="22"/>
          <w:szCs w:val="22"/>
        </w:rPr>
        <w:t>Psychological Behaviour</w:t>
      </w:r>
      <w:r w:rsidRPr="00053D1F">
        <w:rPr>
          <w:rFonts w:ascii="Calibri" w:hAnsi="Calibri" w:cs="Calibri"/>
          <w:b/>
          <w:bCs/>
          <w:sz w:val="22"/>
          <w:szCs w:val="22"/>
        </w:rPr>
        <w:t xml:space="preserve"> in a </w:t>
      </w:r>
      <w:r>
        <w:rPr>
          <w:rFonts w:ascii="Calibri" w:hAnsi="Calibri" w:cs="Calibri"/>
          <w:b/>
          <w:bCs/>
          <w:sz w:val="22"/>
          <w:szCs w:val="22"/>
        </w:rPr>
        <w:t>C</w:t>
      </w:r>
      <w:r w:rsidRPr="00053D1F">
        <w:rPr>
          <w:rFonts w:ascii="Calibri" w:hAnsi="Calibri" w:cs="Calibri"/>
          <w:b/>
          <w:bCs/>
          <w:sz w:val="22"/>
          <w:szCs w:val="22"/>
        </w:rPr>
        <w:t xml:space="preserve">omplex </w:t>
      </w:r>
      <w:r>
        <w:rPr>
          <w:rFonts w:ascii="Calibri" w:hAnsi="Calibri" w:cs="Calibri"/>
          <w:b/>
          <w:bCs/>
          <w:sz w:val="22"/>
          <w:szCs w:val="22"/>
        </w:rPr>
        <w:t>C</w:t>
      </w:r>
      <w:r w:rsidRPr="00053D1F">
        <w:rPr>
          <w:rFonts w:ascii="Calibri" w:hAnsi="Calibri" w:cs="Calibri"/>
          <w:b/>
          <w:bCs/>
          <w:sz w:val="22"/>
          <w:szCs w:val="22"/>
        </w:rPr>
        <w:t>ase</w:t>
      </w:r>
    </w:p>
    <w:p w14:paraId="588B404D" w14:textId="77777777" w:rsidR="00E45F96" w:rsidRPr="00053D1F" w:rsidRDefault="00E45F96" w:rsidP="00E45F96">
      <w:pPr>
        <w:spacing w:after="0" w:line="480" w:lineRule="auto"/>
        <w:rPr>
          <w:rFonts w:ascii="Calibri" w:hAnsi="Calibri" w:cs="Calibri"/>
          <w:b/>
          <w:bCs/>
          <w:sz w:val="22"/>
          <w:szCs w:val="22"/>
        </w:rPr>
      </w:pPr>
    </w:p>
    <w:p w14:paraId="712EBAE3"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This essay will outline and demonstrate an understanding of the training and skills that are required for assessing psychological behaviour within a complex case. It will cover the pathway to fulfilling a career in forensic psychology, discuss the professional skills and competencies that are required as well as exploring the relevant professional bodies standards and conclude by identifying the personal skills and development needs required for a role within forensic psychology. </w:t>
      </w:r>
    </w:p>
    <w:p w14:paraId="28C48C67" w14:textId="77777777" w:rsidR="00E45F96" w:rsidRPr="00053D1F" w:rsidRDefault="00E45F96" w:rsidP="00E45F96">
      <w:pPr>
        <w:spacing w:after="0" w:line="480" w:lineRule="auto"/>
        <w:rPr>
          <w:rFonts w:ascii="Calibri" w:hAnsi="Calibri" w:cs="Calibri"/>
          <w:sz w:val="22"/>
          <w:szCs w:val="22"/>
          <w:lang w:val="en-US"/>
        </w:rPr>
      </w:pPr>
      <w:r w:rsidRPr="00053D1F">
        <w:rPr>
          <w:rFonts w:ascii="Calibri" w:hAnsi="Calibri" w:cs="Calibri"/>
          <w:sz w:val="22"/>
          <w:szCs w:val="22"/>
          <w:lang w:val="en-US"/>
        </w:rPr>
        <w:t> </w:t>
      </w:r>
    </w:p>
    <w:p w14:paraId="174B21AA"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The case study of Dr Gibbs and his client, Mathew Thompson, will be the example to which I will apply my understanding. </w:t>
      </w:r>
    </w:p>
    <w:p w14:paraId="38572CDB" w14:textId="77777777" w:rsidR="00E45F96" w:rsidRPr="00053D1F" w:rsidRDefault="00E45F96" w:rsidP="00E45F96">
      <w:pPr>
        <w:spacing w:after="0" w:line="480" w:lineRule="auto"/>
        <w:rPr>
          <w:rFonts w:ascii="Calibri" w:hAnsi="Calibri" w:cs="Calibri"/>
          <w:sz w:val="22"/>
          <w:szCs w:val="22"/>
        </w:rPr>
      </w:pPr>
      <w:r w:rsidRPr="00053D1F">
        <w:rPr>
          <w:rFonts w:ascii="Calibri" w:hAnsi="Calibri" w:cs="Calibri"/>
          <w:sz w:val="22"/>
          <w:szCs w:val="22"/>
        </w:rPr>
        <w:t> </w:t>
      </w:r>
    </w:p>
    <w:p w14:paraId="0360ACF2" w14:textId="77777777" w:rsidR="00E45F96" w:rsidRPr="00053D1F" w:rsidRDefault="00E45F96" w:rsidP="00E45F96">
      <w:pPr>
        <w:spacing w:after="0" w:line="480" w:lineRule="auto"/>
        <w:jc w:val="center"/>
        <w:rPr>
          <w:rFonts w:ascii="Calibri" w:hAnsi="Calibri" w:cs="Calibri"/>
          <w:sz w:val="22"/>
          <w:szCs w:val="22"/>
        </w:rPr>
      </w:pPr>
      <w:r w:rsidRPr="00053D1F">
        <w:rPr>
          <w:rFonts w:ascii="Calibri" w:hAnsi="Calibri" w:cs="Calibri"/>
          <w:b/>
          <w:bCs/>
          <w:sz w:val="22"/>
          <w:szCs w:val="22"/>
        </w:rPr>
        <w:t>Background</w:t>
      </w:r>
    </w:p>
    <w:p w14:paraId="2ED77C28"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Firstly, the role of the Forensic Psychologist is one of variety. Forensic Psychologists work within several different organisations including HM Prison Service, the NHS - in forensic hospitals, Probation Services as well as in private organisations such as private prisons and private forensic hospitals. Some professionals have their own private consultancies. Others work within academia sharing their knowledge to students and continuing to work part-time in other areas of the field (C. Ireland, 2011).</w:t>
      </w:r>
    </w:p>
    <w:p w14:paraId="1BC2E5DF" w14:textId="77777777" w:rsidR="00E45F96" w:rsidRPr="00053D1F" w:rsidRDefault="00E45F96" w:rsidP="00E45F96">
      <w:pPr>
        <w:spacing w:after="0" w:line="480" w:lineRule="auto"/>
        <w:rPr>
          <w:rFonts w:ascii="Calibri" w:hAnsi="Calibri" w:cs="Calibri"/>
          <w:sz w:val="22"/>
          <w:szCs w:val="22"/>
        </w:rPr>
      </w:pPr>
    </w:p>
    <w:p w14:paraId="1EF95F99"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 xml:space="preserve">Forensic Psychologists work with those affected by crime or alongside other legal systems. Their role is to reduce the risk of further offending and create safer communities by working with individuals around their social dynamics using psychological theories (Bailey et al., 2026). The Forensic Psychologist aims to explore and understand offending behaviour and the reasons why it occurs. The work they undertake is directed by scientific formulations which lead to the creation of interventions for recovery and rehabilitation. Some of the tasks a Forensic Psychologist could be </w:t>
      </w:r>
      <w:r w:rsidRPr="00053D1F">
        <w:rPr>
          <w:rFonts w:ascii="Calibri" w:hAnsi="Calibri" w:cs="Calibri"/>
          <w:sz w:val="22"/>
          <w:szCs w:val="22"/>
        </w:rPr>
        <w:lastRenderedPageBreak/>
        <w:t xml:space="preserve">expected to undertake are the development of formulations for prisoners; providing psychological therapies in individual or group settings; having a role in a team ensuring consistent care is provided; informing policy and practice with a continued focus on recovery and rehabilitation; and </w:t>
      </w:r>
      <w:commentRangeStart w:id="0"/>
      <w:r w:rsidRPr="00053D1F">
        <w:rPr>
          <w:rFonts w:ascii="Calibri" w:hAnsi="Calibri" w:cs="Calibri"/>
          <w:sz w:val="22"/>
          <w:szCs w:val="22"/>
        </w:rPr>
        <w:t>maintaining</w:t>
      </w:r>
      <w:commentRangeEnd w:id="0"/>
      <w:r w:rsidRPr="00053D1F">
        <w:rPr>
          <w:rStyle w:val="CommentReference"/>
          <w:rFonts w:ascii="Calibri" w:hAnsi="Calibri" w:cs="Calibri"/>
          <w:sz w:val="22"/>
          <w:szCs w:val="22"/>
        </w:rPr>
        <w:commentReference w:id="0"/>
      </w:r>
      <w:r w:rsidRPr="00053D1F">
        <w:rPr>
          <w:rFonts w:ascii="Calibri" w:hAnsi="Calibri" w:cs="Calibri"/>
          <w:sz w:val="22"/>
          <w:szCs w:val="22"/>
        </w:rPr>
        <w:t xml:space="preserve"> evidence focused practices by assessing and suggesting adaptations to an individuals’ care (British Psychological Society, n.d.-a). </w:t>
      </w:r>
    </w:p>
    <w:p w14:paraId="5FD54446" w14:textId="77777777" w:rsidR="00E45F96" w:rsidRPr="00053D1F" w:rsidRDefault="00E45F96" w:rsidP="00E45F96">
      <w:pPr>
        <w:spacing w:after="0" w:line="480" w:lineRule="auto"/>
        <w:rPr>
          <w:rFonts w:ascii="Calibri" w:hAnsi="Calibri" w:cs="Calibri"/>
          <w:sz w:val="22"/>
          <w:szCs w:val="22"/>
          <w:lang w:val="en-US"/>
        </w:rPr>
      </w:pPr>
      <w:r w:rsidRPr="00053D1F">
        <w:rPr>
          <w:rFonts w:ascii="Calibri" w:hAnsi="Calibri" w:cs="Calibri"/>
          <w:sz w:val="22"/>
          <w:szCs w:val="22"/>
          <w:lang w:val="en-US"/>
        </w:rPr>
        <w:t> </w:t>
      </w:r>
    </w:p>
    <w:p w14:paraId="13A92D84"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According to the British Psychological Society (n.d.-a), anyone seeking to work in the role of Forensic Psychologist will need to obtain an accredited undergraduate degree as well as a MSc in Forensic Psychology, which has been accredited by the BPS and HCPC, or another qualification at masters level together with the completion of a conversion course, again accredited by the BPS and HCPC. This would then make an individual eligible for Graduate Basis for Chartered Membership (GBC) with the BPS. The HCPC have links to various courses at several different institutions that enable you to undertake studies to meet the necessary standards. It is also necessary for one to complete supervised practice to be eligible for HCPC registration. </w:t>
      </w:r>
    </w:p>
    <w:p w14:paraId="5C43CCA3" w14:textId="77777777" w:rsidR="00E45F96" w:rsidRPr="00053D1F" w:rsidRDefault="00E45F96" w:rsidP="00E45F96">
      <w:pPr>
        <w:spacing w:after="0" w:line="480" w:lineRule="auto"/>
        <w:rPr>
          <w:rFonts w:ascii="Calibri" w:hAnsi="Calibri" w:cs="Calibri"/>
          <w:sz w:val="22"/>
          <w:szCs w:val="22"/>
          <w:lang w:val="en-US"/>
        </w:rPr>
      </w:pPr>
      <w:r w:rsidRPr="00053D1F">
        <w:rPr>
          <w:rFonts w:ascii="Calibri" w:hAnsi="Calibri" w:cs="Calibri"/>
          <w:sz w:val="22"/>
          <w:szCs w:val="22"/>
          <w:lang w:val="en-US"/>
        </w:rPr>
        <w:t> </w:t>
      </w:r>
    </w:p>
    <w:p w14:paraId="300E5F15"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Professional accreditation is imperative along with continued professional development to be able to practice safely, ethically and professionally as a forensic psychologist. </w:t>
      </w:r>
    </w:p>
    <w:p w14:paraId="3262889D" w14:textId="77777777" w:rsidR="00E45F96" w:rsidRDefault="00E45F96" w:rsidP="00E45F96">
      <w:pPr>
        <w:spacing w:after="0" w:line="480" w:lineRule="auto"/>
        <w:rPr>
          <w:rFonts w:ascii="Calibri" w:hAnsi="Calibri" w:cs="Calibri"/>
          <w:sz w:val="22"/>
          <w:szCs w:val="22"/>
        </w:rPr>
      </w:pPr>
    </w:p>
    <w:p w14:paraId="091FBCAA" w14:textId="77777777" w:rsidR="00E45F96" w:rsidRDefault="00E45F96" w:rsidP="00E45F96">
      <w:pPr>
        <w:spacing w:after="0" w:line="480" w:lineRule="auto"/>
        <w:jc w:val="center"/>
        <w:rPr>
          <w:rFonts w:ascii="Calibri" w:hAnsi="Calibri" w:cs="Calibri"/>
          <w:b/>
          <w:bCs/>
          <w:sz w:val="22"/>
          <w:szCs w:val="22"/>
        </w:rPr>
      </w:pPr>
      <w:r w:rsidRPr="00E22AEE">
        <w:rPr>
          <w:rFonts w:ascii="Calibri" w:hAnsi="Calibri" w:cs="Calibri"/>
          <w:b/>
          <w:bCs/>
          <w:sz w:val="22"/>
          <w:szCs w:val="22"/>
        </w:rPr>
        <w:t>Professional Skills, Competencies and Ethical Issues</w:t>
      </w:r>
    </w:p>
    <w:p w14:paraId="21958021" w14:textId="77777777" w:rsidR="00E45F96" w:rsidRDefault="00E45F96" w:rsidP="00E45F96">
      <w:pPr>
        <w:spacing w:after="0" w:line="480" w:lineRule="auto"/>
        <w:rPr>
          <w:rFonts w:ascii="Calibri" w:hAnsi="Calibri" w:cs="Calibri"/>
          <w:sz w:val="22"/>
          <w:szCs w:val="22"/>
        </w:rPr>
      </w:pPr>
      <w:r>
        <w:rPr>
          <w:rFonts w:ascii="Calibri" w:hAnsi="Calibri" w:cs="Calibri"/>
          <w:sz w:val="22"/>
          <w:szCs w:val="22"/>
        </w:rPr>
        <w:tab/>
        <w:t>Once the role of the forensic psychologist is understood, we can explore the skills and competencies needed to practice ethically. The following paragraphs will demonstrate how Dr Gibbs applies theory, knowledge and legislation to his practices.</w:t>
      </w:r>
    </w:p>
    <w:p w14:paraId="7F613891" w14:textId="77777777" w:rsidR="00E45F96" w:rsidRPr="00FF4E6F" w:rsidRDefault="00E45F96" w:rsidP="00E45F96">
      <w:pPr>
        <w:spacing w:after="0" w:line="480" w:lineRule="auto"/>
        <w:rPr>
          <w:rFonts w:ascii="Calibri" w:hAnsi="Calibri" w:cs="Calibri"/>
          <w:sz w:val="22"/>
          <w:szCs w:val="22"/>
        </w:rPr>
      </w:pPr>
    </w:p>
    <w:p w14:paraId="4FC416EC" w14:textId="77777777" w:rsidR="00E45F96" w:rsidRPr="00E22AEE" w:rsidRDefault="00E45F96" w:rsidP="00E45F96">
      <w:pPr>
        <w:spacing w:after="0" w:line="480" w:lineRule="auto"/>
        <w:rPr>
          <w:rFonts w:ascii="Calibri" w:hAnsi="Calibri" w:cs="Calibri"/>
          <w:b/>
          <w:bCs/>
          <w:sz w:val="22"/>
          <w:szCs w:val="22"/>
        </w:rPr>
      </w:pPr>
      <w:r w:rsidRPr="00E22AEE">
        <w:rPr>
          <w:rFonts w:ascii="Calibri" w:hAnsi="Calibri" w:cs="Calibri"/>
          <w:b/>
          <w:bCs/>
          <w:sz w:val="22"/>
          <w:szCs w:val="22"/>
        </w:rPr>
        <w:t>Respect</w:t>
      </w:r>
    </w:p>
    <w:p w14:paraId="30B04C81" w14:textId="77777777" w:rsidR="00E45F96" w:rsidRPr="00E22AEE" w:rsidRDefault="00E45F96" w:rsidP="00E45F96">
      <w:pPr>
        <w:spacing w:after="0" w:line="480" w:lineRule="auto"/>
        <w:ind w:firstLine="720"/>
        <w:rPr>
          <w:rFonts w:ascii="Calibri" w:hAnsi="Calibri" w:cs="Calibri"/>
          <w:sz w:val="22"/>
          <w:szCs w:val="22"/>
        </w:rPr>
      </w:pPr>
      <w:r w:rsidRPr="00E22AEE">
        <w:rPr>
          <w:rFonts w:ascii="Calibri" w:hAnsi="Calibri" w:cs="Calibri"/>
          <w:sz w:val="22"/>
          <w:szCs w:val="22"/>
        </w:rPr>
        <w:t xml:space="preserve">Dr Gibbs displays professional competencies throughout his assessment of Mathew. This includes Diagnostic and Clinical Competence, the ability to accurately diagnose schizophrenia </w:t>
      </w:r>
      <w:r w:rsidRPr="00E22AEE">
        <w:rPr>
          <w:rFonts w:ascii="Calibri" w:hAnsi="Calibri" w:cs="Calibri"/>
          <w:sz w:val="22"/>
          <w:szCs w:val="22"/>
        </w:rPr>
        <w:lastRenderedPageBreak/>
        <w:t>including the identification of acute psychosis. To do this Dr Gibbs must possess the skills of strong diagnostic reasoning and evaluation to understand what assessment tools will be most appropriate (Packer, 2008</w:t>
      </w:r>
      <w:commentRangeStart w:id="1"/>
      <w:r w:rsidRPr="00E22AEE">
        <w:rPr>
          <w:rFonts w:ascii="Calibri" w:hAnsi="Calibri" w:cs="Calibri"/>
          <w:sz w:val="22"/>
          <w:szCs w:val="22"/>
        </w:rPr>
        <w:t>). </w:t>
      </w:r>
      <w:commentRangeEnd w:id="1"/>
      <w:r w:rsidRPr="00E22AEE">
        <w:rPr>
          <w:rStyle w:val="CommentReference"/>
          <w:rFonts w:ascii="Calibri" w:hAnsi="Calibri" w:cs="Calibri"/>
          <w:sz w:val="22"/>
          <w:szCs w:val="22"/>
        </w:rPr>
        <w:commentReference w:id="1"/>
      </w:r>
      <w:r w:rsidRPr="00E22AEE">
        <w:rPr>
          <w:rFonts w:ascii="Calibri" w:hAnsi="Calibri" w:cs="Calibri"/>
          <w:sz w:val="22"/>
          <w:szCs w:val="22"/>
        </w:rPr>
        <w:t>Dr Gibbs needed to assess symptom severity, insight and reality</w:t>
      </w:r>
      <w:r>
        <w:rPr>
          <w:rFonts w:ascii="Calibri" w:hAnsi="Calibri" w:cs="Calibri"/>
          <w:sz w:val="22"/>
          <w:szCs w:val="22"/>
        </w:rPr>
        <w:t xml:space="preserve"> </w:t>
      </w:r>
      <w:r w:rsidRPr="00E22AEE">
        <w:rPr>
          <w:rFonts w:ascii="Calibri" w:hAnsi="Calibri" w:cs="Calibri"/>
          <w:sz w:val="22"/>
          <w:szCs w:val="22"/>
        </w:rPr>
        <w:t>testing to evaluate risk of violence, if done incorrectly a misdiagnosis could lead to legal and clinical consequences (Frances &amp; Halon, 2013). Mathew is diagnosed as being in a state of psychosis, this poses the ethical issue that capacity may be impaired thus he may not understand the assessment or the legal consequences of his actions (Zanelli et al., 2022</w:t>
      </w:r>
      <w:commentRangeStart w:id="2"/>
      <w:r w:rsidRPr="00E22AEE">
        <w:rPr>
          <w:rFonts w:ascii="Calibri" w:hAnsi="Calibri" w:cs="Calibri"/>
          <w:sz w:val="22"/>
          <w:szCs w:val="22"/>
        </w:rPr>
        <w:t>).</w:t>
      </w:r>
      <w:commentRangeEnd w:id="2"/>
      <w:r w:rsidRPr="00E22AEE">
        <w:rPr>
          <w:rStyle w:val="CommentReference"/>
          <w:rFonts w:ascii="Calibri" w:hAnsi="Calibri" w:cs="Calibri"/>
          <w:sz w:val="22"/>
          <w:szCs w:val="22"/>
        </w:rPr>
        <w:commentReference w:id="2"/>
      </w:r>
      <w:r w:rsidRPr="00E22AEE">
        <w:rPr>
          <w:rFonts w:ascii="Calibri" w:hAnsi="Calibri" w:cs="Calibri"/>
          <w:sz w:val="22"/>
          <w:szCs w:val="22"/>
        </w:rPr>
        <w:t xml:space="preserve"> Dr Gibbs must ensure capacity is assessed carefully and respectfully, through use of simplified questioning and explanations, proper documentation and follow legal guidelines if consent is limited; this links to the BPS (n.d.-b) code of conduct where Dr Gibbs must be respectful. </w:t>
      </w:r>
    </w:p>
    <w:p w14:paraId="7673B27F" w14:textId="77777777" w:rsidR="00E45F96" w:rsidRPr="00E22AEE" w:rsidRDefault="00E45F96" w:rsidP="00E45F96">
      <w:pPr>
        <w:spacing w:after="0" w:line="480" w:lineRule="auto"/>
        <w:rPr>
          <w:rFonts w:ascii="Calibri" w:hAnsi="Calibri" w:cs="Calibri"/>
          <w:b/>
          <w:bCs/>
          <w:sz w:val="22"/>
          <w:szCs w:val="22"/>
        </w:rPr>
      </w:pPr>
    </w:p>
    <w:p w14:paraId="4F93B6D6" w14:textId="77777777" w:rsidR="00E45F96" w:rsidRPr="00E22AEE" w:rsidRDefault="00E45F96" w:rsidP="00E45F96">
      <w:pPr>
        <w:spacing w:after="0" w:line="480" w:lineRule="auto"/>
        <w:rPr>
          <w:rFonts w:ascii="Calibri" w:hAnsi="Calibri" w:cs="Calibri"/>
          <w:b/>
          <w:bCs/>
          <w:sz w:val="22"/>
          <w:szCs w:val="22"/>
        </w:rPr>
      </w:pPr>
      <w:r w:rsidRPr="00E22AEE">
        <w:rPr>
          <w:rFonts w:ascii="Calibri" w:hAnsi="Calibri" w:cs="Calibri"/>
          <w:b/>
          <w:bCs/>
          <w:sz w:val="22"/>
          <w:szCs w:val="22"/>
        </w:rPr>
        <w:t>Competence</w:t>
      </w:r>
    </w:p>
    <w:p w14:paraId="70D9FD97" w14:textId="77777777" w:rsidR="00E45F96" w:rsidRPr="00E22AEE" w:rsidRDefault="00E45F96" w:rsidP="00E45F96">
      <w:pPr>
        <w:spacing w:after="0" w:line="480" w:lineRule="auto"/>
        <w:ind w:firstLine="720"/>
        <w:rPr>
          <w:rFonts w:ascii="Calibri" w:hAnsi="Calibri" w:cs="Calibri"/>
          <w:sz w:val="22"/>
          <w:szCs w:val="22"/>
        </w:rPr>
      </w:pPr>
      <w:r w:rsidRPr="00E22AEE">
        <w:rPr>
          <w:rFonts w:ascii="Calibri" w:hAnsi="Calibri" w:cs="Calibri"/>
          <w:sz w:val="22"/>
          <w:szCs w:val="22"/>
        </w:rPr>
        <w:t>As outlined by the BPS (</w:t>
      </w:r>
      <w:r w:rsidRPr="00E22AEE">
        <w:rPr>
          <w:rFonts w:ascii="Calibri" w:eastAsia="Aptos" w:hAnsi="Calibri" w:cs="Calibri"/>
          <w:sz w:val="22"/>
          <w:szCs w:val="22"/>
        </w:rPr>
        <w:t>n.d.-b</w:t>
      </w:r>
      <w:r w:rsidRPr="00E22AEE">
        <w:rPr>
          <w:rFonts w:ascii="Calibri" w:hAnsi="Calibri" w:cs="Calibri"/>
          <w:sz w:val="22"/>
          <w:szCs w:val="22"/>
        </w:rPr>
        <w:t xml:space="preserve">), Dr Gibbs should display competence when working with Mathew. Dr Gibbs uses analytical, observational, clinical, risk assessment and critical thinking skills when conducting a comprehensive forensic assessment. He would use qualitative assessment tools such as the HCR-20 (J. L. Ireland, 2011), which is a structured risk assessment for violence. Dr Gibbs confirmed the diagnosis of Schizophrenia thus identifying Mathew required immediate psychiatric treatment. This confirms Dr Gibbs’ competence in having an awareness of the limitations of his skills and competences and shows his adherence to the HCPC (2023) standard 1.1 of practicing safely within the scope of his practice. Should Dr Gibbs be unable to identify these limitations significant ethical concerns would arise around his safety to practice as he would not be adhering to the above </w:t>
      </w:r>
      <w:commentRangeStart w:id="3"/>
      <w:r w:rsidRPr="00E22AEE">
        <w:rPr>
          <w:rFonts w:ascii="Calibri" w:hAnsi="Calibri" w:cs="Calibri"/>
          <w:sz w:val="22"/>
          <w:szCs w:val="22"/>
        </w:rPr>
        <w:t>policies</w:t>
      </w:r>
      <w:commentRangeEnd w:id="3"/>
      <w:r w:rsidRPr="00E22AEE">
        <w:rPr>
          <w:rStyle w:val="CommentReference"/>
          <w:rFonts w:ascii="Calibri" w:hAnsi="Calibri" w:cs="Calibri"/>
          <w:sz w:val="22"/>
          <w:szCs w:val="22"/>
        </w:rPr>
        <w:commentReference w:id="3"/>
      </w:r>
      <w:r w:rsidRPr="00E22AEE">
        <w:rPr>
          <w:rFonts w:ascii="Calibri" w:hAnsi="Calibri" w:cs="Calibri"/>
          <w:sz w:val="22"/>
          <w:szCs w:val="22"/>
        </w:rPr>
        <w:t xml:space="preserve"> (Wise, 2008</w:t>
      </w:r>
      <w:commentRangeStart w:id="4"/>
      <w:r w:rsidRPr="00E22AEE">
        <w:rPr>
          <w:rFonts w:ascii="Calibri" w:hAnsi="Calibri" w:cs="Calibri"/>
          <w:sz w:val="22"/>
          <w:szCs w:val="22"/>
        </w:rPr>
        <w:t>).</w:t>
      </w:r>
      <w:commentRangeEnd w:id="4"/>
      <w:r w:rsidRPr="00E22AEE">
        <w:rPr>
          <w:rStyle w:val="CommentReference"/>
          <w:rFonts w:ascii="Calibri" w:hAnsi="Calibri" w:cs="Calibri"/>
          <w:sz w:val="22"/>
          <w:szCs w:val="22"/>
        </w:rPr>
        <w:commentReference w:id="4"/>
      </w:r>
    </w:p>
    <w:p w14:paraId="75E27F7D" w14:textId="77777777" w:rsidR="00E45F96" w:rsidRPr="00E22AEE" w:rsidRDefault="00E45F96" w:rsidP="00E45F96">
      <w:pPr>
        <w:spacing w:after="0" w:line="480" w:lineRule="auto"/>
        <w:rPr>
          <w:rFonts w:ascii="Calibri" w:hAnsi="Calibri" w:cs="Calibri"/>
          <w:sz w:val="22"/>
          <w:szCs w:val="22"/>
        </w:rPr>
      </w:pPr>
    </w:p>
    <w:p w14:paraId="0D41E582" w14:textId="77777777" w:rsidR="00E45F96" w:rsidRPr="00E22AEE" w:rsidRDefault="00E45F96" w:rsidP="00E45F96">
      <w:pPr>
        <w:spacing w:after="0" w:line="480" w:lineRule="auto"/>
        <w:rPr>
          <w:rFonts w:ascii="Calibri" w:hAnsi="Calibri" w:cs="Calibri"/>
          <w:b/>
          <w:bCs/>
          <w:sz w:val="22"/>
          <w:szCs w:val="22"/>
        </w:rPr>
      </w:pPr>
      <w:r w:rsidRPr="00E22AEE">
        <w:rPr>
          <w:rFonts w:ascii="Calibri" w:hAnsi="Calibri" w:cs="Calibri"/>
          <w:b/>
          <w:bCs/>
          <w:sz w:val="22"/>
          <w:szCs w:val="22"/>
        </w:rPr>
        <w:t>Responsibility</w:t>
      </w:r>
    </w:p>
    <w:p w14:paraId="340E72E3" w14:textId="77777777" w:rsidR="00E45F96" w:rsidRPr="00E22AEE" w:rsidRDefault="00E45F96" w:rsidP="00E45F96">
      <w:pPr>
        <w:spacing w:after="0" w:line="480" w:lineRule="auto"/>
        <w:ind w:firstLine="720"/>
        <w:rPr>
          <w:rFonts w:ascii="Calibri" w:hAnsi="Calibri" w:cs="Calibri"/>
          <w:sz w:val="22"/>
          <w:szCs w:val="22"/>
        </w:rPr>
      </w:pPr>
      <w:r w:rsidRPr="00E22AEE">
        <w:rPr>
          <w:rFonts w:ascii="Calibri" w:hAnsi="Calibri" w:cs="Calibri"/>
          <w:sz w:val="22"/>
          <w:szCs w:val="22"/>
        </w:rPr>
        <w:t xml:space="preserve">Dr Gibbs would face difficulties in explaining to Mathew the limitations of confidentiality as Mathew has been described as disorientated and incoherent. The possession of strong </w:t>
      </w:r>
      <w:r w:rsidRPr="00E22AEE">
        <w:rPr>
          <w:rFonts w:ascii="Calibri" w:hAnsi="Calibri" w:cs="Calibri"/>
          <w:sz w:val="22"/>
          <w:szCs w:val="22"/>
        </w:rPr>
        <w:lastRenderedPageBreak/>
        <w:t xml:space="preserve">communication skills means he can explain to Mathew, in a way that he understands, that he is undertaking an assessment that will be shared as testimony in court. Dr Gibbs will demonstrate the BPS (n.d.-b) outlined professional competence of responsibility by having the ability to keep accurate written records of conversations with Mathew, noting his understanding, considering the safeguarding of others and documenting assessments carried out which adheres to the HCPC (2023) standard 9 regarding the maintenance of records and standards 6 and 15 concerning the importance of confidentiality and the promotion of health and prevention of ill health where in this circumstance there is a conflict where Dr Gibbs must make ethical considerations as to whether confidentiality is breached to ensure the safety of others (McGuire, 1997). </w:t>
      </w:r>
    </w:p>
    <w:p w14:paraId="295A2CF5" w14:textId="77777777" w:rsidR="00E45F96" w:rsidRPr="00E22AEE" w:rsidRDefault="00E45F96" w:rsidP="00E45F96">
      <w:pPr>
        <w:spacing w:after="0" w:line="480" w:lineRule="auto"/>
        <w:rPr>
          <w:rFonts w:ascii="Calibri" w:hAnsi="Calibri" w:cs="Calibri"/>
          <w:sz w:val="22"/>
          <w:szCs w:val="22"/>
        </w:rPr>
      </w:pPr>
    </w:p>
    <w:p w14:paraId="037B7937" w14:textId="77777777" w:rsidR="00E45F96" w:rsidRPr="00E22AEE" w:rsidRDefault="00E45F96" w:rsidP="00E45F96">
      <w:pPr>
        <w:spacing w:after="0" w:line="480" w:lineRule="auto"/>
        <w:rPr>
          <w:rFonts w:ascii="Calibri" w:hAnsi="Calibri" w:cs="Calibri"/>
          <w:b/>
          <w:bCs/>
          <w:sz w:val="22"/>
          <w:szCs w:val="22"/>
        </w:rPr>
      </w:pPr>
      <w:r w:rsidRPr="00E22AEE">
        <w:rPr>
          <w:rFonts w:ascii="Calibri" w:hAnsi="Calibri" w:cs="Calibri"/>
          <w:b/>
          <w:bCs/>
          <w:sz w:val="22"/>
          <w:szCs w:val="22"/>
        </w:rPr>
        <w:t>Integrity</w:t>
      </w:r>
    </w:p>
    <w:p w14:paraId="32E5EE06" w14:textId="77777777" w:rsidR="00E45F96" w:rsidRDefault="00E45F96" w:rsidP="00E45F96">
      <w:pPr>
        <w:spacing w:after="0" w:line="480" w:lineRule="auto"/>
        <w:ind w:firstLine="720"/>
        <w:rPr>
          <w:rFonts w:ascii="Calibri" w:hAnsi="Calibri" w:cs="Calibri"/>
          <w:sz w:val="22"/>
          <w:szCs w:val="22"/>
        </w:rPr>
      </w:pPr>
      <w:r w:rsidRPr="00E22AEE">
        <w:rPr>
          <w:rFonts w:ascii="Calibri" w:hAnsi="Calibri" w:cs="Calibri"/>
          <w:sz w:val="22"/>
          <w:szCs w:val="22"/>
        </w:rPr>
        <w:t>Due to Mathew’s presentation, it would be easy for Dr Gibbs to abuse his position. It is at this time Dr Gibbs must demonstrate the BPS (n.d.-b) principle of integrity. He must ensure he considers the ethics of how he treats Mathew. Mathew’s presentation is of non-typical behaviour and Dr Gibbs must treat him with the same respect and dignity as any client who may be presenting typical behaviour. It is likely Mathew’s communication may be poor at this time and so Dr Gibbs must remain objective and avoid the risk of becoming Mathew’s therapist or making any presumptions around guilt (Ward, 2013</w:t>
      </w:r>
      <w:commentRangeStart w:id="5"/>
      <w:r w:rsidRPr="00E22AEE">
        <w:rPr>
          <w:rFonts w:ascii="Calibri" w:hAnsi="Calibri" w:cs="Calibri"/>
          <w:sz w:val="22"/>
          <w:szCs w:val="22"/>
        </w:rPr>
        <w:t>).</w:t>
      </w:r>
      <w:commentRangeEnd w:id="5"/>
      <w:r w:rsidRPr="00E22AEE">
        <w:rPr>
          <w:rStyle w:val="CommentReference"/>
          <w:rFonts w:ascii="Calibri" w:hAnsi="Calibri" w:cs="Calibri"/>
          <w:sz w:val="22"/>
          <w:szCs w:val="22"/>
        </w:rPr>
        <w:commentReference w:id="5"/>
      </w:r>
      <w:r w:rsidRPr="00E22AEE">
        <w:rPr>
          <w:rFonts w:ascii="Calibri" w:hAnsi="Calibri" w:cs="Calibri"/>
          <w:sz w:val="22"/>
          <w:szCs w:val="22"/>
        </w:rPr>
        <w:t xml:space="preserve"> By following all the BPS (n.d.-b) and HCPC (2023) guidelines, Dr Gibbs is able to act as an independent expert witness and remain objective. He provides an unbiased testimony to the court, explaining any limitations he has faced when completing the assessment. Dr Gibbs demonstrates honesty, dependability and the capability of maintaining professional boundaries. To be a registered forensic psychologist, Dr Gibbs will have exhibited consistent conduct throughout his studies and professional career thus demonstrating his integrity.</w:t>
      </w:r>
    </w:p>
    <w:p w14:paraId="39E93B1D" w14:textId="77777777" w:rsidR="00E45F96" w:rsidRDefault="00E45F96" w:rsidP="00E45F96">
      <w:pPr>
        <w:rPr>
          <w:rFonts w:ascii="Calibri" w:hAnsi="Calibri" w:cs="Calibri"/>
          <w:sz w:val="22"/>
          <w:szCs w:val="22"/>
        </w:rPr>
      </w:pPr>
      <w:r>
        <w:rPr>
          <w:rFonts w:ascii="Calibri" w:hAnsi="Calibri" w:cs="Calibri"/>
          <w:sz w:val="22"/>
          <w:szCs w:val="22"/>
        </w:rPr>
        <w:br w:type="page"/>
      </w:r>
    </w:p>
    <w:p w14:paraId="438DA6B2" w14:textId="77777777" w:rsidR="00E45F96" w:rsidRPr="00053D1F" w:rsidRDefault="00E45F96" w:rsidP="00E45F96">
      <w:pPr>
        <w:spacing w:after="0" w:line="480" w:lineRule="auto"/>
        <w:jc w:val="center"/>
        <w:rPr>
          <w:rFonts w:ascii="Calibri" w:hAnsi="Calibri" w:cs="Calibri"/>
          <w:sz w:val="22"/>
          <w:szCs w:val="22"/>
        </w:rPr>
      </w:pPr>
      <w:r w:rsidRPr="00053D1F">
        <w:rPr>
          <w:rFonts w:ascii="Calibri" w:hAnsi="Calibri" w:cs="Calibri"/>
          <w:b/>
          <w:bCs/>
          <w:sz w:val="22"/>
          <w:szCs w:val="22"/>
        </w:rPr>
        <w:lastRenderedPageBreak/>
        <w:t>Personal and Professional Development Needs</w:t>
      </w:r>
    </w:p>
    <w:p w14:paraId="2C40C85E"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I use a Personal Development Plan (</w:t>
      </w:r>
      <w:proofErr w:type="spellStart"/>
      <w:r w:rsidRPr="00053D1F">
        <w:rPr>
          <w:rFonts w:ascii="Calibri" w:hAnsi="Calibri" w:cs="Calibri"/>
          <w:sz w:val="22"/>
          <w:szCs w:val="22"/>
        </w:rPr>
        <w:t>Strivens</w:t>
      </w:r>
      <w:proofErr w:type="spellEnd"/>
      <w:r w:rsidRPr="00053D1F">
        <w:rPr>
          <w:rFonts w:ascii="Calibri" w:hAnsi="Calibri" w:cs="Calibri"/>
          <w:sz w:val="22"/>
          <w:szCs w:val="22"/>
        </w:rPr>
        <w:t> &amp; Ward, 2010) along with SMART goals (Doran, 1981) to identify, monitor and review any gaps in my knowledge skills and competence to ensure I maintain a standard of Continued Professional Development recognised by the HCPC and BPS.</w:t>
      </w:r>
    </w:p>
    <w:p w14:paraId="4C537F7C" w14:textId="77777777" w:rsidR="00E45F96" w:rsidRPr="00053D1F" w:rsidRDefault="00E45F96" w:rsidP="00E45F96">
      <w:pPr>
        <w:spacing w:after="0" w:line="480" w:lineRule="auto"/>
        <w:rPr>
          <w:rFonts w:ascii="Calibri" w:hAnsi="Calibri" w:cs="Calibri"/>
          <w:sz w:val="22"/>
          <w:szCs w:val="22"/>
        </w:rPr>
      </w:pPr>
    </w:p>
    <w:p w14:paraId="3A4EA0DF"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Using reflective practices such as the Gibbs Reflective Cycle (Bennett, 2023) I was able to make considerations that relate specifically to the forensic psychologist role. </w:t>
      </w:r>
    </w:p>
    <w:p w14:paraId="757E6945" w14:textId="77777777" w:rsidR="00E45F96" w:rsidRPr="00053D1F" w:rsidRDefault="00E45F96" w:rsidP="00E45F96">
      <w:pPr>
        <w:spacing w:after="0" w:line="480" w:lineRule="auto"/>
        <w:rPr>
          <w:rFonts w:ascii="Calibri" w:hAnsi="Calibri" w:cs="Calibri"/>
          <w:sz w:val="22"/>
          <w:szCs w:val="22"/>
          <w:lang w:val="en-US"/>
        </w:rPr>
      </w:pPr>
      <w:r w:rsidRPr="00053D1F">
        <w:rPr>
          <w:rFonts w:ascii="Calibri" w:hAnsi="Calibri" w:cs="Calibri"/>
          <w:sz w:val="22"/>
          <w:szCs w:val="22"/>
          <w:lang w:val="en-US"/>
        </w:rPr>
        <w:t> </w:t>
      </w:r>
    </w:p>
    <w:p w14:paraId="0D99693E"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 xml:space="preserve">I am only at the beginning of my professional journey in the field of psychology but having worked with elderly people and vulnerable adults in the healthcare sector and as a Civil Servant in the public sector I have developed transferrable skills in communication with people from all socio-economic backgrounds. This would be a significant strength when dealing with a case like Dr Gibbs’ as there would be a need to communicate with clients and stakeholders from all backgrounds without judgement. </w:t>
      </w:r>
    </w:p>
    <w:p w14:paraId="516715A9" w14:textId="77777777" w:rsidR="00E45F96" w:rsidRPr="00053D1F" w:rsidRDefault="00E45F96" w:rsidP="00E45F96">
      <w:pPr>
        <w:spacing w:after="0" w:line="480" w:lineRule="auto"/>
        <w:rPr>
          <w:rFonts w:ascii="Calibri" w:hAnsi="Calibri" w:cs="Calibri"/>
          <w:sz w:val="22"/>
          <w:szCs w:val="22"/>
        </w:rPr>
      </w:pPr>
    </w:p>
    <w:p w14:paraId="7AB6DFB0"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This experience also enabled me to become familiar with the constraints of rules, regulations and laws and how imperative it is to abide by these. This foundation is an excellent point for me to be able to expand upon during my academic journey in being able to apply this from a psychology perspective.</w:t>
      </w:r>
    </w:p>
    <w:p w14:paraId="54B06756" w14:textId="77777777" w:rsidR="00E45F96" w:rsidRPr="00053D1F" w:rsidRDefault="00E45F96" w:rsidP="00E45F96">
      <w:pPr>
        <w:spacing w:after="0" w:line="480" w:lineRule="auto"/>
        <w:rPr>
          <w:rFonts w:ascii="Calibri" w:hAnsi="Calibri" w:cs="Calibri"/>
          <w:sz w:val="22"/>
          <w:szCs w:val="22"/>
        </w:rPr>
      </w:pPr>
    </w:p>
    <w:p w14:paraId="0E792696"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Completing my degree and furthering this study with a master’s and doctorate would give me the necessary academic knowledge to work as a forensic psychologist, but I would need to be able to apply my education by gaining experience working in an entry-level role. </w:t>
      </w:r>
    </w:p>
    <w:p w14:paraId="58CA01E3" w14:textId="77777777" w:rsidR="00E45F96" w:rsidRPr="00053D1F" w:rsidRDefault="00E45F96" w:rsidP="00E45F96">
      <w:pPr>
        <w:spacing w:after="0" w:line="480" w:lineRule="auto"/>
        <w:rPr>
          <w:rFonts w:ascii="Calibri" w:hAnsi="Calibri" w:cs="Calibri"/>
          <w:sz w:val="22"/>
          <w:szCs w:val="22"/>
        </w:rPr>
      </w:pPr>
    </w:p>
    <w:p w14:paraId="58B7408C"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 xml:space="preserve">My action plan for future success will involve targeting the areas of weakness I have identified in my PDP such as developing my presentation skills as Dr Gibbs’ requirement to present to </w:t>
      </w:r>
      <w:r w:rsidRPr="00053D1F">
        <w:rPr>
          <w:rFonts w:ascii="Calibri" w:hAnsi="Calibri" w:cs="Calibri"/>
          <w:sz w:val="22"/>
          <w:szCs w:val="22"/>
        </w:rPr>
        <w:lastRenderedPageBreak/>
        <w:t xml:space="preserve">a court would prove difficult for me presently and improving my own personal wellbeing as the HCPC standards of conduct, performance and ethics (2024) 6.3 and 6.4, outline it is imperative to take responsibility for your physical and mental wellbeing to ensure you can practice both safely and </w:t>
      </w:r>
      <w:commentRangeStart w:id="6"/>
      <w:r w:rsidRPr="00053D1F">
        <w:rPr>
          <w:rFonts w:ascii="Calibri" w:hAnsi="Calibri" w:cs="Calibri"/>
          <w:sz w:val="22"/>
          <w:szCs w:val="22"/>
        </w:rPr>
        <w:t>effectively</w:t>
      </w:r>
      <w:commentRangeEnd w:id="6"/>
      <w:r w:rsidRPr="00053D1F">
        <w:rPr>
          <w:rStyle w:val="CommentReference"/>
          <w:rFonts w:ascii="Calibri" w:hAnsi="Calibri" w:cs="Calibri"/>
          <w:sz w:val="22"/>
          <w:szCs w:val="22"/>
        </w:rPr>
        <w:commentReference w:id="6"/>
      </w:r>
      <w:r w:rsidRPr="00053D1F">
        <w:rPr>
          <w:rFonts w:ascii="Calibri" w:hAnsi="Calibri" w:cs="Calibri"/>
          <w:sz w:val="22"/>
          <w:szCs w:val="22"/>
        </w:rPr>
        <w:t>.</w:t>
      </w:r>
    </w:p>
    <w:p w14:paraId="093427F5" w14:textId="77777777" w:rsidR="00E45F96" w:rsidRPr="00053D1F" w:rsidRDefault="00E45F96" w:rsidP="00E45F96">
      <w:pPr>
        <w:spacing w:after="0" w:line="480" w:lineRule="auto"/>
        <w:rPr>
          <w:rFonts w:ascii="Calibri" w:hAnsi="Calibri" w:cs="Calibri"/>
          <w:sz w:val="22"/>
          <w:szCs w:val="22"/>
          <w:lang w:val="en-US"/>
        </w:rPr>
      </w:pPr>
      <w:r w:rsidRPr="00053D1F">
        <w:rPr>
          <w:rFonts w:ascii="Calibri" w:hAnsi="Calibri" w:cs="Calibri"/>
          <w:sz w:val="22"/>
          <w:szCs w:val="22"/>
          <w:lang w:val="en-US"/>
        </w:rPr>
        <w:t> </w:t>
      </w:r>
      <w:r w:rsidRPr="00053D1F">
        <w:rPr>
          <w:rFonts w:ascii="Calibri" w:hAnsi="Calibri" w:cs="Calibri"/>
          <w:sz w:val="22"/>
          <w:szCs w:val="22"/>
        </w:rPr>
        <w:t> </w:t>
      </w:r>
    </w:p>
    <w:p w14:paraId="30EDA777" w14:textId="77777777" w:rsidR="00E45F96" w:rsidRPr="00053D1F" w:rsidRDefault="00E45F96" w:rsidP="00E45F96">
      <w:pPr>
        <w:spacing w:after="0" w:line="480" w:lineRule="auto"/>
        <w:jc w:val="center"/>
        <w:rPr>
          <w:rFonts w:ascii="Calibri" w:hAnsi="Calibri" w:cs="Calibri"/>
          <w:b/>
          <w:bCs/>
          <w:sz w:val="22"/>
          <w:szCs w:val="22"/>
        </w:rPr>
      </w:pPr>
      <w:r w:rsidRPr="00053D1F">
        <w:rPr>
          <w:rFonts w:ascii="Calibri" w:hAnsi="Calibri" w:cs="Calibri"/>
          <w:b/>
          <w:bCs/>
          <w:sz w:val="22"/>
          <w:szCs w:val="22"/>
        </w:rPr>
        <w:t>Conclusion</w:t>
      </w:r>
    </w:p>
    <w:p w14:paraId="283E4252" w14:textId="77777777" w:rsidR="00E45F96" w:rsidRPr="00053D1F" w:rsidRDefault="00E45F96" w:rsidP="00E45F96">
      <w:pPr>
        <w:spacing w:after="0" w:line="480" w:lineRule="auto"/>
        <w:ind w:firstLine="720"/>
        <w:rPr>
          <w:rFonts w:ascii="Calibri" w:hAnsi="Calibri" w:cs="Calibri"/>
          <w:sz w:val="22"/>
          <w:szCs w:val="22"/>
        </w:rPr>
      </w:pPr>
      <w:r w:rsidRPr="00053D1F">
        <w:rPr>
          <w:rFonts w:ascii="Calibri" w:hAnsi="Calibri" w:cs="Calibri"/>
          <w:sz w:val="22"/>
          <w:szCs w:val="22"/>
        </w:rPr>
        <w:t>In conclusion, this case study shows the realities of the conflicting demands of a forensic psychologist in addition to the need to possess a multitude of skills in many areas of expertise. To succeed in this profession dedication to the role is essential. As well as obtaining the necessary academic qualifications in the early years of career development, continued professional development, coming not only from the classroom, but from the reflective practices undertaken, and the adherence to the policies and procedures upheld by the BPS and the HCPC, is vital for success. </w:t>
      </w:r>
    </w:p>
    <w:p w14:paraId="7782FF34" w14:textId="77777777" w:rsidR="00E45F96" w:rsidRPr="00053D1F" w:rsidRDefault="00E45F96" w:rsidP="00E45F96">
      <w:pPr>
        <w:spacing w:after="0" w:line="240" w:lineRule="auto"/>
        <w:rPr>
          <w:rFonts w:ascii="Calibri" w:hAnsi="Calibri" w:cs="Calibri"/>
          <w:sz w:val="22"/>
          <w:szCs w:val="22"/>
        </w:rPr>
      </w:pPr>
    </w:p>
    <w:p w14:paraId="77856FAA" w14:textId="77777777" w:rsidR="00E45F96" w:rsidRPr="00053D1F" w:rsidRDefault="00E45F96" w:rsidP="00E45F96">
      <w:pPr>
        <w:rPr>
          <w:rFonts w:ascii="Calibri" w:hAnsi="Calibri" w:cs="Calibri"/>
          <w:sz w:val="22"/>
          <w:szCs w:val="22"/>
        </w:rPr>
      </w:pPr>
    </w:p>
    <w:p w14:paraId="5519BDAC" w14:textId="77777777" w:rsidR="00E45F96" w:rsidRPr="00053D1F" w:rsidRDefault="00E45F96" w:rsidP="00E45F96">
      <w:pPr>
        <w:rPr>
          <w:rFonts w:ascii="Calibri" w:hAnsi="Calibri" w:cs="Calibri"/>
          <w:sz w:val="22"/>
          <w:szCs w:val="22"/>
        </w:rPr>
      </w:pPr>
    </w:p>
    <w:p w14:paraId="578E657F" w14:textId="77777777" w:rsidR="00E45F96" w:rsidRPr="00053D1F" w:rsidRDefault="00E45F96" w:rsidP="00E45F96">
      <w:pPr>
        <w:rPr>
          <w:rFonts w:ascii="Calibri" w:hAnsi="Calibri" w:cs="Calibri"/>
          <w:sz w:val="22"/>
          <w:szCs w:val="22"/>
        </w:rPr>
      </w:pPr>
    </w:p>
    <w:p w14:paraId="0CD89633" w14:textId="77777777" w:rsidR="00E45F96" w:rsidRPr="00053D1F" w:rsidRDefault="00E45F96" w:rsidP="00E45F96">
      <w:pPr>
        <w:rPr>
          <w:rFonts w:ascii="Calibri" w:hAnsi="Calibri" w:cs="Calibri"/>
          <w:sz w:val="22"/>
          <w:szCs w:val="22"/>
        </w:rPr>
      </w:pPr>
    </w:p>
    <w:p w14:paraId="6C06ECEE" w14:textId="77777777" w:rsidR="00E45F96" w:rsidRPr="00053D1F" w:rsidRDefault="00E45F96" w:rsidP="00E45F96">
      <w:pPr>
        <w:rPr>
          <w:rFonts w:ascii="Calibri" w:hAnsi="Calibri" w:cs="Calibri"/>
          <w:sz w:val="22"/>
          <w:szCs w:val="22"/>
        </w:rPr>
      </w:pPr>
    </w:p>
    <w:p w14:paraId="60BC4E76" w14:textId="77777777" w:rsidR="00E45F96" w:rsidRPr="00053D1F" w:rsidRDefault="00E45F96" w:rsidP="00E45F96">
      <w:pPr>
        <w:rPr>
          <w:rFonts w:ascii="Calibri" w:hAnsi="Calibri" w:cs="Calibri"/>
          <w:sz w:val="22"/>
          <w:szCs w:val="22"/>
        </w:rPr>
      </w:pPr>
    </w:p>
    <w:p w14:paraId="331AE334" w14:textId="77777777" w:rsidR="00E45F96" w:rsidRPr="00053D1F" w:rsidRDefault="00E45F96" w:rsidP="00E45F96">
      <w:pPr>
        <w:rPr>
          <w:rFonts w:ascii="Calibri" w:hAnsi="Calibri" w:cs="Calibri"/>
          <w:sz w:val="22"/>
          <w:szCs w:val="22"/>
        </w:rPr>
      </w:pPr>
    </w:p>
    <w:p w14:paraId="298B0FAB" w14:textId="77777777" w:rsidR="00E45F96" w:rsidRPr="00053D1F" w:rsidRDefault="00E45F96" w:rsidP="00E45F96">
      <w:pPr>
        <w:rPr>
          <w:rFonts w:ascii="Calibri" w:hAnsi="Calibri" w:cs="Calibri"/>
          <w:sz w:val="22"/>
          <w:szCs w:val="22"/>
        </w:rPr>
      </w:pPr>
    </w:p>
    <w:p w14:paraId="56E4DB6D" w14:textId="77777777" w:rsidR="00E45F96" w:rsidRPr="00053D1F" w:rsidRDefault="00E45F96" w:rsidP="00E45F96">
      <w:pPr>
        <w:rPr>
          <w:rFonts w:ascii="Calibri" w:hAnsi="Calibri" w:cs="Calibri"/>
          <w:sz w:val="22"/>
          <w:szCs w:val="22"/>
        </w:rPr>
      </w:pPr>
    </w:p>
    <w:p w14:paraId="24C2C94E" w14:textId="77777777" w:rsidR="00E45F96" w:rsidRPr="00053D1F" w:rsidRDefault="00E45F96" w:rsidP="00E45F96">
      <w:pPr>
        <w:rPr>
          <w:rFonts w:ascii="Calibri" w:hAnsi="Calibri" w:cs="Calibri"/>
          <w:sz w:val="22"/>
          <w:szCs w:val="22"/>
        </w:rPr>
      </w:pPr>
    </w:p>
    <w:p w14:paraId="5FB16D9B" w14:textId="77777777" w:rsidR="00E45F96" w:rsidRPr="00053D1F" w:rsidRDefault="00E45F96" w:rsidP="00E45F96">
      <w:pPr>
        <w:rPr>
          <w:rFonts w:ascii="Calibri" w:hAnsi="Calibri" w:cs="Calibri"/>
          <w:sz w:val="22"/>
          <w:szCs w:val="22"/>
        </w:rPr>
      </w:pPr>
    </w:p>
    <w:p w14:paraId="34C6BCF5" w14:textId="77777777" w:rsidR="00E45F96" w:rsidRPr="00053D1F" w:rsidRDefault="00E45F96" w:rsidP="00E45F96">
      <w:pPr>
        <w:rPr>
          <w:rFonts w:ascii="Calibri" w:hAnsi="Calibri" w:cs="Calibri"/>
          <w:sz w:val="22"/>
          <w:szCs w:val="22"/>
        </w:rPr>
      </w:pPr>
    </w:p>
    <w:p w14:paraId="474BE130" w14:textId="77777777" w:rsidR="00E45F96" w:rsidRPr="00053D1F" w:rsidRDefault="00E45F96" w:rsidP="00E45F96">
      <w:pPr>
        <w:rPr>
          <w:rFonts w:ascii="Calibri" w:hAnsi="Calibri" w:cs="Calibri"/>
          <w:sz w:val="22"/>
          <w:szCs w:val="22"/>
        </w:rPr>
      </w:pPr>
    </w:p>
    <w:p w14:paraId="450AD4A4" w14:textId="77777777" w:rsidR="00E45F96" w:rsidRPr="00053D1F" w:rsidRDefault="00E45F96" w:rsidP="00E45F96">
      <w:pPr>
        <w:rPr>
          <w:rFonts w:ascii="Calibri" w:hAnsi="Calibri" w:cs="Calibri"/>
          <w:sz w:val="22"/>
          <w:szCs w:val="22"/>
        </w:rPr>
      </w:pPr>
      <w:r>
        <w:rPr>
          <w:rFonts w:ascii="Calibri" w:hAnsi="Calibri" w:cs="Calibri"/>
          <w:sz w:val="22"/>
          <w:szCs w:val="22"/>
        </w:rPr>
        <w:br w:type="page"/>
      </w:r>
    </w:p>
    <w:p w14:paraId="4B8C6820" w14:textId="77777777" w:rsidR="00E45F96" w:rsidRPr="00053D1F" w:rsidRDefault="00E45F96" w:rsidP="00E45F96">
      <w:pPr>
        <w:jc w:val="center"/>
        <w:rPr>
          <w:rFonts w:ascii="Calibri" w:hAnsi="Calibri" w:cs="Calibri"/>
          <w:b/>
          <w:bCs/>
          <w:sz w:val="22"/>
          <w:szCs w:val="22"/>
        </w:rPr>
      </w:pPr>
      <w:r w:rsidRPr="00053D1F">
        <w:rPr>
          <w:rFonts w:ascii="Calibri" w:hAnsi="Calibri" w:cs="Calibri"/>
          <w:b/>
          <w:bCs/>
          <w:sz w:val="22"/>
          <w:szCs w:val="22"/>
        </w:rPr>
        <w:lastRenderedPageBreak/>
        <w:t>References</w:t>
      </w:r>
    </w:p>
    <w:p w14:paraId="64837794"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Bailey, J., Harrower, J., &amp; Anand, D. (2026). </w:t>
      </w:r>
      <w:r w:rsidRPr="00053D1F">
        <w:rPr>
          <w:rFonts w:ascii="Calibri" w:hAnsi="Calibri" w:cs="Calibri"/>
          <w:i/>
          <w:iCs/>
          <w:sz w:val="22"/>
          <w:szCs w:val="22"/>
        </w:rPr>
        <w:t xml:space="preserve">How to become a forensic psychologist. </w:t>
      </w:r>
      <w:r w:rsidRPr="00053D1F">
        <w:rPr>
          <w:rFonts w:ascii="Calibri" w:hAnsi="Calibri" w:cs="Calibri"/>
          <w:sz w:val="22"/>
          <w:szCs w:val="22"/>
        </w:rPr>
        <w:t>Routledge. 10.4324/9781315675831</w:t>
      </w:r>
    </w:p>
    <w:p w14:paraId="228F4E72"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Bennett, M. (2023, November 23). </w:t>
      </w:r>
      <w:r w:rsidRPr="00053D1F">
        <w:rPr>
          <w:rFonts w:ascii="Calibri" w:hAnsi="Calibri" w:cs="Calibri"/>
          <w:i/>
          <w:iCs/>
          <w:sz w:val="22"/>
          <w:szCs w:val="22"/>
        </w:rPr>
        <w:t xml:space="preserve">How to lead a Gibbs reflective cycle exercise (+ template). </w:t>
      </w:r>
      <w:r w:rsidRPr="00053D1F">
        <w:rPr>
          <w:rFonts w:ascii="Calibri" w:hAnsi="Calibri" w:cs="Calibri"/>
          <w:sz w:val="22"/>
          <w:szCs w:val="22"/>
        </w:rPr>
        <w:t xml:space="preserve">Niagara Institute. </w:t>
      </w:r>
      <w:hyperlink r:id="rId8" w:history="1">
        <w:r w:rsidRPr="00053D1F">
          <w:rPr>
            <w:rStyle w:val="Hyperlink"/>
            <w:rFonts w:ascii="Calibri" w:hAnsi="Calibri" w:cs="Calibri"/>
            <w:sz w:val="22"/>
            <w:szCs w:val="22"/>
          </w:rPr>
          <w:t>https://www.niagarainstitute.com/blog/gibbs-reflective-cycle</w:t>
        </w:r>
      </w:hyperlink>
    </w:p>
    <w:p w14:paraId="6EC1318B"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British Psychological Society. (n.d.-a). </w:t>
      </w:r>
      <w:r w:rsidRPr="00053D1F">
        <w:rPr>
          <w:rFonts w:ascii="Calibri" w:hAnsi="Calibri" w:cs="Calibri"/>
          <w:i/>
          <w:iCs/>
          <w:sz w:val="22"/>
          <w:szCs w:val="22"/>
        </w:rPr>
        <w:t>Forensic psychologist job profile.</w:t>
      </w:r>
      <w:r w:rsidRPr="00053D1F">
        <w:rPr>
          <w:rFonts w:ascii="Calibri" w:hAnsi="Calibri" w:cs="Calibri"/>
          <w:sz w:val="22"/>
          <w:szCs w:val="22"/>
        </w:rPr>
        <w:t xml:space="preserve"> Retrieved December 17,2025, from</w:t>
      </w:r>
      <w:r w:rsidRPr="00053D1F">
        <w:rPr>
          <w:rFonts w:ascii="Calibri" w:hAnsi="Calibri" w:cs="Calibri"/>
          <w:i/>
          <w:iCs/>
          <w:sz w:val="22"/>
          <w:szCs w:val="22"/>
        </w:rPr>
        <w:t xml:space="preserve"> </w:t>
      </w:r>
      <w:hyperlink r:id="rId9" w:history="1">
        <w:r w:rsidRPr="00053D1F">
          <w:rPr>
            <w:rStyle w:val="Hyperlink"/>
            <w:rFonts w:ascii="Calibri" w:hAnsi="Calibri" w:cs="Calibri"/>
            <w:sz w:val="22"/>
            <w:szCs w:val="22"/>
          </w:rPr>
          <w:t>https://www.bps.org.uk/forensic-psychologist-job-profile</w:t>
        </w:r>
      </w:hyperlink>
    </w:p>
    <w:p w14:paraId="0496A24D"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British Psychological Society. (n.d.-b). </w:t>
      </w:r>
      <w:r w:rsidRPr="00053D1F">
        <w:rPr>
          <w:rFonts w:ascii="Calibri" w:hAnsi="Calibri" w:cs="Calibri"/>
          <w:i/>
          <w:iCs/>
          <w:sz w:val="22"/>
          <w:szCs w:val="22"/>
        </w:rPr>
        <w:t xml:space="preserve">Code of ethics and conduct. </w:t>
      </w:r>
      <w:r w:rsidRPr="00053D1F">
        <w:rPr>
          <w:rFonts w:ascii="Calibri" w:hAnsi="Calibri" w:cs="Calibri"/>
          <w:sz w:val="22"/>
          <w:szCs w:val="22"/>
        </w:rPr>
        <w:t>Retrieved December 17,2025, from 10.53841/</w:t>
      </w:r>
      <w:proofErr w:type="gramStart"/>
      <w:r w:rsidRPr="00053D1F">
        <w:rPr>
          <w:rFonts w:ascii="Calibri" w:hAnsi="Calibri" w:cs="Calibri"/>
          <w:sz w:val="22"/>
          <w:szCs w:val="22"/>
        </w:rPr>
        <w:t>bpsrep.2021.inf</w:t>
      </w:r>
      <w:proofErr w:type="gramEnd"/>
      <w:r w:rsidRPr="00053D1F">
        <w:rPr>
          <w:rFonts w:ascii="Calibri" w:hAnsi="Calibri" w:cs="Calibri"/>
          <w:sz w:val="22"/>
          <w:szCs w:val="22"/>
        </w:rPr>
        <w:t>94</w:t>
      </w:r>
    </w:p>
    <w:p w14:paraId="21DD20BE"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Doran, G. T. (1981). There’s a S.M.A.R.T. way to write management’s goals and objectives. </w:t>
      </w:r>
      <w:r w:rsidRPr="00053D1F">
        <w:rPr>
          <w:rFonts w:ascii="Calibri" w:hAnsi="Calibri" w:cs="Calibri"/>
          <w:i/>
          <w:iCs/>
          <w:sz w:val="22"/>
          <w:szCs w:val="22"/>
        </w:rPr>
        <w:t>Management Review</w:t>
      </w:r>
      <w:r w:rsidRPr="00053D1F">
        <w:rPr>
          <w:rFonts w:ascii="Calibri" w:hAnsi="Calibri" w:cs="Calibri"/>
          <w:sz w:val="22"/>
          <w:szCs w:val="22"/>
        </w:rPr>
        <w:t>, </w:t>
      </w:r>
      <w:r w:rsidRPr="00053D1F">
        <w:rPr>
          <w:rFonts w:ascii="Calibri" w:hAnsi="Calibri" w:cs="Calibri"/>
          <w:i/>
          <w:iCs/>
          <w:sz w:val="22"/>
          <w:szCs w:val="22"/>
        </w:rPr>
        <w:t>70</w:t>
      </w:r>
      <w:r w:rsidRPr="00053D1F">
        <w:rPr>
          <w:rFonts w:ascii="Calibri" w:hAnsi="Calibri" w:cs="Calibri"/>
          <w:sz w:val="22"/>
          <w:szCs w:val="22"/>
        </w:rPr>
        <w:t xml:space="preserve">(11), 35. </w:t>
      </w:r>
      <w:hyperlink r:id="rId10" w:history="1">
        <w:r w:rsidRPr="00053D1F">
          <w:rPr>
            <w:rStyle w:val="Hyperlink"/>
            <w:rFonts w:ascii="Calibri" w:hAnsi="Calibri" w:cs="Calibri"/>
            <w:sz w:val="22"/>
            <w:szCs w:val="22"/>
          </w:rPr>
          <w:t>https://research.ebsco.com/c/onvpsy/viewer/pdf/53umzorqgr</w:t>
        </w:r>
      </w:hyperlink>
    </w:p>
    <w:p w14:paraId="3B3DD86A" w14:textId="77777777" w:rsidR="00E45F96" w:rsidRPr="00053D1F" w:rsidRDefault="00E45F96" w:rsidP="00E45F96">
      <w:pPr>
        <w:spacing w:line="480" w:lineRule="auto"/>
        <w:ind w:left="720" w:hanging="720"/>
        <w:rPr>
          <w:rFonts w:ascii="Calibri" w:hAnsi="Calibri" w:cs="Calibri"/>
          <w:b/>
          <w:bCs/>
          <w:sz w:val="22"/>
          <w:szCs w:val="22"/>
        </w:rPr>
      </w:pPr>
      <w:r w:rsidRPr="00053D1F">
        <w:rPr>
          <w:rFonts w:ascii="Calibri" w:hAnsi="Calibri" w:cs="Calibri"/>
          <w:sz w:val="22"/>
          <w:szCs w:val="22"/>
        </w:rPr>
        <w:t xml:space="preserve">Frances, A., &amp; Halon, R. (2013, December 5). The uses and misuses of the DSM in forensic settings. </w:t>
      </w:r>
      <w:r w:rsidRPr="00053D1F">
        <w:rPr>
          <w:rFonts w:ascii="Calibri" w:hAnsi="Calibri" w:cs="Calibri"/>
          <w:i/>
          <w:iCs/>
          <w:sz w:val="22"/>
          <w:szCs w:val="22"/>
        </w:rPr>
        <w:t xml:space="preserve">Psychological Injury and Law 6, </w:t>
      </w:r>
      <w:r w:rsidRPr="00053D1F">
        <w:rPr>
          <w:rFonts w:ascii="Calibri" w:hAnsi="Calibri" w:cs="Calibri"/>
          <w:sz w:val="22"/>
          <w:szCs w:val="22"/>
        </w:rPr>
        <w:t xml:space="preserve">336-344. </w:t>
      </w:r>
      <w:hyperlink r:id="rId11" w:history="1">
        <w:r w:rsidRPr="00053D1F">
          <w:rPr>
            <w:rStyle w:val="Hyperlink"/>
            <w:rFonts w:ascii="Calibri" w:hAnsi="Calibri" w:cs="Calibri"/>
            <w:sz w:val="22"/>
            <w:szCs w:val="22"/>
          </w:rPr>
          <w:t>https://doi.org/10.1007/s12207-013-9180-9</w:t>
        </w:r>
      </w:hyperlink>
    </w:p>
    <w:p w14:paraId="4EA4279C"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HCPC. (2023, September 1). </w:t>
      </w:r>
      <w:r w:rsidRPr="00053D1F">
        <w:rPr>
          <w:rFonts w:ascii="Calibri" w:hAnsi="Calibri" w:cs="Calibri"/>
          <w:i/>
          <w:iCs/>
          <w:sz w:val="22"/>
          <w:szCs w:val="22"/>
        </w:rPr>
        <w:t xml:space="preserve">Standards of proficiency – practitioner psychologists </w:t>
      </w:r>
      <w:r w:rsidRPr="00053D1F">
        <w:rPr>
          <w:rFonts w:ascii="Calibri" w:hAnsi="Calibri" w:cs="Calibri"/>
          <w:sz w:val="22"/>
          <w:szCs w:val="22"/>
        </w:rPr>
        <w:t xml:space="preserve">[Professional standards]. </w:t>
      </w:r>
      <w:hyperlink r:id="rId12" w:history="1">
        <w:r w:rsidRPr="00053D1F">
          <w:rPr>
            <w:rStyle w:val="Hyperlink"/>
            <w:rFonts w:ascii="Calibri" w:hAnsi="Calibri" w:cs="Calibri"/>
            <w:sz w:val="22"/>
            <w:szCs w:val="22"/>
          </w:rPr>
          <w:t>https://www.hcpc-uk.org/globalassets/resources/standards/standards-of-proficiency---practitioner-psychologists.pdf</w:t>
        </w:r>
      </w:hyperlink>
    </w:p>
    <w:p w14:paraId="0A9061FE"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HCPC. (2024, September 1). </w:t>
      </w:r>
      <w:r w:rsidRPr="00053D1F">
        <w:rPr>
          <w:rFonts w:ascii="Calibri" w:hAnsi="Calibri" w:cs="Calibri"/>
          <w:i/>
          <w:iCs/>
          <w:sz w:val="22"/>
          <w:szCs w:val="22"/>
        </w:rPr>
        <w:t xml:space="preserve">Standards of conduct, performance and ethics </w:t>
      </w:r>
      <w:r w:rsidRPr="00053D1F">
        <w:rPr>
          <w:rFonts w:ascii="Calibri" w:hAnsi="Calibri" w:cs="Calibri"/>
          <w:sz w:val="22"/>
          <w:szCs w:val="22"/>
        </w:rPr>
        <w:t xml:space="preserve">[Professional standards]. </w:t>
      </w:r>
      <w:hyperlink r:id="rId13" w:history="1">
        <w:r w:rsidRPr="00053D1F">
          <w:rPr>
            <w:rStyle w:val="Hyperlink"/>
            <w:rFonts w:ascii="Calibri" w:hAnsi="Calibri" w:cs="Calibri"/>
            <w:sz w:val="22"/>
            <w:szCs w:val="22"/>
          </w:rPr>
          <w:t>https://www.hcpc-uk.org.uk/standards/standards-of-conduct-performance-and-ethics/</w:t>
        </w:r>
      </w:hyperlink>
    </w:p>
    <w:p w14:paraId="600C0A57"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Ireland, C. (2011). Introduction to forensic psychology: Working with organisations and offenders. In G. Davey (Ed.), </w:t>
      </w:r>
      <w:r w:rsidRPr="00053D1F">
        <w:rPr>
          <w:rFonts w:ascii="Calibri" w:hAnsi="Calibri" w:cs="Calibri"/>
          <w:i/>
          <w:iCs/>
          <w:sz w:val="22"/>
          <w:szCs w:val="22"/>
        </w:rPr>
        <w:t>Applied psychology</w:t>
      </w:r>
      <w:r w:rsidRPr="00053D1F">
        <w:rPr>
          <w:rFonts w:ascii="Calibri" w:hAnsi="Calibri" w:cs="Calibri"/>
          <w:sz w:val="22"/>
          <w:szCs w:val="22"/>
        </w:rPr>
        <w:t xml:space="preserve"> (1</w:t>
      </w:r>
      <w:r w:rsidRPr="00053D1F">
        <w:rPr>
          <w:rFonts w:ascii="Calibri" w:hAnsi="Calibri" w:cs="Calibri"/>
          <w:sz w:val="22"/>
          <w:szCs w:val="22"/>
          <w:vertAlign w:val="superscript"/>
        </w:rPr>
        <w:t>st</w:t>
      </w:r>
      <w:r w:rsidRPr="00053D1F">
        <w:rPr>
          <w:rFonts w:ascii="Calibri" w:hAnsi="Calibri" w:cs="Calibri"/>
          <w:sz w:val="22"/>
          <w:szCs w:val="22"/>
        </w:rPr>
        <w:t xml:space="preserve"> ed., pp. 229-250). British Psychological Society; Blackwell.</w:t>
      </w:r>
    </w:p>
    <w:p w14:paraId="48F586DE"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lastRenderedPageBreak/>
        <w:t xml:space="preserve">Ireland, J. L. (2011). Violence assessment and intervention. In G. Davey (Ed.), </w:t>
      </w:r>
      <w:r w:rsidRPr="00053D1F">
        <w:rPr>
          <w:rFonts w:ascii="Calibri" w:hAnsi="Calibri" w:cs="Calibri"/>
          <w:i/>
          <w:iCs/>
          <w:sz w:val="22"/>
          <w:szCs w:val="22"/>
        </w:rPr>
        <w:t>Applied psychology</w:t>
      </w:r>
      <w:r w:rsidRPr="00053D1F">
        <w:rPr>
          <w:rFonts w:ascii="Calibri" w:hAnsi="Calibri" w:cs="Calibri"/>
          <w:sz w:val="22"/>
          <w:szCs w:val="22"/>
        </w:rPr>
        <w:t xml:space="preserve"> (1</w:t>
      </w:r>
      <w:r w:rsidRPr="00053D1F">
        <w:rPr>
          <w:rFonts w:ascii="Calibri" w:hAnsi="Calibri" w:cs="Calibri"/>
          <w:sz w:val="22"/>
          <w:szCs w:val="22"/>
          <w:vertAlign w:val="superscript"/>
        </w:rPr>
        <w:t>st</w:t>
      </w:r>
      <w:r w:rsidRPr="00053D1F">
        <w:rPr>
          <w:rFonts w:ascii="Calibri" w:hAnsi="Calibri" w:cs="Calibri"/>
          <w:sz w:val="22"/>
          <w:szCs w:val="22"/>
        </w:rPr>
        <w:t xml:space="preserve"> ed., pp) British Psychological </w:t>
      </w:r>
      <w:proofErr w:type="gramStart"/>
      <w:r w:rsidRPr="00053D1F">
        <w:rPr>
          <w:rFonts w:ascii="Calibri" w:hAnsi="Calibri" w:cs="Calibri"/>
          <w:sz w:val="22"/>
          <w:szCs w:val="22"/>
        </w:rPr>
        <w:t>Society;</w:t>
      </w:r>
      <w:proofErr w:type="gramEnd"/>
      <w:r w:rsidRPr="00053D1F">
        <w:rPr>
          <w:rFonts w:ascii="Calibri" w:hAnsi="Calibri" w:cs="Calibri"/>
          <w:sz w:val="22"/>
          <w:szCs w:val="22"/>
        </w:rPr>
        <w:t xml:space="preserve"> Blackwell.</w:t>
      </w:r>
    </w:p>
    <w:p w14:paraId="0E43D5A2"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McGuire, J., (1997). Ethical dilemmas in forensic clinical psychology. </w:t>
      </w:r>
      <w:r w:rsidRPr="00053D1F">
        <w:rPr>
          <w:rFonts w:ascii="Calibri" w:hAnsi="Calibri" w:cs="Calibri"/>
          <w:i/>
          <w:iCs/>
          <w:sz w:val="22"/>
          <w:szCs w:val="22"/>
        </w:rPr>
        <w:t>Legal and Criminological Psychology 2</w:t>
      </w:r>
      <w:r w:rsidRPr="00053D1F">
        <w:rPr>
          <w:rFonts w:ascii="Calibri" w:hAnsi="Calibri" w:cs="Calibri"/>
          <w:sz w:val="22"/>
          <w:szCs w:val="22"/>
        </w:rPr>
        <w:t>, 177-192. https://doi.org/10.1111/j.2044-8333.1997.tb00342.x</w:t>
      </w:r>
    </w:p>
    <w:p w14:paraId="5B67594E"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Packer, I. K., (2008) Specialised practice in forensic psychology: Opportunities and obstacles. </w:t>
      </w:r>
      <w:r w:rsidRPr="00053D1F">
        <w:rPr>
          <w:rFonts w:ascii="Calibri" w:hAnsi="Calibri" w:cs="Calibri"/>
          <w:i/>
          <w:iCs/>
          <w:sz w:val="22"/>
          <w:szCs w:val="22"/>
        </w:rPr>
        <w:t>Professional Psychology: Research and Practice 39</w:t>
      </w:r>
      <w:r w:rsidRPr="00053D1F">
        <w:rPr>
          <w:rFonts w:ascii="Calibri" w:hAnsi="Calibri" w:cs="Calibri"/>
          <w:sz w:val="22"/>
          <w:szCs w:val="22"/>
        </w:rPr>
        <w:t>(2) 245-249. 10.1037/0735-7028.39.2.245</w:t>
      </w:r>
    </w:p>
    <w:p w14:paraId="26D9DAAE" w14:textId="77777777" w:rsidR="00E45F96" w:rsidRPr="00053D1F" w:rsidRDefault="00E45F96" w:rsidP="00E45F96">
      <w:pPr>
        <w:spacing w:line="480" w:lineRule="auto"/>
        <w:ind w:left="720" w:hanging="720"/>
        <w:rPr>
          <w:rFonts w:ascii="Calibri" w:hAnsi="Calibri" w:cs="Calibri"/>
          <w:sz w:val="22"/>
          <w:szCs w:val="22"/>
        </w:rPr>
      </w:pPr>
      <w:proofErr w:type="spellStart"/>
      <w:r w:rsidRPr="00053D1F">
        <w:rPr>
          <w:rFonts w:ascii="Calibri" w:hAnsi="Calibri" w:cs="Calibri"/>
          <w:sz w:val="22"/>
          <w:szCs w:val="22"/>
        </w:rPr>
        <w:t>Strivens</w:t>
      </w:r>
      <w:proofErr w:type="spellEnd"/>
      <w:r w:rsidRPr="00053D1F">
        <w:rPr>
          <w:rFonts w:ascii="Calibri" w:hAnsi="Calibri" w:cs="Calibri"/>
          <w:sz w:val="22"/>
          <w:szCs w:val="22"/>
        </w:rPr>
        <w:t xml:space="preserve">, J., &amp; Ward, R. (2010, November). An overview of the development of Personal Development Planning (PDP) and e-Portfolio practice in UK higher education. </w:t>
      </w:r>
      <w:r w:rsidRPr="00053D1F">
        <w:rPr>
          <w:rFonts w:ascii="Calibri" w:hAnsi="Calibri" w:cs="Calibri"/>
          <w:i/>
          <w:iCs/>
          <w:sz w:val="22"/>
          <w:szCs w:val="22"/>
        </w:rPr>
        <w:t xml:space="preserve">Journal of Learning Development in Higher Education, </w:t>
      </w:r>
      <w:r w:rsidRPr="00053D1F">
        <w:rPr>
          <w:rFonts w:ascii="Calibri" w:hAnsi="Calibri" w:cs="Calibri"/>
          <w:sz w:val="22"/>
          <w:szCs w:val="22"/>
        </w:rPr>
        <w:t>p2</w:t>
      </w:r>
      <w:r w:rsidRPr="00053D1F">
        <w:rPr>
          <w:rFonts w:ascii="Calibri" w:hAnsi="Calibri" w:cs="Calibri"/>
          <w:i/>
          <w:iCs/>
          <w:sz w:val="22"/>
          <w:szCs w:val="22"/>
        </w:rPr>
        <w:t xml:space="preserve">. </w:t>
      </w:r>
      <w:hyperlink r:id="rId14" w:history="1">
        <w:r w:rsidRPr="00053D1F">
          <w:rPr>
            <w:rStyle w:val="Hyperlink"/>
            <w:rFonts w:ascii="Calibri" w:hAnsi="Calibri" w:cs="Calibri"/>
            <w:i/>
            <w:iCs/>
            <w:sz w:val="22"/>
            <w:szCs w:val="22"/>
          </w:rPr>
          <w:t>https://journal.aldinhe.ac.uk/index.php/jldhe/article/view/114/68</w:t>
        </w:r>
      </w:hyperlink>
    </w:p>
    <w:p w14:paraId="0EA71AC8"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Ward, T. (2013). Addressing the dual relationship problem in forensic and correctional practice. </w:t>
      </w:r>
      <w:r w:rsidRPr="00053D1F">
        <w:rPr>
          <w:rFonts w:ascii="Calibri" w:hAnsi="Calibri" w:cs="Calibri"/>
          <w:i/>
          <w:iCs/>
          <w:sz w:val="22"/>
          <w:szCs w:val="22"/>
        </w:rPr>
        <w:t>Aggression and Violent Behaviour, 18</w:t>
      </w:r>
      <w:r w:rsidRPr="00053D1F">
        <w:rPr>
          <w:rFonts w:ascii="Calibri" w:hAnsi="Calibri" w:cs="Calibri"/>
          <w:sz w:val="22"/>
          <w:szCs w:val="22"/>
        </w:rPr>
        <w:t xml:space="preserve">(1), 92-100. </w:t>
      </w:r>
      <w:hyperlink r:id="rId15" w:history="1">
        <w:r w:rsidRPr="00053D1F">
          <w:rPr>
            <w:rStyle w:val="Hyperlink"/>
            <w:rFonts w:ascii="Calibri" w:hAnsi="Calibri" w:cs="Calibri"/>
            <w:sz w:val="22"/>
            <w:szCs w:val="22"/>
          </w:rPr>
          <w:t>https://doi.org/10.1016/j.avb.2012.10.006</w:t>
        </w:r>
      </w:hyperlink>
    </w:p>
    <w:p w14:paraId="3BBB2EC4"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Wise, E. H., (2008, May). Competence and scope of practice: Ethics and professional development. </w:t>
      </w:r>
      <w:r w:rsidRPr="00053D1F">
        <w:rPr>
          <w:rFonts w:ascii="Calibri" w:hAnsi="Calibri" w:cs="Calibri"/>
          <w:i/>
          <w:iCs/>
          <w:sz w:val="22"/>
          <w:szCs w:val="22"/>
        </w:rPr>
        <w:t>Journal of Clinical Psychology 64</w:t>
      </w:r>
      <w:r w:rsidRPr="00053D1F">
        <w:rPr>
          <w:rFonts w:ascii="Calibri" w:hAnsi="Calibri" w:cs="Calibri"/>
          <w:sz w:val="22"/>
          <w:szCs w:val="22"/>
        </w:rPr>
        <w:t xml:space="preserve">(5), 569-665. </w:t>
      </w:r>
      <w:hyperlink r:id="rId16" w:history="1">
        <w:r w:rsidRPr="00053D1F">
          <w:rPr>
            <w:rStyle w:val="Hyperlink"/>
            <w:rFonts w:ascii="Calibri" w:hAnsi="Calibri" w:cs="Calibri"/>
            <w:sz w:val="22"/>
            <w:szCs w:val="22"/>
          </w:rPr>
          <w:t>https://doi.org/10.1002/jclp.20479</w:t>
        </w:r>
      </w:hyperlink>
    </w:p>
    <w:p w14:paraId="16FDF351" w14:textId="77777777" w:rsidR="00E45F96" w:rsidRPr="00053D1F" w:rsidRDefault="00E45F96" w:rsidP="00E45F96">
      <w:pPr>
        <w:spacing w:line="480" w:lineRule="auto"/>
        <w:ind w:left="720" w:hanging="720"/>
        <w:rPr>
          <w:rFonts w:ascii="Calibri" w:hAnsi="Calibri" w:cs="Calibri"/>
          <w:sz w:val="22"/>
          <w:szCs w:val="22"/>
        </w:rPr>
      </w:pPr>
      <w:r w:rsidRPr="00053D1F">
        <w:rPr>
          <w:rFonts w:ascii="Calibri" w:hAnsi="Calibri" w:cs="Calibri"/>
          <w:sz w:val="22"/>
          <w:szCs w:val="22"/>
        </w:rPr>
        <w:t xml:space="preserve">Zanelli, J., Reichenberg, A., Sandin, S., Morgan, C., </w:t>
      </w:r>
      <w:proofErr w:type="spellStart"/>
      <w:r w:rsidRPr="00053D1F">
        <w:rPr>
          <w:rFonts w:ascii="Calibri" w:hAnsi="Calibri" w:cs="Calibri"/>
          <w:sz w:val="22"/>
          <w:szCs w:val="22"/>
        </w:rPr>
        <w:t>Dazzan</w:t>
      </w:r>
      <w:proofErr w:type="spellEnd"/>
      <w:r w:rsidRPr="00053D1F">
        <w:rPr>
          <w:rFonts w:ascii="Calibri" w:hAnsi="Calibri" w:cs="Calibri"/>
          <w:sz w:val="22"/>
          <w:szCs w:val="22"/>
        </w:rPr>
        <w:t xml:space="preserve">, P., Pilecka, I., Marques, T. R., Morgan, K., Young, A. H., &amp; Mollon, J. (2022, January 22). Dynamic and static cognitive deficits in schizophrenia and bipolar disorder after the first episode. </w:t>
      </w:r>
      <w:r w:rsidRPr="00053D1F">
        <w:rPr>
          <w:rFonts w:ascii="Calibri" w:hAnsi="Calibri" w:cs="Calibri"/>
          <w:i/>
          <w:iCs/>
          <w:sz w:val="22"/>
          <w:szCs w:val="22"/>
        </w:rPr>
        <w:t>Schizophrenia Bulletin 48</w:t>
      </w:r>
      <w:r w:rsidRPr="00053D1F">
        <w:rPr>
          <w:rFonts w:ascii="Calibri" w:hAnsi="Calibri" w:cs="Calibri"/>
          <w:sz w:val="22"/>
          <w:szCs w:val="22"/>
        </w:rPr>
        <w:t xml:space="preserve">(3), 590-598. </w:t>
      </w:r>
      <w:hyperlink r:id="rId17" w:history="1">
        <w:r w:rsidRPr="00053D1F">
          <w:rPr>
            <w:rStyle w:val="Hyperlink"/>
            <w:rFonts w:ascii="Calibri" w:hAnsi="Calibri" w:cs="Calibri"/>
            <w:sz w:val="22"/>
            <w:szCs w:val="22"/>
          </w:rPr>
          <w:t>https://doi.org/10.1093/schbul/sbab150</w:t>
        </w:r>
      </w:hyperlink>
    </w:p>
    <w:p w14:paraId="276C234C" w14:textId="77777777" w:rsidR="00E45F96" w:rsidRDefault="00E45F96" w:rsidP="00E45F96">
      <w:pPr>
        <w:spacing w:line="480" w:lineRule="auto"/>
        <w:ind w:left="720" w:hanging="720"/>
      </w:pPr>
    </w:p>
    <w:p w14:paraId="7A92EF46" w14:textId="77777777" w:rsidR="00E45F96" w:rsidRPr="00FE6208" w:rsidRDefault="00E45F96" w:rsidP="00E45F96">
      <w:pPr>
        <w:spacing w:line="480" w:lineRule="auto"/>
        <w:ind w:left="720" w:hanging="720"/>
      </w:pPr>
    </w:p>
    <w:p w14:paraId="71F25A5F" w14:textId="77777777" w:rsidR="00E45F96" w:rsidRPr="003F62A2" w:rsidRDefault="00E45F96" w:rsidP="00E45F96">
      <w:pPr>
        <w:spacing w:line="360" w:lineRule="auto"/>
        <w:ind w:left="720" w:hanging="720"/>
      </w:pPr>
    </w:p>
    <w:p w14:paraId="0EDAC3F3" w14:textId="77777777" w:rsidR="00E45F96" w:rsidRDefault="00E45F96"/>
    <w:sectPr w:rsidR="00E45F9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Catherine Harding" w:date="2025-12-18T12:56:00Z" w:initials="CH">
    <w:p w14:paraId="7981D7C8" w14:textId="77777777" w:rsidR="00E45F96" w:rsidRDefault="00E45F96" w:rsidP="00E45F96">
      <w:pPr>
        <w:pStyle w:val="CommentText"/>
      </w:pPr>
      <w:r>
        <w:rPr>
          <w:rStyle w:val="CommentReference"/>
        </w:rPr>
        <w:annotationRef/>
      </w:r>
      <w:r w:rsidRPr="6F3674B4">
        <w:t>Huss, M. T. (2025). </w:t>
      </w:r>
      <w:r w:rsidRPr="74D441BB">
        <w:rPr>
          <w:i/>
          <w:iCs/>
        </w:rPr>
        <w:t>Forensic psychology: Research, clinical practice, and applications</w:t>
      </w:r>
      <w:r w:rsidRPr="1E93ADDA">
        <w:t>. John Wiley &amp; Sons.</w:t>
      </w:r>
    </w:p>
    <w:p w14:paraId="05401BCE" w14:textId="77777777" w:rsidR="00E45F96" w:rsidRDefault="00E45F96" w:rsidP="00E45F96">
      <w:pPr>
        <w:pStyle w:val="CommentText"/>
      </w:pPr>
    </w:p>
    <w:p w14:paraId="077762F7" w14:textId="77777777" w:rsidR="00E45F96" w:rsidRDefault="00E45F96" w:rsidP="00E45F96">
      <w:pPr>
        <w:pStyle w:val="CommentText"/>
      </w:pPr>
      <w:r w:rsidRPr="662D812F">
        <w:t>(Huss, 2025)</w:t>
      </w:r>
    </w:p>
  </w:comment>
  <w:comment w:id="1" w:author="Catherine Harding" w:date="2025-12-18T13:11:00Z" w:initials="CH">
    <w:p w14:paraId="0A1C48E5" w14:textId="77777777" w:rsidR="00E45F96" w:rsidRDefault="00E45F96" w:rsidP="00E45F96">
      <w:pPr>
        <w:pStyle w:val="CommentText"/>
      </w:pPr>
      <w:r>
        <w:rPr>
          <w:rStyle w:val="CommentReference"/>
        </w:rPr>
        <w:annotationRef/>
      </w:r>
      <w:r w:rsidRPr="71B9557F">
        <w:t>Raharjanti, N. W., Soemantri, D., Wiguna, T., Findyartini, A., Purwadianto, A., Indriatmi, W., ... &amp; Levania, M. K. (2023). Defining the tasks of clinical reasoning in forensic psychiatric evaluation: Psychomedicolegal analysis competency. </w:t>
      </w:r>
      <w:r w:rsidRPr="60CAD427">
        <w:rPr>
          <w:i/>
          <w:iCs/>
        </w:rPr>
        <w:t>Heliyon</w:t>
      </w:r>
      <w:r w:rsidRPr="3C45CC53">
        <w:t>, </w:t>
      </w:r>
      <w:r w:rsidRPr="7ABE379F">
        <w:rPr>
          <w:i/>
          <w:iCs/>
        </w:rPr>
        <w:t>9</w:t>
      </w:r>
      <w:r w:rsidRPr="6C25F02C">
        <w:t>(3).</w:t>
      </w:r>
    </w:p>
  </w:comment>
  <w:comment w:id="2" w:author="Catherine Harding" w:date="2025-12-18T13:13:00Z" w:initials="CH">
    <w:p w14:paraId="7A251E47" w14:textId="77777777" w:rsidR="00E45F96" w:rsidRDefault="00E45F96" w:rsidP="00E45F96">
      <w:pPr>
        <w:pStyle w:val="CommentText"/>
      </w:pPr>
      <w:r>
        <w:rPr>
          <w:rStyle w:val="CommentReference"/>
        </w:rPr>
        <w:annotationRef/>
      </w:r>
      <w:r w:rsidRPr="053AEC09">
        <w:t>Zanelli, J., Reichenberg, A., Sandin, S., Morgan, C., Dazzan, P., Pilecka, I., ... &amp; Mollon, J. (2022). Dynamic and static cognitive deficits in schizophrenia and bipolar disorder after the first episode. </w:t>
      </w:r>
      <w:r w:rsidRPr="10AB727A">
        <w:rPr>
          <w:i/>
          <w:iCs/>
        </w:rPr>
        <w:t>Schizophrenia bulletin</w:t>
      </w:r>
      <w:r w:rsidRPr="39045B6B">
        <w:t>, </w:t>
      </w:r>
      <w:r w:rsidRPr="0BEFCDF3">
        <w:rPr>
          <w:i/>
          <w:iCs/>
        </w:rPr>
        <w:t>48</w:t>
      </w:r>
      <w:r w:rsidRPr="5E513989">
        <w:t>(3), 590-598.</w:t>
      </w:r>
    </w:p>
  </w:comment>
  <w:comment w:id="3" w:author="Michaela Alderton-Hughes (2518200)" w:date="2025-12-17T21:44:00Z" w:initials="MA">
    <w:p w14:paraId="7D07869F" w14:textId="77777777" w:rsidR="00E45F96" w:rsidRDefault="00E45F96" w:rsidP="00E45F96">
      <w:pPr>
        <w:pStyle w:val="CommentText"/>
      </w:pPr>
      <w:r>
        <w:rPr>
          <w:rStyle w:val="CommentReference"/>
        </w:rPr>
        <w:annotationRef/>
      </w:r>
      <w:r>
        <w:t>Not happy with this paragraph. I think I have got my notes confused with the first section of Respect.</w:t>
      </w:r>
    </w:p>
  </w:comment>
  <w:comment w:id="4" w:author="Catherine Harding" w:date="2025-12-18T13:17:00Z" w:initials="CH">
    <w:p w14:paraId="24C47348" w14:textId="77777777" w:rsidR="00E45F96" w:rsidRDefault="00E45F96" w:rsidP="00E45F96">
      <w:pPr>
        <w:pStyle w:val="CommentText"/>
      </w:pPr>
      <w:r>
        <w:rPr>
          <w:rStyle w:val="CommentReference"/>
        </w:rPr>
        <w:annotationRef/>
      </w:r>
      <w:r w:rsidRPr="25396F0A">
        <w:t>Brown, J. M., &amp; Horvath, M. A. (Eds.). (2021). </w:t>
      </w:r>
      <w:r w:rsidRPr="5933C939">
        <w:rPr>
          <w:i/>
          <w:iCs/>
        </w:rPr>
        <w:t>The Cambridge handbook of forensic psychology</w:t>
      </w:r>
      <w:r w:rsidRPr="6643DAEB">
        <w:t>. Cambridge University Press.</w:t>
      </w:r>
    </w:p>
  </w:comment>
  <w:comment w:id="5" w:author="Catherine Harding" w:date="2025-12-18T13:33:00Z" w:initials="CH">
    <w:p w14:paraId="1F874BD4" w14:textId="77777777" w:rsidR="00E45F96" w:rsidRDefault="00E45F96" w:rsidP="00E45F96">
      <w:pPr>
        <w:pStyle w:val="CommentText"/>
      </w:pPr>
      <w:r>
        <w:rPr>
          <w:rStyle w:val="CommentReference"/>
        </w:rPr>
        <w:annotationRef/>
      </w:r>
      <w:r w:rsidRPr="40F8069B">
        <w:t>Taylor, S. (2024). </w:t>
      </w:r>
      <w:r w:rsidRPr="0B579AFD">
        <w:rPr>
          <w:i/>
          <w:iCs/>
        </w:rPr>
        <w:t>Forensic psychology: the basics</w:t>
      </w:r>
      <w:r w:rsidRPr="52BE24F6">
        <w:t>. Routledge.</w:t>
      </w:r>
    </w:p>
  </w:comment>
  <w:comment w:id="6" w:author="Michaela Alderton-Hughes (2518200)" w:date="2025-12-17T21:45:00Z" w:initials="MA">
    <w:p w14:paraId="2474C01C" w14:textId="77777777" w:rsidR="00E45F96" w:rsidRDefault="00E45F96" w:rsidP="00E45F96">
      <w:pPr>
        <w:pStyle w:val="CommentText"/>
      </w:pPr>
      <w:r>
        <w:rPr>
          <w:rStyle w:val="CommentReference"/>
        </w:rPr>
        <w:annotationRef/>
      </w:r>
      <w:r>
        <w:t>I have referred here to the standards of conduct, performance and ethics, but have used a different framework for the four BPS areas above. Do I need to consider changing this?</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77762F7" w15:done="1"/>
  <w15:commentEx w15:paraId="0A1C48E5" w15:done="1"/>
  <w15:commentEx w15:paraId="7A251E47" w15:done="1"/>
  <w15:commentEx w15:paraId="7D07869F" w15:done="1"/>
  <w15:commentEx w15:paraId="24C47348" w15:done="1"/>
  <w15:commentEx w15:paraId="1F874BD4" w15:done="1"/>
  <w15:commentEx w15:paraId="2474C01C"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9B89DAA" w16cex:dateUtc="2025-12-18T12:56:00Z"/>
  <w16cex:commentExtensible w16cex:durableId="6198DD9C" w16cex:dateUtc="2025-12-18T13:11:00Z"/>
  <w16cex:commentExtensible w16cex:durableId="717E7B3F" w16cex:dateUtc="2025-12-18T13:13:00Z"/>
  <w16cex:commentExtensible w16cex:durableId="3D24CEBA" w16cex:dateUtc="2025-12-17T21:44:00Z"/>
  <w16cex:commentExtensible w16cex:durableId="5A579074" w16cex:dateUtc="2025-12-18T13:17:00Z"/>
  <w16cex:commentExtensible w16cex:durableId="407E1C1E" w16cex:dateUtc="2025-12-18T13:33:00Z"/>
  <w16cex:commentExtensible w16cex:durableId="04547929" w16cex:dateUtc="2025-12-17T21: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77762F7" w16cid:durableId="29B89DAA"/>
  <w16cid:commentId w16cid:paraId="0A1C48E5" w16cid:durableId="6198DD9C"/>
  <w16cid:commentId w16cid:paraId="7A251E47" w16cid:durableId="717E7B3F"/>
  <w16cid:commentId w16cid:paraId="7D07869F" w16cid:durableId="3D24CEBA"/>
  <w16cid:commentId w16cid:paraId="24C47348" w16cid:durableId="5A579074"/>
  <w16cid:commentId w16cid:paraId="1F874BD4" w16cid:durableId="407E1C1E"/>
  <w16cid:commentId w16cid:paraId="2474C01C" w16cid:durableId="0454792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Catherine Harding">
    <w15:presenceInfo w15:providerId="AD" w15:userId="S::c.harding@uwtsd.ac.uk::a560f69e-f19a-454e-ba49-d28e6868bd48"/>
  </w15:person>
  <w15:person w15:author="Michaela Alderton-Hughes (2518200)">
    <w15:presenceInfo w15:providerId="AD" w15:userId="S::2518200@student.uwtsd.ac.uk::166bb32f-e81d-498b-a40d-77acd7bf93a8"/>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5F96"/>
    <w:rsid w:val="00440A44"/>
    <w:rsid w:val="00E45F9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9C0313"/>
  <w15:chartTrackingRefBased/>
  <w15:docId w15:val="{71E2B055-AED2-400F-AC46-7353F61910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5F96"/>
  </w:style>
  <w:style w:type="paragraph" w:styleId="Heading1">
    <w:name w:val="heading 1"/>
    <w:basedOn w:val="Normal"/>
    <w:next w:val="Normal"/>
    <w:link w:val="Heading1Char"/>
    <w:uiPriority w:val="9"/>
    <w:qFormat/>
    <w:rsid w:val="00E45F9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45F9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45F9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45F9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45F9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45F9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45F9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45F9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45F9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5F9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45F9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45F9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45F9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45F9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45F9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45F9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45F9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45F96"/>
    <w:rPr>
      <w:rFonts w:eastAsiaTheme="majorEastAsia" w:cstheme="majorBidi"/>
      <w:color w:val="272727" w:themeColor="text1" w:themeTint="D8"/>
    </w:rPr>
  </w:style>
  <w:style w:type="paragraph" w:styleId="Title">
    <w:name w:val="Title"/>
    <w:basedOn w:val="Normal"/>
    <w:next w:val="Normal"/>
    <w:link w:val="TitleChar"/>
    <w:uiPriority w:val="10"/>
    <w:qFormat/>
    <w:rsid w:val="00E45F9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45F9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45F9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45F9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45F96"/>
    <w:pPr>
      <w:spacing w:before="160"/>
      <w:jc w:val="center"/>
    </w:pPr>
    <w:rPr>
      <w:i/>
      <w:iCs/>
      <w:color w:val="404040" w:themeColor="text1" w:themeTint="BF"/>
    </w:rPr>
  </w:style>
  <w:style w:type="character" w:customStyle="1" w:styleId="QuoteChar">
    <w:name w:val="Quote Char"/>
    <w:basedOn w:val="DefaultParagraphFont"/>
    <w:link w:val="Quote"/>
    <w:uiPriority w:val="29"/>
    <w:rsid w:val="00E45F96"/>
    <w:rPr>
      <w:i/>
      <w:iCs/>
      <w:color w:val="404040" w:themeColor="text1" w:themeTint="BF"/>
    </w:rPr>
  </w:style>
  <w:style w:type="paragraph" w:styleId="ListParagraph">
    <w:name w:val="List Paragraph"/>
    <w:basedOn w:val="Normal"/>
    <w:uiPriority w:val="34"/>
    <w:qFormat/>
    <w:rsid w:val="00E45F96"/>
    <w:pPr>
      <w:ind w:left="720"/>
      <w:contextualSpacing/>
    </w:pPr>
  </w:style>
  <w:style w:type="character" w:styleId="IntenseEmphasis">
    <w:name w:val="Intense Emphasis"/>
    <w:basedOn w:val="DefaultParagraphFont"/>
    <w:uiPriority w:val="21"/>
    <w:qFormat/>
    <w:rsid w:val="00E45F96"/>
    <w:rPr>
      <w:i/>
      <w:iCs/>
      <w:color w:val="0F4761" w:themeColor="accent1" w:themeShade="BF"/>
    </w:rPr>
  </w:style>
  <w:style w:type="paragraph" w:styleId="IntenseQuote">
    <w:name w:val="Intense Quote"/>
    <w:basedOn w:val="Normal"/>
    <w:next w:val="Normal"/>
    <w:link w:val="IntenseQuoteChar"/>
    <w:uiPriority w:val="30"/>
    <w:qFormat/>
    <w:rsid w:val="00E45F9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45F96"/>
    <w:rPr>
      <w:i/>
      <w:iCs/>
      <w:color w:val="0F4761" w:themeColor="accent1" w:themeShade="BF"/>
    </w:rPr>
  </w:style>
  <w:style w:type="character" w:styleId="IntenseReference">
    <w:name w:val="Intense Reference"/>
    <w:basedOn w:val="DefaultParagraphFont"/>
    <w:uiPriority w:val="32"/>
    <w:qFormat/>
    <w:rsid w:val="00E45F96"/>
    <w:rPr>
      <w:b/>
      <w:bCs/>
      <w:smallCaps/>
      <w:color w:val="0F4761" w:themeColor="accent1" w:themeShade="BF"/>
      <w:spacing w:val="5"/>
    </w:rPr>
  </w:style>
  <w:style w:type="character" w:styleId="CommentReference">
    <w:name w:val="annotation reference"/>
    <w:basedOn w:val="DefaultParagraphFont"/>
    <w:uiPriority w:val="99"/>
    <w:semiHidden/>
    <w:unhideWhenUsed/>
    <w:rsid w:val="00E45F96"/>
    <w:rPr>
      <w:sz w:val="16"/>
      <w:szCs w:val="16"/>
    </w:rPr>
  </w:style>
  <w:style w:type="paragraph" w:styleId="CommentText">
    <w:name w:val="annotation text"/>
    <w:basedOn w:val="Normal"/>
    <w:link w:val="CommentTextChar"/>
    <w:uiPriority w:val="99"/>
    <w:unhideWhenUsed/>
    <w:rsid w:val="00E45F96"/>
    <w:pPr>
      <w:spacing w:line="240" w:lineRule="auto"/>
    </w:pPr>
    <w:rPr>
      <w:sz w:val="20"/>
      <w:szCs w:val="20"/>
    </w:rPr>
  </w:style>
  <w:style w:type="character" w:customStyle="1" w:styleId="CommentTextChar">
    <w:name w:val="Comment Text Char"/>
    <w:basedOn w:val="DefaultParagraphFont"/>
    <w:link w:val="CommentText"/>
    <w:uiPriority w:val="99"/>
    <w:rsid w:val="00E45F96"/>
    <w:rPr>
      <w:sz w:val="20"/>
      <w:szCs w:val="20"/>
    </w:rPr>
  </w:style>
  <w:style w:type="character" w:styleId="Hyperlink">
    <w:name w:val="Hyperlink"/>
    <w:basedOn w:val="DefaultParagraphFont"/>
    <w:uiPriority w:val="99"/>
    <w:unhideWhenUsed/>
    <w:rsid w:val="00E45F9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agarainstitute.com/blog/gibbs-reflective-cycle" TargetMode="External"/><Relationship Id="rId13" Type="http://schemas.openxmlformats.org/officeDocument/2006/relationships/hyperlink" Target="https://www.hcpc-uk.org.uk/standards/standards-of-conduct-performance-and-ethics/"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microsoft.com/office/2018/08/relationships/commentsExtensible" Target="commentsExtensible.xml"/><Relationship Id="rId12" Type="http://schemas.openxmlformats.org/officeDocument/2006/relationships/hyperlink" Target="https://www.hcpc-uk.org/globalassets/resources/standards/standards-of-proficiency---practitioner-psychologists.pdf" TargetMode="External"/><Relationship Id="rId17" Type="http://schemas.openxmlformats.org/officeDocument/2006/relationships/hyperlink" Target="https://doi.org/10.1093/schbul/sbab150" TargetMode="External"/><Relationship Id="rId2" Type="http://schemas.openxmlformats.org/officeDocument/2006/relationships/settings" Target="settings.xml"/><Relationship Id="rId16" Type="http://schemas.openxmlformats.org/officeDocument/2006/relationships/hyperlink" Target="https://doi.org/10.1002/jclp.20479" TargetMode="External"/><Relationship Id="rId20" Type="http://schemas.openxmlformats.org/officeDocument/2006/relationships/theme" Target="theme/theme1.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hyperlink" Target="https://doi.org/10.1007/s12207-013-9180-9" TargetMode="External"/><Relationship Id="rId5" Type="http://schemas.microsoft.com/office/2011/relationships/commentsExtended" Target="commentsExtended.xml"/><Relationship Id="rId15" Type="http://schemas.openxmlformats.org/officeDocument/2006/relationships/hyperlink" Target="https://doi.org/10.1016/j.avb.2012.10.006" TargetMode="External"/><Relationship Id="rId10" Type="http://schemas.openxmlformats.org/officeDocument/2006/relationships/hyperlink" Target="https://research.ebsco.com/c/onvpsy/viewer/pdf/53umzorqgr" TargetMode="External"/><Relationship Id="rId19" Type="http://schemas.microsoft.com/office/2011/relationships/people" Target="people.xml"/><Relationship Id="rId4" Type="http://schemas.openxmlformats.org/officeDocument/2006/relationships/comments" Target="comments.xml"/><Relationship Id="rId9" Type="http://schemas.openxmlformats.org/officeDocument/2006/relationships/hyperlink" Target="https://www.bps.org.uk/forensic-psychologist-job-profile" TargetMode="External"/><Relationship Id="rId14" Type="http://schemas.openxmlformats.org/officeDocument/2006/relationships/hyperlink" Target="https://journal.aldinhe.ac.uk/index.php/jldhe/article/view/114/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2114</Words>
  <Characters>12053</Characters>
  <Application>Microsoft Office Word</Application>
  <DocSecurity>0</DocSecurity>
  <Lines>100</Lines>
  <Paragraphs>28</Paragraphs>
  <ScaleCrop>false</ScaleCrop>
  <Company/>
  <LinksUpToDate>false</LinksUpToDate>
  <CharactersWithSpaces>14139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Michaela Alderton-Hughes (2518200)</dc:creator>
  <cp:keywords/>
  <dc:description/>
  <cp:lastModifiedBy>Michaela Alderton-Hughes (2518200)</cp:lastModifiedBy>
  <cp:revision>1</cp:revision>
  <dcterms:created xsi:type="dcterms:W3CDTF">2026-01-20T22:49:00Z</dcterms:created>
  <dcterms:modified xsi:type="dcterms:W3CDTF">2026-01-20T22:52:00Z</dcterms:modified>
</cp:coreProperties>
</file>