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838A6" w14:textId="493A9774" w:rsidR="005D6A83" w:rsidRPr="00174A5E" w:rsidRDefault="002933CC">
      <w:pPr>
        <w:rPr>
          <w:sz w:val="32"/>
          <w:szCs w:val="32"/>
          <w:u w:val="single"/>
        </w:rPr>
      </w:pPr>
      <w:r w:rsidRPr="00174A5E">
        <w:rPr>
          <w:sz w:val="32"/>
          <w:szCs w:val="32"/>
          <w:u w:val="single"/>
        </w:rPr>
        <w:t>Theodore BAKER 2319903</w:t>
      </w:r>
    </w:p>
    <w:p w14:paraId="5E8D68C6" w14:textId="77777777" w:rsidR="002933CC" w:rsidRDefault="002933CC">
      <w:pPr>
        <w:rPr>
          <w:u w:val="single"/>
        </w:rPr>
      </w:pPr>
    </w:p>
    <w:p w14:paraId="366CF3B4" w14:textId="77777777" w:rsidR="00174A5E" w:rsidRPr="00693B87" w:rsidRDefault="00174A5E" w:rsidP="00174A5E">
      <w:pPr>
        <w:ind w:left="567" w:right="531"/>
        <w:jc w:val="left"/>
        <w:rPr>
          <w:rFonts w:ascii="Arial" w:eastAsia="Calibri" w:hAnsi="Arial" w:cs="Arial"/>
          <w:b/>
          <w:bCs/>
        </w:rPr>
      </w:pPr>
      <w:r w:rsidRPr="00693B87">
        <w:rPr>
          <w:rFonts w:ascii="Arial" w:eastAsia="Calibri" w:hAnsi="Arial" w:cs="Arial"/>
          <w:b/>
          <w:bCs/>
        </w:rPr>
        <w:t>Essay one:</w:t>
      </w:r>
    </w:p>
    <w:p w14:paraId="0CCE1FB4" w14:textId="77777777" w:rsidR="00174A5E" w:rsidRPr="00277185" w:rsidRDefault="00174A5E" w:rsidP="00174A5E">
      <w:pPr>
        <w:spacing w:line="257" w:lineRule="auto"/>
        <w:ind w:left="567" w:right="531"/>
        <w:jc w:val="left"/>
        <w:rPr>
          <w:rFonts w:ascii="Arial" w:eastAsia="Calibri" w:hAnsi="Arial" w:cs="Arial"/>
        </w:rPr>
      </w:pPr>
      <w:r>
        <w:rPr>
          <w:rFonts w:ascii="Arial" w:eastAsia="Calibri" w:hAnsi="Arial" w:cs="Arial"/>
        </w:rPr>
        <w:t xml:space="preserve">How effectively has the police service adapted to accommodate diversity within the UK? </w:t>
      </w:r>
      <w:r w:rsidRPr="00277185">
        <w:rPr>
          <w:rFonts w:ascii="Arial" w:eastAsia="Calibri" w:hAnsi="Arial" w:cs="Arial"/>
        </w:rPr>
        <w:t>Consider the police force itself and/or the way police engage with diverse communities.</w:t>
      </w:r>
    </w:p>
    <w:p w14:paraId="5AA2F1AA" w14:textId="77777777" w:rsidR="00174A5E" w:rsidRPr="0019506F" w:rsidRDefault="00174A5E" w:rsidP="00174A5E">
      <w:pPr>
        <w:spacing w:line="257" w:lineRule="auto"/>
        <w:ind w:left="567" w:right="531"/>
        <w:jc w:val="left"/>
        <w:rPr>
          <w:rFonts w:ascii="Arial" w:eastAsia="Calibri" w:hAnsi="Arial" w:cs="Arial"/>
        </w:rPr>
      </w:pPr>
      <w:r>
        <w:rPr>
          <w:rFonts w:ascii="Arial" w:eastAsia="Calibri" w:hAnsi="Arial" w:cs="Arial"/>
        </w:rPr>
        <w:t>Your answer must be based on academic research.</w:t>
      </w:r>
    </w:p>
    <w:p w14:paraId="381DE638" w14:textId="77777777" w:rsidR="00174A5E" w:rsidRPr="00693B87" w:rsidRDefault="00174A5E" w:rsidP="00174A5E">
      <w:pPr>
        <w:spacing w:line="257" w:lineRule="auto"/>
        <w:ind w:left="567" w:right="531"/>
        <w:jc w:val="left"/>
        <w:rPr>
          <w:rFonts w:ascii="Arial" w:hAnsi="Arial" w:cs="Arial"/>
        </w:rPr>
      </w:pPr>
      <w:r w:rsidRPr="00693B87">
        <w:rPr>
          <w:rFonts w:ascii="Arial" w:eastAsia="Calibri" w:hAnsi="Arial" w:cs="Arial"/>
          <w:b/>
          <w:bCs/>
        </w:rPr>
        <w:t xml:space="preserve">Word limit: </w:t>
      </w:r>
      <w:r w:rsidRPr="00693B87">
        <w:rPr>
          <w:rFonts w:ascii="Arial" w:eastAsia="Calibri" w:hAnsi="Arial" w:cs="Arial"/>
        </w:rPr>
        <w:t xml:space="preserve">1000 words. </w:t>
      </w:r>
    </w:p>
    <w:p w14:paraId="19545161" w14:textId="0B5AD368" w:rsidR="002933CC" w:rsidRDefault="002933CC" w:rsidP="002933CC">
      <w:pPr>
        <w:jc w:val="left"/>
        <w:rPr>
          <w:u w:val="single"/>
        </w:rPr>
      </w:pPr>
    </w:p>
    <w:p w14:paraId="4F83E9F7" w14:textId="2C6D68D9" w:rsidR="001E1026" w:rsidRDefault="00C672FD" w:rsidP="002933CC">
      <w:pPr>
        <w:jc w:val="left"/>
      </w:pPr>
      <w:r>
        <w:t>British policing is built upon a long-standing philosophy introduced by Robert Peel’s nine Principles of Policing, in which the phrase ‘policing by consent’ was introduced in 1829. One of its core principles is that the police are the public, and the public are the police (Home Office 2012). A police force that represents the demographic of the p</w:t>
      </w:r>
      <w:r w:rsidR="006969CC">
        <w:t>opulation of the country and area is crucial in building community relations and ensuring that all parts of the population are represented within the police. An under-representative police force and the use of certain police powers, such as stop-search, can lead to certain communities feeling marginalised or targeted, and can lead to mistrust and a withdrawal of the notion of consent by policing</w:t>
      </w:r>
      <w:r w:rsidR="00164721">
        <w:t>,</w:t>
      </w:r>
      <w:r w:rsidR="006969CC">
        <w:t xml:space="preserve"> </w:t>
      </w:r>
      <w:r w:rsidR="00164721">
        <w:t xml:space="preserve">therefore it is important that police forces have a representative work force. Many </w:t>
      </w:r>
      <w:proofErr w:type="gramStart"/>
      <w:r w:rsidR="00164721">
        <w:t>recruitment</w:t>
      </w:r>
      <w:proofErr w:type="gramEnd"/>
      <w:r w:rsidR="00164721">
        <w:t xml:space="preserve"> drives and policies have been introduced </w:t>
      </w:r>
      <w:proofErr w:type="gramStart"/>
      <w:r w:rsidR="00164721">
        <w:t>in an attempt to</w:t>
      </w:r>
      <w:proofErr w:type="gramEnd"/>
      <w:r w:rsidR="00164721">
        <w:t xml:space="preserve"> achieve this.  </w:t>
      </w:r>
    </w:p>
    <w:p w14:paraId="0B34D1C2" w14:textId="77777777" w:rsidR="001E1026" w:rsidRDefault="001E1026" w:rsidP="002933CC">
      <w:pPr>
        <w:jc w:val="left"/>
      </w:pPr>
    </w:p>
    <w:p w14:paraId="73C362FE" w14:textId="21971BA3" w:rsidR="00164721" w:rsidRDefault="00782A73" w:rsidP="002933CC">
      <w:pPr>
        <w:jc w:val="left"/>
      </w:pPr>
      <w:r>
        <w:t xml:space="preserve">At the start of 2025, the College of Policing and National Police Chiefs’ Council (NPCC) introduced a </w:t>
      </w:r>
      <w:r w:rsidR="00453B7C">
        <w:t>five-year</w:t>
      </w:r>
      <w:r>
        <w:t xml:space="preserve"> culture and inclusion strategy which will last until 2030. This culture change is being introduced to try and fix identified issues rooted within police culture, which has led to a loss of trust and confidence from the public and those within the workforce. </w:t>
      </w:r>
      <w:r w:rsidR="00453B7C">
        <w:t xml:space="preserve">The </w:t>
      </w:r>
      <w:proofErr w:type="gramStart"/>
      <w:r w:rsidR="00453B7C">
        <w:t>m</w:t>
      </w:r>
      <w:r w:rsidR="00966C4D">
        <w:t xml:space="preserve">ain </w:t>
      </w:r>
      <w:r w:rsidR="00FA7F77">
        <w:t>focus</w:t>
      </w:r>
      <w:proofErr w:type="gramEnd"/>
      <w:r w:rsidR="00966C4D">
        <w:t xml:space="preserve"> of the strategy is </w:t>
      </w:r>
      <w:r w:rsidR="00453B7C">
        <w:t>increasing</w:t>
      </w:r>
      <w:r w:rsidR="00966C4D">
        <w:t xml:space="preserve"> community engagement, and to have a police service which representative of the communities it serves to eliminate bias, stereotyping, profiling, or discrimination (College of Policing 2025). </w:t>
      </w:r>
      <w:r w:rsidR="00453B7C">
        <w:t xml:space="preserve">Recent data shows that on the </w:t>
      </w:r>
      <w:proofErr w:type="gramStart"/>
      <w:r w:rsidR="00453B7C">
        <w:t>31</w:t>
      </w:r>
      <w:r w:rsidR="00453B7C" w:rsidRPr="00453B7C">
        <w:rPr>
          <w:vertAlign w:val="superscript"/>
        </w:rPr>
        <w:t>st</w:t>
      </w:r>
      <w:proofErr w:type="gramEnd"/>
      <w:r w:rsidR="00453B7C">
        <w:t xml:space="preserve"> March 2024, there were 147,746 full-time equivalent police officers in England and Wales. Of this, 35% were female, and 8% of police officers declared themselves as being from a minority ethnic group (Allen and Wong 2024). </w:t>
      </w:r>
      <w:r w:rsidR="00CD75C4">
        <w:t xml:space="preserve">These figures show that police forces in England and Wales are falling short of being truly representative of the general population, both with a lack of female and minority ethnic officers, with it being estimated that minority ethnic groups make up 18.3% of the general population (Coates 2021). What the recent data does show however, is that progress is being made towards building a more representative police force, with the percentage of officers from minority ethnic groups almost doubling since March 2007, and an increase of female officers by 0.7% from 2023, and the highest number and proportion of female officers since records began in March 2003 (Home Office 2025). </w:t>
      </w:r>
    </w:p>
    <w:p w14:paraId="1138C579" w14:textId="77777777" w:rsidR="00FA7F77" w:rsidRDefault="00FA7F77" w:rsidP="002933CC">
      <w:pPr>
        <w:jc w:val="left"/>
      </w:pPr>
    </w:p>
    <w:p w14:paraId="78BD3977" w14:textId="3AB38C19" w:rsidR="00FA7F77" w:rsidRDefault="00FA7F77" w:rsidP="002933CC">
      <w:pPr>
        <w:jc w:val="left"/>
      </w:pPr>
      <w:r>
        <w:t xml:space="preserve">Efforts to increase and accommodate diversity within British Policing has increased over the past decade, with national programmes aimed at diversifying the workforce being introduced, with the BME Progression 2018 programme and Police Now in 2015. BME Progression 2018 was developed by the College of Policing to increase the recruitment, retention and development of BME officers and staff. It aimed to provide advice to police forces in achieving representative workforces and conduct research for </w:t>
      </w:r>
      <w:r w:rsidR="004C11B6">
        <w:t>evidence-based</w:t>
      </w:r>
      <w:r>
        <w:t xml:space="preserve"> solutions (Bury et al 2018)</w:t>
      </w:r>
      <w:r w:rsidR="004C11B6">
        <w:t xml:space="preserve">. </w:t>
      </w:r>
      <w:r w:rsidR="00627BB4">
        <w:t xml:space="preserve">Measures have also been introduced to try and ensure that officers from </w:t>
      </w:r>
      <w:r w:rsidR="000709DF">
        <w:t>underrepresented</w:t>
      </w:r>
      <w:r w:rsidR="00627BB4">
        <w:t xml:space="preserve"> populations can progress through the ranks of the police force to reach senior positions, thus increasing the diversity and representativeness within the senior ranks. One of these measures is positive action, which involves supporting individuals from underrepresented groups in overcoming </w:t>
      </w:r>
      <w:r w:rsidR="00627BB4">
        <w:lastRenderedPageBreak/>
        <w:t xml:space="preserve">disadvantages, such as holding mock exams or providing further information about assessment questions. Positive action has led to </w:t>
      </w:r>
      <w:r w:rsidR="00FE4B0C">
        <w:t xml:space="preserve">an increase in BME officers in successfully passing tests, with a 50% increase in the probability of doing so (Ruda et al 2017). </w:t>
      </w:r>
      <w:r w:rsidR="00627BB4">
        <w:t xml:space="preserve"> </w:t>
      </w:r>
      <w:r w:rsidR="00FE4B0C">
        <w:t xml:space="preserve">Statistics show that between 2007 and 2022, the percentage of constables from minority ethnic backgrounds had increased from 4.3% of the total workforce to 8.7%, and the percentage of Inspectors from minority ethnic backgrounds has increased from 2.5% to 5.5% (Gov.uk 2023). This shows that over time, police forces have become more diverse, including at senior ranks, however it is still not at levels which represent the wider population. </w:t>
      </w:r>
    </w:p>
    <w:p w14:paraId="7AF0D55E" w14:textId="77777777" w:rsidR="00FE4B0C" w:rsidRDefault="00FE4B0C" w:rsidP="002933CC">
      <w:pPr>
        <w:jc w:val="left"/>
      </w:pPr>
    </w:p>
    <w:p w14:paraId="34DBD411" w14:textId="7BAEA7B5" w:rsidR="00FE4B0C" w:rsidRDefault="00FE4B0C" w:rsidP="002933CC">
      <w:pPr>
        <w:jc w:val="left"/>
      </w:pPr>
      <w:r>
        <w:t xml:space="preserve">The way in which the police interact with diverse communities is crucial in building community relations and increasing trust and support. Certain powers such as </w:t>
      </w:r>
      <w:proofErr w:type="gramStart"/>
      <w:r>
        <w:t>stop</w:t>
      </w:r>
      <w:proofErr w:type="gramEnd"/>
      <w:r>
        <w:t xml:space="preserve"> and search are often scrutinized for their disproportionate use against different ethnic groups. A report by </w:t>
      </w:r>
      <w:r w:rsidR="00F02846" w:rsidRPr="00F02846">
        <w:t>His Majesty’s Inspectorate of Constabulary and Fire &amp; Rescue Services</w:t>
      </w:r>
      <w:r w:rsidR="00F02846">
        <w:t xml:space="preserve"> (HMICFRS) in 2021 stated that over 35 years on since the introduction of stop and search legislation, police forces still do not fully understand the impact of the use of these powers (HMICFRS 2021). The report also found that in 2019/20, Black, Asian and Minority Ethnic (BAME) people were four times more like to be stopped and searched than White people, and Black people were about 5.7 times more likely to have force used against them than White people (HMICFRS 2021). The reasons for these statistics are unknown and are difficult to quantify as each use of force and stop search should be justifiable by officers. The use of these powers and the disproportionate use against BAME people leads to the building of distrust between the community and the police, with feelings that they are being unfairly targeted. </w:t>
      </w:r>
      <w:proofErr w:type="gramStart"/>
      <w:r w:rsidR="00F02846">
        <w:t>In order to</w:t>
      </w:r>
      <w:proofErr w:type="gramEnd"/>
      <w:r w:rsidR="00F02846">
        <w:t xml:space="preserve"> prevent this, efforts are being made to train police forces so that they are aware of the impact of the use of their powers, and to increase the recruitment, retention and progression to create workforces that better represent their communities (HMICFRS 2021). </w:t>
      </w:r>
    </w:p>
    <w:p w14:paraId="7582A753" w14:textId="77777777" w:rsidR="00327711" w:rsidRDefault="00327711" w:rsidP="002933CC">
      <w:pPr>
        <w:jc w:val="left"/>
      </w:pPr>
    </w:p>
    <w:p w14:paraId="0C8D5BBC" w14:textId="7EC362EC" w:rsidR="00327711" w:rsidRDefault="00327711" w:rsidP="002933CC">
      <w:pPr>
        <w:jc w:val="left"/>
      </w:pPr>
      <w:r>
        <w:t xml:space="preserve">In recent years, efforts have increased to increase the diversity within police forces, with the recruitment, retention and progression of officers from minority ethnic groups and gender, </w:t>
      </w:r>
      <w:proofErr w:type="gramStart"/>
      <w:r>
        <w:t>in order to</w:t>
      </w:r>
      <w:proofErr w:type="gramEnd"/>
      <w:r>
        <w:t xml:space="preserve"> build a force that is representative of the communities that they police. This has led to recruitments drives that target these groups of people specifically and policies such as positive action to increase support and chances of achieving progression to higher ranks. Increased training has also been introduced to inform and make officers aware of the impact of use of police powers on different groups within the populations and communities that they police, to build trust within the police and communities. From recent datasets regarding the police workforce, </w:t>
      </w:r>
      <w:proofErr w:type="gramStart"/>
      <w:r>
        <w:t>it is clear that these</w:t>
      </w:r>
      <w:proofErr w:type="gramEnd"/>
      <w:r>
        <w:t xml:space="preserve"> policies are leading to an increase in a more diverse workforce that is more representative of the general population, however further work and time is needed to achieve a truly representative workforce, which will build stronger links between the police and </w:t>
      </w:r>
      <w:r w:rsidR="000709DF">
        <w:t>communities and</w:t>
      </w:r>
      <w:r>
        <w:t xml:space="preserve"> build trust and support. </w:t>
      </w:r>
    </w:p>
    <w:p w14:paraId="477B3AFB" w14:textId="77777777" w:rsidR="00327711" w:rsidRDefault="00327711" w:rsidP="002933CC">
      <w:pPr>
        <w:jc w:val="left"/>
      </w:pPr>
    </w:p>
    <w:p w14:paraId="5C48BE33" w14:textId="33C44672" w:rsidR="00327711" w:rsidRDefault="00327711" w:rsidP="002933CC">
      <w:pPr>
        <w:jc w:val="left"/>
      </w:pPr>
      <w:r>
        <w:t>Word count: 104</w:t>
      </w:r>
      <w:r w:rsidR="000709DF">
        <w:t>2</w:t>
      </w:r>
    </w:p>
    <w:p w14:paraId="78E8D8A1" w14:textId="03919963" w:rsidR="00174A5E" w:rsidRDefault="00174A5E" w:rsidP="002933CC">
      <w:pPr>
        <w:jc w:val="left"/>
      </w:pPr>
    </w:p>
    <w:p w14:paraId="555CDD4F" w14:textId="77777777" w:rsidR="00C672FD" w:rsidRDefault="00C672FD" w:rsidP="002933CC">
      <w:pPr>
        <w:jc w:val="left"/>
      </w:pPr>
    </w:p>
    <w:p w14:paraId="186830FC" w14:textId="77777777" w:rsidR="00C672FD" w:rsidRDefault="00C672FD" w:rsidP="002933CC">
      <w:pPr>
        <w:jc w:val="left"/>
      </w:pPr>
    </w:p>
    <w:p w14:paraId="60A0B376" w14:textId="77777777" w:rsidR="00C672FD" w:rsidRDefault="00C672FD" w:rsidP="002933CC">
      <w:pPr>
        <w:jc w:val="left"/>
      </w:pPr>
    </w:p>
    <w:p w14:paraId="0DF396B8" w14:textId="77777777" w:rsidR="00C672FD" w:rsidRDefault="00C672FD" w:rsidP="002933CC">
      <w:pPr>
        <w:jc w:val="left"/>
      </w:pPr>
    </w:p>
    <w:p w14:paraId="2A92A7A1" w14:textId="77777777" w:rsidR="00C672FD" w:rsidRDefault="00C672FD" w:rsidP="002933CC">
      <w:pPr>
        <w:jc w:val="left"/>
      </w:pPr>
    </w:p>
    <w:p w14:paraId="3F849FA7" w14:textId="77777777" w:rsidR="00C672FD" w:rsidRDefault="00C672FD" w:rsidP="002933CC">
      <w:pPr>
        <w:jc w:val="left"/>
      </w:pPr>
    </w:p>
    <w:p w14:paraId="02B76C1B" w14:textId="77777777" w:rsidR="00C672FD" w:rsidRDefault="00C672FD" w:rsidP="002933CC">
      <w:pPr>
        <w:jc w:val="left"/>
      </w:pPr>
    </w:p>
    <w:p w14:paraId="651D72ED" w14:textId="77777777" w:rsidR="00B84297" w:rsidRPr="00693B87" w:rsidRDefault="00B84297" w:rsidP="00B84297">
      <w:pPr>
        <w:spacing w:line="257" w:lineRule="auto"/>
        <w:ind w:left="567" w:right="531"/>
        <w:jc w:val="left"/>
        <w:rPr>
          <w:rFonts w:ascii="Arial" w:hAnsi="Arial" w:cs="Arial"/>
          <w:b/>
          <w:bCs/>
        </w:rPr>
      </w:pPr>
      <w:r w:rsidRPr="00693B87">
        <w:rPr>
          <w:rFonts w:ascii="Arial" w:hAnsi="Arial" w:cs="Arial"/>
          <w:b/>
          <w:bCs/>
        </w:rPr>
        <w:lastRenderedPageBreak/>
        <w:t>Essay two:</w:t>
      </w:r>
    </w:p>
    <w:p w14:paraId="35CEE755" w14:textId="77777777" w:rsidR="00B84297" w:rsidRPr="00693B87" w:rsidRDefault="00B84297" w:rsidP="00B84297">
      <w:pPr>
        <w:spacing w:line="257" w:lineRule="auto"/>
        <w:ind w:left="567" w:right="531"/>
        <w:jc w:val="left"/>
        <w:rPr>
          <w:rFonts w:ascii="Arial" w:eastAsia="Calibri" w:hAnsi="Arial" w:cs="Arial"/>
        </w:rPr>
      </w:pPr>
      <w:r>
        <w:rPr>
          <w:rFonts w:ascii="Arial" w:eastAsia="Calibri" w:hAnsi="Arial" w:cs="Arial"/>
        </w:rPr>
        <w:t>Choose</w:t>
      </w:r>
      <w:r w:rsidRPr="00693B87">
        <w:rPr>
          <w:rFonts w:ascii="Arial" w:eastAsia="Calibri" w:hAnsi="Arial" w:cs="Arial"/>
        </w:rPr>
        <w:t xml:space="preserve"> </w:t>
      </w:r>
      <w:r w:rsidRPr="00693B87">
        <w:rPr>
          <w:rFonts w:ascii="Arial" w:eastAsia="Calibri" w:hAnsi="Arial" w:cs="Arial"/>
          <w:b/>
          <w:bCs/>
          <w:u w:val="single"/>
        </w:rPr>
        <w:t>one</w:t>
      </w:r>
      <w:r w:rsidRPr="00693B87">
        <w:rPr>
          <w:rFonts w:ascii="Arial" w:eastAsia="Calibri" w:hAnsi="Arial" w:cs="Arial"/>
        </w:rPr>
        <w:t xml:space="preserve"> of the following </w:t>
      </w:r>
      <w:r>
        <w:rPr>
          <w:rFonts w:ascii="Arial" w:eastAsia="Calibri" w:hAnsi="Arial" w:cs="Arial"/>
        </w:rPr>
        <w:t>questions</w:t>
      </w:r>
      <w:r w:rsidRPr="00693B87">
        <w:rPr>
          <w:rFonts w:ascii="Arial" w:eastAsia="Calibri" w:hAnsi="Arial" w:cs="Arial"/>
        </w:rPr>
        <w:t>:</w:t>
      </w:r>
    </w:p>
    <w:p w14:paraId="5D8D7DAC" w14:textId="77777777" w:rsidR="00B84297" w:rsidRPr="00AF22A7" w:rsidRDefault="00B84297" w:rsidP="00B84297">
      <w:pPr>
        <w:pStyle w:val="ListParagraph"/>
        <w:numPr>
          <w:ilvl w:val="0"/>
          <w:numId w:val="1"/>
        </w:numPr>
        <w:spacing w:line="257" w:lineRule="auto"/>
        <w:ind w:right="531"/>
        <w:jc w:val="left"/>
        <w:rPr>
          <w:rFonts w:ascii="Arial" w:eastAsia="Calibri" w:hAnsi="Arial" w:cs="Arial"/>
        </w:rPr>
      </w:pPr>
      <w:r w:rsidRPr="00AF22A7">
        <w:rPr>
          <w:rFonts w:ascii="Arial" w:eastAsia="Calibri" w:hAnsi="Arial" w:cs="Arial"/>
          <w:b/>
          <w:bCs/>
        </w:rPr>
        <w:t>Counter-terrorism policing</w:t>
      </w:r>
      <w:r w:rsidRPr="00AF22A7">
        <w:rPr>
          <w:rFonts w:ascii="Arial" w:eastAsia="Calibri" w:hAnsi="Arial" w:cs="Arial"/>
        </w:rPr>
        <w:t xml:space="preserve"> – </w:t>
      </w:r>
      <w:r>
        <w:rPr>
          <w:rFonts w:ascii="Arial" w:eastAsia="Calibri" w:hAnsi="Arial" w:cs="Arial"/>
        </w:rPr>
        <w:t>How might terrorist groups’ involvement in other forms of criminality</w:t>
      </w:r>
      <w:r w:rsidRPr="00AF22A7">
        <w:rPr>
          <w:rFonts w:ascii="Arial" w:eastAsia="Calibri" w:hAnsi="Arial" w:cs="Arial"/>
        </w:rPr>
        <w:t xml:space="preserve"> inform counter-terrorism policing? </w:t>
      </w:r>
    </w:p>
    <w:p w14:paraId="181B0880" w14:textId="77777777" w:rsidR="00B84297" w:rsidRPr="00AC7970" w:rsidRDefault="00B84297" w:rsidP="00B84297">
      <w:pPr>
        <w:spacing w:line="257" w:lineRule="auto"/>
        <w:ind w:left="567" w:right="531"/>
        <w:jc w:val="left"/>
        <w:rPr>
          <w:rFonts w:ascii="Arial" w:eastAsia="Calibri" w:hAnsi="Arial" w:cs="Arial"/>
        </w:rPr>
      </w:pPr>
      <w:r>
        <w:rPr>
          <w:rFonts w:ascii="Arial" w:eastAsia="Calibri" w:hAnsi="Arial" w:cs="Arial"/>
        </w:rPr>
        <w:t>Your answer must be based on academic research rather than personal experience.</w:t>
      </w:r>
    </w:p>
    <w:p w14:paraId="6021E83F" w14:textId="77777777" w:rsidR="00B84297" w:rsidRPr="00693B87" w:rsidRDefault="00B84297" w:rsidP="00B84297">
      <w:pPr>
        <w:spacing w:line="257" w:lineRule="auto"/>
        <w:ind w:left="567" w:right="531"/>
        <w:jc w:val="left"/>
        <w:rPr>
          <w:rFonts w:ascii="Arial" w:hAnsi="Arial" w:cs="Arial"/>
        </w:rPr>
      </w:pPr>
      <w:r w:rsidRPr="00693B87">
        <w:rPr>
          <w:rFonts w:ascii="Arial" w:hAnsi="Arial" w:cs="Arial"/>
          <w:b/>
          <w:bCs/>
        </w:rPr>
        <w:t xml:space="preserve">Word limit: </w:t>
      </w:r>
      <w:r w:rsidRPr="00693B87">
        <w:rPr>
          <w:rFonts w:ascii="Arial" w:hAnsi="Arial" w:cs="Arial"/>
        </w:rPr>
        <w:t>1000 words.</w:t>
      </w:r>
    </w:p>
    <w:p w14:paraId="0E8EA274" w14:textId="77777777" w:rsidR="00C672FD" w:rsidRDefault="00C672FD" w:rsidP="002933CC">
      <w:pPr>
        <w:jc w:val="left"/>
      </w:pPr>
    </w:p>
    <w:p w14:paraId="1ADE0842" w14:textId="77777777" w:rsidR="00B84297" w:rsidRDefault="00B84297" w:rsidP="002933CC">
      <w:pPr>
        <w:jc w:val="left"/>
      </w:pPr>
    </w:p>
    <w:p w14:paraId="07BE5B71" w14:textId="598EA2F6" w:rsidR="00C672FD" w:rsidRDefault="00B84297" w:rsidP="002933CC">
      <w:pPr>
        <w:jc w:val="left"/>
      </w:pPr>
      <w:r>
        <w:t>The act of terrorism is not a new phenomenon however the rise in Islamist terrorism by al-Qaeda in the late 20</w:t>
      </w:r>
      <w:r w:rsidRPr="00B84297">
        <w:rPr>
          <w:vertAlign w:val="superscript"/>
        </w:rPr>
        <w:t>th</w:t>
      </w:r>
      <w:r>
        <w:t xml:space="preserve"> century culminating in the September 11 attacks in New York in 2001 and the subsequent declared War on Terror by George W. Bush led to an increased focus on counter-terrorism policing to prevent another similar attack. The definition of is defined in The Terrorism Act 2000 which states that the use or threat of serious violence, damage to property, endangering a </w:t>
      </w:r>
      <w:r w:rsidR="000709DF">
        <w:t>person’s</w:t>
      </w:r>
      <w:r>
        <w:t xml:space="preserve"> life, creating a serious risk to the health and safety of the public or action designed to interfere or disrupt an electronic system</w:t>
      </w:r>
      <w:r w:rsidR="002D1710">
        <w:t xml:space="preserve"> which is</w:t>
      </w:r>
      <w:r>
        <w:t xml:space="preserve"> designed to influence the government, or an international governmental organisation or to intimidate the public</w:t>
      </w:r>
      <w:r w:rsidR="002D1710">
        <w:t xml:space="preserve">. It must also be for the purpose of advancing a political, religious, racial or ideological cause (CPS 2022). With the rise of the Islamic State in the mid-2010s and their promotion and incitement of individuals to carry out attacks under their name, further attacks occurred around the world, including in the United Kingdom. The use of technology including the internet to spread incitement and material which can radicalise individuals has led to the need by counter terrorism police and authorities to adapt to the everchanging situation to combat this. Often terrorist activities are interlinked with other forms of criminality, such as organised crime and online offences which has meant that counter-terrorism policing need to take a holistic approach and be aware of the links. </w:t>
      </w:r>
    </w:p>
    <w:p w14:paraId="0B5B52A5" w14:textId="77777777" w:rsidR="002D1710" w:rsidRDefault="002D1710" w:rsidP="002933CC">
      <w:pPr>
        <w:jc w:val="left"/>
      </w:pPr>
    </w:p>
    <w:p w14:paraId="0B71266A" w14:textId="777E783F" w:rsidR="002D1710" w:rsidRDefault="003F7B0D" w:rsidP="002933CC">
      <w:pPr>
        <w:jc w:val="left"/>
      </w:pPr>
      <w:proofErr w:type="gramStart"/>
      <w:r>
        <w:t>In order for</w:t>
      </w:r>
      <w:proofErr w:type="gramEnd"/>
      <w:r>
        <w:t xml:space="preserve"> terrorist groups to plan, obtain equipment, people and facilitate their activities, they often will need to involve themselves in other forms of criminality to successfully carry out their activity and operate. As with many </w:t>
      </w:r>
      <w:r w:rsidR="00376A81">
        <w:t xml:space="preserve">other criminal groups, money is needed to operate, pay members, obtain weapons and obtain fraudulent documents. With the rise of the Islamic State in Syria and Iraq in 2013 and 2014, many radicalised individuals travelled to join the group. Whilst there, they received training and planned to carry out attacks back in their home country. In the next few years, Europe experienced a wave of terrorist attacks, including the 13 November 2015 Paris attacks and the </w:t>
      </w:r>
      <w:proofErr w:type="gramStart"/>
      <w:r w:rsidR="00376A81">
        <w:t>22</w:t>
      </w:r>
      <w:r w:rsidR="00376A81" w:rsidRPr="00376A81">
        <w:rPr>
          <w:vertAlign w:val="superscript"/>
        </w:rPr>
        <w:t>nd</w:t>
      </w:r>
      <w:proofErr w:type="gramEnd"/>
      <w:r w:rsidR="00376A81">
        <w:t xml:space="preserve"> March 2016 Brussels bombings. An investigation by EUROPOL in 2017 found that terrorist groups had made use of migrant smuggling networks to allow the perpetrators of the attacks to travel from Syria and Iraq back to Europe, as well as the use of organised crime groups to procure weapons and obtain funds via the illicit trafficking of drugs (EUROPOL 2017). </w:t>
      </w:r>
      <w:r w:rsidR="00BC372F">
        <w:t xml:space="preserve">In the United Kingdom, organised crime groups involved in drug trafficking are typically involved in other criminal activity, with the profits of the drug trafficking being used to fund other forms of criminal operations, including financing terrorism (NCA 2025). It is clear that terrorist groups are often involved in other forms of criminal activity, therefore, counter terrorism policing must be aware of the links between not only different types of crimes, but also the link between terrorism and organised crime, with the proceeds of activity such as drug and human trafficking enabling terrorist groups to fund their operations, and bring in the required man power and items. </w:t>
      </w:r>
    </w:p>
    <w:p w14:paraId="7C918F2D" w14:textId="77777777" w:rsidR="00BC372F" w:rsidRDefault="00BC372F" w:rsidP="002933CC">
      <w:pPr>
        <w:jc w:val="left"/>
      </w:pPr>
    </w:p>
    <w:p w14:paraId="5383F562" w14:textId="7990D77A" w:rsidR="00BC372F" w:rsidRDefault="00BC372F" w:rsidP="002933CC">
      <w:pPr>
        <w:jc w:val="left"/>
      </w:pPr>
      <w:r>
        <w:lastRenderedPageBreak/>
        <w:t xml:space="preserve">With the advent of technology and the internet, terrorist groups have sought to exploit the potential reach to new audiences, as well as use it to communicate, organise, and plan out attacks. In 2017, the United Kingdom saw five terrorist attacks, with four of them being linked to Islamist ideology and the other right-wing anti-Islamist ideology. It was found that all five attacks had an online element to them, </w:t>
      </w:r>
      <w:r w:rsidR="001204F0">
        <w:t xml:space="preserve">and that a third of propaganda links released by the Islamic State was shared and disseminated within one hour of release (Home Office 2019). Efforts have been taken to tighten rules over the use of the internet by terrorist groups, and to try and mitigate and prevent harm being done to those who view it and prevent them from being radicalised. A law that came into effect in 2017 meant that anyone repeatedly view terrorist content online could face up to 15 years in </w:t>
      </w:r>
      <w:r w:rsidR="000709DF">
        <w:t>jail and</w:t>
      </w:r>
      <w:r w:rsidR="001204F0">
        <w:t xml:space="preserve"> was designed to ensure that counter-terrorism policing kept up with the rise of the use of technology by terrorist groups and enable earlier intervention and disrupt terrorist activity (Gov.uk 2017). The recent rise in the use of cryptocurrency and the level of anonymity it brings has also led to further challenges for counter-terrorism policing in combating funds being sent and used by terrorist groups</w:t>
      </w:r>
      <w:r w:rsidR="00A86F4C">
        <w:t xml:space="preserve"> (Malik 2018). Therefore, agencies such as counter-terrorism police need to be able to adapt to keep up with changing tactics used by terrorist groups and how they operate, and develop their own technology and tactics to detect, disrupt, and combat terrorist activity. </w:t>
      </w:r>
    </w:p>
    <w:p w14:paraId="5EAC2D2B" w14:textId="77777777" w:rsidR="00C672FD" w:rsidRDefault="00C672FD" w:rsidP="002933CC">
      <w:pPr>
        <w:jc w:val="left"/>
      </w:pPr>
    </w:p>
    <w:p w14:paraId="3CE1432E" w14:textId="33E7D019" w:rsidR="00A86F4C" w:rsidRDefault="00A86F4C" w:rsidP="002933CC">
      <w:pPr>
        <w:jc w:val="left"/>
      </w:pPr>
      <w:r>
        <w:t xml:space="preserve">The involvement of terrorist groups activity in other forms of criminality and intertwining with other criminal groups such as organised crime groups means that counter-terrorism policing needs to be take a holistic approach to combating </w:t>
      </w:r>
      <w:r w:rsidR="000709DF">
        <w:t>crime and</w:t>
      </w:r>
      <w:r>
        <w:t xml:space="preserve"> be aware of the everchanging tactics and methods used by terrorists to fund, plan and facilitate their activity. The introduction of the internet and new technologies enabled terrorist groups to expand their reach and involve themselves in further criminal activity to further their aims with a new degree of anonymity. </w:t>
      </w:r>
      <w:r w:rsidR="000709DF">
        <w:t>Therefore,</w:t>
      </w:r>
      <w:r>
        <w:t xml:space="preserve"> it is vital that counter-terrorism policing keeps pace with these groups </w:t>
      </w:r>
      <w:proofErr w:type="gramStart"/>
      <w:r>
        <w:t>in order to</w:t>
      </w:r>
      <w:proofErr w:type="gramEnd"/>
      <w:r>
        <w:t xml:space="preserve"> successfully detect, disrupt and prosecute those involved. As time goes on, groups will also adapt and change tactics to try and avoid detection, therefore it is crucial that counter-terrorism policing are able to adapt </w:t>
      </w:r>
      <w:proofErr w:type="gramStart"/>
      <w:r>
        <w:t>and also</w:t>
      </w:r>
      <w:proofErr w:type="gramEnd"/>
      <w:r>
        <w:t xml:space="preserve"> change their own tactics and methods. </w:t>
      </w:r>
    </w:p>
    <w:p w14:paraId="7BC62F12" w14:textId="77777777" w:rsidR="00A86F4C" w:rsidRDefault="00A86F4C" w:rsidP="002933CC">
      <w:pPr>
        <w:jc w:val="left"/>
      </w:pPr>
    </w:p>
    <w:p w14:paraId="52F04EB5" w14:textId="50F44603" w:rsidR="00A86F4C" w:rsidRDefault="00A86F4C" w:rsidP="002933CC">
      <w:pPr>
        <w:jc w:val="left"/>
      </w:pPr>
      <w:r>
        <w:t>Word count: 933</w:t>
      </w:r>
    </w:p>
    <w:p w14:paraId="4843685C" w14:textId="77777777" w:rsidR="00880B90" w:rsidRDefault="00880B90" w:rsidP="002933CC">
      <w:pPr>
        <w:jc w:val="left"/>
      </w:pPr>
    </w:p>
    <w:p w14:paraId="026E06B6" w14:textId="77777777" w:rsidR="00880B90" w:rsidRDefault="00880B90" w:rsidP="002933CC">
      <w:pPr>
        <w:jc w:val="left"/>
      </w:pPr>
    </w:p>
    <w:p w14:paraId="3B48927B" w14:textId="77777777" w:rsidR="00880B90" w:rsidRPr="00693B87" w:rsidRDefault="00880B90" w:rsidP="00880B90">
      <w:pPr>
        <w:spacing w:line="257" w:lineRule="auto"/>
        <w:ind w:left="567" w:right="531"/>
        <w:jc w:val="left"/>
        <w:rPr>
          <w:rFonts w:ascii="Arial" w:hAnsi="Arial" w:cs="Arial"/>
          <w:b/>
          <w:bCs/>
        </w:rPr>
      </w:pPr>
      <w:r w:rsidRPr="00693B87">
        <w:rPr>
          <w:rFonts w:ascii="Arial" w:hAnsi="Arial" w:cs="Arial"/>
          <w:b/>
          <w:bCs/>
        </w:rPr>
        <w:t xml:space="preserve">Essay four: </w:t>
      </w:r>
    </w:p>
    <w:p w14:paraId="6A2844BC" w14:textId="77777777" w:rsidR="00880B90" w:rsidRDefault="00880B90" w:rsidP="00880B90">
      <w:pPr>
        <w:spacing w:line="257" w:lineRule="auto"/>
        <w:ind w:left="567" w:right="531"/>
        <w:jc w:val="left"/>
        <w:rPr>
          <w:rFonts w:ascii="Arial" w:eastAsia="Calibri" w:hAnsi="Arial" w:cs="Arial"/>
        </w:rPr>
      </w:pPr>
      <w:r>
        <w:rPr>
          <w:rFonts w:ascii="Arial" w:eastAsia="Calibri" w:hAnsi="Arial" w:cs="Arial"/>
        </w:rPr>
        <w:t>Outline potential links between serious and organised crime and public protection issues. What characteristics make some people more vulnerable to exploitation by serious and organised crime gangs?</w:t>
      </w:r>
    </w:p>
    <w:p w14:paraId="25E1C826" w14:textId="77777777" w:rsidR="00880B90" w:rsidRDefault="00880B90" w:rsidP="00880B90">
      <w:pPr>
        <w:spacing w:line="257" w:lineRule="auto"/>
        <w:ind w:left="567" w:right="531"/>
        <w:jc w:val="left"/>
        <w:rPr>
          <w:rFonts w:ascii="Arial" w:eastAsia="Calibri" w:hAnsi="Arial" w:cs="Arial"/>
        </w:rPr>
      </w:pPr>
      <w:r w:rsidRPr="00C21745">
        <w:rPr>
          <w:rFonts w:ascii="Arial" w:eastAsia="Calibri" w:hAnsi="Arial" w:cs="Arial"/>
        </w:rPr>
        <w:t>Your answer must be based on academic research</w:t>
      </w:r>
      <w:r>
        <w:rPr>
          <w:rFonts w:ascii="Arial" w:eastAsia="Calibri" w:hAnsi="Arial" w:cs="Arial"/>
        </w:rPr>
        <w:t>.</w:t>
      </w:r>
    </w:p>
    <w:p w14:paraId="61C82A33" w14:textId="77777777" w:rsidR="00880B90" w:rsidRPr="00693B87" w:rsidRDefault="00880B90" w:rsidP="00880B90">
      <w:pPr>
        <w:spacing w:line="257" w:lineRule="auto"/>
        <w:ind w:left="567" w:right="531"/>
        <w:jc w:val="left"/>
        <w:rPr>
          <w:rFonts w:ascii="Arial" w:hAnsi="Arial" w:cs="Arial"/>
        </w:rPr>
      </w:pPr>
      <w:r w:rsidRPr="00693B87">
        <w:rPr>
          <w:rFonts w:ascii="Arial" w:eastAsia="Calibri" w:hAnsi="Arial" w:cs="Arial"/>
          <w:b/>
          <w:bCs/>
        </w:rPr>
        <w:t xml:space="preserve">Word limit: </w:t>
      </w:r>
      <w:r w:rsidRPr="00693B87">
        <w:rPr>
          <w:rFonts w:ascii="Arial" w:eastAsia="Calibri" w:hAnsi="Arial" w:cs="Arial"/>
        </w:rPr>
        <w:t xml:space="preserve">1000 words. </w:t>
      </w:r>
    </w:p>
    <w:p w14:paraId="0524DBC0" w14:textId="77777777" w:rsidR="00880B90" w:rsidRDefault="00880B90" w:rsidP="002933CC">
      <w:pPr>
        <w:jc w:val="left"/>
      </w:pPr>
    </w:p>
    <w:p w14:paraId="56EF8EE7" w14:textId="77777777" w:rsidR="00C672FD" w:rsidRDefault="00C672FD" w:rsidP="002933CC">
      <w:pPr>
        <w:jc w:val="left"/>
      </w:pPr>
    </w:p>
    <w:p w14:paraId="1B2ECCEA" w14:textId="423AB778" w:rsidR="00C672FD" w:rsidRDefault="00766F1E" w:rsidP="002933CC">
      <w:pPr>
        <w:jc w:val="left"/>
      </w:pPr>
      <w:r>
        <w:t xml:space="preserve">Serious and organised crime is a major threat to communities and even national security. A report in 2013 estimated that organised crime cost the United Kingdom at least £24 billion a year, and led to the loss of life, deprivation of people’s security and prosperity, </w:t>
      </w:r>
      <w:proofErr w:type="gramStart"/>
      <w:r>
        <w:t>and also</w:t>
      </w:r>
      <w:proofErr w:type="gramEnd"/>
      <w:r>
        <w:t xml:space="preserve"> had an impact on the security of the country (HM Government 2013). </w:t>
      </w:r>
      <w:r w:rsidR="00753DED">
        <w:t xml:space="preserve">In recent years, organised crime has evolved and changed, going from traditional forms of organised crime centred around drug dealing to being involved in ‘new’ and ‘emerging’ crimes such as modern slavery, child sexual exploitation and cyber fraud (Crocker et al 2017). Organised crime groups frequently target vulnerable communities and individuals to profit financially or otherwise, using them to help </w:t>
      </w:r>
      <w:r w:rsidR="00753DED">
        <w:lastRenderedPageBreak/>
        <w:t xml:space="preserve">facilitate their criminal activities (Local Government Association 2015). </w:t>
      </w:r>
      <w:r w:rsidR="00E93837">
        <w:t>Therefore,</w:t>
      </w:r>
      <w:r w:rsidR="00753DED">
        <w:t xml:space="preserve"> it is important for local authorities and the police to identify those who are vulnerable and at risk of exploitation, and take measures to </w:t>
      </w:r>
      <w:r w:rsidR="00877897">
        <w:t xml:space="preserve">protect, prevent and pursue serious and organised crime groups. </w:t>
      </w:r>
    </w:p>
    <w:p w14:paraId="69F89172" w14:textId="77777777" w:rsidR="00E93837" w:rsidRDefault="00E93837" w:rsidP="002933CC">
      <w:pPr>
        <w:jc w:val="left"/>
      </w:pPr>
    </w:p>
    <w:p w14:paraId="4D92F0AE" w14:textId="4E6AB056" w:rsidR="00E93837" w:rsidRDefault="00E93837" w:rsidP="002933CC">
      <w:pPr>
        <w:jc w:val="left"/>
      </w:pPr>
      <w:r>
        <w:t xml:space="preserve">Serious and organised crime can occur across all communities, both in public and in private (Local Government Association 2015), and will have an impact of the communities and people in which it occurs. </w:t>
      </w:r>
      <w:r w:rsidR="00393B73">
        <w:t xml:space="preserve">A national strategy was launched to tackle serious and organised crime, with four main aspects; Pursue, Prevent, Protect and Prepare. This is designed to reduce the threat, reduce vulnerability and aims to reduce the level of serious and organised crime (HM Government 2013). </w:t>
      </w:r>
      <w:proofErr w:type="gramStart"/>
      <w:r w:rsidR="00393B73">
        <w:t>In order to</w:t>
      </w:r>
      <w:proofErr w:type="gramEnd"/>
      <w:r w:rsidR="00393B73">
        <w:t xml:space="preserve"> achieve this, close collaboration and action is needed across the whole of the government, agencies such as the police and local councils, and even other countries. Local councils </w:t>
      </w:r>
      <w:proofErr w:type="gramStart"/>
      <w:r w:rsidR="00393B73">
        <w:t>in particular will</w:t>
      </w:r>
      <w:proofErr w:type="gramEnd"/>
      <w:r w:rsidR="00393B73">
        <w:t xml:space="preserve"> have the knowledge of local vulnerabilities to serious and organised crime and will be best suited to address it through multi-agency action plans (Local Government Association 2015). This will include hotspots that are known to be involved in criminality, such as certain addresses or public spaces, and measures can be put in place to tackle it, such as installing cameras, altering spaces or making changes to tenancies. The close working with other agencies such as the police is crucial as it will enable offenders to be brought to justice and protect those who are vulnerable. </w:t>
      </w:r>
      <w:r w:rsidR="00C0517F">
        <w:t xml:space="preserve">Serious and organised crime groups often target vulnerable groups, such as children, those involved in prostitution, and other vulnerable people in their own homes, sometimes using their place to store drugs or facilitate illegal operations. This is referred to by the term cuckooing. Local councils can help to protect these vulnerable groups and ensure that early intervention and support is offered to prevent exploitation and further victimisation. </w:t>
      </w:r>
    </w:p>
    <w:p w14:paraId="69FDFDE1" w14:textId="77777777" w:rsidR="00C0517F" w:rsidRDefault="00C0517F" w:rsidP="002933CC">
      <w:pPr>
        <w:jc w:val="left"/>
      </w:pPr>
    </w:p>
    <w:p w14:paraId="0350E199" w14:textId="5875E7BA" w:rsidR="00C0517F" w:rsidRDefault="00C0517F" w:rsidP="002933CC">
      <w:pPr>
        <w:jc w:val="left"/>
      </w:pPr>
      <w:r>
        <w:t xml:space="preserve">What makes someone vulnerable can vary. This can include their age, with children and elderly people being more vulnerable. It can also include factors such as isolation, learning difficulties, illness and financial difficulties. Serious and organised crime groups can exploit these vulnerabilities </w:t>
      </w:r>
      <w:proofErr w:type="gramStart"/>
      <w:r>
        <w:t>as a means to</w:t>
      </w:r>
      <w:proofErr w:type="gramEnd"/>
      <w:r>
        <w:t xml:space="preserve"> further their interests, such as using a house belonging to someone who is unable to protect themselves and does not have anyone to look after them to sell their drugs </w:t>
      </w:r>
      <w:r w:rsidR="00BC0100">
        <w:t>from or</w:t>
      </w:r>
      <w:r>
        <w:t xml:space="preserve"> entice and encourage those who have financial difficulties to carry and sell drugs in the community. Children are often targeted by serious and organised crime groups to conduct illegal activities. This is often interlinked with child sexual exploitation. Research conducted in 2017 found that 93% of child sexual exploitation victims were female with the average age being 15. It also found that 50% of the victims had criminal prosecutions and a third of those children were living in care (Crocker et al 2017). Other factors </w:t>
      </w:r>
      <w:r w:rsidR="00280E6F">
        <w:t xml:space="preserve">include truancy from school, neglectful parents, alcohol and drug abuse and physical/emotional abuse. These factors enhance the vulnerability of young children to exploitation from serious and organised crime, often with these factors being used to persuade or normalise illicit activities. </w:t>
      </w:r>
      <w:r w:rsidR="00BC0100">
        <w:t xml:space="preserve">Children and other vulnerable people are often exploited by crime groups in county lines drug activity, which often involves using children to carry and sell drugs on their behalf, using hotels, Airbnb’s, or cuckooed addresses. Children are often targeted for this as they can feel pressured or want to feel respected and important, make money, or feel protected (NSPCC 2025). Gangs will also know that if children are caught and prosecuted, they will receive lower sentences and they themselves will </w:t>
      </w:r>
      <w:r w:rsidR="002822A2">
        <w:t xml:space="preserve">reduce their risk of being arrested and charged. Those who are exploited usually do not realise that they are, and do not consent to being exploited. </w:t>
      </w:r>
      <w:r w:rsidR="000709DF">
        <w:t>Therefore,</w:t>
      </w:r>
      <w:r w:rsidR="002822A2">
        <w:t xml:space="preserve"> it is important to treat them as victims, work with partner agencies including collaborative working and information sharing to protect victims and disrupt offenders (Home Office 2023). </w:t>
      </w:r>
    </w:p>
    <w:p w14:paraId="10A2CE95" w14:textId="77777777" w:rsidR="006C2F00" w:rsidRDefault="006C2F00" w:rsidP="002933CC">
      <w:pPr>
        <w:jc w:val="left"/>
      </w:pPr>
    </w:p>
    <w:p w14:paraId="1F0AA6E3" w14:textId="4F38AF34" w:rsidR="006C2F00" w:rsidRDefault="006C2F00" w:rsidP="002933CC">
      <w:pPr>
        <w:jc w:val="left"/>
      </w:pPr>
      <w:r>
        <w:t xml:space="preserve">Serious and organised crime is inexplicitly interlinked with public protection issues, with serious and organised crime groups targeting vulnerable communities and people. What makes a community or person vulnerable is unique to their circumstances, but often those who are targeted are children, vulnerable adults with low social links, those who are financially vulnerable and have mental or learning difficulties. Often those who are exploited do not know that they are being exploited, and do not consent to doing so. </w:t>
      </w:r>
      <w:r w:rsidR="000709DF">
        <w:t>Therefore,</w:t>
      </w:r>
      <w:r>
        <w:t xml:space="preserve"> they are victims themselves and should be treated as such. It is important the vulnerable communities and people are identified by agencies such as the police and local councils, so that measures and support can be put in place to protect them and disrupt criminal activity. If this is not done, then serious and organised crime will become prevalent in communities and have a detrimental impact, not only on those communities but the wider community and country. </w:t>
      </w:r>
    </w:p>
    <w:p w14:paraId="3C756709" w14:textId="77777777" w:rsidR="00877897" w:rsidRDefault="00877897" w:rsidP="002933CC">
      <w:pPr>
        <w:jc w:val="left"/>
      </w:pPr>
    </w:p>
    <w:p w14:paraId="2A75EC06" w14:textId="1E0AA177" w:rsidR="00C672FD" w:rsidRDefault="006C2F00" w:rsidP="002933CC">
      <w:pPr>
        <w:jc w:val="left"/>
      </w:pPr>
      <w:r>
        <w:t>Word count: 927</w:t>
      </w:r>
    </w:p>
    <w:p w14:paraId="6FE38594" w14:textId="77777777" w:rsidR="00C672FD" w:rsidRDefault="00C672FD" w:rsidP="002933CC">
      <w:pPr>
        <w:jc w:val="left"/>
      </w:pPr>
    </w:p>
    <w:p w14:paraId="396570EA" w14:textId="77777777" w:rsidR="00C672FD" w:rsidRDefault="00C672FD" w:rsidP="002933CC">
      <w:pPr>
        <w:jc w:val="left"/>
      </w:pPr>
    </w:p>
    <w:p w14:paraId="7D1BE1D5" w14:textId="77777777" w:rsidR="006F3673" w:rsidRPr="00693B87" w:rsidRDefault="006F3673" w:rsidP="006F3673">
      <w:pPr>
        <w:spacing w:line="257" w:lineRule="auto"/>
        <w:ind w:left="567" w:right="531"/>
        <w:jc w:val="left"/>
        <w:rPr>
          <w:rFonts w:ascii="Arial" w:hAnsi="Arial" w:cs="Arial"/>
        </w:rPr>
      </w:pPr>
      <w:r w:rsidRPr="00693B87">
        <w:rPr>
          <w:rFonts w:ascii="Arial" w:eastAsia="Calibri" w:hAnsi="Arial" w:cs="Arial"/>
          <w:b/>
          <w:bCs/>
        </w:rPr>
        <w:t xml:space="preserve">Essay five: </w:t>
      </w:r>
    </w:p>
    <w:p w14:paraId="31B3B64B" w14:textId="77777777" w:rsidR="006F3673" w:rsidRPr="00FE68CC" w:rsidRDefault="006F3673" w:rsidP="006F3673">
      <w:pPr>
        <w:spacing w:line="257" w:lineRule="auto"/>
        <w:ind w:left="567" w:right="531"/>
        <w:jc w:val="left"/>
        <w:rPr>
          <w:rFonts w:ascii="Arial" w:eastAsia="Calibri" w:hAnsi="Arial" w:cs="Arial"/>
        </w:rPr>
      </w:pPr>
      <w:r>
        <w:rPr>
          <w:rFonts w:ascii="Arial" w:eastAsia="Calibri" w:hAnsi="Arial" w:cs="Arial"/>
        </w:rPr>
        <w:t>How effective is</w:t>
      </w:r>
      <w:r w:rsidRPr="00FE68CC">
        <w:rPr>
          <w:rFonts w:ascii="Arial" w:eastAsia="Calibri" w:hAnsi="Arial" w:cs="Arial"/>
        </w:rPr>
        <w:t xml:space="preserve"> early intervention an effective means of preventing young people from </w:t>
      </w:r>
      <w:r>
        <w:rPr>
          <w:rFonts w:ascii="Arial" w:eastAsia="Calibri" w:hAnsi="Arial" w:cs="Arial"/>
        </w:rPr>
        <w:t>offending or re-offending?</w:t>
      </w:r>
    </w:p>
    <w:p w14:paraId="56653648" w14:textId="77777777" w:rsidR="006F3673" w:rsidRPr="00C7159A" w:rsidRDefault="006F3673" w:rsidP="006F3673">
      <w:pPr>
        <w:spacing w:line="257" w:lineRule="auto"/>
        <w:ind w:left="567" w:right="531"/>
        <w:jc w:val="left"/>
        <w:rPr>
          <w:rFonts w:ascii="Arial" w:eastAsia="Calibri" w:hAnsi="Arial" w:cs="Arial"/>
        </w:rPr>
      </w:pPr>
      <w:r w:rsidRPr="00C7159A">
        <w:rPr>
          <w:rFonts w:ascii="Arial" w:eastAsia="Calibri" w:hAnsi="Arial" w:cs="Arial"/>
        </w:rPr>
        <w:t xml:space="preserve">Your answer </w:t>
      </w:r>
      <w:r>
        <w:rPr>
          <w:rFonts w:ascii="Arial" w:eastAsia="Calibri" w:hAnsi="Arial" w:cs="Arial"/>
        </w:rPr>
        <w:t>must</w:t>
      </w:r>
      <w:r w:rsidRPr="00C7159A">
        <w:rPr>
          <w:rFonts w:ascii="Arial" w:eastAsia="Calibri" w:hAnsi="Arial" w:cs="Arial"/>
        </w:rPr>
        <w:t xml:space="preserve"> be based on academic research, but you may </w:t>
      </w:r>
      <w:proofErr w:type="gramStart"/>
      <w:r w:rsidRPr="00C7159A">
        <w:rPr>
          <w:rFonts w:ascii="Arial" w:eastAsia="Calibri" w:hAnsi="Arial" w:cs="Arial"/>
        </w:rPr>
        <w:t>make reference</w:t>
      </w:r>
      <w:proofErr w:type="gramEnd"/>
      <w:r w:rsidRPr="00C7159A">
        <w:rPr>
          <w:rFonts w:ascii="Arial" w:eastAsia="Calibri" w:hAnsi="Arial" w:cs="Arial"/>
        </w:rPr>
        <w:t xml:space="preserve"> to relevant case studies.</w:t>
      </w:r>
    </w:p>
    <w:p w14:paraId="03E05C99" w14:textId="77777777" w:rsidR="006F3673" w:rsidRDefault="006F3673" w:rsidP="006F3673">
      <w:pPr>
        <w:spacing w:line="257" w:lineRule="auto"/>
        <w:ind w:left="567" w:right="531"/>
        <w:jc w:val="left"/>
        <w:rPr>
          <w:rFonts w:ascii="Arial" w:eastAsia="Calibri" w:hAnsi="Arial" w:cs="Arial"/>
        </w:rPr>
      </w:pPr>
      <w:r w:rsidRPr="00693B87">
        <w:rPr>
          <w:rFonts w:ascii="Arial" w:eastAsia="Calibri" w:hAnsi="Arial" w:cs="Arial"/>
          <w:b/>
          <w:bCs/>
        </w:rPr>
        <w:t xml:space="preserve">Word limit: </w:t>
      </w:r>
      <w:r w:rsidRPr="00693B87">
        <w:rPr>
          <w:rFonts w:ascii="Arial" w:eastAsia="Calibri" w:hAnsi="Arial" w:cs="Arial"/>
        </w:rPr>
        <w:t xml:space="preserve">1000 words. </w:t>
      </w:r>
    </w:p>
    <w:p w14:paraId="1E35D688" w14:textId="77777777" w:rsidR="00C672FD" w:rsidRDefault="00C672FD" w:rsidP="002933CC">
      <w:pPr>
        <w:jc w:val="left"/>
      </w:pPr>
    </w:p>
    <w:p w14:paraId="00C15607" w14:textId="7025CFBE" w:rsidR="00C672FD" w:rsidRDefault="000A2A6C" w:rsidP="002933CC">
      <w:pPr>
        <w:jc w:val="left"/>
      </w:pPr>
      <w:r>
        <w:t>One way to try and reduce crime is to prevent people from becoming offenders to begin with, with early education and intervention aimed at young people alongside tackling the root cause of criminality. It is becoming increasingly more recognised that a public health approach to tackle crime problems is necessary, with a commitment to work with different agencies to work on prevention and early intervention whilst navigating complex social needs (College of Policing 2021). The effectiveness of adopting a preventative approach has been evidenced in numerous reports, however the strategies used to implement this is not uniform.</w:t>
      </w:r>
    </w:p>
    <w:p w14:paraId="396CA818" w14:textId="77777777" w:rsidR="000A2A6C" w:rsidRDefault="000A2A6C" w:rsidP="002933CC">
      <w:pPr>
        <w:jc w:val="left"/>
      </w:pPr>
    </w:p>
    <w:p w14:paraId="07B09511" w14:textId="72A7D717" w:rsidR="000A2A6C" w:rsidRDefault="00AA3314" w:rsidP="002933CC">
      <w:pPr>
        <w:jc w:val="left"/>
      </w:pPr>
      <w:r>
        <w:t xml:space="preserve">The approach of tackling youth offending, and the implementation of early intervention was a hallmark of the Government at the time in the later 1990s (Goldson 2000) with the aim to stop offending before it has started, or to prevent further re-offending. The way in which early intervention has been implemented can differ, with schemes focusing on general populations, such as community engagement in schools, to </w:t>
      </w:r>
      <w:r w:rsidR="00D45966">
        <w:t xml:space="preserve">dealing with young offenders with out of court disposals such as counselling or mentoring. Quantifying the effectiveness of preventative schemes are difficult to determine as those who do not offend will not come to the attention of the police or the criminal justice system. It is clear however that children who become involved in crime are more likely than those who do not, to reoffend. In the year ending March 2021, those with no previous convictions had a reoffending rate of 16.4% compared to 63.8% for those who had committed 11 or more previous offences (Hancock 2023). </w:t>
      </w:r>
      <w:proofErr w:type="gramStart"/>
      <w:r w:rsidR="00D45966">
        <w:t>Therefore</w:t>
      </w:r>
      <w:proofErr w:type="gramEnd"/>
      <w:r w:rsidR="00D45966">
        <w:t xml:space="preserve"> it is critical to not only prevent children from becoming involved in criminality, but to break the cycle of re-offending. </w:t>
      </w:r>
    </w:p>
    <w:p w14:paraId="065FBD23" w14:textId="77777777" w:rsidR="000A2A6C" w:rsidRDefault="000A2A6C" w:rsidP="002933CC">
      <w:pPr>
        <w:jc w:val="left"/>
      </w:pPr>
    </w:p>
    <w:p w14:paraId="59A8693A" w14:textId="610A200F" w:rsidR="000657DA" w:rsidRDefault="000657DA" w:rsidP="002933CC">
      <w:pPr>
        <w:jc w:val="left"/>
      </w:pPr>
      <w:r>
        <w:t xml:space="preserve">The approach to implementing early intervention measures is split into four main </w:t>
      </w:r>
      <w:proofErr w:type="gramStart"/>
      <w:r>
        <w:t>categories;</w:t>
      </w:r>
      <w:proofErr w:type="gramEnd"/>
      <w:r>
        <w:t xml:space="preserve"> Early prevention, targeted prevention, diversion, and formal out-of-court disposals (Youth Justice Board 2023). These aim to cover various demographics, including those who have not </w:t>
      </w:r>
      <w:r>
        <w:lastRenderedPageBreak/>
        <w:t xml:space="preserve">had contact with the youth justice system, those who have not yet been linked to an offence, and those who have been linked to an offence, and have been given either an informal or formal out-of-court disposal. Prevention and diversion activities made up an average of 52% on the Youth Justice Service caseload across England and Wales (Youth Justice Board 2023), suggesting that </w:t>
      </w:r>
      <w:r w:rsidR="00844149">
        <w:t xml:space="preserve">significant work is being done to prevent young people from </w:t>
      </w:r>
      <w:proofErr w:type="gramStart"/>
      <w:r w:rsidR="00844149">
        <w:t>entering into</w:t>
      </w:r>
      <w:proofErr w:type="gramEnd"/>
      <w:r w:rsidR="00844149">
        <w:t xml:space="preserve"> the justice system, and potentially be exposed to higher risks of offending or re-offending. The report states that measuring the success of this approach of early intervention is difficult as there are significant data gaps which exist (Hancock 2023). Individual case studies are presented as a means of displaying evidence for the success of early intervention programmes, however as each case is unique, with their own factors and requirements, obtaining quantitative data on the effectiveness of early intervention programmes are difficult. </w:t>
      </w:r>
    </w:p>
    <w:p w14:paraId="3C552A15" w14:textId="77777777" w:rsidR="00844149" w:rsidRDefault="00844149" w:rsidP="002933CC">
      <w:pPr>
        <w:jc w:val="left"/>
      </w:pPr>
    </w:p>
    <w:p w14:paraId="66015ABF" w14:textId="21D41A2A" w:rsidR="00844149" w:rsidRDefault="00844149" w:rsidP="002933CC">
      <w:pPr>
        <w:jc w:val="left"/>
      </w:pPr>
      <w:r>
        <w:t xml:space="preserve">Data from other countries which have adopted a similar approach of early intervention can be used to inform policies in the UK. One such approach is parenting and family-focused interventions, aimed at intervening early on in a child’s life such as creating and sustaining positive changes can help to reduce the likelihood of that young person from engaging in youth violence later in life (O’Connor and Waddle 2015). </w:t>
      </w:r>
      <w:r w:rsidR="00D31522">
        <w:t xml:space="preserve">A UK Cross-Government report from 2011 noted that evidence from the Unites States over a </w:t>
      </w:r>
      <w:r w:rsidR="000709DF">
        <w:t>30-year</w:t>
      </w:r>
      <w:r w:rsidR="00D31522">
        <w:t xml:space="preserve"> period has shown a 59% reduction in arrests and a 90% reduction in supervision orders by age 15 for children who have been involved in a scheme which provided support to mothers to improve parenting skills (HM Government 2011). </w:t>
      </w:r>
      <w:r w:rsidR="00384E81">
        <w:t xml:space="preserve">This research from other countries can be used to inform decision making and lead to the adoption and implementation of similar scheme within this country. </w:t>
      </w:r>
    </w:p>
    <w:p w14:paraId="38F03047" w14:textId="77777777" w:rsidR="000657DA" w:rsidRDefault="000657DA" w:rsidP="002933CC">
      <w:pPr>
        <w:jc w:val="left"/>
      </w:pPr>
    </w:p>
    <w:p w14:paraId="360C80D8" w14:textId="400B8F7C" w:rsidR="00D45966" w:rsidRDefault="000657DA" w:rsidP="002933CC">
      <w:pPr>
        <w:jc w:val="left"/>
      </w:pPr>
      <w:r>
        <w:t>Other partner agencies also work alongside the youth justice system, such as charities including Action for Children, which released the Jay Review in 2024</w:t>
      </w:r>
      <w:r w:rsidR="00384E81">
        <w:t xml:space="preserve"> which focuses on the protection of children from exploitation</w:t>
      </w:r>
      <w:r>
        <w:t xml:space="preserve">. </w:t>
      </w:r>
      <w:r w:rsidR="00384E81">
        <w:t xml:space="preserve">The report found that there is still a lot of work that needs to be done to improve early intervention to not only safeguard children, but to prevent offending and re-offending. </w:t>
      </w:r>
      <w:r w:rsidR="00C26A33">
        <w:t xml:space="preserve">It found that funding for early intervention programmes had decreased by 46% between 2010 and 2022, whilst late intervention spending increased by 47% (Action for Children 2024). This shows that focus has shifted in recent years from early intervention prior to children being criminalised, to intervention following the involvement of children when they are already involved in the criminal justice system. </w:t>
      </w:r>
    </w:p>
    <w:p w14:paraId="2088EAAD" w14:textId="77777777" w:rsidR="00C26A33" w:rsidRDefault="00C26A33" w:rsidP="002933CC">
      <w:pPr>
        <w:jc w:val="left"/>
      </w:pPr>
    </w:p>
    <w:p w14:paraId="771BFFE4" w14:textId="6C8F5E09" w:rsidR="00C672FD" w:rsidRDefault="00C26A33" w:rsidP="002933CC">
      <w:pPr>
        <w:jc w:val="left"/>
      </w:pPr>
      <w:r>
        <w:t xml:space="preserve">It is crucial that early intervention is given to young people and children </w:t>
      </w:r>
      <w:proofErr w:type="gramStart"/>
      <w:r>
        <w:t>as a means to</w:t>
      </w:r>
      <w:proofErr w:type="gramEnd"/>
      <w:r>
        <w:t xml:space="preserve"> prevent offending from taking place in the first instance. Statistics have shown that once a person gets involved in criminality, they are significantly more likely to re-offend. Whilst there are significant data gaps within the UK as to the effectiveness of the early intervention, data from other countries which have early intervention scheme such as the United States, have shown clear evidence that such policies are effective. This learning should be used by policy makers to adopt similar approaches in this country, however with the lack of available funding, it appears that this approach of early intervention has shifted from a proactive approach to a reactive one</w:t>
      </w:r>
      <w:r w:rsidR="00E8559E">
        <w:t xml:space="preserve">, and more work is needed to be done by authorities to develop working partnerships and a cohesive scheme that focuses on early intervention as a way to reduce crime and prevent young people from being involved in criminality in the first place, and to break the cycle of offending. </w:t>
      </w:r>
    </w:p>
    <w:p w14:paraId="6E5EF8B4" w14:textId="77777777" w:rsidR="00C672FD" w:rsidRDefault="00C672FD" w:rsidP="002933CC">
      <w:pPr>
        <w:jc w:val="left"/>
      </w:pPr>
    </w:p>
    <w:p w14:paraId="5A2D046B" w14:textId="536EA093" w:rsidR="00C672FD" w:rsidRDefault="00E8559E" w:rsidP="002933CC">
      <w:pPr>
        <w:jc w:val="left"/>
      </w:pPr>
      <w:r>
        <w:t>Word count: 92</w:t>
      </w:r>
      <w:r w:rsidR="000709DF">
        <w:t>0</w:t>
      </w:r>
    </w:p>
    <w:p w14:paraId="44A38899" w14:textId="77777777" w:rsidR="00C672FD" w:rsidRDefault="00C672FD" w:rsidP="002933CC">
      <w:pPr>
        <w:jc w:val="left"/>
      </w:pPr>
    </w:p>
    <w:p w14:paraId="2F696E50" w14:textId="77777777" w:rsidR="00C672FD" w:rsidRDefault="00C672FD" w:rsidP="002933CC">
      <w:pPr>
        <w:jc w:val="left"/>
      </w:pPr>
    </w:p>
    <w:p w14:paraId="459D4417" w14:textId="31D52327" w:rsidR="00C672FD" w:rsidRDefault="00C672FD" w:rsidP="002933CC">
      <w:pPr>
        <w:jc w:val="left"/>
        <w:rPr>
          <w:b/>
          <w:bCs/>
          <w:u w:val="single"/>
        </w:rPr>
      </w:pPr>
      <w:r>
        <w:rPr>
          <w:b/>
          <w:bCs/>
          <w:u w:val="single"/>
        </w:rPr>
        <w:lastRenderedPageBreak/>
        <w:t xml:space="preserve">Bibliography </w:t>
      </w:r>
    </w:p>
    <w:p w14:paraId="4FA14154" w14:textId="77777777" w:rsidR="00C672FD" w:rsidRDefault="00C672FD" w:rsidP="002933CC">
      <w:pPr>
        <w:jc w:val="left"/>
        <w:rPr>
          <w:b/>
          <w:bCs/>
          <w:u w:val="single"/>
        </w:rPr>
      </w:pPr>
    </w:p>
    <w:p w14:paraId="72DB6391" w14:textId="3E751D1A" w:rsidR="00C26A33" w:rsidRPr="00C26A33" w:rsidRDefault="00C26A33" w:rsidP="002933CC">
      <w:pPr>
        <w:jc w:val="left"/>
      </w:pPr>
      <w:r>
        <w:t xml:space="preserve">Action for Children. (2024). </w:t>
      </w:r>
      <w:r w:rsidRPr="00C26A33">
        <w:rPr>
          <w:i/>
          <w:iCs/>
        </w:rPr>
        <w:t>Shattered Lives, Stolen Futures: The Jay Review of Criminally Exploited Children.</w:t>
      </w:r>
      <w:r>
        <w:t xml:space="preserve"> Available at: </w:t>
      </w:r>
      <w:hyperlink r:id="rId5" w:history="1">
        <w:r w:rsidRPr="00C26A33">
          <w:rPr>
            <w:rStyle w:val="Hyperlink"/>
          </w:rPr>
          <w:t>Shattered_Lives_Stolen_Futures_Report_-_Full_Report.pdf</w:t>
        </w:r>
      </w:hyperlink>
      <w:r>
        <w:t xml:space="preserve"> (Accessed: 23</w:t>
      </w:r>
      <w:r w:rsidRPr="00C26A33">
        <w:rPr>
          <w:vertAlign w:val="superscript"/>
        </w:rPr>
        <w:t>rd</w:t>
      </w:r>
      <w:r>
        <w:t xml:space="preserve"> April 2025). </w:t>
      </w:r>
    </w:p>
    <w:p w14:paraId="632D47C1" w14:textId="77777777" w:rsidR="00C26A33" w:rsidRDefault="00C26A33" w:rsidP="002933CC">
      <w:pPr>
        <w:jc w:val="left"/>
        <w:rPr>
          <w:b/>
          <w:bCs/>
          <w:u w:val="single"/>
        </w:rPr>
      </w:pPr>
    </w:p>
    <w:p w14:paraId="569542BB" w14:textId="74A3A00B" w:rsidR="00FA7F77" w:rsidRPr="00FA7F77" w:rsidRDefault="00FA7F77" w:rsidP="002933CC">
      <w:pPr>
        <w:jc w:val="left"/>
      </w:pPr>
      <w:r w:rsidRPr="00FA7F77">
        <w:t xml:space="preserve">Bury, J, </w:t>
      </w:r>
      <w:proofErr w:type="spellStart"/>
      <w:r w:rsidRPr="00FA7F77">
        <w:t>Pullerits</w:t>
      </w:r>
      <w:proofErr w:type="spellEnd"/>
      <w:r w:rsidRPr="00FA7F77">
        <w:t xml:space="preserve">, M, Edwards, S, Davies, C, and DeMarco, J. </w:t>
      </w:r>
      <w:r>
        <w:t>2018</w:t>
      </w:r>
      <w:r w:rsidRPr="00FA7F77">
        <w:rPr>
          <w:i/>
          <w:iCs/>
        </w:rPr>
        <w:t>. Enhancing Diversity in Policing Final Report</w:t>
      </w:r>
      <w:r>
        <w:t xml:space="preserve">. </w:t>
      </w:r>
      <w:proofErr w:type="spellStart"/>
      <w:r>
        <w:t>NatCen</w:t>
      </w:r>
      <w:proofErr w:type="spellEnd"/>
      <w:r>
        <w:t xml:space="preserve">. Available at: </w:t>
      </w:r>
      <w:hyperlink r:id="rId6" w:history="1">
        <w:r w:rsidRPr="00FA7F77">
          <w:rPr>
            <w:rStyle w:val="Hyperlink"/>
          </w:rPr>
          <w:t>Report template long</w:t>
        </w:r>
      </w:hyperlink>
      <w:r w:rsidR="004C11B6">
        <w:t xml:space="preserve"> (Accessed 4</w:t>
      </w:r>
      <w:r w:rsidR="004C11B6" w:rsidRPr="004C11B6">
        <w:rPr>
          <w:vertAlign w:val="superscript"/>
        </w:rPr>
        <w:t>th</w:t>
      </w:r>
      <w:r w:rsidR="004C11B6">
        <w:t xml:space="preserve"> April 2025). </w:t>
      </w:r>
    </w:p>
    <w:p w14:paraId="46EA97C7" w14:textId="77777777" w:rsidR="00FA7F77" w:rsidRDefault="00FA7F77" w:rsidP="002933CC">
      <w:pPr>
        <w:jc w:val="left"/>
        <w:rPr>
          <w:b/>
          <w:bCs/>
          <w:u w:val="single"/>
        </w:rPr>
      </w:pPr>
    </w:p>
    <w:p w14:paraId="53146D61" w14:textId="79633FC2" w:rsidR="00CD75C4" w:rsidRDefault="00CD75C4" w:rsidP="002933CC">
      <w:pPr>
        <w:jc w:val="left"/>
      </w:pPr>
      <w:r>
        <w:t>Coates, S. 2021</w:t>
      </w:r>
      <w:r w:rsidRPr="00CD75C4">
        <w:rPr>
          <w:i/>
          <w:iCs/>
        </w:rPr>
        <w:t>. Dataset Population estimates by ethnic group, England and Wales.</w:t>
      </w:r>
      <w:r>
        <w:t xml:space="preserve"> Office for National Statistics. Available at: </w:t>
      </w:r>
      <w:hyperlink r:id="rId7" w:history="1">
        <w:r w:rsidRPr="00CD75C4">
          <w:rPr>
            <w:rStyle w:val="Hyperlink"/>
          </w:rPr>
          <w:t>Population estimates by ethnic group, England and Wales - Office for National Statistics</w:t>
        </w:r>
      </w:hyperlink>
      <w:r>
        <w:t xml:space="preserve"> (Accessed 4</w:t>
      </w:r>
      <w:r w:rsidRPr="00CD75C4">
        <w:rPr>
          <w:vertAlign w:val="superscript"/>
        </w:rPr>
        <w:t>th</w:t>
      </w:r>
      <w:r>
        <w:t xml:space="preserve"> April 2025). </w:t>
      </w:r>
    </w:p>
    <w:p w14:paraId="08C454B0" w14:textId="77777777" w:rsidR="000A2A6C" w:rsidRDefault="000A2A6C" w:rsidP="002933CC">
      <w:pPr>
        <w:jc w:val="left"/>
      </w:pPr>
    </w:p>
    <w:p w14:paraId="475B7762" w14:textId="66AEF131" w:rsidR="000A2A6C" w:rsidRPr="000A2A6C" w:rsidRDefault="000A2A6C" w:rsidP="002933CC">
      <w:pPr>
        <w:jc w:val="left"/>
      </w:pPr>
      <w:r>
        <w:t xml:space="preserve">College of Policing. 2021. </w:t>
      </w:r>
      <w:r>
        <w:rPr>
          <w:i/>
          <w:iCs/>
        </w:rPr>
        <w:t xml:space="preserve">Our Approach to Public Health. </w:t>
      </w:r>
      <w:r>
        <w:t xml:space="preserve">Available at: </w:t>
      </w:r>
      <w:hyperlink r:id="rId8" w:history="1">
        <w:r w:rsidRPr="000A2A6C">
          <w:rPr>
            <w:rStyle w:val="Hyperlink"/>
          </w:rPr>
          <w:t>Our approach to public health | College of Policing</w:t>
        </w:r>
      </w:hyperlink>
      <w:r>
        <w:t xml:space="preserve"> (Accessed: 23</w:t>
      </w:r>
      <w:r w:rsidRPr="000A2A6C">
        <w:rPr>
          <w:vertAlign w:val="superscript"/>
        </w:rPr>
        <w:t>rd</w:t>
      </w:r>
      <w:r>
        <w:t xml:space="preserve"> April 2025). </w:t>
      </w:r>
    </w:p>
    <w:p w14:paraId="27CCD637" w14:textId="77777777" w:rsidR="00CD75C4" w:rsidRPr="00CD75C4" w:rsidRDefault="00CD75C4" w:rsidP="002933CC">
      <w:pPr>
        <w:jc w:val="left"/>
      </w:pPr>
    </w:p>
    <w:p w14:paraId="4FDB9B9B" w14:textId="547DB663" w:rsidR="00966C4D" w:rsidRDefault="00966C4D" w:rsidP="002933CC">
      <w:pPr>
        <w:jc w:val="left"/>
      </w:pPr>
      <w:r>
        <w:t xml:space="preserve">College of Policing. 2025. </w:t>
      </w:r>
      <w:r w:rsidRPr="000A2A6C">
        <w:rPr>
          <w:i/>
          <w:iCs/>
        </w:rPr>
        <w:t>National policing culture and inclusion strategy 2025 to 2030.</w:t>
      </w:r>
      <w:r>
        <w:t xml:space="preserve"> Available at: </w:t>
      </w:r>
      <w:hyperlink r:id="rId9" w:history="1">
        <w:r w:rsidRPr="00966C4D">
          <w:rPr>
            <w:rStyle w:val="Hyperlink"/>
          </w:rPr>
          <w:t>National policing culture and inclusion strategy 2025 to 2030 | College of Policing</w:t>
        </w:r>
      </w:hyperlink>
      <w:r>
        <w:t xml:space="preserve"> (Accessed 4</w:t>
      </w:r>
      <w:r w:rsidRPr="00966C4D">
        <w:rPr>
          <w:vertAlign w:val="superscript"/>
        </w:rPr>
        <w:t>th</w:t>
      </w:r>
      <w:r>
        <w:t xml:space="preserve"> April 2025). </w:t>
      </w:r>
    </w:p>
    <w:p w14:paraId="20C69418" w14:textId="77777777" w:rsidR="00753DED" w:rsidRDefault="00753DED" w:rsidP="002933CC">
      <w:pPr>
        <w:jc w:val="left"/>
      </w:pPr>
    </w:p>
    <w:p w14:paraId="1EDABB50" w14:textId="5F26B702" w:rsidR="00753DED" w:rsidRDefault="00753DED" w:rsidP="002933CC">
      <w:pPr>
        <w:jc w:val="left"/>
      </w:pPr>
      <w:r>
        <w:t xml:space="preserve">Crocker, R., Webb, S., Garner, S., and Skidmore, M. 2017. </w:t>
      </w:r>
      <w:r w:rsidRPr="00753DED">
        <w:rPr>
          <w:i/>
          <w:iCs/>
        </w:rPr>
        <w:t>The Impact of Organised Crime in Local Communities</w:t>
      </w:r>
      <w:r>
        <w:t xml:space="preserve">. The Police Federation. Available at: </w:t>
      </w:r>
      <w:hyperlink r:id="rId10" w:history="1">
        <w:r w:rsidRPr="00753DED">
          <w:rPr>
            <w:rStyle w:val="Hyperlink"/>
          </w:rPr>
          <w:t>Police Foundation Organised Crime in Local Communities Final Re</w:t>
        </w:r>
      </w:hyperlink>
      <w:r>
        <w:t xml:space="preserve"> (Accessed 5</w:t>
      </w:r>
      <w:r w:rsidRPr="00753DED">
        <w:rPr>
          <w:vertAlign w:val="superscript"/>
        </w:rPr>
        <w:t>th</w:t>
      </w:r>
      <w:r>
        <w:t xml:space="preserve"> April 2025). </w:t>
      </w:r>
    </w:p>
    <w:p w14:paraId="53A0BAFA" w14:textId="77777777" w:rsidR="00753DED" w:rsidRDefault="00753DED" w:rsidP="002933CC">
      <w:pPr>
        <w:jc w:val="left"/>
      </w:pPr>
    </w:p>
    <w:p w14:paraId="4885F6D9" w14:textId="7E5B29D0" w:rsidR="00753DED" w:rsidRDefault="002D1710" w:rsidP="002933CC">
      <w:pPr>
        <w:jc w:val="left"/>
      </w:pPr>
      <w:r>
        <w:t xml:space="preserve">Crown Prosecution Service (CPS). 2022. </w:t>
      </w:r>
      <w:r w:rsidRPr="002D1710">
        <w:rPr>
          <w:i/>
          <w:iCs/>
        </w:rPr>
        <w:t>Terrorism</w:t>
      </w:r>
      <w:r>
        <w:t xml:space="preserve">. Available at: </w:t>
      </w:r>
      <w:hyperlink r:id="rId11" w:history="1">
        <w:r w:rsidRPr="002D1710">
          <w:rPr>
            <w:rStyle w:val="Hyperlink"/>
          </w:rPr>
          <w:t>Terrorism | The Crown Prosecution Service</w:t>
        </w:r>
      </w:hyperlink>
      <w:r>
        <w:t xml:space="preserve"> (Accessed 5</w:t>
      </w:r>
      <w:r w:rsidRPr="002D1710">
        <w:rPr>
          <w:vertAlign w:val="superscript"/>
        </w:rPr>
        <w:t>th</w:t>
      </w:r>
      <w:r>
        <w:t xml:space="preserve"> April 2025). </w:t>
      </w:r>
    </w:p>
    <w:p w14:paraId="74C3DAF7" w14:textId="77777777" w:rsidR="00376A81" w:rsidRDefault="00376A81" w:rsidP="002933CC">
      <w:pPr>
        <w:jc w:val="left"/>
      </w:pPr>
    </w:p>
    <w:p w14:paraId="53A2CDB6" w14:textId="592C9346" w:rsidR="00376A81" w:rsidRDefault="00376A81" w:rsidP="002933CC">
      <w:pPr>
        <w:jc w:val="left"/>
      </w:pPr>
      <w:r>
        <w:t xml:space="preserve">EUROPOL. 2017. </w:t>
      </w:r>
      <w:r w:rsidRPr="00376A81">
        <w:rPr>
          <w:i/>
          <w:iCs/>
        </w:rPr>
        <w:t>Links Between Serious and Organised Crime and Terrorism</w:t>
      </w:r>
      <w:r>
        <w:t xml:space="preserve">. Available at: </w:t>
      </w:r>
      <w:hyperlink r:id="rId12" w:history="1">
        <w:r w:rsidRPr="00376A81">
          <w:rPr>
            <w:rStyle w:val="Hyperlink"/>
          </w:rPr>
          <w:t>Links between serious and organised crime and terrorism - SOCTA 2017</w:t>
        </w:r>
      </w:hyperlink>
      <w:r>
        <w:t xml:space="preserve"> (Accessed 5</w:t>
      </w:r>
      <w:r w:rsidRPr="00376A81">
        <w:rPr>
          <w:vertAlign w:val="superscript"/>
        </w:rPr>
        <w:t>th</w:t>
      </w:r>
      <w:r>
        <w:t xml:space="preserve"> April 2025). </w:t>
      </w:r>
    </w:p>
    <w:p w14:paraId="5C40AD14" w14:textId="77777777" w:rsidR="00FE4B0C" w:rsidRDefault="00FE4B0C" w:rsidP="002933CC">
      <w:pPr>
        <w:jc w:val="left"/>
      </w:pPr>
    </w:p>
    <w:p w14:paraId="486D96B9" w14:textId="77777777" w:rsidR="00ED48A6" w:rsidRPr="00AA3314" w:rsidRDefault="00ED48A6" w:rsidP="00ED48A6">
      <w:pPr>
        <w:jc w:val="left"/>
      </w:pPr>
      <w:r w:rsidRPr="00AA3314">
        <w:t>Goldson, B. (2000), ‘Wither Diversion? Interventionism and the New Youth Justice’, in Goldson, B. (ed) </w:t>
      </w:r>
      <w:r w:rsidRPr="00AA3314">
        <w:rPr>
          <w:i/>
          <w:iCs/>
        </w:rPr>
        <w:t>The New Youth Justice</w:t>
      </w:r>
      <w:r w:rsidRPr="00AA3314">
        <w:t>, Dorset: Russell House Publishing.</w:t>
      </w:r>
    </w:p>
    <w:p w14:paraId="53D90A51" w14:textId="77777777" w:rsidR="00ED48A6" w:rsidRDefault="00ED48A6" w:rsidP="002933CC">
      <w:pPr>
        <w:jc w:val="left"/>
      </w:pPr>
    </w:p>
    <w:p w14:paraId="5014B2BC" w14:textId="606E0C2F" w:rsidR="001204F0" w:rsidRDefault="001204F0" w:rsidP="002933CC">
      <w:pPr>
        <w:jc w:val="left"/>
      </w:pPr>
      <w:r>
        <w:t xml:space="preserve">Gov.uk. (2017). </w:t>
      </w:r>
      <w:r w:rsidRPr="001204F0">
        <w:rPr>
          <w:i/>
          <w:iCs/>
        </w:rPr>
        <w:t>Law tightened to target terrorists' use of the internet</w:t>
      </w:r>
      <w:r>
        <w:t xml:space="preserve">. Available at: </w:t>
      </w:r>
      <w:hyperlink r:id="rId13" w:history="1">
        <w:r w:rsidRPr="001204F0">
          <w:rPr>
            <w:rStyle w:val="Hyperlink"/>
          </w:rPr>
          <w:t>Law tightened to target terrorists' use of the internet - GOV.UK</w:t>
        </w:r>
      </w:hyperlink>
      <w:r>
        <w:t xml:space="preserve"> (Accessed 5</w:t>
      </w:r>
      <w:r w:rsidRPr="001204F0">
        <w:rPr>
          <w:vertAlign w:val="superscript"/>
        </w:rPr>
        <w:t>th</w:t>
      </w:r>
      <w:r>
        <w:t xml:space="preserve"> April 2025). </w:t>
      </w:r>
    </w:p>
    <w:p w14:paraId="0E357C2D" w14:textId="77777777" w:rsidR="001204F0" w:rsidRDefault="001204F0" w:rsidP="002933CC">
      <w:pPr>
        <w:jc w:val="left"/>
      </w:pPr>
    </w:p>
    <w:p w14:paraId="302005C7" w14:textId="2F3C141F" w:rsidR="00AA3314" w:rsidRDefault="00FE4B0C" w:rsidP="002933CC">
      <w:pPr>
        <w:jc w:val="left"/>
      </w:pPr>
      <w:r>
        <w:t xml:space="preserve">Gov.uk. (2023). </w:t>
      </w:r>
      <w:r w:rsidRPr="00FE4B0C">
        <w:rPr>
          <w:i/>
          <w:iCs/>
        </w:rPr>
        <w:t>Ethnicity facts and figures - Police workforce.</w:t>
      </w:r>
      <w:r>
        <w:t xml:space="preserve"> Available at: </w:t>
      </w:r>
      <w:hyperlink r:id="rId14" w:history="1">
        <w:r w:rsidRPr="00FE4B0C">
          <w:rPr>
            <w:rStyle w:val="Hyperlink"/>
          </w:rPr>
          <w:t>Police workforce - GOV.UK Ethnicity facts and figures</w:t>
        </w:r>
      </w:hyperlink>
      <w:r>
        <w:t xml:space="preserve"> (Accessed 4</w:t>
      </w:r>
      <w:r w:rsidRPr="00FE4B0C">
        <w:rPr>
          <w:vertAlign w:val="superscript"/>
        </w:rPr>
        <w:t>th</w:t>
      </w:r>
      <w:r>
        <w:t xml:space="preserve"> April 2025). </w:t>
      </w:r>
    </w:p>
    <w:p w14:paraId="7BA57E30" w14:textId="77777777" w:rsidR="00453B7C" w:rsidRDefault="00453B7C" w:rsidP="002933CC">
      <w:pPr>
        <w:jc w:val="left"/>
      </w:pPr>
    </w:p>
    <w:p w14:paraId="321C69EA" w14:textId="6BE1B6F4" w:rsidR="00453B7C" w:rsidRDefault="00453B7C" w:rsidP="002933CC">
      <w:pPr>
        <w:jc w:val="left"/>
      </w:pPr>
      <w:r>
        <w:t xml:space="preserve">Grahame, A., and Wong, H. 2024. </w:t>
      </w:r>
      <w:r w:rsidRPr="00453B7C">
        <w:rPr>
          <w:i/>
          <w:iCs/>
        </w:rPr>
        <w:t>Research Briefing: Police Service Strength</w:t>
      </w:r>
      <w:r>
        <w:t xml:space="preserve">. House of Commons Library. Available at: </w:t>
      </w:r>
      <w:hyperlink r:id="rId15" w:history="1">
        <w:r w:rsidRPr="00453B7C">
          <w:rPr>
            <w:rStyle w:val="Hyperlink"/>
          </w:rPr>
          <w:t>Police service strength - House of Commons Library</w:t>
        </w:r>
      </w:hyperlink>
      <w:r>
        <w:t xml:space="preserve"> (Accessed 4</w:t>
      </w:r>
      <w:r w:rsidRPr="00453B7C">
        <w:rPr>
          <w:vertAlign w:val="superscript"/>
        </w:rPr>
        <w:t>th</w:t>
      </w:r>
      <w:r>
        <w:t xml:space="preserve"> April 2025). </w:t>
      </w:r>
    </w:p>
    <w:p w14:paraId="7021BECB" w14:textId="77777777" w:rsidR="00D45966" w:rsidRDefault="00D45966" w:rsidP="002933CC">
      <w:pPr>
        <w:jc w:val="left"/>
      </w:pPr>
    </w:p>
    <w:p w14:paraId="20051B64" w14:textId="14FCC774" w:rsidR="00D45966" w:rsidRPr="00D45966" w:rsidRDefault="00D45966" w:rsidP="002933CC">
      <w:pPr>
        <w:jc w:val="left"/>
      </w:pPr>
      <w:r>
        <w:t xml:space="preserve">Hancock, S. (2023). </w:t>
      </w:r>
      <w:r>
        <w:rPr>
          <w:i/>
          <w:iCs/>
        </w:rPr>
        <w:t xml:space="preserve">Early Intervention for Lifelong Benefits. </w:t>
      </w:r>
      <w:r>
        <w:t xml:space="preserve">Gov.uk. Available at: </w:t>
      </w:r>
      <w:hyperlink r:id="rId16" w:history="1">
        <w:r w:rsidRPr="00D45966">
          <w:rPr>
            <w:rStyle w:val="Hyperlink"/>
          </w:rPr>
          <w:t>Early intervention for lifelong benefits - GOV.UK</w:t>
        </w:r>
      </w:hyperlink>
      <w:r>
        <w:t xml:space="preserve"> (Accessed: 23</w:t>
      </w:r>
      <w:r w:rsidRPr="00D45966">
        <w:rPr>
          <w:vertAlign w:val="superscript"/>
        </w:rPr>
        <w:t>rd</w:t>
      </w:r>
      <w:r>
        <w:t xml:space="preserve"> April 2025).</w:t>
      </w:r>
    </w:p>
    <w:p w14:paraId="52006F72" w14:textId="77777777" w:rsidR="00F02846" w:rsidRDefault="00F02846" w:rsidP="002933CC">
      <w:pPr>
        <w:jc w:val="left"/>
      </w:pPr>
    </w:p>
    <w:p w14:paraId="6D4177B2" w14:textId="2EDCA5BB" w:rsidR="00F02846" w:rsidRPr="00966C4D" w:rsidRDefault="00F02846" w:rsidP="002933CC">
      <w:pPr>
        <w:jc w:val="left"/>
      </w:pPr>
      <w:r w:rsidRPr="00F02846">
        <w:t>His Majesty’s Inspectorate of Constabulary and Fire &amp; Rescue Services</w:t>
      </w:r>
      <w:r>
        <w:t xml:space="preserve"> (HMICFRS) (2021). </w:t>
      </w:r>
      <w:r w:rsidRPr="00F02846">
        <w:rPr>
          <w:i/>
          <w:iCs/>
        </w:rPr>
        <w:t>Disproportionate use of police powers – A spotlight on stop and search and the use of force.</w:t>
      </w:r>
      <w:r>
        <w:t xml:space="preserve"> </w:t>
      </w:r>
      <w:r>
        <w:lastRenderedPageBreak/>
        <w:t xml:space="preserve">Available at: </w:t>
      </w:r>
      <w:hyperlink r:id="rId17" w:history="1">
        <w:r w:rsidRPr="00F02846">
          <w:rPr>
            <w:rStyle w:val="Hyperlink"/>
          </w:rPr>
          <w:t>Disproportionate use of police powers – A spotlight on stop and search and the use of force - His Majesty’s Inspectorate of Constabulary and Fire &amp; Rescue Services</w:t>
        </w:r>
      </w:hyperlink>
      <w:r>
        <w:t xml:space="preserve"> (Accessed 4</w:t>
      </w:r>
      <w:r w:rsidRPr="00F02846">
        <w:rPr>
          <w:vertAlign w:val="superscript"/>
        </w:rPr>
        <w:t>th</w:t>
      </w:r>
      <w:r>
        <w:t xml:space="preserve"> April 2025). </w:t>
      </w:r>
    </w:p>
    <w:p w14:paraId="3D841B00" w14:textId="77777777" w:rsidR="00966C4D" w:rsidRDefault="00966C4D" w:rsidP="002933CC">
      <w:pPr>
        <w:jc w:val="left"/>
        <w:rPr>
          <w:b/>
          <w:bCs/>
          <w:u w:val="single"/>
        </w:rPr>
      </w:pPr>
    </w:p>
    <w:p w14:paraId="24DB1BE6" w14:textId="5CFADF28" w:rsidR="00D31522" w:rsidRPr="00D31522" w:rsidRDefault="00D31522" w:rsidP="00D31522">
      <w:pPr>
        <w:jc w:val="left"/>
      </w:pPr>
      <w:r>
        <w:t xml:space="preserve">HM Government. (2011). </w:t>
      </w:r>
      <w:r w:rsidRPr="00D31522">
        <w:rPr>
          <w:i/>
          <w:iCs/>
        </w:rPr>
        <w:t xml:space="preserve">Ending Gang and Youth Violence: A Cross-Government Report. </w:t>
      </w:r>
      <w:r>
        <w:t xml:space="preserve">Available at: </w:t>
      </w:r>
      <w:hyperlink r:id="rId18" w:history="1">
        <w:r w:rsidRPr="00D31522">
          <w:rPr>
            <w:rStyle w:val="Hyperlink"/>
          </w:rPr>
          <w:t>gang-violence-summary.pdf</w:t>
        </w:r>
      </w:hyperlink>
      <w:r>
        <w:t xml:space="preserve"> (Accessed: 23</w:t>
      </w:r>
      <w:r w:rsidRPr="00D31522">
        <w:rPr>
          <w:vertAlign w:val="superscript"/>
        </w:rPr>
        <w:t>rd</w:t>
      </w:r>
      <w:r>
        <w:t xml:space="preserve"> April 2025). </w:t>
      </w:r>
    </w:p>
    <w:p w14:paraId="57EDC403" w14:textId="77777777" w:rsidR="00D31522" w:rsidRDefault="00D31522" w:rsidP="002933CC">
      <w:pPr>
        <w:jc w:val="left"/>
        <w:rPr>
          <w:b/>
          <w:bCs/>
          <w:u w:val="single"/>
        </w:rPr>
      </w:pPr>
    </w:p>
    <w:p w14:paraId="434519CE" w14:textId="5977125B" w:rsidR="00766F1E" w:rsidRPr="00766F1E" w:rsidRDefault="00766F1E" w:rsidP="002933CC">
      <w:pPr>
        <w:jc w:val="left"/>
      </w:pPr>
      <w:r>
        <w:t xml:space="preserve">HM Government. (2013). Serious and Organised Crime Strategy. Available at: </w:t>
      </w:r>
      <w:hyperlink r:id="rId19" w:history="1">
        <w:r w:rsidRPr="00766F1E">
          <w:rPr>
            <w:rStyle w:val="Hyperlink"/>
          </w:rPr>
          <w:t>Serious and organised crime strategy - pamphlet</w:t>
        </w:r>
      </w:hyperlink>
      <w:r>
        <w:t xml:space="preserve"> (Accessed 5</w:t>
      </w:r>
      <w:r w:rsidRPr="00766F1E">
        <w:rPr>
          <w:vertAlign w:val="superscript"/>
        </w:rPr>
        <w:t>th</w:t>
      </w:r>
      <w:r>
        <w:t xml:space="preserve"> April 2025). </w:t>
      </w:r>
    </w:p>
    <w:p w14:paraId="496A6364" w14:textId="77777777" w:rsidR="00CD75C4" w:rsidRDefault="00CD75C4" w:rsidP="002933CC">
      <w:pPr>
        <w:jc w:val="left"/>
        <w:rPr>
          <w:b/>
          <w:bCs/>
          <w:u w:val="single"/>
        </w:rPr>
      </w:pPr>
    </w:p>
    <w:p w14:paraId="4D1DDBE2" w14:textId="66ADBCD9" w:rsidR="00C672FD" w:rsidRDefault="00C672FD" w:rsidP="00C672FD">
      <w:pPr>
        <w:jc w:val="left"/>
      </w:pPr>
      <w:r>
        <w:t xml:space="preserve">Home Office. 2012. </w:t>
      </w:r>
      <w:r w:rsidRPr="00C672FD">
        <w:rPr>
          <w:i/>
          <w:iCs/>
        </w:rPr>
        <w:t>FOI release Definition of policing by consent</w:t>
      </w:r>
      <w:r>
        <w:t xml:space="preserve">. Available at: </w:t>
      </w:r>
      <w:hyperlink r:id="rId20" w:history="1">
        <w:r w:rsidRPr="00C672FD">
          <w:rPr>
            <w:rStyle w:val="Hyperlink"/>
          </w:rPr>
          <w:t>Definition of policing by consent - GOV.UK</w:t>
        </w:r>
      </w:hyperlink>
      <w:r>
        <w:t xml:space="preserve"> (Accessed 4</w:t>
      </w:r>
      <w:r w:rsidRPr="00C672FD">
        <w:rPr>
          <w:vertAlign w:val="superscript"/>
        </w:rPr>
        <w:t>th</w:t>
      </w:r>
      <w:r>
        <w:t xml:space="preserve"> March 2025).</w:t>
      </w:r>
    </w:p>
    <w:p w14:paraId="1FFC7E5A" w14:textId="77777777" w:rsidR="001204F0" w:rsidRDefault="001204F0" w:rsidP="00C672FD">
      <w:pPr>
        <w:jc w:val="left"/>
      </w:pPr>
    </w:p>
    <w:p w14:paraId="61E1664A" w14:textId="15EB915B" w:rsidR="001204F0" w:rsidRDefault="001204F0" w:rsidP="00C672FD">
      <w:pPr>
        <w:jc w:val="left"/>
      </w:pPr>
      <w:r>
        <w:t xml:space="preserve">Home Office. 2019. </w:t>
      </w:r>
      <w:r w:rsidRPr="001204F0">
        <w:rPr>
          <w:i/>
          <w:iCs/>
        </w:rPr>
        <w:t>Online Harms White Paper Factsheet</w:t>
      </w:r>
      <w:r>
        <w:t xml:space="preserve">. Available at: </w:t>
      </w:r>
      <w:hyperlink r:id="rId21" w:history="1">
        <w:r w:rsidRPr="001204F0">
          <w:rPr>
            <w:rStyle w:val="Hyperlink"/>
          </w:rPr>
          <w:t>Online Harms White Paper Factsheet – Home Office in the media</w:t>
        </w:r>
      </w:hyperlink>
      <w:r>
        <w:t xml:space="preserve"> (Accessed 5</w:t>
      </w:r>
      <w:r w:rsidRPr="001204F0">
        <w:rPr>
          <w:vertAlign w:val="superscript"/>
        </w:rPr>
        <w:t>th</w:t>
      </w:r>
      <w:r>
        <w:t xml:space="preserve"> April 2025). </w:t>
      </w:r>
    </w:p>
    <w:p w14:paraId="1D8126E1" w14:textId="77777777" w:rsidR="002822A2" w:rsidRDefault="002822A2" w:rsidP="00C672FD">
      <w:pPr>
        <w:jc w:val="left"/>
      </w:pPr>
    </w:p>
    <w:p w14:paraId="3F81BF89" w14:textId="13310295" w:rsidR="002822A2" w:rsidRDefault="002822A2" w:rsidP="00C672FD">
      <w:pPr>
        <w:jc w:val="left"/>
      </w:pPr>
      <w:r>
        <w:t xml:space="preserve">Home Office. 2023. </w:t>
      </w:r>
      <w:r w:rsidRPr="002822A2">
        <w:t>Criminal exploitation of children and vulnerable adults: county lines</w:t>
      </w:r>
      <w:r>
        <w:t xml:space="preserve">. Available at: </w:t>
      </w:r>
      <w:hyperlink r:id="rId22" w:anchor="ways-of-working" w:history="1">
        <w:r w:rsidRPr="002822A2">
          <w:rPr>
            <w:rStyle w:val="Hyperlink"/>
          </w:rPr>
          <w:t>Criminal exploitation of children and vulnerable adults: county lines (accessible version) - GOV.UK</w:t>
        </w:r>
      </w:hyperlink>
      <w:r>
        <w:t xml:space="preserve"> (Accessed 5</w:t>
      </w:r>
      <w:r w:rsidRPr="002822A2">
        <w:rPr>
          <w:vertAlign w:val="superscript"/>
        </w:rPr>
        <w:t>th</w:t>
      </w:r>
      <w:r>
        <w:t xml:space="preserve"> April 2025). </w:t>
      </w:r>
    </w:p>
    <w:p w14:paraId="6F054447" w14:textId="77777777" w:rsidR="00ED48A6" w:rsidRDefault="00ED48A6" w:rsidP="00C672FD">
      <w:pPr>
        <w:jc w:val="left"/>
      </w:pPr>
    </w:p>
    <w:p w14:paraId="3AA2F963" w14:textId="33D65ACF" w:rsidR="00ED48A6" w:rsidRDefault="00ED48A6" w:rsidP="00C672FD">
      <w:pPr>
        <w:jc w:val="left"/>
      </w:pPr>
      <w:r>
        <w:t xml:space="preserve">Home Office. 2025. </w:t>
      </w:r>
      <w:r w:rsidRPr="00CD75C4">
        <w:rPr>
          <w:i/>
          <w:iCs/>
        </w:rPr>
        <w:t>Accredited official statistics Police workforce, England and Wales: 31 March 2024.</w:t>
      </w:r>
      <w:r>
        <w:rPr>
          <w:b/>
          <w:bCs/>
        </w:rPr>
        <w:t xml:space="preserve"> </w:t>
      </w:r>
      <w:r>
        <w:t xml:space="preserve">Available at: </w:t>
      </w:r>
      <w:hyperlink r:id="rId23" w:history="1">
        <w:r w:rsidRPr="007C2D6B">
          <w:rPr>
            <w:rStyle w:val="Hyperlink"/>
          </w:rPr>
          <w:t>https://www.gov.uk/government/statistics/police-workforce-england-and-wales-31-march-2024/police-workforce-england-and-wales-31-march-2024</w:t>
        </w:r>
      </w:hyperlink>
      <w:r>
        <w:t xml:space="preserve"> (Accessed 4th April 2025). </w:t>
      </w:r>
    </w:p>
    <w:p w14:paraId="18A52B9F" w14:textId="77777777" w:rsidR="00A86F4C" w:rsidRDefault="00A86F4C" w:rsidP="00C672FD">
      <w:pPr>
        <w:jc w:val="left"/>
      </w:pPr>
    </w:p>
    <w:p w14:paraId="3170F233" w14:textId="088108C2" w:rsidR="00753DED" w:rsidRDefault="00753DED" w:rsidP="00C672FD">
      <w:pPr>
        <w:jc w:val="left"/>
      </w:pPr>
      <w:r>
        <w:t xml:space="preserve">Local Government Association. 2015. Tackling Serious and Organised Crime, a Local Response. Available at: </w:t>
      </w:r>
      <w:hyperlink r:id="rId24" w:history="1">
        <w:r w:rsidRPr="00753DED">
          <w:rPr>
            <w:rStyle w:val="Hyperlink"/>
          </w:rPr>
          <w:t>tackling-serious-and-orga-44a.pdf</w:t>
        </w:r>
      </w:hyperlink>
      <w:r>
        <w:t xml:space="preserve"> (Accessed 5</w:t>
      </w:r>
      <w:r w:rsidRPr="00753DED">
        <w:rPr>
          <w:vertAlign w:val="superscript"/>
        </w:rPr>
        <w:t>th</w:t>
      </w:r>
      <w:r>
        <w:t xml:space="preserve"> April 2025). </w:t>
      </w:r>
    </w:p>
    <w:p w14:paraId="5788EC9A" w14:textId="77777777" w:rsidR="00753DED" w:rsidRDefault="00753DED" w:rsidP="00C672FD">
      <w:pPr>
        <w:jc w:val="left"/>
      </w:pPr>
    </w:p>
    <w:p w14:paraId="45034A9D" w14:textId="7BCFE5E9" w:rsidR="00A86F4C" w:rsidRDefault="00A86F4C" w:rsidP="00C672FD">
      <w:pPr>
        <w:jc w:val="left"/>
      </w:pPr>
      <w:r>
        <w:t xml:space="preserve">Malik, N. 2018. </w:t>
      </w:r>
      <w:r w:rsidRPr="00A86F4C">
        <w:t>Written evidence submitted by the Henry Jackson Society (DGC0057)</w:t>
      </w:r>
      <w:r>
        <w:t xml:space="preserve">. Available at: </w:t>
      </w:r>
      <w:hyperlink r:id="rId25" w:history="1">
        <w:r w:rsidRPr="00A86F4C">
          <w:rPr>
            <w:rStyle w:val="Hyperlink"/>
          </w:rPr>
          <w:t>DGC0057 - Evidence on Digital currencies</w:t>
        </w:r>
      </w:hyperlink>
      <w:r>
        <w:t xml:space="preserve"> (Accessed 5</w:t>
      </w:r>
      <w:r w:rsidRPr="00A86F4C">
        <w:rPr>
          <w:vertAlign w:val="superscript"/>
        </w:rPr>
        <w:t>th</w:t>
      </w:r>
      <w:r>
        <w:t xml:space="preserve"> April 2025). </w:t>
      </w:r>
    </w:p>
    <w:p w14:paraId="173D1A4E" w14:textId="77777777" w:rsidR="00BC372F" w:rsidRDefault="00BC372F" w:rsidP="00C672FD">
      <w:pPr>
        <w:jc w:val="left"/>
      </w:pPr>
    </w:p>
    <w:p w14:paraId="56075A27" w14:textId="5CF2EE99" w:rsidR="00BC372F" w:rsidRDefault="00BC372F" w:rsidP="00C672FD">
      <w:pPr>
        <w:jc w:val="left"/>
      </w:pPr>
      <w:r>
        <w:t xml:space="preserve">National Crime Agency (NCA). 2025. Drug Trafficking. Available at: </w:t>
      </w:r>
      <w:hyperlink r:id="rId26" w:history="1">
        <w:r w:rsidRPr="00BC372F">
          <w:rPr>
            <w:rStyle w:val="Hyperlink"/>
          </w:rPr>
          <w:t>Drug trafficking - National Crime Agency</w:t>
        </w:r>
      </w:hyperlink>
      <w:r>
        <w:t xml:space="preserve"> (Accessed 5</w:t>
      </w:r>
      <w:r w:rsidRPr="00BC372F">
        <w:rPr>
          <w:vertAlign w:val="superscript"/>
        </w:rPr>
        <w:t>th</w:t>
      </w:r>
      <w:r>
        <w:t xml:space="preserve"> April 2025). </w:t>
      </w:r>
    </w:p>
    <w:p w14:paraId="4BAC2645" w14:textId="77777777" w:rsidR="00BC0100" w:rsidRDefault="00BC0100" w:rsidP="00C672FD">
      <w:pPr>
        <w:jc w:val="left"/>
      </w:pPr>
    </w:p>
    <w:p w14:paraId="3F97E018" w14:textId="2308200C" w:rsidR="00BC0100" w:rsidRDefault="00BC0100" w:rsidP="00C672FD">
      <w:pPr>
        <w:jc w:val="left"/>
      </w:pPr>
      <w:r>
        <w:t>National Society f</w:t>
      </w:r>
      <w:r w:rsidRPr="00BC0100">
        <w:t>or the Prevention of Cruelty to Children</w:t>
      </w:r>
      <w:r>
        <w:t xml:space="preserve"> (NSPCC). (2025). Criminal Exploitation and Gangs. Available at: </w:t>
      </w:r>
      <w:hyperlink r:id="rId27" w:history="1">
        <w:r w:rsidRPr="00BC0100">
          <w:rPr>
            <w:rStyle w:val="Hyperlink"/>
          </w:rPr>
          <w:t>Criminal exploitation and gangs | NSPCC</w:t>
        </w:r>
      </w:hyperlink>
      <w:r>
        <w:t xml:space="preserve"> (Accessed 5</w:t>
      </w:r>
      <w:r w:rsidRPr="00BC0100">
        <w:rPr>
          <w:vertAlign w:val="superscript"/>
        </w:rPr>
        <w:t>th</w:t>
      </w:r>
      <w:r>
        <w:t xml:space="preserve"> April 2025). </w:t>
      </w:r>
    </w:p>
    <w:p w14:paraId="65929740" w14:textId="77777777" w:rsidR="00844149" w:rsidRDefault="00844149" w:rsidP="00C672FD">
      <w:pPr>
        <w:jc w:val="left"/>
      </w:pPr>
    </w:p>
    <w:p w14:paraId="6E032CD0" w14:textId="01DE448F" w:rsidR="00844149" w:rsidRDefault="00844149" w:rsidP="00844149">
      <w:pPr>
        <w:jc w:val="left"/>
      </w:pPr>
      <w:r>
        <w:t xml:space="preserve">O’Connor, R. M., &amp; Waddell, S. (2015). What works to prevent gang involvement, youth violence and crime. </w:t>
      </w:r>
      <w:r w:rsidRPr="00844149">
        <w:rPr>
          <w:i/>
          <w:iCs/>
        </w:rPr>
        <w:t>A Rapid Review of Interventions Delivered in the UK and Abroad</w:t>
      </w:r>
      <w:r>
        <w:t>, Early Intervention Foundation, London.</w:t>
      </w:r>
    </w:p>
    <w:p w14:paraId="68EA2098" w14:textId="77777777" w:rsidR="00FE4B0C" w:rsidRDefault="00FE4B0C" w:rsidP="00C672FD">
      <w:pPr>
        <w:jc w:val="left"/>
      </w:pPr>
    </w:p>
    <w:p w14:paraId="5DA3E83A" w14:textId="1568E1FA" w:rsidR="00FE4B0C" w:rsidRDefault="00FE4B0C" w:rsidP="00C672FD">
      <w:pPr>
        <w:jc w:val="left"/>
      </w:pPr>
      <w:r w:rsidRPr="00FE4B0C">
        <w:t xml:space="preserve">Ruda, S., Linos, E. and Reinhard, J. (2015) </w:t>
      </w:r>
      <w:r w:rsidRPr="00FE4B0C">
        <w:rPr>
          <w:i/>
          <w:iCs/>
        </w:rPr>
        <w:t>Promoting diversity in the Police. The Behavioural Insights Team in partnership with The Cabinet Office</w:t>
      </w:r>
      <w:r w:rsidRPr="00FE4B0C">
        <w:t xml:space="preserve">. Accessible at: </w:t>
      </w:r>
      <w:hyperlink r:id="rId28" w:history="1">
        <w:r w:rsidRPr="00FE4B0C">
          <w:rPr>
            <w:rStyle w:val="Hyperlink"/>
          </w:rPr>
          <w:t>Levelling the playing field in police recruitment: Evidence from a field experiment on test performance - Linos - 2017 - Public Administration - Wiley Online Library</w:t>
        </w:r>
      </w:hyperlink>
      <w:r>
        <w:t xml:space="preserve"> (Accessed 4</w:t>
      </w:r>
      <w:r w:rsidRPr="00FE4B0C">
        <w:rPr>
          <w:vertAlign w:val="superscript"/>
        </w:rPr>
        <w:t>th</w:t>
      </w:r>
      <w:r>
        <w:t xml:space="preserve"> April 2025). </w:t>
      </w:r>
    </w:p>
    <w:p w14:paraId="095D3617" w14:textId="77777777" w:rsidR="000657DA" w:rsidRDefault="000657DA" w:rsidP="00C672FD">
      <w:pPr>
        <w:jc w:val="left"/>
      </w:pPr>
    </w:p>
    <w:p w14:paraId="26E5009E" w14:textId="5227C03B" w:rsidR="00453B7C" w:rsidRPr="00C672FD" w:rsidRDefault="000657DA" w:rsidP="00C672FD">
      <w:pPr>
        <w:jc w:val="left"/>
      </w:pPr>
      <w:r>
        <w:t xml:space="preserve">Youth Justice Board. 2023. </w:t>
      </w:r>
      <w:r>
        <w:rPr>
          <w:i/>
          <w:iCs/>
        </w:rPr>
        <w:t xml:space="preserve">Prevention and Diversion Project – Final Report. </w:t>
      </w:r>
      <w:r>
        <w:t xml:space="preserve">Available at </w:t>
      </w:r>
      <w:hyperlink r:id="rId29" w:history="1">
        <w:r w:rsidRPr="000657DA">
          <w:rPr>
            <w:rStyle w:val="Hyperlink"/>
          </w:rPr>
          <w:t>Formal document</w:t>
        </w:r>
      </w:hyperlink>
      <w:r>
        <w:t xml:space="preserve"> (Accessed: 23</w:t>
      </w:r>
      <w:r w:rsidRPr="000657DA">
        <w:rPr>
          <w:vertAlign w:val="superscript"/>
        </w:rPr>
        <w:t>rd</w:t>
      </w:r>
      <w:r>
        <w:t xml:space="preserve"> April 2025). </w:t>
      </w:r>
    </w:p>
    <w:sectPr w:rsidR="00453B7C" w:rsidRPr="00C67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778C7DF2"/>
    <w:multiLevelType w:val="multilevel"/>
    <w:tmpl w:val="E8780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8715602">
    <w:abstractNumId w:val="0"/>
  </w:num>
  <w:num w:numId="2" w16cid:durableId="1073433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CC"/>
    <w:rsid w:val="000657DA"/>
    <w:rsid w:val="000709DF"/>
    <w:rsid w:val="000A2A6C"/>
    <w:rsid w:val="000F2F75"/>
    <w:rsid w:val="001204F0"/>
    <w:rsid w:val="00164721"/>
    <w:rsid w:val="00174A5E"/>
    <w:rsid w:val="001E1026"/>
    <w:rsid w:val="00267784"/>
    <w:rsid w:val="00280E6F"/>
    <w:rsid w:val="002822A2"/>
    <w:rsid w:val="002933CC"/>
    <w:rsid w:val="002D1710"/>
    <w:rsid w:val="00327711"/>
    <w:rsid w:val="00376A81"/>
    <w:rsid w:val="00384E81"/>
    <w:rsid w:val="00393B73"/>
    <w:rsid w:val="003F7B0D"/>
    <w:rsid w:val="00453B7C"/>
    <w:rsid w:val="004C11B6"/>
    <w:rsid w:val="005D6A83"/>
    <w:rsid w:val="00627BB4"/>
    <w:rsid w:val="00654D51"/>
    <w:rsid w:val="006969CC"/>
    <w:rsid w:val="006C2F00"/>
    <w:rsid w:val="006F3673"/>
    <w:rsid w:val="00753DED"/>
    <w:rsid w:val="00766F1E"/>
    <w:rsid w:val="00782A73"/>
    <w:rsid w:val="008433A9"/>
    <w:rsid w:val="00844149"/>
    <w:rsid w:val="008545A9"/>
    <w:rsid w:val="00877897"/>
    <w:rsid w:val="00880B90"/>
    <w:rsid w:val="00966C4D"/>
    <w:rsid w:val="00A86F4C"/>
    <w:rsid w:val="00AA3314"/>
    <w:rsid w:val="00AB749F"/>
    <w:rsid w:val="00B84297"/>
    <w:rsid w:val="00BC0100"/>
    <w:rsid w:val="00BC372F"/>
    <w:rsid w:val="00C0517F"/>
    <w:rsid w:val="00C26A33"/>
    <w:rsid w:val="00C672FD"/>
    <w:rsid w:val="00CD75C4"/>
    <w:rsid w:val="00D31522"/>
    <w:rsid w:val="00D45966"/>
    <w:rsid w:val="00E8559E"/>
    <w:rsid w:val="00E93837"/>
    <w:rsid w:val="00ED48A6"/>
    <w:rsid w:val="00EE55A3"/>
    <w:rsid w:val="00F02846"/>
    <w:rsid w:val="00FA7F77"/>
    <w:rsid w:val="00FE4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7689"/>
  <w15:chartTrackingRefBased/>
  <w15:docId w15:val="{7BC1C7B3-4001-4F4B-BCAD-672CE848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3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3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3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3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3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3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3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3CC"/>
    <w:rPr>
      <w:rFonts w:eastAsiaTheme="majorEastAsia" w:cstheme="majorBidi"/>
      <w:color w:val="272727" w:themeColor="text1" w:themeTint="D8"/>
    </w:rPr>
  </w:style>
  <w:style w:type="paragraph" w:styleId="Title">
    <w:name w:val="Title"/>
    <w:basedOn w:val="Normal"/>
    <w:next w:val="Normal"/>
    <w:link w:val="TitleChar"/>
    <w:uiPriority w:val="10"/>
    <w:qFormat/>
    <w:rsid w:val="00293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3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3CC"/>
    <w:pPr>
      <w:spacing w:before="160" w:after="160"/>
    </w:pPr>
    <w:rPr>
      <w:i/>
      <w:iCs/>
      <w:color w:val="404040" w:themeColor="text1" w:themeTint="BF"/>
    </w:rPr>
  </w:style>
  <w:style w:type="character" w:customStyle="1" w:styleId="QuoteChar">
    <w:name w:val="Quote Char"/>
    <w:basedOn w:val="DefaultParagraphFont"/>
    <w:link w:val="Quote"/>
    <w:uiPriority w:val="29"/>
    <w:rsid w:val="002933CC"/>
    <w:rPr>
      <w:i/>
      <w:iCs/>
      <w:color w:val="404040" w:themeColor="text1" w:themeTint="BF"/>
    </w:rPr>
  </w:style>
  <w:style w:type="paragraph" w:styleId="ListParagraph">
    <w:name w:val="List Paragraph"/>
    <w:basedOn w:val="Normal"/>
    <w:uiPriority w:val="34"/>
    <w:qFormat/>
    <w:rsid w:val="002933CC"/>
    <w:pPr>
      <w:ind w:left="720"/>
      <w:contextualSpacing/>
    </w:pPr>
  </w:style>
  <w:style w:type="character" w:styleId="IntenseEmphasis">
    <w:name w:val="Intense Emphasis"/>
    <w:basedOn w:val="DefaultParagraphFont"/>
    <w:uiPriority w:val="21"/>
    <w:qFormat/>
    <w:rsid w:val="002933CC"/>
    <w:rPr>
      <w:i/>
      <w:iCs/>
      <w:color w:val="0F4761" w:themeColor="accent1" w:themeShade="BF"/>
    </w:rPr>
  </w:style>
  <w:style w:type="paragraph" w:styleId="IntenseQuote">
    <w:name w:val="Intense Quote"/>
    <w:basedOn w:val="Normal"/>
    <w:next w:val="Normal"/>
    <w:link w:val="IntenseQuoteChar"/>
    <w:uiPriority w:val="30"/>
    <w:qFormat/>
    <w:rsid w:val="002933CC"/>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2933CC"/>
    <w:rPr>
      <w:i/>
      <w:iCs/>
      <w:color w:val="0F4761" w:themeColor="accent1" w:themeShade="BF"/>
    </w:rPr>
  </w:style>
  <w:style w:type="character" w:styleId="IntenseReference">
    <w:name w:val="Intense Reference"/>
    <w:basedOn w:val="DefaultParagraphFont"/>
    <w:uiPriority w:val="32"/>
    <w:qFormat/>
    <w:rsid w:val="002933CC"/>
    <w:rPr>
      <w:b/>
      <w:bCs/>
      <w:smallCaps/>
      <w:color w:val="0F4761" w:themeColor="accent1" w:themeShade="BF"/>
      <w:spacing w:val="5"/>
    </w:rPr>
  </w:style>
  <w:style w:type="character" w:styleId="Hyperlink">
    <w:name w:val="Hyperlink"/>
    <w:basedOn w:val="DefaultParagraphFont"/>
    <w:uiPriority w:val="99"/>
    <w:unhideWhenUsed/>
    <w:rsid w:val="00C672FD"/>
    <w:rPr>
      <w:color w:val="467886" w:themeColor="hyperlink"/>
      <w:u w:val="single"/>
    </w:rPr>
  </w:style>
  <w:style w:type="character" w:styleId="UnresolvedMention">
    <w:name w:val="Unresolved Mention"/>
    <w:basedOn w:val="DefaultParagraphFont"/>
    <w:uiPriority w:val="99"/>
    <w:semiHidden/>
    <w:unhideWhenUsed/>
    <w:rsid w:val="00C67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154">
      <w:bodyDiv w:val="1"/>
      <w:marLeft w:val="0"/>
      <w:marRight w:val="0"/>
      <w:marTop w:val="0"/>
      <w:marBottom w:val="0"/>
      <w:divBdr>
        <w:top w:val="none" w:sz="0" w:space="0" w:color="auto"/>
        <w:left w:val="none" w:sz="0" w:space="0" w:color="auto"/>
        <w:bottom w:val="none" w:sz="0" w:space="0" w:color="auto"/>
        <w:right w:val="none" w:sz="0" w:space="0" w:color="auto"/>
      </w:divBdr>
    </w:div>
    <w:div w:id="198862154">
      <w:bodyDiv w:val="1"/>
      <w:marLeft w:val="0"/>
      <w:marRight w:val="0"/>
      <w:marTop w:val="0"/>
      <w:marBottom w:val="0"/>
      <w:divBdr>
        <w:top w:val="none" w:sz="0" w:space="0" w:color="auto"/>
        <w:left w:val="none" w:sz="0" w:space="0" w:color="auto"/>
        <w:bottom w:val="none" w:sz="0" w:space="0" w:color="auto"/>
        <w:right w:val="none" w:sz="0" w:space="0" w:color="auto"/>
      </w:divBdr>
    </w:div>
    <w:div w:id="318509199">
      <w:bodyDiv w:val="1"/>
      <w:marLeft w:val="0"/>
      <w:marRight w:val="0"/>
      <w:marTop w:val="0"/>
      <w:marBottom w:val="0"/>
      <w:divBdr>
        <w:top w:val="none" w:sz="0" w:space="0" w:color="auto"/>
        <w:left w:val="none" w:sz="0" w:space="0" w:color="auto"/>
        <w:bottom w:val="none" w:sz="0" w:space="0" w:color="auto"/>
        <w:right w:val="none" w:sz="0" w:space="0" w:color="auto"/>
      </w:divBdr>
    </w:div>
    <w:div w:id="438063103">
      <w:bodyDiv w:val="1"/>
      <w:marLeft w:val="0"/>
      <w:marRight w:val="0"/>
      <w:marTop w:val="0"/>
      <w:marBottom w:val="0"/>
      <w:divBdr>
        <w:top w:val="none" w:sz="0" w:space="0" w:color="auto"/>
        <w:left w:val="none" w:sz="0" w:space="0" w:color="auto"/>
        <w:bottom w:val="none" w:sz="0" w:space="0" w:color="auto"/>
        <w:right w:val="none" w:sz="0" w:space="0" w:color="auto"/>
      </w:divBdr>
    </w:div>
    <w:div w:id="843595851">
      <w:bodyDiv w:val="1"/>
      <w:marLeft w:val="0"/>
      <w:marRight w:val="0"/>
      <w:marTop w:val="0"/>
      <w:marBottom w:val="0"/>
      <w:divBdr>
        <w:top w:val="none" w:sz="0" w:space="0" w:color="auto"/>
        <w:left w:val="none" w:sz="0" w:space="0" w:color="auto"/>
        <w:bottom w:val="none" w:sz="0" w:space="0" w:color="auto"/>
        <w:right w:val="none" w:sz="0" w:space="0" w:color="auto"/>
      </w:divBdr>
    </w:div>
    <w:div w:id="910426635">
      <w:bodyDiv w:val="1"/>
      <w:marLeft w:val="0"/>
      <w:marRight w:val="0"/>
      <w:marTop w:val="0"/>
      <w:marBottom w:val="0"/>
      <w:divBdr>
        <w:top w:val="none" w:sz="0" w:space="0" w:color="auto"/>
        <w:left w:val="none" w:sz="0" w:space="0" w:color="auto"/>
        <w:bottom w:val="none" w:sz="0" w:space="0" w:color="auto"/>
        <w:right w:val="none" w:sz="0" w:space="0" w:color="auto"/>
      </w:divBdr>
    </w:div>
    <w:div w:id="1000935818">
      <w:bodyDiv w:val="1"/>
      <w:marLeft w:val="0"/>
      <w:marRight w:val="0"/>
      <w:marTop w:val="0"/>
      <w:marBottom w:val="0"/>
      <w:divBdr>
        <w:top w:val="none" w:sz="0" w:space="0" w:color="auto"/>
        <w:left w:val="none" w:sz="0" w:space="0" w:color="auto"/>
        <w:bottom w:val="none" w:sz="0" w:space="0" w:color="auto"/>
        <w:right w:val="none" w:sz="0" w:space="0" w:color="auto"/>
      </w:divBdr>
    </w:div>
    <w:div w:id="1018046980">
      <w:bodyDiv w:val="1"/>
      <w:marLeft w:val="0"/>
      <w:marRight w:val="0"/>
      <w:marTop w:val="0"/>
      <w:marBottom w:val="0"/>
      <w:divBdr>
        <w:top w:val="none" w:sz="0" w:space="0" w:color="auto"/>
        <w:left w:val="none" w:sz="0" w:space="0" w:color="auto"/>
        <w:bottom w:val="none" w:sz="0" w:space="0" w:color="auto"/>
        <w:right w:val="none" w:sz="0" w:space="0" w:color="auto"/>
      </w:divBdr>
    </w:div>
    <w:div w:id="1394542844">
      <w:bodyDiv w:val="1"/>
      <w:marLeft w:val="0"/>
      <w:marRight w:val="0"/>
      <w:marTop w:val="0"/>
      <w:marBottom w:val="0"/>
      <w:divBdr>
        <w:top w:val="none" w:sz="0" w:space="0" w:color="auto"/>
        <w:left w:val="none" w:sz="0" w:space="0" w:color="auto"/>
        <w:bottom w:val="none" w:sz="0" w:space="0" w:color="auto"/>
        <w:right w:val="none" w:sz="0" w:space="0" w:color="auto"/>
      </w:divBdr>
    </w:div>
    <w:div w:id="1449617118">
      <w:bodyDiv w:val="1"/>
      <w:marLeft w:val="0"/>
      <w:marRight w:val="0"/>
      <w:marTop w:val="0"/>
      <w:marBottom w:val="0"/>
      <w:divBdr>
        <w:top w:val="none" w:sz="0" w:space="0" w:color="auto"/>
        <w:left w:val="none" w:sz="0" w:space="0" w:color="auto"/>
        <w:bottom w:val="none" w:sz="0" w:space="0" w:color="auto"/>
        <w:right w:val="none" w:sz="0" w:space="0" w:color="auto"/>
      </w:divBdr>
    </w:div>
    <w:div w:id="1454711964">
      <w:bodyDiv w:val="1"/>
      <w:marLeft w:val="0"/>
      <w:marRight w:val="0"/>
      <w:marTop w:val="0"/>
      <w:marBottom w:val="0"/>
      <w:divBdr>
        <w:top w:val="none" w:sz="0" w:space="0" w:color="auto"/>
        <w:left w:val="none" w:sz="0" w:space="0" w:color="auto"/>
        <w:bottom w:val="none" w:sz="0" w:space="0" w:color="auto"/>
        <w:right w:val="none" w:sz="0" w:space="0" w:color="auto"/>
      </w:divBdr>
    </w:div>
    <w:div w:id="1496650499">
      <w:bodyDiv w:val="1"/>
      <w:marLeft w:val="0"/>
      <w:marRight w:val="0"/>
      <w:marTop w:val="0"/>
      <w:marBottom w:val="0"/>
      <w:divBdr>
        <w:top w:val="none" w:sz="0" w:space="0" w:color="auto"/>
        <w:left w:val="none" w:sz="0" w:space="0" w:color="auto"/>
        <w:bottom w:val="none" w:sz="0" w:space="0" w:color="auto"/>
        <w:right w:val="none" w:sz="0" w:space="0" w:color="auto"/>
      </w:divBdr>
    </w:div>
    <w:div w:id="1778207953">
      <w:bodyDiv w:val="1"/>
      <w:marLeft w:val="0"/>
      <w:marRight w:val="0"/>
      <w:marTop w:val="0"/>
      <w:marBottom w:val="0"/>
      <w:divBdr>
        <w:top w:val="none" w:sz="0" w:space="0" w:color="auto"/>
        <w:left w:val="none" w:sz="0" w:space="0" w:color="auto"/>
        <w:bottom w:val="none" w:sz="0" w:space="0" w:color="auto"/>
        <w:right w:val="none" w:sz="0" w:space="0" w:color="auto"/>
      </w:divBdr>
    </w:div>
    <w:div w:id="205090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bout/public-health" TargetMode="External"/><Relationship Id="rId13" Type="http://schemas.openxmlformats.org/officeDocument/2006/relationships/hyperlink" Target="https://www.gov.uk/government/news/law-tightened-to-target-terrorists-use-of-the-internet" TargetMode="External"/><Relationship Id="rId18" Type="http://schemas.openxmlformats.org/officeDocument/2006/relationships/hyperlink" Target="https://assets.publishing.service.gov.uk/media/5a79dee0e5274a684690cb27/gang-violence-summary.pdf" TargetMode="External"/><Relationship Id="rId26" Type="http://schemas.openxmlformats.org/officeDocument/2006/relationships/hyperlink" Target="https://www.nationalcrimeagency.gov.uk/what-we-do/crime-threats/drug-trafficking" TargetMode="External"/><Relationship Id="rId3" Type="http://schemas.openxmlformats.org/officeDocument/2006/relationships/settings" Target="settings.xml"/><Relationship Id="rId21" Type="http://schemas.openxmlformats.org/officeDocument/2006/relationships/hyperlink" Target="https://homeofficemedia.blog.gov.uk/2019/04/08/online-harms-white-paper-factsheet/" TargetMode="External"/><Relationship Id="rId7" Type="http://schemas.openxmlformats.org/officeDocument/2006/relationships/hyperlink" Target="https://www.ons.gov.uk/peoplepopulationandcommunity/culturalidentity/ethnicity/datasets/populationestimatesbyethnicgroupenglandandwales" TargetMode="External"/><Relationship Id="rId12" Type="http://schemas.openxmlformats.org/officeDocument/2006/relationships/hyperlink" Target="https://www.europol.europa.eu/socta/2017/links-between.html" TargetMode="External"/><Relationship Id="rId17" Type="http://schemas.openxmlformats.org/officeDocument/2006/relationships/hyperlink" Target="https://hmicfrs.justiceinspectorates.gov.uk/publications/disproportionate-use-of-police-powers-a-spotlight-on-stop-and-search-and-the-use-of-force/" TargetMode="External"/><Relationship Id="rId25" Type="http://schemas.openxmlformats.org/officeDocument/2006/relationships/hyperlink" Target="https://committees.parliament.uk/writtenevidence/89776/pdf/" TargetMode="External"/><Relationship Id="rId2" Type="http://schemas.openxmlformats.org/officeDocument/2006/relationships/styles" Target="styles.xml"/><Relationship Id="rId16" Type="http://schemas.openxmlformats.org/officeDocument/2006/relationships/hyperlink" Target="https://www.gov.uk/government/news/early-intervention-for-lifelong-benefits" TargetMode="External"/><Relationship Id="rId20" Type="http://schemas.openxmlformats.org/officeDocument/2006/relationships/hyperlink" Target="https://www.gov.uk/government/publications/policing-by-consent/definition-of-policing-by-consent" TargetMode="External"/><Relationship Id="rId29" Type="http://schemas.openxmlformats.org/officeDocument/2006/relationships/hyperlink" Target="https://yjresourcehub.uk/wp-content/uploads/media/Prevention_and_Diversion_Project_Final_Report_YJB_Feb_2023.pdf" TargetMode="External"/><Relationship Id="rId1" Type="http://schemas.openxmlformats.org/officeDocument/2006/relationships/numbering" Target="numbering.xml"/><Relationship Id="rId6" Type="http://schemas.openxmlformats.org/officeDocument/2006/relationships/hyperlink" Target="https://www.npcc.police.uk/SysSiteAssets/media/downloads/publications/publications-log/2018/natcen-enhancing-diversity-in-policing-final-report---may-2018.pdf" TargetMode="External"/><Relationship Id="rId11" Type="http://schemas.openxmlformats.org/officeDocument/2006/relationships/hyperlink" Target="https://www.cps.gov.uk/crime-info/terrorism" TargetMode="External"/><Relationship Id="rId24" Type="http://schemas.openxmlformats.org/officeDocument/2006/relationships/hyperlink" Target="https://www.local.gov.uk/sites/default/files/documents/tackling-serious-and-orga-44a.pdf" TargetMode="External"/><Relationship Id="rId5" Type="http://schemas.openxmlformats.org/officeDocument/2006/relationships/hyperlink" Target="https://media.actionforchildren.org.uk/documents/Shattered_Lives_Stolen_Futures_Report_-_Full_Report.pdf" TargetMode="External"/><Relationship Id="rId15" Type="http://schemas.openxmlformats.org/officeDocument/2006/relationships/hyperlink" Target="https://commonslibrary.parliament.uk/research-briefings/sn00634/" TargetMode="External"/><Relationship Id="rId23" Type="http://schemas.openxmlformats.org/officeDocument/2006/relationships/hyperlink" Target="https://www.gov.uk/government/statistics/police-workforce-england-and-wales-31-march-2024/police-workforce-england-and-wales-31-march-2024" TargetMode="External"/><Relationship Id="rId28" Type="http://schemas.openxmlformats.org/officeDocument/2006/relationships/hyperlink" Target="https://onlinelibrary.wiley.com/doi/abs/10.1111/padm.12344" TargetMode="External"/><Relationship Id="rId10" Type="http://schemas.openxmlformats.org/officeDocument/2006/relationships/hyperlink" Target="https://www.police-foundation.org.uk/wp-content/uploads/2017/10/oc_in_local_communities_final.pdf" TargetMode="External"/><Relationship Id="rId19" Type="http://schemas.openxmlformats.org/officeDocument/2006/relationships/hyperlink" Target="https://assets.publishing.service.gov.uk/media/5a7c92af40f0b626628ad03d/Serious_and_organised_crime_strategy_pamphle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support-forces/diversity-and-inclusion/culture-and-inclusion-strategy" TargetMode="External"/><Relationship Id="rId14" Type="http://schemas.openxmlformats.org/officeDocument/2006/relationships/hyperlink" Target="https://www.ethnicity-facts-figures.service.gov.uk/workforce-and-business/workforce-diversity/police-workforce/latest/" TargetMode="External"/><Relationship Id="rId22" Type="http://schemas.openxmlformats.org/officeDocument/2006/relationships/hyperlink" Target="https://www.gov.uk/government/publications/criminal-exploitation-of-children-and-vulnerable-adults-county-lines/criminal-exploitation-of-children-and-vulnerable-adults-county-lines" TargetMode="External"/><Relationship Id="rId27" Type="http://schemas.openxmlformats.org/officeDocument/2006/relationships/hyperlink" Target="https://www.nspcc.org.uk/what-is-child-abuse/types-of-abuse/gangs-criminal-exploit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9</Pages>
  <Words>5003</Words>
  <Characters>28522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Baker,Theodore swp8770</dc:creator>
  <cp:keywords/>
  <dc:description/>
  <cp:lastModifiedBy>Baker,Theodore swp8770</cp:lastModifiedBy>
  <cp:revision>20</cp:revision>
  <dcterms:created xsi:type="dcterms:W3CDTF">2025-04-04T11:20:00Z</dcterms:created>
  <dcterms:modified xsi:type="dcterms:W3CDTF">2025-05-06T06:32:00Z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2025-04-04T11:47:34Z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2144dc80-e668-49f4-91f6-54565eed9a8f</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