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1B1E6E5" wp14:paraId="49601FA6" wp14:textId="78E59B03">
      <w:pPr>
        <w:pStyle w:val="Normal"/>
        <w:spacing w:line="360" w:lineRule="auto"/>
        <w:jc w:val="center"/>
      </w:pPr>
      <w:r w:rsidRPr="31B1E6E5" w:rsidR="4F81ABA8">
        <w:rPr>
          <w:rFonts w:ascii="Arial" w:hAnsi="Arial" w:eastAsia="Arial" w:cs="Arial"/>
          <w:b w:val="1"/>
          <w:bCs w:val="1"/>
          <w:noProof w:val="0"/>
          <w:sz w:val="32"/>
          <w:szCs w:val="32"/>
          <w:lang w:val="en-US"/>
        </w:rPr>
        <w:t>Marketing Situation</w:t>
      </w:r>
      <w:r w:rsidRPr="31B1E6E5" w:rsidR="07B51579">
        <w:rPr>
          <w:rFonts w:ascii="Arial" w:hAnsi="Arial" w:eastAsia="Arial" w:cs="Arial"/>
          <w:b w:val="1"/>
          <w:bCs w:val="1"/>
          <w:noProof w:val="0"/>
          <w:sz w:val="32"/>
          <w:szCs w:val="32"/>
          <w:lang w:val="en-US"/>
        </w:rPr>
        <w:t>a</w:t>
      </w:r>
      <w:r w:rsidRPr="31B1E6E5" w:rsidR="4F81ABA8">
        <w:rPr>
          <w:rFonts w:ascii="Arial" w:hAnsi="Arial" w:eastAsia="Arial" w:cs="Arial"/>
          <w:b w:val="1"/>
          <w:bCs w:val="1"/>
          <w:noProof w:val="0"/>
          <w:sz w:val="32"/>
          <w:szCs w:val="32"/>
          <w:lang w:val="en-US"/>
        </w:rPr>
        <w:t>l Analysis of Tesco PLC: A SWOT Analysis</w:t>
      </w:r>
    </w:p>
    <w:p xmlns:wp14="http://schemas.microsoft.com/office/word/2010/wordml" w:rsidP="31B1E6E5" wp14:paraId="6DEE71D6" wp14:textId="7D1FFC97">
      <w:pPr>
        <w:pStyle w:val="Normal"/>
        <w:jc w:val="center"/>
        <w:rPr>
          <w:rFonts w:ascii="Arial" w:hAnsi="Arial" w:eastAsia="Arial" w:cs="Arial"/>
          <w:b w:val="1"/>
          <w:bCs w:val="1"/>
          <w:noProof w:val="0"/>
          <w:sz w:val="32"/>
          <w:szCs w:val="32"/>
          <w:lang w:val="en-US"/>
        </w:rPr>
      </w:pPr>
    </w:p>
    <w:p xmlns:wp14="http://schemas.microsoft.com/office/word/2010/wordml" w:rsidP="31B1E6E5" wp14:paraId="56A1711A" wp14:textId="6549DEF2">
      <w:pPr>
        <w:pStyle w:val="Normal"/>
        <w:jc w:val="center"/>
        <w:rPr>
          <w:rFonts w:ascii="Arial" w:hAnsi="Arial" w:eastAsia="Arial" w:cs="Arial"/>
          <w:b w:val="1"/>
          <w:bCs w:val="1"/>
          <w:noProof w:val="0"/>
          <w:sz w:val="32"/>
          <w:szCs w:val="32"/>
          <w:lang w:val="en-US"/>
        </w:rPr>
      </w:pPr>
    </w:p>
    <w:p xmlns:wp14="http://schemas.microsoft.com/office/word/2010/wordml" w:rsidP="1798A49F" wp14:paraId="4C115007" wp14:textId="1A53E2BD">
      <w:pPr>
        <w:shd w:val="clear" w:color="auto" w:fill="FCFCFC"/>
        <w:spacing w:before="180" w:beforeAutospacing="off" w:after="180"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1798A49F" w:rsidR="5AF29CEC">
        <w:rPr>
          <w:rFonts w:ascii="Arial" w:hAnsi="Arial" w:eastAsia="Arial" w:cs="Arial"/>
          <w:b w:val="1"/>
          <w:bCs w:val="1"/>
          <w:i w:val="0"/>
          <w:iCs w:val="0"/>
          <w:caps w:val="0"/>
          <w:smallCaps w:val="0"/>
          <w:noProof w:val="0"/>
          <w:color w:val="000000" w:themeColor="text1" w:themeTint="FF" w:themeShade="FF"/>
          <w:sz w:val="24"/>
          <w:szCs w:val="24"/>
          <w:lang w:val="en-US"/>
        </w:rPr>
        <w:t>Student Name:</w:t>
      </w:r>
      <w:r w:rsidRPr="1798A49F" w:rsidR="5AF29C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798A49F" w:rsidR="23FB6A1D">
        <w:rPr>
          <w:rFonts w:ascii="Arial" w:hAnsi="Arial" w:eastAsia="Arial" w:cs="Arial"/>
          <w:b w:val="1"/>
          <w:bCs w:val="1"/>
          <w:i w:val="0"/>
          <w:iCs w:val="0"/>
          <w:caps w:val="0"/>
          <w:smallCaps w:val="0"/>
          <w:noProof w:val="0"/>
          <w:color w:val="000000" w:themeColor="text1" w:themeTint="FF" w:themeShade="FF"/>
          <w:sz w:val="24"/>
          <w:szCs w:val="24"/>
          <w:lang w:val="en-US"/>
        </w:rPr>
        <w:t>CRISTINA MADALINA PANAITE</w:t>
      </w:r>
      <w:r>
        <w:br/>
      </w:r>
      <w:r w:rsidRPr="1798A49F" w:rsidR="5AF29CEC">
        <w:rPr>
          <w:rFonts w:ascii="Arial" w:hAnsi="Arial" w:eastAsia="Arial" w:cs="Arial"/>
          <w:b w:val="1"/>
          <w:bCs w:val="1"/>
          <w:i w:val="0"/>
          <w:iCs w:val="0"/>
          <w:caps w:val="0"/>
          <w:smallCaps w:val="0"/>
          <w:noProof w:val="0"/>
          <w:color w:val="000000" w:themeColor="text1" w:themeTint="FF" w:themeShade="FF"/>
          <w:sz w:val="24"/>
          <w:szCs w:val="24"/>
          <w:lang w:val="en-US"/>
        </w:rPr>
        <w:t xml:space="preserve">Student ID: </w:t>
      </w:r>
      <w:r w:rsidRPr="1798A49F" w:rsidR="0FFF6BD9">
        <w:rPr>
          <w:rFonts w:ascii="Arial" w:hAnsi="Arial" w:eastAsia="Arial" w:cs="Arial"/>
          <w:b w:val="1"/>
          <w:bCs w:val="1"/>
          <w:i w:val="0"/>
          <w:iCs w:val="0"/>
          <w:caps w:val="0"/>
          <w:smallCaps w:val="0"/>
          <w:noProof w:val="0"/>
          <w:color w:val="000000" w:themeColor="text1" w:themeTint="FF" w:themeShade="FF"/>
          <w:sz w:val="24"/>
          <w:szCs w:val="24"/>
          <w:lang w:val="en-US"/>
        </w:rPr>
        <w:t>2413348</w:t>
      </w:r>
      <w:r>
        <w:br/>
      </w:r>
      <w:r w:rsidRPr="1798A49F" w:rsidR="5AF29CEC">
        <w:rPr>
          <w:rFonts w:ascii="Arial" w:hAnsi="Arial" w:eastAsia="Arial" w:cs="Arial"/>
          <w:b w:val="1"/>
          <w:bCs w:val="1"/>
          <w:i w:val="0"/>
          <w:iCs w:val="0"/>
          <w:caps w:val="0"/>
          <w:smallCaps w:val="0"/>
          <w:noProof w:val="0"/>
          <w:color w:val="000000" w:themeColor="text1" w:themeTint="FF" w:themeShade="FF"/>
          <w:sz w:val="24"/>
          <w:szCs w:val="24"/>
          <w:lang w:val="en-US"/>
        </w:rPr>
        <w:t xml:space="preserve">Module </w:t>
      </w:r>
      <w:r w:rsidRPr="1798A49F" w:rsidR="113CDED7">
        <w:rPr>
          <w:rFonts w:ascii="Arial" w:hAnsi="Arial" w:eastAsia="Arial" w:cs="Arial"/>
          <w:b w:val="1"/>
          <w:bCs w:val="1"/>
          <w:i w:val="0"/>
          <w:iCs w:val="0"/>
          <w:caps w:val="0"/>
          <w:smallCaps w:val="0"/>
          <w:noProof w:val="0"/>
          <w:color w:val="000000" w:themeColor="text1" w:themeTint="FF" w:themeShade="FF"/>
          <w:sz w:val="24"/>
          <w:szCs w:val="24"/>
          <w:lang w:val="en-US"/>
        </w:rPr>
        <w:t>Code: LCBB5015</w:t>
      </w:r>
      <w:r>
        <w:br/>
      </w:r>
      <w:r w:rsidRPr="1798A49F" w:rsidR="5AF29CEC">
        <w:rPr>
          <w:rFonts w:ascii="Arial" w:hAnsi="Arial" w:eastAsia="Arial" w:cs="Arial"/>
          <w:b w:val="1"/>
          <w:bCs w:val="1"/>
          <w:i w:val="0"/>
          <w:iCs w:val="0"/>
          <w:caps w:val="0"/>
          <w:smallCaps w:val="0"/>
          <w:noProof w:val="0"/>
          <w:color w:val="000000" w:themeColor="text1" w:themeTint="FF" w:themeShade="FF"/>
          <w:sz w:val="24"/>
          <w:szCs w:val="24"/>
          <w:lang w:val="en-US"/>
        </w:rPr>
        <w:t xml:space="preserve">Module Name: </w:t>
      </w:r>
      <w:r w:rsidRPr="1798A49F" w:rsidR="44269FCB">
        <w:rPr>
          <w:rFonts w:ascii="Arial" w:hAnsi="Arial" w:eastAsia="Arial" w:cs="Arial"/>
          <w:b w:val="1"/>
          <w:bCs w:val="1"/>
          <w:i w:val="0"/>
          <w:iCs w:val="0"/>
          <w:caps w:val="0"/>
          <w:smallCaps w:val="0"/>
          <w:noProof w:val="0"/>
          <w:color w:val="000000" w:themeColor="text1" w:themeTint="FF" w:themeShade="FF"/>
          <w:sz w:val="24"/>
          <w:szCs w:val="24"/>
          <w:lang w:val="en-US"/>
        </w:rPr>
        <w:t>Principles of Marketing</w:t>
      </w:r>
      <w:r>
        <w:br/>
      </w:r>
      <w:r w:rsidRPr="1798A49F" w:rsidR="16132C33">
        <w:rPr>
          <w:rFonts w:ascii="Arial" w:hAnsi="Arial" w:eastAsia="Arial" w:cs="Arial"/>
          <w:b w:val="1"/>
          <w:bCs w:val="1"/>
          <w:i w:val="0"/>
          <w:iCs w:val="0"/>
          <w:caps w:val="0"/>
          <w:smallCaps w:val="0"/>
          <w:noProof w:val="0"/>
          <w:color w:val="000000" w:themeColor="text1" w:themeTint="FF" w:themeShade="FF"/>
          <w:sz w:val="24"/>
          <w:szCs w:val="24"/>
          <w:lang w:val="en-US"/>
        </w:rPr>
        <w:t xml:space="preserve">Lecturer Name: </w:t>
      </w:r>
      <w:r w:rsidRPr="1798A49F" w:rsidR="7A220F96">
        <w:rPr>
          <w:rFonts w:ascii="Arial" w:hAnsi="Arial" w:eastAsia="Arial" w:cs="Arial"/>
          <w:b w:val="1"/>
          <w:bCs w:val="1"/>
          <w:i w:val="0"/>
          <w:iCs w:val="0"/>
          <w:caps w:val="0"/>
          <w:smallCaps w:val="0"/>
          <w:noProof w:val="0"/>
          <w:color w:val="000000" w:themeColor="text1" w:themeTint="FF" w:themeShade="FF"/>
          <w:sz w:val="24"/>
          <w:szCs w:val="24"/>
          <w:lang w:val="en-US"/>
        </w:rPr>
        <w:t>Shujan x</w:t>
      </w:r>
    </w:p>
    <w:p xmlns:wp14="http://schemas.microsoft.com/office/word/2010/wordml" w:rsidP="31B1E6E5" wp14:paraId="2BCFA781" wp14:textId="562013A7">
      <w:pPr>
        <w:spacing w:before="240" w:beforeAutospacing="off" w:after="240" w:afterAutospacing="off"/>
      </w:pPr>
      <w:r>
        <w:br w:type="page"/>
      </w:r>
    </w:p>
    <w:p xmlns:wp14="http://schemas.microsoft.com/office/word/2010/wordml" w:rsidP="31B1E6E5" wp14:paraId="7FB8ED86" wp14:textId="2357C4AB">
      <w:pPr>
        <w:pStyle w:val="Normal"/>
        <w:rPr>
          <w:b w:val="1"/>
          <w:bCs w:val="1"/>
          <w:noProof w:val="0"/>
          <w:lang w:val="en-US"/>
        </w:rPr>
      </w:pPr>
      <w:r w:rsidRPr="31B1E6E5" w:rsidR="47929E6F">
        <w:rPr>
          <w:b w:val="1"/>
          <w:bCs w:val="1"/>
          <w:noProof w:val="0"/>
          <w:lang w:val="en-US"/>
        </w:rPr>
        <w:t>TABLE OF CONTENT</w:t>
      </w:r>
    </w:p>
    <w:p xmlns:wp14="http://schemas.microsoft.com/office/word/2010/wordml" w:rsidP="31B1E6E5" wp14:paraId="751C1D3E" wp14:textId="487A378F">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1B1E6E5" w:rsidR="47929E6F">
        <w:rPr>
          <w:noProof w:val="0"/>
          <w:lang w:val="en-US"/>
        </w:rPr>
        <w:t xml:space="preserve">Introduction ................................................................ </w:t>
      </w:r>
      <w:r w:rsidRPr="31B1E6E5" w:rsidR="53F4ED6E">
        <w:rPr>
          <w:noProof w:val="0"/>
          <w:lang w:val="en-US"/>
        </w:rPr>
        <w:t>3</w:t>
      </w:r>
    </w:p>
    <w:p xmlns:wp14="http://schemas.microsoft.com/office/word/2010/wordml" w:rsidP="31B1E6E5" wp14:paraId="4AC86EC3" wp14:textId="24A42960">
      <w:pPr>
        <w:pStyle w:val="ListParagraph"/>
        <w:numPr>
          <w:ilvl w:val="0"/>
          <w:numId w:val="2"/>
        </w:numPr>
        <w:shd w:val="clear" w:color="auto" w:fill="FCFCFC"/>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Situational Analysis: SWOT ........................................ </w:t>
      </w:r>
      <w:r w:rsidRPr="31B1E6E5" w:rsidR="01115CEB">
        <w:rPr>
          <w:rFonts w:ascii="system-ui" w:hAnsi="system-ui" w:eastAsia="system-ui" w:cs="system-ui"/>
          <w:b w:val="0"/>
          <w:bCs w:val="0"/>
          <w:i w:val="0"/>
          <w:iCs w:val="0"/>
          <w:caps w:val="0"/>
          <w:smallCaps w:val="0"/>
          <w:noProof w:val="0"/>
          <w:color w:val="0D0D0D" w:themeColor="text1" w:themeTint="F2" w:themeShade="FF"/>
          <w:sz w:val="24"/>
          <w:szCs w:val="24"/>
          <w:lang w:val="en-US"/>
        </w:rPr>
        <w:t>4</w:t>
      </w:r>
    </w:p>
    <w:p xmlns:wp14="http://schemas.microsoft.com/office/word/2010/wordml" w:rsidP="31B1E6E5" wp14:paraId="15B57C3B" wp14:textId="7673D0C6">
      <w:pPr>
        <w:shd w:val="clear" w:color="auto" w:fill="FCFCFC"/>
        <w:spacing w:before="180" w:beforeAutospacing="off" w:after="180" w:afterAutospacing="off"/>
      </w:pP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2.1 Strengths .................................................................. </w:t>
      </w:r>
      <w:r w:rsidRPr="31B1E6E5" w:rsidR="5499E3FB">
        <w:rPr>
          <w:rFonts w:ascii="system-ui" w:hAnsi="system-ui" w:eastAsia="system-ui" w:cs="system-ui"/>
          <w:b w:val="0"/>
          <w:bCs w:val="0"/>
          <w:i w:val="0"/>
          <w:iCs w:val="0"/>
          <w:caps w:val="0"/>
          <w:smallCaps w:val="0"/>
          <w:noProof w:val="0"/>
          <w:color w:val="0D0D0D" w:themeColor="text1" w:themeTint="F2" w:themeShade="FF"/>
          <w:sz w:val="24"/>
          <w:szCs w:val="24"/>
          <w:lang w:val="en-US"/>
        </w:rPr>
        <w:t>4</w:t>
      </w:r>
      <w:r>
        <w:br/>
      </w: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2.2 Weaknesses ............................................................. </w:t>
      </w:r>
      <w:r w:rsidRPr="31B1E6E5" w:rsidR="57E276C4">
        <w:rPr>
          <w:rFonts w:ascii="system-ui" w:hAnsi="system-ui" w:eastAsia="system-ui" w:cs="system-ui"/>
          <w:b w:val="0"/>
          <w:bCs w:val="0"/>
          <w:i w:val="0"/>
          <w:iCs w:val="0"/>
          <w:caps w:val="0"/>
          <w:smallCaps w:val="0"/>
          <w:noProof w:val="0"/>
          <w:color w:val="0D0D0D" w:themeColor="text1" w:themeTint="F2" w:themeShade="FF"/>
          <w:sz w:val="24"/>
          <w:szCs w:val="24"/>
          <w:lang w:val="en-US"/>
        </w:rPr>
        <w:t>4,5</w:t>
      </w:r>
      <w:r>
        <w:br/>
      </w: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2.3 Opportunities .......................................................... </w:t>
      </w:r>
      <w:r w:rsidRPr="31B1E6E5" w:rsidR="6BBC0A97">
        <w:rPr>
          <w:rFonts w:ascii="system-ui" w:hAnsi="system-ui" w:eastAsia="system-ui" w:cs="system-ui"/>
          <w:b w:val="0"/>
          <w:bCs w:val="0"/>
          <w:i w:val="0"/>
          <w:iCs w:val="0"/>
          <w:caps w:val="0"/>
          <w:smallCaps w:val="0"/>
          <w:noProof w:val="0"/>
          <w:color w:val="0D0D0D" w:themeColor="text1" w:themeTint="F2" w:themeShade="FF"/>
          <w:sz w:val="24"/>
          <w:szCs w:val="24"/>
          <w:lang w:val="en-US"/>
        </w:rPr>
        <w:t>5</w:t>
      </w:r>
      <w:r>
        <w:br/>
      </w: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2.4 Threats ..................................................................... </w:t>
      </w:r>
      <w:r w:rsidRPr="31B1E6E5" w:rsidR="62FB545C">
        <w:rPr>
          <w:rFonts w:ascii="system-ui" w:hAnsi="system-ui" w:eastAsia="system-ui" w:cs="system-ui"/>
          <w:b w:val="0"/>
          <w:bCs w:val="0"/>
          <w:i w:val="0"/>
          <w:iCs w:val="0"/>
          <w:caps w:val="0"/>
          <w:smallCaps w:val="0"/>
          <w:noProof w:val="0"/>
          <w:color w:val="0D0D0D" w:themeColor="text1" w:themeTint="F2" w:themeShade="FF"/>
          <w:sz w:val="24"/>
          <w:szCs w:val="24"/>
          <w:lang w:val="en-US"/>
        </w:rPr>
        <w:t>5,6</w:t>
      </w:r>
    </w:p>
    <w:p xmlns:wp14="http://schemas.microsoft.com/office/word/2010/wordml" w:rsidP="31B1E6E5" wp14:paraId="411CADE9" wp14:textId="44D878D6">
      <w:pPr>
        <w:pStyle w:val="ListParagraph"/>
        <w:numPr>
          <w:ilvl w:val="0"/>
          <w:numId w:val="3"/>
        </w:numPr>
        <w:shd w:val="clear" w:color="auto" w:fill="FCFCFC"/>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Critical Analysis and Evaluation .................................. </w:t>
      </w:r>
      <w:r w:rsidRPr="31B1E6E5" w:rsidR="4BABEA60">
        <w:rPr>
          <w:rFonts w:ascii="system-ui" w:hAnsi="system-ui" w:eastAsia="system-ui" w:cs="system-ui"/>
          <w:b w:val="0"/>
          <w:bCs w:val="0"/>
          <w:i w:val="0"/>
          <w:iCs w:val="0"/>
          <w:caps w:val="0"/>
          <w:smallCaps w:val="0"/>
          <w:noProof w:val="0"/>
          <w:color w:val="0D0D0D" w:themeColor="text1" w:themeTint="F2" w:themeShade="FF"/>
          <w:sz w:val="24"/>
          <w:szCs w:val="24"/>
          <w:lang w:val="en-US"/>
        </w:rPr>
        <w:t>7,8</w:t>
      </w:r>
    </w:p>
    <w:p xmlns:wp14="http://schemas.microsoft.com/office/word/2010/wordml" w:rsidP="31B1E6E5" wp14:paraId="70A743AE" wp14:textId="7B6B75A1">
      <w:pPr>
        <w:pStyle w:val="ListParagraph"/>
        <w:numPr>
          <w:ilvl w:val="0"/>
          <w:numId w:val="4"/>
        </w:numPr>
        <w:shd w:val="clear" w:color="auto" w:fill="FCFCFC"/>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Conclusion and Recommendations ............................... </w:t>
      </w:r>
      <w:r w:rsidRPr="31B1E6E5" w:rsidR="1532A460">
        <w:rPr>
          <w:rFonts w:ascii="system-ui" w:hAnsi="system-ui" w:eastAsia="system-ui" w:cs="system-ui"/>
          <w:b w:val="0"/>
          <w:bCs w:val="0"/>
          <w:i w:val="0"/>
          <w:iCs w:val="0"/>
          <w:caps w:val="0"/>
          <w:smallCaps w:val="0"/>
          <w:noProof w:val="0"/>
          <w:color w:val="0D0D0D" w:themeColor="text1" w:themeTint="F2" w:themeShade="FF"/>
          <w:sz w:val="24"/>
          <w:szCs w:val="24"/>
          <w:lang w:val="en-US"/>
        </w:rPr>
        <w:t>9</w:t>
      </w:r>
    </w:p>
    <w:p xmlns:wp14="http://schemas.microsoft.com/office/word/2010/wordml" w:rsidP="31B1E6E5" wp14:paraId="1B569EFD" wp14:textId="6A430575">
      <w:pPr>
        <w:pStyle w:val="ListParagraph"/>
        <w:numPr>
          <w:ilvl w:val="0"/>
          <w:numId w:val="5"/>
        </w:numPr>
        <w:shd w:val="clear" w:color="auto" w:fill="FCFCFC"/>
        <w:spacing w:before="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31B1E6E5" w:rsidR="47929E6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References .................................................................... </w:t>
      </w:r>
      <w:r w:rsidRPr="31B1E6E5" w:rsidR="5D887602">
        <w:rPr>
          <w:rFonts w:ascii="system-ui" w:hAnsi="system-ui" w:eastAsia="system-ui" w:cs="system-ui"/>
          <w:b w:val="0"/>
          <w:bCs w:val="0"/>
          <w:i w:val="0"/>
          <w:iCs w:val="0"/>
          <w:caps w:val="0"/>
          <w:smallCaps w:val="0"/>
          <w:noProof w:val="0"/>
          <w:color w:val="0D0D0D" w:themeColor="text1" w:themeTint="F2" w:themeShade="FF"/>
          <w:sz w:val="24"/>
          <w:szCs w:val="24"/>
          <w:lang w:val="en-US"/>
        </w:rPr>
        <w:t>10</w:t>
      </w:r>
    </w:p>
    <w:p xmlns:wp14="http://schemas.microsoft.com/office/word/2010/wordml" w:rsidP="31B1E6E5" wp14:paraId="5207B73D" wp14:textId="775B88CA">
      <w:pPr>
        <w:pStyle w:val="Normal"/>
        <w:shd w:val="clear" w:color="auto" w:fill="FCFCFC"/>
        <w:spacing w:before="180" w:beforeAutospacing="off" w:after="180" w:afterAutospacing="off" w:line="360" w:lineRule="auto"/>
        <w:rPr>
          <w:rFonts w:ascii="Arial" w:hAnsi="Arial" w:eastAsia="Arial" w:cs="Arial"/>
          <w:b w:val="1"/>
          <w:bCs w:val="1"/>
          <w:i w:val="0"/>
          <w:iCs w:val="0"/>
          <w:caps w:val="0"/>
          <w:smallCaps w:val="0"/>
          <w:noProof w:val="0"/>
          <w:color w:val="0D0D0D" w:themeColor="text1" w:themeTint="F2" w:themeShade="FF"/>
          <w:sz w:val="24"/>
          <w:szCs w:val="24"/>
          <w:lang w:val="en-US"/>
        </w:rPr>
      </w:pPr>
    </w:p>
    <w:p xmlns:wp14="http://schemas.microsoft.com/office/word/2010/wordml" w:rsidP="31B1E6E5" wp14:paraId="5D4FC2E7" wp14:textId="02D31A0D">
      <w:pPr>
        <w:pStyle w:val="Normal"/>
        <w:shd w:val="clear" w:color="auto" w:fill="FCFCFC"/>
        <w:spacing w:before="180" w:beforeAutospacing="off" w:after="180" w:afterAutospacing="off" w:line="360" w:lineRule="auto"/>
        <w:rPr>
          <w:rFonts w:ascii="Arial" w:hAnsi="Arial" w:eastAsia="Arial" w:cs="Arial"/>
          <w:b w:val="1"/>
          <w:bCs w:val="1"/>
          <w:i w:val="0"/>
          <w:iCs w:val="0"/>
          <w:caps w:val="0"/>
          <w:smallCaps w:val="0"/>
          <w:noProof w:val="0"/>
          <w:color w:val="0D0D0D" w:themeColor="text1" w:themeTint="F2" w:themeShade="FF"/>
          <w:sz w:val="24"/>
          <w:szCs w:val="24"/>
          <w:lang w:val="en-US"/>
        </w:rPr>
      </w:pPr>
    </w:p>
    <w:p xmlns:wp14="http://schemas.microsoft.com/office/word/2010/wordml" w:rsidP="31B1E6E5" wp14:paraId="004773AF" wp14:textId="236019E2">
      <w:pPr>
        <w:spacing w:before="240" w:beforeAutospacing="off" w:after="240" w:afterAutospacing="off"/>
      </w:pPr>
      <w:r>
        <w:br w:type="page"/>
      </w:r>
    </w:p>
    <w:p xmlns:wp14="http://schemas.microsoft.com/office/word/2010/wordml" w:rsidP="31B1E6E5" wp14:paraId="68FF05A1" wp14:textId="47CC52AC">
      <w:pPr>
        <w:pStyle w:val="Normal"/>
        <w:keepNext w:val="1"/>
        <w:spacing w:line="360" w:lineRule="auto"/>
        <w:rPr>
          <w:rFonts w:ascii="Arial" w:hAnsi="Arial" w:eastAsia="Arial" w:cs="Arial"/>
          <w:b w:val="1"/>
          <w:bCs w:val="1"/>
          <w:noProof w:val="0"/>
          <w:lang w:val="en-US"/>
        </w:rPr>
      </w:pPr>
      <w:r w:rsidRPr="31B1E6E5" w:rsidR="3E192DB4">
        <w:rPr>
          <w:rFonts w:ascii="Arial" w:hAnsi="Arial" w:eastAsia="Arial" w:cs="Arial"/>
          <w:b w:val="1"/>
          <w:bCs w:val="1"/>
          <w:noProof w:val="0"/>
          <w:lang w:val="en-US"/>
        </w:rPr>
        <w:t>1.</w:t>
      </w:r>
      <w:r w:rsidRPr="31B1E6E5" w:rsidR="227A1A89">
        <w:rPr>
          <w:rFonts w:ascii="Arial" w:hAnsi="Arial" w:eastAsia="Arial" w:cs="Arial"/>
          <w:b w:val="1"/>
          <w:bCs w:val="1"/>
          <w:noProof w:val="0"/>
          <w:lang w:val="en-US"/>
        </w:rPr>
        <w:t>Introduction</w:t>
      </w:r>
    </w:p>
    <w:p xmlns:wp14="http://schemas.microsoft.com/office/word/2010/wordml" w:rsidP="31B1E6E5" wp14:paraId="79667BD1" wp14:textId="21563BA8">
      <w:pPr>
        <w:keepNext w:val="1"/>
        <w:shd w:val="clear" w:color="auto" w:fill="FCFCFC"/>
        <w:spacing w:before="180" w:beforeAutospacing="off" w:after="180" w:afterAutospacing="off" w:line="360" w:lineRule="auto"/>
      </w:pPr>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Tesco PLC is a leading UK-based retailer operating in the grocery and general merchandise industry. Its principal activities include supermarkets, convenience stores, online grocery </w:t>
      </w:r>
      <w:bookmarkStart w:name="_Int_cqlUwqLX" w:id="584854960"/>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shopping</w:t>
      </w:r>
      <w:bookmarkEnd w:id="584854960"/>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wholesale distribution through Booker. Its product portfolio includes fresh food, household essentials, </w:t>
      </w:r>
      <w:bookmarkStart w:name="_Int_XHOTQlkH" w:id="953922656"/>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clothing</w:t>
      </w:r>
      <w:bookmarkEnd w:id="953922656"/>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private-label products. Tesco also uses its Clubcard loyalty programme to encourage customer retention and deliver personalised promotions. In its 2024/25 financial year, Tesco reported group sales of £63.6 billion and a UK grocery market share of 28.3% (Tesco PLC, 2025).</w:t>
      </w:r>
    </w:p>
    <w:p xmlns:wp14="http://schemas.microsoft.com/office/word/2010/wordml" w:rsidP="31B1E6E5" wp14:paraId="63AF7A42" wp14:textId="18954688">
      <w:pPr>
        <w:keepNext w:val="1"/>
        <w:shd w:val="clear" w:color="auto" w:fill="FCFCFC"/>
        <w:spacing w:before="180" w:beforeAutospacing="off" w:after="180" w:afterAutospacing="off" w:line="360" w:lineRule="auto"/>
      </w:pPr>
      <w:r w:rsidRPr="31B1E6E5" w:rsidR="227A1A89">
        <w:rPr>
          <w:rFonts w:ascii="system-ui" w:hAnsi="system-ui" w:eastAsia="system-ui" w:cs="system-ui"/>
          <w:b w:val="0"/>
          <w:bCs w:val="0"/>
          <w:i w:val="0"/>
          <w:iCs w:val="0"/>
          <w:caps w:val="0"/>
          <w:smallCaps w:val="0"/>
          <w:noProof w:val="0"/>
          <w:color w:val="0D0D0D" w:themeColor="text1" w:themeTint="F2" w:themeShade="FF"/>
          <w:sz w:val="24"/>
          <w:szCs w:val="24"/>
          <w:lang w:val="en-US"/>
        </w:rPr>
        <w:t>The purpose of this report is to evaluate Tesco’s strategic position using SWOT analysis, which identifies internal strengths and weaknesses alongside external opportunities and threats. The analysis applies strategic management and marketing theories to evaluate how these factors influence Tesco’s marketing decisions and long-term competitiveness.</w:t>
      </w:r>
    </w:p>
    <w:p xmlns:wp14="http://schemas.microsoft.com/office/word/2010/wordml" w:rsidP="31B1E6E5" wp14:paraId="09289B45" wp14:textId="2390AA0F">
      <w:pPr>
        <w:spacing w:before="240" w:beforeAutospacing="off" w:after="240" w:afterAutospacing="off"/>
      </w:pPr>
      <w:r>
        <w:br w:type="page"/>
      </w:r>
    </w:p>
    <w:p xmlns:wp14="http://schemas.microsoft.com/office/word/2010/wordml" w:rsidP="31B1E6E5" wp14:paraId="74779D76" wp14:textId="327A3AC4">
      <w:pPr>
        <w:pStyle w:val="Normal"/>
        <w:spacing w:line="360" w:lineRule="auto"/>
        <w:rPr>
          <w:rFonts w:ascii="Arial" w:hAnsi="Arial" w:eastAsia="Arial" w:cs="Arial"/>
          <w:b w:val="1"/>
          <w:bCs w:val="1"/>
          <w:i w:val="0"/>
          <w:iCs w:val="0"/>
          <w:caps w:val="0"/>
          <w:smallCaps w:val="0"/>
          <w:noProof w:val="0"/>
          <w:color w:val="0D0D0D" w:themeColor="text1" w:themeTint="F2" w:themeShade="FF"/>
          <w:sz w:val="24"/>
          <w:szCs w:val="24"/>
          <w:lang w:val="en-US"/>
        </w:rPr>
      </w:pPr>
      <w:r w:rsidRPr="31B1E6E5" w:rsidR="45664C5E">
        <w:rPr>
          <w:rFonts w:ascii="Arial" w:hAnsi="Arial" w:eastAsia="Arial" w:cs="Arial"/>
          <w:b w:val="1"/>
          <w:bCs w:val="1"/>
          <w:noProof w:val="0"/>
          <w:sz w:val="24"/>
          <w:szCs w:val="24"/>
          <w:lang w:val="en-US"/>
        </w:rPr>
        <w:t>2. Situational Analysis: SWOT</w:t>
      </w:r>
    </w:p>
    <w:p xmlns:wp14="http://schemas.microsoft.com/office/word/2010/wordml" w:rsidP="31B1E6E5" wp14:paraId="516243D5" wp14:textId="79B2C857">
      <w:pPr>
        <w:pStyle w:val="Normal"/>
        <w:spacing w:line="360" w:lineRule="auto"/>
        <w:rPr>
          <w:rFonts w:ascii="Arial" w:hAnsi="Arial" w:eastAsia="Arial" w:cs="Arial"/>
          <w:b w:val="1"/>
          <w:bCs w:val="1"/>
          <w:i w:val="0"/>
          <w:iCs w:val="0"/>
          <w:caps w:val="0"/>
          <w:smallCaps w:val="0"/>
          <w:noProof w:val="0"/>
          <w:color w:val="0D0D0D" w:themeColor="text1" w:themeTint="F2" w:themeShade="FF"/>
          <w:sz w:val="28"/>
          <w:szCs w:val="28"/>
          <w:lang w:val="en-US"/>
        </w:rPr>
      </w:pPr>
      <w:r w:rsidRPr="31B1E6E5" w:rsidR="45664C5E">
        <w:rPr>
          <w:rFonts w:ascii="Arial" w:hAnsi="Arial" w:eastAsia="Arial" w:cs="Arial"/>
          <w:b w:val="1"/>
          <w:bCs w:val="1"/>
          <w:noProof w:val="0"/>
          <w:lang w:val="en-US"/>
        </w:rPr>
        <w:t>2.1 Strengths</w:t>
      </w:r>
    </w:p>
    <w:p xmlns:wp14="http://schemas.microsoft.com/office/word/2010/wordml" w:rsidP="31B1E6E5" wp14:paraId="6F8231D4" wp14:textId="60D0332C">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Strong brand and market position.</w:t>
      </w:r>
      <w:r w:rsidRPr="31B1E6E5" w:rsidR="45664C5E">
        <w:rPr>
          <w:rFonts w:ascii="Arial" w:hAnsi="Arial" w:eastAsia="Arial" w:cs="Arial"/>
          <w:noProof w:val="0"/>
          <w:lang w:val="en-US"/>
        </w:rPr>
        <w:t xml:space="preserve"> Tesco’s extensive store network, established reputation and significant market share provide economies of scale and broad customer reach. Barney (1991) argues that valuable and difficult-to-imitate resources can support sustained competitive advantage. Tesco’s brand, distribution infrastructure and customer relationships can therefore support competitive pricing and effective marketing campaigns.</w:t>
      </w:r>
    </w:p>
    <w:p xmlns:wp14="http://schemas.microsoft.com/office/word/2010/wordml" w:rsidP="31B1E6E5" wp14:paraId="6BF05A34" wp14:textId="310669E5">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Customer loyalty and data capabilities.</w:t>
      </w:r>
      <w:r w:rsidRPr="31B1E6E5" w:rsidR="45664C5E">
        <w:rPr>
          <w:rFonts w:ascii="Arial" w:hAnsi="Arial" w:eastAsia="Arial" w:cs="Arial"/>
          <w:noProof w:val="0"/>
          <w:lang w:val="en-US"/>
        </w:rPr>
        <w:t xml:space="preserve"> Clubcard enables Tesco to offer targeted discounts and personalised promotions using customer purchasing information. Aaker (1996) identifies brand awareness, perceived quality and loyalty as important components of brand equity. Tesco can use these capabilities to increase repeat purchases, improve promotional relevance and differentiate its offer from competitors.</w:t>
      </w:r>
    </w:p>
    <w:p xmlns:wp14="http://schemas.microsoft.com/office/word/2010/wordml" w:rsidP="31B1E6E5" wp14:paraId="565F1F09" wp14:textId="21950849">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Multichannel retailing.</w:t>
      </w:r>
      <w:r w:rsidRPr="31B1E6E5" w:rsidR="45664C5E">
        <w:rPr>
          <w:rFonts w:ascii="Arial" w:hAnsi="Arial" w:eastAsia="Arial" w:cs="Arial"/>
          <w:noProof w:val="0"/>
          <w:lang w:val="en-US"/>
        </w:rPr>
        <w:t xml:space="preserve"> Tesco combines physical stores with online shopping and convenience services. These channels allow customers to choose how they shop and provide opportunities for cross-channel marketing. Such capabilities can support responsiveness to changing consumer behaviour (Teece, Pisano and Shuen, 1997).</w:t>
      </w:r>
    </w:p>
    <w:p xmlns:wp14="http://schemas.microsoft.com/office/word/2010/wordml" w:rsidP="31B1E6E5" wp14:paraId="43C26586" wp14:textId="6FD7C569">
      <w:pPr>
        <w:pStyle w:val="Normal"/>
        <w:spacing w:line="360" w:lineRule="auto"/>
        <w:rPr>
          <w:rFonts w:ascii="Arial" w:hAnsi="Arial" w:eastAsia="Arial" w:cs="Arial"/>
          <w:b w:val="1"/>
          <w:bCs w:val="1"/>
          <w:i w:val="0"/>
          <w:iCs w:val="0"/>
          <w:caps w:val="0"/>
          <w:smallCaps w:val="0"/>
          <w:noProof w:val="0"/>
          <w:color w:val="0D0D0D" w:themeColor="text1" w:themeTint="F2" w:themeShade="FF"/>
          <w:sz w:val="28"/>
          <w:szCs w:val="28"/>
          <w:lang w:val="en-US"/>
        </w:rPr>
      </w:pPr>
      <w:r w:rsidRPr="31B1E6E5" w:rsidR="45664C5E">
        <w:rPr>
          <w:rFonts w:ascii="Arial" w:hAnsi="Arial" w:eastAsia="Arial" w:cs="Arial"/>
          <w:b w:val="1"/>
          <w:bCs w:val="1"/>
          <w:noProof w:val="0"/>
          <w:lang w:val="en-US"/>
        </w:rPr>
        <w:t>2.2 Weaknesses</w:t>
      </w:r>
    </w:p>
    <w:p xmlns:wp14="http://schemas.microsoft.com/office/word/2010/wordml" w:rsidP="31B1E6E5" wp14:paraId="0E1F78D4" wp14:textId="1A497E7A">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Pressure on profit margins.</w:t>
      </w:r>
      <w:r w:rsidRPr="31B1E6E5" w:rsidR="45664C5E">
        <w:rPr>
          <w:rFonts w:ascii="Arial" w:hAnsi="Arial" w:eastAsia="Arial" w:cs="Arial"/>
          <w:noProof w:val="0"/>
          <w:lang w:val="en-US"/>
        </w:rPr>
        <w:t xml:space="preserve"> Tesco must balance competitive prices with profitability, particularly when discount retailers offer lower-priced alternatives. Extensive store operations, staffing, logistics and energy requirements create substantial operating costs. Price reductions may attract customers but can weaken margins if additional sales do not compensate for lower prices.</w:t>
      </w:r>
    </w:p>
    <w:p xmlns:wp14="http://schemas.microsoft.com/office/word/2010/wordml" w:rsidP="31B1E6E5" wp14:paraId="7C4490F6" wp14:textId="026E51EC">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Complexity of the customer offer.</w:t>
      </w:r>
      <w:r w:rsidRPr="31B1E6E5" w:rsidR="45664C5E">
        <w:rPr>
          <w:rFonts w:ascii="Arial" w:hAnsi="Arial" w:eastAsia="Arial" w:cs="Arial"/>
          <w:noProof w:val="0"/>
          <w:lang w:val="en-US"/>
        </w:rPr>
        <w:t xml:space="preserve"> Multiple promotions, loyalty prices and product ranges can make purchasing decisions confusing. Customers who cannot easily understand the value offered may become dissatisfied. Kotler and Keller (2016) emphasise the importance of delivering customer value through an appropriate marketing mix. Tesco must therefore communicate pricing clearly and ensure promotions support customer satisfaction rather than merely increasing short-term sales.</w:t>
      </w:r>
    </w:p>
    <w:p xmlns:wp14="http://schemas.microsoft.com/office/word/2010/wordml" w:rsidP="31B1E6E5" wp14:paraId="6404FA8B" wp14:textId="5251D240">
      <w:pPr>
        <w:pStyle w:val="Normal"/>
        <w:spacing w:line="360" w:lineRule="auto"/>
        <w:rPr>
          <w:rFonts w:ascii="Arial" w:hAnsi="Arial" w:eastAsia="Arial" w:cs="Arial"/>
          <w:b w:val="1"/>
          <w:bCs w:val="1"/>
          <w:i w:val="0"/>
          <w:iCs w:val="0"/>
          <w:caps w:val="0"/>
          <w:smallCaps w:val="0"/>
          <w:noProof w:val="0"/>
          <w:color w:val="0D0D0D" w:themeColor="text1" w:themeTint="F2" w:themeShade="FF"/>
          <w:sz w:val="28"/>
          <w:szCs w:val="28"/>
          <w:lang w:val="en-US"/>
        </w:rPr>
      </w:pPr>
      <w:r w:rsidRPr="31B1E6E5" w:rsidR="45664C5E">
        <w:rPr>
          <w:rFonts w:ascii="Arial" w:hAnsi="Arial" w:eastAsia="Arial" w:cs="Arial"/>
          <w:b w:val="1"/>
          <w:bCs w:val="1"/>
          <w:noProof w:val="0"/>
          <w:lang w:val="en-US"/>
        </w:rPr>
        <w:t>2.3 Opportunities</w:t>
      </w:r>
    </w:p>
    <w:p xmlns:wp14="http://schemas.microsoft.com/office/word/2010/wordml" w:rsidP="31B1E6E5" wp14:paraId="580D03CE" wp14:textId="0F4395CE">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Expansion of digital marketing and online retail. Growth in online grocery shopping creates opportunities to improve personalised recommendations, digital promotions and convenient delivery services. Tesco can integrate Clubcard insights with online shopping behaviour to increase basket values and encourage repeat purchases. However, personalisation should remain transparent and respect customer privacy.</w:t>
      </w:r>
    </w:p>
    <w:p xmlns:wp14="http://schemas.microsoft.com/office/word/2010/wordml" w:rsidP="31B1E6E5" wp14:paraId="1A289912" wp14:textId="0B823DC9">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Demand for healthier and sustainable products.</w:t>
      </w:r>
      <w:r w:rsidRPr="31B1E6E5" w:rsidR="45664C5E">
        <w:rPr>
          <w:rFonts w:ascii="Arial" w:hAnsi="Arial" w:eastAsia="Arial" w:cs="Arial"/>
          <w:noProof w:val="0"/>
          <w:lang w:val="en-US"/>
        </w:rPr>
        <w:t xml:space="preserve"> Greater interest in nutrition, responsible sourcing and reduced food waste creates opportunities for Tesco to develop healthier product ranges and communicate sustainability initiatives. Differentiated own-brand products could strengthen customer loyalty while supporting premium positioning. Grant (1991) argues that strategy should build on the relationship between resources, capabilities and market opportunities.</w:t>
      </w:r>
    </w:p>
    <w:p xmlns:wp14="http://schemas.microsoft.com/office/word/2010/wordml" w:rsidP="31B1E6E5" wp14:paraId="2CCBCFF7" wp14:textId="547C5B23">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Growth in value-oriented private labels.</w:t>
      </w:r>
      <w:r w:rsidRPr="31B1E6E5" w:rsidR="45664C5E">
        <w:rPr>
          <w:rFonts w:ascii="Arial" w:hAnsi="Arial" w:eastAsia="Arial" w:cs="Arial"/>
          <w:noProof w:val="0"/>
          <w:lang w:val="en-US"/>
        </w:rPr>
        <w:t xml:space="preserve"> Tesco can develop affordable own-brand products while maintaining premium options through its Finest range. This approach enables the company to serve price-sensitive consumers without abandoning opportunities to generate value from higher-quality products.</w:t>
      </w:r>
    </w:p>
    <w:p xmlns:wp14="http://schemas.microsoft.com/office/word/2010/wordml" w:rsidP="31B1E6E5" wp14:paraId="5EE55FB5" wp14:textId="737C017D">
      <w:pPr>
        <w:pStyle w:val="Normal"/>
        <w:spacing w:line="360" w:lineRule="auto"/>
        <w:rPr>
          <w:rFonts w:ascii="Arial" w:hAnsi="Arial" w:eastAsia="Arial" w:cs="Arial"/>
          <w:b w:val="1"/>
          <w:bCs w:val="1"/>
          <w:i w:val="0"/>
          <w:iCs w:val="0"/>
          <w:caps w:val="0"/>
          <w:smallCaps w:val="0"/>
          <w:noProof w:val="0"/>
          <w:color w:val="0D0D0D" w:themeColor="text1" w:themeTint="F2" w:themeShade="FF"/>
          <w:sz w:val="28"/>
          <w:szCs w:val="28"/>
          <w:lang w:val="en-US"/>
        </w:rPr>
      </w:pPr>
      <w:r w:rsidRPr="31B1E6E5" w:rsidR="45664C5E">
        <w:rPr>
          <w:rFonts w:ascii="Arial" w:hAnsi="Arial" w:eastAsia="Arial" w:cs="Arial"/>
          <w:b w:val="1"/>
          <w:bCs w:val="1"/>
          <w:noProof w:val="0"/>
          <w:lang w:val="en-US"/>
        </w:rPr>
        <w:t>2.4 Threats</w:t>
      </w:r>
    </w:p>
    <w:p xmlns:wp14="http://schemas.microsoft.com/office/word/2010/wordml" w:rsidP="31B1E6E5" wp14:paraId="1267A4D3" wp14:textId="6676F7C9">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Intense competition.</w:t>
      </w:r>
      <w:r w:rsidRPr="31B1E6E5" w:rsidR="45664C5E">
        <w:rPr>
          <w:rFonts w:ascii="Arial" w:hAnsi="Arial" w:eastAsia="Arial" w:cs="Arial"/>
          <w:noProof w:val="0"/>
          <w:lang w:val="en-US"/>
        </w:rPr>
        <w:t xml:space="preserve"> Aldi, Lidl, Sainsbury’s, Asda and online retailers compete through pricing, convenience and product differentiation. Government grocery market statistics identify Tesco as the market leader, while discount retailers collectively hold a substantial market presence (Department for Environment, Food and Rural Affairs, 2026). Continued discount-sector expansion threatens Tesco’s customer retention and pricing power.</w:t>
      </w:r>
    </w:p>
    <w:p xmlns:wp14="http://schemas.microsoft.com/office/word/2010/wordml" w:rsidP="31B1E6E5" wp14:paraId="6BF00332" wp14:textId="5B9505C7">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31B1E6E5" w:rsidR="45664C5E">
        <w:rPr>
          <w:rFonts w:ascii="Arial" w:hAnsi="Arial" w:eastAsia="Arial" w:cs="Arial"/>
          <w:noProof w:val="0"/>
          <w:lang w:val="en-US"/>
        </w:rPr>
        <w:t>Economic uncertainty.</w:t>
      </w:r>
      <w:r w:rsidRPr="31B1E6E5" w:rsidR="45664C5E">
        <w:rPr>
          <w:rFonts w:ascii="Arial" w:hAnsi="Arial" w:eastAsia="Arial" w:cs="Arial"/>
          <w:noProof w:val="0"/>
          <w:lang w:val="en-US"/>
        </w:rPr>
        <w:t xml:space="preserve"> Household budget pressures can encourage customers to switch retailers, reduce discretionary purchases or prioritise essential goods. Tesco may need to increase promotions and maintain competitive prices, potentially reducing margins.</w:t>
      </w:r>
    </w:p>
    <w:p xmlns:wp14="http://schemas.microsoft.com/office/word/2010/wordml" w:rsidP="31B1E6E5" wp14:paraId="6F3C37AD" wp14:textId="75496589">
      <w:pPr>
        <w:pStyle w:val="Normal"/>
        <w:spacing w:line="360" w:lineRule="auto"/>
      </w:pPr>
      <w:r w:rsidRPr="31B1E6E5" w:rsidR="45664C5E">
        <w:rPr>
          <w:rFonts w:ascii="Arial" w:hAnsi="Arial" w:eastAsia="Arial" w:cs="Arial"/>
          <w:noProof w:val="0"/>
          <w:lang w:val="en-US"/>
        </w:rPr>
        <w:t>Changing consumer expectations and technology.</w:t>
      </w:r>
      <w:r w:rsidRPr="31B1E6E5" w:rsidR="45664C5E">
        <w:rPr>
          <w:rFonts w:ascii="Arial" w:hAnsi="Arial" w:eastAsia="Arial" w:cs="Arial"/>
          <w:noProof w:val="0"/>
          <w:lang w:val="en-US"/>
        </w:rPr>
        <w:t xml:space="preserve"> Consumers increasingly expect convenient digital services, relevant promotions and responsible business practices. Failure to adapt could weaken Tesco’s reputation and customer relationships. Porter (1985) highlights differentiation and cost advantage as important sources of competitive positioning, requiring Tesco to manage both affordability and service quality.</w:t>
      </w:r>
    </w:p>
    <w:p xmlns:wp14="http://schemas.microsoft.com/office/word/2010/wordml" w:rsidP="31B1E6E5" wp14:paraId="6A1AD29A" wp14:textId="2354F178">
      <w:pPr>
        <w:spacing w:before="240" w:beforeAutospacing="off" w:after="240" w:afterAutospacing="off"/>
      </w:pPr>
      <w:r>
        <w:br w:type="page"/>
      </w:r>
    </w:p>
    <w:p xmlns:wp14="http://schemas.microsoft.com/office/word/2010/wordml" w:rsidP="31B1E6E5" wp14:paraId="4DE5E051" wp14:textId="213063F3">
      <w:pPr>
        <w:pStyle w:val="Normal"/>
        <w:keepNext w:val="0"/>
        <w:spacing w:line="360" w:lineRule="auto"/>
        <w:rPr>
          <w:rFonts w:ascii="Arial" w:hAnsi="Arial" w:eastAsia="Arial" w:cs="Arial"/>
          <w:b w:val="1"/>
          <w:bCs w:val="1"/>
          <w:noProof w:val="0"/>
          <w:lang w:val="en-US"/>
        </w:rPr>
      </w:pPr>
      <w:r w:rsidRPr="31B1E6E5" w:rsidR="179486AF">
        <w:rPr>
          <w:rFonts w:ascii="Arial" w:hAnsi="Arial" w:eastAsia="Arial" w:cs="Arial"/>
          <w:b w:val="1"/>
          <w:bCs w:val="1"/>
          <w:noProof w:val="0"/>
          <w:lang w:val="en-US"/>
        </w:rPr>
        <w:t>3. Critical Analysis and Evaluation</w:t>
      </w:r>
    </w:p>
    <w:p xmlns:wp14="http://schemas.microsoft.com/office/word/2010/wordml" w:rsidP="31B1E6E5" wp14:paraId="7DCA13BC" wp14:textId="016CFC3D">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The SWOT findings indicate that Tesco’s principal strategic advantage lies in combining market scale, brand recognition, customer data and multichannel distribution. Nevertheless, these strengths do not automatically guarantee sustainable success. Johnson et al. (2017) argue that strategy requires alignment between organisational capabilities and the external environment. Tesco must therefore convert its resources into customer value rather than rely solely on its market-leading position.</w:t>
      </w:r>
    </w:p>
    <w:p xmlns:wp14="http://schemas.microsoft.com/office/word/2010/wordml" w:rsidP="31B1E6E5" wp14:paraId="2BBD27AF" wp14:textId="13AD3948">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A priority is </w:t>
      </w:r>
      <w:r w:rsidRPr="31B1E6E5" w:rsidR="179486AF">
        <w:rPr>
          <w:rFonts w:ascii="Arial" w:hAnsi="Arial" w:eastAsia="Arial" w:cs="Arial"/>
          <w:noProof w:val="0"/>
          <w:lang w:val="en-US"/>
        </w:rPr>
        <w:t>value-based marketing</w:t>
      </w:r>
      <w:r w:rsidRPr="31B1E6E5" w:rsidR="179486AF">
        <w:rPr>
          <w:rFonts w:ascii="Arial" w:hAnsi="Arial" w:eastAsia="Arial" w:cs="Arial"/>
          <w:noProof w:val="0"/>
          <w:lang w:val="en-US"/>
        </w:rPr>
        <w:t>. Competition from Aldi and Lidl means Tesco must demonstrate that its prices, quality and convenience justify customers’ continued loyalty. A broad price-cutting strategy could weaken profitability, so Tesco should use selective price matching on key products while differentiating its premium and own-brand ranges. This balances cost competitiveness with differentiation (Porter, 1985).</w:t>
      </w:r>
    </w:p>
    <w:p xmlns:wp14="http://schemas.microsoft.com/office/word/2010/wordml" w:rsidP="31B1E6E5" wp14:paraId="10816FAC" wp14:textId="67E54164">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Second, Tesco should strengthen its </w:t>
      </w:r>
      <w:r w:rsidRPr="31B1E6E5" w:rsidR="179486AF">
        <w:rPr>
          <w:rFonts w:ascii="Arial" w:hAnsi="Arial" w:eastAsia="Arial" w:cs="Arial"/>
          <w:noProof w:val="0"/>
          <w:lang w:val="en-US"/>
        </w:rPr>
        <w:t>data-driven marketing strategy</w:t>
      </w:r>
      <w:r w:rsidRPr="31B1E6E5" w:rsidR="179486AF">
        <w:rPr>
          <w:rFonts w:ascii="Arial" w:hAnsi="Arial" w:eastAsia="Arial" w:cs="Arial"/>
          <w:noProof w:val="0"/>
          <w:lang w:val="en-US"/>
        </w:rPr>
        <w:t>. Clubcard provides opportunities to personalise communications and improve promotional effectiveness. However, customer data should be used responsibly, and personalised discounts should be easy to understand. Hill and Westbrook (1997) warn that SWOT exercises can become ineffective when findings are descriptive, unprioritised and disconnected from implementation. Tesco should therefore evaluate marketing campaigns using measurable indicators, including customer retention, conversion rates, average basket value and promotional profitability.</w:t>
      </w:r>
    </w:p>
    <w:p xmlns:wp14="http://schemas.microsoft.com/office/word/2010/wordml" w:rsidP="31B1E6E5" wp14:paraId="0B3ED175" wp14:textId="28D028C4">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Third, Tesco should connect sustainability and health initiatives to its product and communication strategies. Developing affordable healthier products could attract health-conscious customers while reinforcing brand trust. However, sustainability claims must be supported by evidence to avoid reputational damage. Dynamic capabilities theory suggests that firms must continually adapt their resources and processes as markets change (Teece, Pisano and Shuen, 1997).</w:t>
      </w:r>
    </w:p>
    <w:p xmlns:wp14="http://schemas.microsoft.com/office/word/2010/wordml" w:rsidP="31B1E6E5" wp14:paraId="3BBA428A" wp14:textId="71A29DBA">
      <w:pPr>
        <w:pStyle w:val="Normal"/>
        <w:keepNext w:val="0"/>
        <w:spacing w:line="360" w:lineRule="auto"/>
      </w:pPr>
      <w:r w:rsidRPr="31B1E6E5" w:rsidR="179486AF">
        <w:rPr>
          <w:rFonts w:ascii="Arial" w:hAnsi="Arial" w:eastAsia="Arial" w:cs="Arial"/>
          <w:noProof w:val="0"/>
          <w:lang w:val="en-US"/>
        </w:rPr>
        <w:t>Finally, SWOT has limitations because it simplifies complex market conditions and can rely on subjective judgements. Helms and Nixon (2010) recognise its continuing relevance in strategic planning, while Gürel and Tat (2017) explain its role in identifying organisational and environmental factors. Andrews (1971) similarly emphasises the importance of aligning organisational capabilities with external conditions. Consequently, Tesco should supplement SWOT with market research, competitor benchmarking and financial performance data rather than treat the analysis as a definitive forecast.</w:t>
      </w:r>
    </w:p>
    <w:p xmlns:wp14="http://schemas.microsoft.com/office/word/2010/wordml" w:rsidP="31B1E6E5" wp14:paraId="256CD008" wp14:textId="2B67A0D3">
      <w:pPr>
        <w:spacing w:before="240" w:beforeAutospacing="off" w:after="240" w:afterAutospacing="off"/>
      </w:pPr>
      <w:r>
        <w:br w:type="page"/>
      </w:r>
    </w:p>
    <w:p xmlns:wp14="http://schemas.microsoft.com/office/word/2010/wordml" w:rsidP="31B1E6E5" wp14:paraId="084D28BA" wp14:textId="1089FA09">
      <w:pPr>
        <w:pStyle w:val="Normal"/>
        <w:keepNext w:val="0"/>
        <w:spacing w:line="360" w:lineRule="auto"/>
        <w:rPr>
          <w:rFonts w:ascii="Arial" w:hAnsi="Arial" w:eastAsia="Arial" w:cs="Arial"/>
          <w:noProof w:val="0"/>
          <w:lang w:val="en-US"/>
        </w:rPr>
      </w:pPr>
    </w:p>
    <w:p xmlns:wp14="http://schemas.microsoft.com/office/word/2010/wordml" w:rsidP="31B1E6E5" wp14:paraId="7F2CE1D8" wp14:textId="583DC957">
      <w:pPr>
        <w:pStyle w:val="Normal"/>
        <w:keepNext w:val="0"/>
        <w:spacing w:line="360" w:lineRule="auto"/>
        <w:rPr>
          <w:rFonts w:ascii="Arial" w:hAnsi="Arial" w:eastAsia="Arial" w:cs="Arial"/>
          <w:b w:val="1"/>
          <w:bCs w:val="1"/>
          <w:noProof w:val="0"/>
          <w:lang w:val="en-US"/>
        </w:rPr>
      </w:pPr>
      <w:r w:rsidRPr="31B1E6E5" w:rsidR="179486AF">
        <w:rPr>
          <w:rFonts w:ascii="Arial" w:hAnsi="Arial" w:eastAsia="Arial" w:cs="Arial"/>
          <w:b w:val="1"/>
          <w:bCs w:val="1"/>
          <w:noProof w:val="0"/>
          <w:lang w:val="en-US"/>
        </w:rPr>
        <w:t>4. Conclusion and Recommendations</w:t>
      </w:r>
    </w:p>
    <w:p xmlns:wp14="http://schemas.microsoft.com/office/word/2010/wordml" w:rsidP="31B1E6E5" wp14:paraId="6B2E839B" wp14:textId="7D9F7E91">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This report identifies Tesco’s brand strength, market position, Clubcard programme and multichannel operations as important competitive advantages. However, margin pressures, intense discount-sector competition and changing customer expectations present significant challenges.</w:t>
      </w:r>
    </w:p>
    <w:p xmlns:wp14="http://schemas.microsoft.com/office/word/2010/wordml" w:rsidP="31B1E6E5" wp14:paraId="1903FA2A" wp14:textId="34F6720E">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Three recommendations follow. First, Tesco should maintain competitive prices on essential products while differentiating its premium and own-brand ranges. Second, it should improve responsible, data-driven personalisation and measure campaigns against retention and profitability. Third, it should expand affordable healthier products and substantiate sustainability communications with measurable evidence.</w:t>
      </w:r>
    </w:p>
    <w:p xmlns:wp14="http://schemas.microsoft.com/office/word/2010/wordml" w:rsidP="31B1E6E5" wp14:paraId="49DF4011" wp14:textId="43B4A6CC">
      <w:pPr>
        <w:pStyle w:val="Normal"/>
        <w:keepNext w:val="0"/>
        <w:spacing w:line="360" w:lineRule="auto"/>
      </w:pPr>
      <w:r w:rsidRPr="31B1E6E5" w:rsidR="179486AF">
        <w:rPr>
          <w:rFonts w:ascii="Arial" w:hAnsi="Arial" w:eastAsia="Arial" w:cs="Arial"/>
          <w:noProof w:val="0"/>
          <w:lang w:val="en-US"/>
        </w:rPr>
        <w:t>Overall, SWOT analysis supports strategic planning by connecting internal capabilities with external opportunities and threats. Its value depends on prioritising findings, testing assumptions and translating recommendations into measurable actions.</w:t>
      </w:r>
    </w:p>
    <w:p xmlns:wp14="http://schemas.microsoft.com/office/word/2010/wordml" w:rsidP="31B1E6E5" wp14:paraId="323F628C" wp14:textId="6EA286A3">
      <w:pPr>
        <w:pStyle w:val="Normal"/>
        <w:keepNext w:val="0"/>
        <w:spacing w:line="360" w:lineRule="auto"/>
        <w:rPr>
          <w:rFonts w:ascii="Arial" w:hAnsi="Arial" w:eastAsia="Arial" w:cs="Arial"/>
          <w:noProof w:val="0"/>
          <w:lang w:val="en-US"/>
        </w:rPr>
      </w:pPr>
    </w:p>
    <w:p xmlns:wp14="http://schemas.microsoft.com/office/word/2010/wordml" w:rsidP="31B1E6E5" wp14:paraId="6E64794A" wp14:textId="680FA97B">
      <w:pPr>
        <w:pStyle w:val="Normal"/>
        <w:keepNext w:val="0"/>
        <w:spacing w:line="360" w:lineRule="auto"/>
        <w:rPr>
          <w:rFonts w:ascii="Arial" w:hAnsi="Arial" w:eastAsia="Arial" w:cs="Arial"/>
          <w:noProof w:val="0"/>
          <w:lang w:val="en-US"/>
        </w:rPr>
      </w:pPr>
    </w:p>
    <w:p xmlns:wp14="http://schemas.microsoft.com/office/word/2010/wordml" w:rsidP="31B1E6E5" wp14:paraId="5B92B25E" wp14:textId="3F504DFA">
      <w:pPr>
        <w:pStyle w:val="Normal"/>
        <w:keepNext w:val="0"/>
        <w:spacing w:line="360" w:lineRule="auto"/>
        <w:rPr>
          <w:rFonts w:ascii="Arial" w:hAnsi="Arial" w:eastAsia="Arial" w:cs="Arial"/>
          <w:noProof w:val="0"/>
          <w:lang w:val="en-US"/>
        </w:rPr>
      </w:pPr>
    </w:p>
    <w:p xmlns:wp14="http://schemas.microsoft.com/office/word/2010/wordml" w:rsidP="31B1E6E5" wp14:paraId="5AEA5C61" wp14:textId="2F9A1311">
      <w:pPr>
        <w:pStyle w:val="Normal"/>
        <w:keepNext w:val="0"/>
        <w:spacing w:line="360" w:lineRule="auto"/>
        <w:rPr>
          <w:rFonts w:ascii="Arial" w:hAnsi="Arial" w:eastAsia="Arial" w:cs="Arial"/>
          <w:noProof w:val="0"/>
          <w:lang w:val="en-US"/>
        </w:rPr>
      </w:pPr>
    </w:p>
    <w:p xmlns:wp14="http://schemas.microsoft.com/office/word/2010/wordml" w:rsidP="31B1E6E5" wp14:paraId="352171BB" wp14:textId="7CC34CD7">
      <w:pPr>
        <w:pStyle w:val="Normal"/>
        <w:keepNext w:val="0"/>
        <w:spacing w:line="360" w:lineRule="auto"/>
        <w:rPr>
          <w:rFonts w:ascii="Arial" w:hAnsi="Arial" w:eastAsia="Arial" w:cs="Arial"/>
          <w:noProof w:val="0"/>
          <w:lang w:val="en-US"/>
        </w:rPr>
      </w:pPr>
    </w:p>
    <w:p xmlns:wp14="http://schemas.microsoft.com/office/word/2010/wordml" w:rsidP="31B1E6E5" wp14:paraId="7C54785A" wp14:textId="3DD03D3E">
      <w:pPr>
        <w:pStyle w:val="Normal"/>
        <w:keepNext w:val="0"/>
        <w:spacing w:line="360" w:lineRule="auto"/>
        <w:rPr>
          <w:rFonts w:ascii="Arial" w:hAnsi="Arial" w:eastAsia="Arial" w:cs="Arial"/>
          <w:noProof w:val="0"/>
          <w:lang w:val="en-US"/>
        </w:rPr>
      </w:pPr>
    </w:p>
    <w:p xmlns:wp14="http://schemas.microsoft.com/office/word/2010/wordml" w:rsidP="31B1E6E5" wp14:paraId="2F686A20" wp14:textId="33A34B80">
      <w:pPr>
        <w:pStyle w:val="Normal"/>
        <w:keepNext w:val="0"/>
        <w:spacing w:line="360" w:lineRule="auto"/>
        <w:rPr>
          <w:rFonts w:ascii="Arial" w:hAnsi="Arial" w:eastAsia="Arial" w:cs="Arial"/>
          <w:noProof w:val="0"/>
          <w:lang w:val="en-US"/>
        </w:rPr>
      </w:pPr>
    </w:p>
    <w:p xmlns:wp14="http://schemas.microsoft.com/office/word/2010/wordml" w:rsidP="31B1E6E5" wp14:paraId="4249D05A" wp14:textId="0AF3AFDA">
      <w:pPr>
        <w:pStyle w:val="Normal"/>
        <w:keepNext w:val="0"/>
        <w:spacing w:line="360" w:lineRule="auto"/>
        <w:rPr>
          <w:rFonts w:ascii="Arial" w:hAnsi="Arial" w:eastAsia="Arial" w:cs="Arial"/>
        </w:rPr>
      </w:pPr>
    </w:p>
    <w:p xmlns:wp14="http://schemas.microsoft.com/office/word/2010/wordml" w:rsidP="31B1E6E5" wp14:paraId="192F11EE" wp14:textId="4985C5CE">
      <w:pPr>
        <w:pStyle w:val="Normal"/>
        <w:keepNext w:val="0"/>
        <w:spacing w:line="360" w:lineRule="auto"/>
        <w:rPr>
          <w:rFonts w:ascii="Arial" w:hAnsi="Arial" w:eastAsia="Arial" w:cs="Arial"/>
          <w:b w:val="1"/>
          <w:bCs w:val="1"/>
          <w:noProof w:val="0"/>
          <w:lang w:val="en-US"/>
        </w:rPr>
      </w:pPr>
    </w:p>
    <w:p xmlns:wp14="http://schemas.microsoft.com/office/word/2010/wordml" w:rsidP="31B1E6E5" wp14:paraId="2309C2BD" wp14:textId="203274F9">
      <w:pPr>
        <w:pStyle w:val="Normal"/>
        <w:keepNext w:val="0"/>
        <w:spacing w:line="360" w:lineRule="auto"/>
        <w:rPr>
          <w:rFonts w:ascii="Arial" w:hAnsi="Arial" w:eastAsia="Arial" w:cs="Arial"/>
          <w:b w:val="1"/>
          <w:bCs w:val="1"/>
          <w:noProof w:val="0"/>
          <w:lang w:val="en-US"/>
        </w:rPr>
      </w:pPr>
    </w:p>
    <w:p xmlns:wp14="http://schemas.microsoft.com/office/word/2010/wordml" w:rsidP="31B1E6E5" wp14:paraId="71EDFC87" wp14:textId="0485AF89">
      <w:pPr>
        <w:pStyle w:val="Normal"/>
        <w:keepNext w:val="0"/>
        <w:spacing w:line="360" w:lineRule="auto"/>
        <w:rPr>
          <w:rFonts w:ascii="Arial" w:hAnsi="Arial" w:eastAsia="Arial" w:cs="Arial"/>
          <w:b w:val="1"/>
          <w:bCs w:val="1"/>
          <w:noProof w:val="0"/>
          <w:lang w:val="en-US"/>
        </w:rPr>
      </w:pPr>
    </w:p>
    <w:p xmlns:wp14="http://schemas.microsoft.com/office/word/2010/wordml" w:rsidP="31B1E6E5" wp14:paraId="0F23707C" wp14:textId="61A52C66">
      <w:pPr>
        <w:pStyle w:val="Normal"/>
        <w:keepNext w:val="0"/>
        <w:spacing w:line="360" w:lineRule="auto"/>
        <w:rPr>
          <w:rFonts w:ascii="Arial" w:hAnsi="Arial" w:eastAsia="Arial" w:cs="Arial"/>
          <w:b w:val="1"/>
          <w:bCs w:val="1"/>
          <w:noProof w:val="0"/>
          <w:lang w:val="en-US"/>
        </w:rPr>
      </w:pPr>
      <w:r w:rsidRPr="31B1E6E5" w:rsidR="74076AC7">
        <w:rPr>
          <w:rFonts w:ascii="Arial" w:hAnsi="Arial" w:eastAsia="Arial" w:cs="Arial"/>
          <w:b w:val="1"/>
          <w:bCs w:val="1"/>
          <w:noProof w:val="0"/>
          <w:lang w:val="en-US"/>
        </w:rPr>
        <w:t xml:space="preserve">5. </w:t>
      </w:r>
      <w:r w:rsidRPr="31B1E6E5" w:rsidR="179486AF">
        <w:rPr>
          <w:rFonts w:ascii="Arial" w:hAnsi="Arial" w:eastAsia="Arial" w:cs="Arial"/>
          <w:b w:val="1"/>
          <w:bCs w:val="1"/>
          <w:noProof w:val="0"/>
          <w:lang w:val="en-US"/>
        </w:rPr>
        <w:t>References</w:t>
      </w:r>
    </w:p>
    <w:p xmlns:wp14="http://schemas.microsoft.com/office/word/2010/wordml" w:rsidP="31B1E6E5" wp14:paraId="621001FD" wp14:textId="107B4238">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Aaker, D.A. (1996) </w:t>
      </w:r>
      <w:r w:rsidRPr="31B1E6E5" w:rsidR="179486AF">
        <w:rPr>
          <w:rFonts w:ascii="Arial" w:hAnsi="Arial" w:eastAsia="Arial" w:cs="Arial"/>
          <w:noProof w:val="0"/>
          <w:lang w:val="en-US"/>
        </w:rPr>
        <w:t>Building Strong Brands</w:t>
      </w:r>
      <w:r w:rsidRPr="31B1E6E5" w:rsidR="179486AF">
        <w:rPr>
          <w:rFonts w:ascii="Arial" w:hAnsi="Arial" w:eastAsia="Arial" w:cs="Arial"/>
          <w:noProof w:val="0"/>
          <w:lang w:val="en-US"/>
        </w:rPr>
        <w:t>. New York: Free Press.</w:t>
      </w:r>
    </w:p>
    <w:p xmlns:wp14="http://schemas.microsoft.com/office/word/2010/wordml" w:rsidP="31B1E6E5" wp14:paraId="4EFAC648" wp14:textId="196CF6A3">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Andrews, K.R. (1971) </w:t>
      </w:r>
      <w:r w:rsidRPr="31B1E6E5" w:rsidR="179486AF">
        <w:rPr>
          <w:rFonts w:ascii="Arial" w:hAnsi="Arial" w:eastAsia="Arial" w:cs="Arial"/>
          <w:noProof w:val="0"/>
          <w:lang w:val="en-US"/>
        </w:rPr>
        <w:t>The Concept of Corporate Strategy</w:t>
      </w:r>
      <w:r w:rsidRPr="31B1E6E5" w:rsidR="179486AF">
        <w:rPr>
          <w:rFonts w:ascii="Arial" w:hAnsi="Arial" w:eastAsia="Arial" w:cs="Arial"/>
          <w:noProof w:val="0"/>
          <w:lang w:val="en-US"/>
        </w:rPr>
        <w:t>. Homewood, IL: Dow Jones-Irwin.</w:t>
      </w:r>
    </w:p>
    <w:p xmlns:wp14="http://schemas.microsoft.com/office/word/2010/wordml" w:rsidP="31B1E6E5" wp14:paraId="55D1B0C3" wp14:textId="14A62AC6">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Barney, J. (1991) ‘Firm resources and sustained competitive advantage’, </w:t>
      </w:r>
      <w:r w:rsidRPr="31B1E6E5" w:rsidR="179486AF">
        <w:rPr>
          <w:rFonts w:ascii="Arial" w:hAnsi="Arial" w:eastAsia="Arial" w:cs="Arial"/>
          <w:noProof w:val="0"/>
          <w:lang w:val="en-US"/>
        </w:rPr>
        <w:t>Journal of Management</w:t>
      </w:r>
      <w:r w:rsidRPr="31B1E6E5" w:rsidR="179486AF">
        <w:rPr>
          <w:rFonts w:ascii="Arial" w:hAnsi="Arial" w:eastAsia="Arial" w:cs="Arial"/>
          <w:noProof w:val="0"/>
          <w:lang w:val="en-US"/>
        </w:rPr>
        <w:t xml:space="preserve">, 17(1), pp. 99–120. Available at: </w:t>
      </w:r>
      <w:hyperlink r:id="R3d5390da7cab41f6">
        <w:r w:rsidRPr="31B1E6E5" w:rsidR="179486AF">
          <w:rPr>
            <w:rStyle w:val="Hyperlink"/>
            <w:rFonts w:ascii="Arial" w:hAnsi="Arial" w:eastAsia="Arial" w:cs="Arial"/>
            <w:noProof w:val="0"/>
            <w:lang w:val="en-US"/>
          </w:rPr>
          <w:t>https://doi.org/10.1177/014920639101700108</w:t>
        </w:r>
      </w:hyperlink>
      <w:r w:rsidRPr="31B1E6E5" w:rsidR="179486AF">
        <w:rPr>
          <w:rFonts w:ascii="Arial" w:hAnsi="Arial" w:eastAsia="Arial" w:cs="Arial"/>
          <w:noProof w:val="0"/>
          <w:lang w:val="en-US"/>
        </w:rPr>
        <w:t>.</w:t>
      </w:r>
    </w:p>
    <w:p xmlns:wp14="http://schemas.microsoft.com/office/word/2010/wordml" w:rsidP="31B1E6E5" wp14:paraId="34CF15EC" wp14:textId="37616EDA">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Department for Environment, Food and Rural Affairs (2026) </w:t>
      </w:r>
      <w:r w:rsidRPr="31B1E6E5" w:rsidR="179486AF">
        <w:rPr>
          <w:rFonts w:ascii="Arial" w:hAnsi="Arial" w:eastAsia="Arial" w:cs="Arial"/>
          <w:noProof w:val="0"/>
          <w:lang w:val="en-US"/>
        </w:rPr>
        <w:t>Food statistics in your pocket: Grocery market shares</w:t>
      </w:r>
      <w:r w:rsidRPr="31B1E6E5" w:rsidR="179486AF">
        <w:rPr>
          <w:rFonts w:ascii="Arial" w:hAnsi="Arial" w:eastAsia="Arial" w:cs="Arial"/>
          <w:noProof w:val="0"/>
          <w:lang w:val="en-US"/>
        </w:rPr>
        <w:t xml:space="preserve">. Available at: </w:t>
      </w:r>
      <w:hyperlink r:id="R20ebe9e3bccf4f45">
        <w:r w:rsidRPr="31B1E6E5" w:rsidR="179486AF">
          <w:rPr>
            <w:rStyle w:val="Hyperlink"/>
            <w:rFonts w:ascii="Arial" w:hAnsi="Arial" w:eastAsia="Arial" w:cs="Arial"/>
            <w:noProof w:val="0"/>
            <w:lang w:val="en-US"/>
          </w:rPr>
          <w:t>https://www.gov.uk/government/statistics/food-statistics-pocketbook/food-statistics-in-your-pocket</w:t>
        </w:r>
      </w:hyperlink>
      <w:r w:rsidRPr="31B1E6E5" w:rsidR="179486AF">
        <w:rPr>
          <w:rFonts w:ascii="Arial" w:hAnsi="Arial" w:eastAsia="Arial" w:cs="Arial"/>
          <w:noProof w:val="0"/>
          <w:lang w:val="en-US"/>
        </w:rPr>
        <w:t xml:space="preserve"> (Accessed: 9 October 2026).</w:t>
      </w:r>
    </w:p>
    <w:p xmlns:wp14="http://schemas.microsoft.com/office/word/2010/wordml" w:rsidP="31B1E6E5" wp14:paraId="6D18749D" wp14:textId="68ABF605">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Grant, R.M. (1991) ‘The resource-based theory of competitive advantage: Implications for strategy formulation’, </w:t>
      </w:r>
      <w:r w:rsidRPr="31B1E6E5" w:rsidR="179486AF">
        <w:rPr>
          <w:rFonts w:ascii="Arial" w:hAnsi="Arial" w:eastAsia="Arial" w:cs="Arial"/>
          <w:noProof w:val="0"/>
          <w:lang w:val="en-US"/>
        </w:rPr>
        <w:t>California Management Review</w:t>
      </w:r>
      <w:r w:rsidRPr="31B1E6E5" w:rsidR="179486AF">
        <w:rPr>
          <w:rFonts w:ascii="Arial" w:hAnsi="Arial" w:eastAsia="Arial" w:cs="Arial"/>
          <w:noProof w:val="0"/>
          <w:lang w:val="en-US"/>
        </w:rPr>
        <w:t xml:space="preserve">, 33(3), pp. 114–135. Available at: </w:t>
      </w:r>
      <w:hyperlink r:id="R1a78ce2d51d54848">
        <w:r w:rsidRPr="31B1E6E5" w:rsidR="179486AF">
          <w:rPr>
            <w:rStyle w:val="Hyperlink"/>
            <w:rFonts w:ascii="Arial" w:hAnsi="Arial" w:eastAsia="Arial" w:cs="Arial"/>
            <w:noProof w:val="0"/>
            <w:lang w:val="en-US"/>
          </w:rPr>
          <w:t>https://doi.org/10.2307/41166664</w:t>
        </w:r>
      </w:hyperlink>
      <w:r w:rsidRPr="31B1E6E5" w:rsidR="179486AF">
        <w:rPr>
          <w:rFonts w:ascii="Arial" w:hAnsi="Arial" w:eastAsia="Arial" w:cs="Arial"/>
          <w:noProof w:val="0"/>
          <w:lang w:val="en-US"/>
        </w:rPr>
        <w:t>.</w:t>
      </w:r>
    </w:p>
    <w:p xmlns:wp14="http://schemas.microsoft.com/office/word/2010/wordml" w:rsidP="31B1E6E5" wp14:paraId="78A4BC3D" wp14:textId="56A548C7">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Gürel, E. and Tat, M. (2017) ‘SWOT analysis: A theoretical review’, </w:t>
      </w:r>
      <w:r w:rsidRPr="31B1E6E5" w:rsidR="179486AF">
        <w:rPr>
          <w:rFonts w:ascii="Arial" w:hAnsi="Arial" w:eastAsia="Arial" w:cs="Arial"/>
          <w:noProof w:val="0"/>
          <w:lang w:val="en-US"/>
        </w:rPr>
        <w:t>The Journal of International Social Research</w:t>
      </w:r>
      <w:r w:rsidRPr="31B1E6E5" w:rsidR="179486AF">
        <w:rPr>
          <w:rFonts w:ascii="Arial" w:hAnsi="Arial" w:eastAsia="Arial" w:cs="Arial"/>
          <w:noProof w:val="0"/>
          <w:lang w:val="en-US"/>
        </w:rPr>
        <w:t xml:space="preserve">, 10(51), pp. 994–1006. Available at: </w:t>
      </w:r>
      <w:hyperlink r:id="Rc3dfb039d130474d">
        <w:r w:rsidRPr="31B1E6E5" w:rsidR="179486AF">
          <w:rPr>
            <w:rStyle w:val="Hyperlink"/>
            <w:rFonts w:ascii="Arial" w:hAnsi="Arial" w:eastAsia="Arial" w:cs="Arial"/>
            <w:noProof w:val="0"/>
            <w:lang w:val="en-US"/>
          </w:rPr>
          <w:t>https://doi.org/10.17719/jisr.2017.1832</w:t>
        </w:r>
      </w:hyperlink>
      <w:r w:rsidRPr="31B1E6E5" w:rsidR="179486AF">
        <w:rPr>
          <w:rFonts w:ascii="Arial" w:hAnsi="Arial" w:eastAsia="Arial" w:cs="Arial"/>
          <w:noProof w:val="0"/>
          <w:lang w:val="en-US"/>
        </w:rPr>
        <w:t>.</w:t>
      </w:r>
    </w:p>
    <w:p xmlns:wp14="http://schemas.microsoft.com/office/word/2010/wordml" w:rsidP="31B1E6E5" wp14:paraId="053B7DFA" wp14:textId="2DCBA58F">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Helms, M.M. and Nixon, J. (2010) ‘Exploring SWOT analysis – where are we now? A review of academic research from the last decade’, </w:t>
      </w:r>
      <w:r w:rsidRPr="31B1E6E5" w:rsidR="179486AF">
        <w:rPr>
          <w:rFonts w:ascii="Arial" w:hAnsi="Arial" w:eastAsia="Arial" w:cs="Arial"/>
          <w:noProof w:val="0"/>
          <w:lang w:val="en-US"/>
        </w:rPr>
        <w:t>Journal of Strategy and Management</w:t>
      </w:r>
      <w:r w:rsidRPr="31B1E6E5" w:rsidR="179486AF">
        <w:rPr>
          <w:rFonts w:ascii="Arial" w:hAnsi="Arial" w:eastAsia="Arial" w:cs="Arial"/>
          <w:noProof w:val="0"/>
          <w:lang w:val="en-US"/>
        </w:rPr>
        <w:t xml:space="preserve">, 3(3), pp. 215–251. Available at: </w:t>
      </w:r>
      <w:hyperlink r:id="Rc2fd8033e8c04498">
        <w:r w:rsidRPr="31B1E6E5" w:rsidR="179486AF">
          <w:rPr>
            <w:rStyle w:val="Hyperlink"/>
            <w:rFonts w:ascii="Arial" w:hAnsi="Arial" w:eastAsia="Arial" w:cs="Arial"/>
            <w:noProof w:val="0"/>
            <w:lang w:val="en-US"/>
          </w:rPr>
          <w:t>https://doi.org/10.1108/17554251011064837</w:t>
        </w:r>
      </w:hyperlink>
      <w:r w:rsidRPr="31B1E6E5" w:rsidR="179486AF">
        <w:rPr>
          <w:rFonts w:ascii="Arial" w:hAnsi="Arial" w:eastAsia="Arial" w:cs="Arial"/>
          <w:noProof w:val="0"/>
          <w:lang w:val="en-US"/>
        </w:rPr>
        <w:t>.</w:t>
      </w:r>
    </w:p>
    <w:p xmlns:wp14="http://schemas.microsoft.com/office/word/2010/wordml" w:rsidP="31B1E6E5" wp14:paraId="327A83B2" wp14:textId="1CFAFC5A">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Hill, T. and Westbrook, R. (1997) ‘SWOT analysis: It’s time for a product recall’, </w:t>
      </w:r>
      <w:r w:rsidRPr="31B1E6E5" w:rsidR="179486AF">
        <w:rPr>
          <w:rFonts w:ascii="Arial" w:hAnsi="Arial" w:eastAsia="Arial" w:cs="Arial"/>
          <w:noProof w:val="0"/>
          <w:lang w:val="en-US"/>
        </w:rPr>
        <w:t>Long Range Planning</w:t>
      </w:r>
      <w:r w:rsidRPr="31B1E6E5" w:rsidR="179486AF">
        <w:rPr>
          <w:rFonts w:ascii="Arial" w:hAnsi="Arial" w:eastAsia="Arial" w:cs="Arial"/>
          <w:noProof w:val="0"/>
          <w:lang w:val="en-US"/>
        </w:rPr>
        <w:t xml:space="preserve">, 30(1), pp. 46–52. Available at: </w:t>
      </w:r>
      <w:hyperlink r:id="Rf9751c0f82ae4e80">
        <w:r w:rsidRPr="31B1E6E5" w:rsidR="179486AF">
          <w:rPr>
            <w:rStyle w:val="Hyperlink"/>
            <w:rFonts w:ascii="Arial" w:hAnsi="Arial" w:eastAsia="Arial" w:cs="Arial"/>
            <w:noProof w:val="0"/>
            <w:lang w:val="en-US"/>
          </w:rPr>
          <w:t>https://doi.org/10.1016/S0024-6301(96)00095-7</w:t>
        </w:r>
      </w:hyperlink>
      <w:r w:rsidRPr="31B1E6E5" w:rsidR="179486AF">
        <w:rPr>
          <w:rFonts w:ascii="Arial" w:hAnsi="Arial" w:eastAsia="Arial" w:cs="Arial"/>
          <w:noProof w:val="0"/>
          <w:lang w:val="en-US"/>
        </w:rPr>
        <w:t>.</w:t>
      </w:r>
    </w:p>
    <w:p xmlns:wp14="http://schemas.microsoft.com/office/word/2010/wordml" w:rsidP="31B1E6E5" wp14:paraId="6B060A8B" wp14:textId="4CE92B21">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Johnson, G., Whittington, R., Scholes, K., Angwin, D. and Regnér, P. (2017) </w:t>
      </w:r>
      <w:r w:rsidRPr="31B1E6E5" w:rsidR="179486AF">
        <w:rPr>
          <w:rFonts w:ascii="Arial" w:hAnsi="Arial" w:eastAsia="Arial" w:cs="Arial"/>
          <w:noProof w:val="0"/>
          <w:lang w:val="en-US"/>
        </w:rPr>
        <w:t>Exploring Strategy: Text and Cases</w:t>
      </w:r>
      <w:r w:rsidRPr="31B1E6E5" w:rsidR="179486AF">
        <w:rPr>
          <w:rFonts w:ascii="Arial" w:hAnsi="Arial" w:eastAsia="Arial" w:cs="Arial"/>
          <w:noProof w:val="0"/>
          <w:lang w:val="en-US"/>
        </w:rPr>
        <w:t>. 11th edn. Harlow: Pearson.</w:t>
      </w:r>
    </w:p>
    <w:p xmlns:wp14="http://schemas.microsoft.com/office/word/2010/wordml" w:rsidP="31B1E6E5" wp14:paraId="614F8F8A" wp14:textId="3C922881">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Kotler, P. and Keller, K.L. (2016) </w:t>
      </w:r>
      <w:r w:rsidRPr="31B1E6E5" w:rsidR="179486AF">
        <w:rPr>
          <w:rFonts w:ascii="Arial" w:hAnsi="Arial" w:eastAsia="Arial" w:cs="Arial"/>
          <w:noProof w:val="0"/>
          <w:lang w:val="en-US"/>
        </w:rPr>
        <w:t>Marketing Management</w:t>
      </w:r>
      <w:r w:rsidRPr="31B1E6E5" w:rsidR="179486AF">
        <w:rPr>
          <w:rFonts w:ascii="Arial" w:hAnsi="Arial" w:eastAsia="Arial" w:cs="Arial"/>
          <w:noProof w:val="0"/>
          <w:lang w:val="en-US"/>
        </w:rPr>
        <w:t>. 15th edn. Harlow: Pearson.</w:t>
      </w:r>
    </w:p>
    <w:p xmlns:wp14="http://schemas.microsoft.com/office/word/2010/wordml" w:rsidP="31B1E6E5" wp14:paraId="35F8CDF2" wp14:textId="4F07129E">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Porter, M.E. (1985) </w:t>
      </w:r>
      <w:r w:rsidRPr="31B1E6E5" w:rsidR="179486AF">
        <w:rPr>
          <w:rFonts w:ascii="Arial" w:hAnsi="Arial" w:eastAsia="Arial" w:cs="Arial"/>
          <w:noProof w:val="0"/>
          <w:lang w:val="en-US"/>
        </w:rPr>
        <w:t>Competitive Advantage: Creating and Sustaining Superior Performance</w:t>
      </w:r>
      <w:r w:rsidRPr="31B1E6E5" w:rsidR="179486AF">
        <w:rPr>
          <w:rFonts w:ascii="Arial" w:hAnsi="Arial" w:eastAsia="Arial" w:cs="Arial"/>
          <w:noProof w:val="0"/>
          <w:lang w:val="en-US"/>
        </w:rPr>
        <w:t>. New York: Free Press.</w:t>
      </w:r>
    </w:p>
    <w:p xmlns:wp14="http://schemas.microsoft.com/office/word/2010/wordml" w:rsidP="31B1E6E5" wp14:paraId="64DD8A41" wp14:textId="63449EE7">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Teece, D.J., Pisano, G. and Shuen, A. (1997) ‘Dynamic capabilities and strategic management’, </w:t>
      </w:r>
      <w:r w:rsidRPr="31B1E6E5" w:rsidR="179486AF">
        <w:rPr>
          <w:rFonts w:ascii="Arial" w:hAnsi="Arial" w:eastAsia="Arial" w:cs="Arial"/>
          <w:noProof w:val="0"/>
          <w:lang w:val="en-US"/>
        </w:rPr>
        <w:t>Strategic Management Journal</w:t>
      </w:r>
      <w:r w:rsidRPr="31B1E6E5" w:rsidR="179486AF">
        <w:rPr>
          <w:rFonts w:ascii="Arial" w:hAnsi="Arial" w:eastAsia="Arial" w:cs="Arial"/>
          <w:noProof w:val="0"/>
          <w:lang w:val="en-US"/>
        </w:rPr>
        <w:t xml:space="preserve">, 18(7), pp. 509–533. Available at: </w:t>
      </w:r>
      <w:hyperlink r:id="R24ef8b0123644c92">
        <w:r w:rsidRPr="31B1E6E5" w:rsidR="179486AF">
          <w:rPr>
            <w:rStyle w:val="Hyperlink"/>
            <w:rFonts w:ascii="Arial" w:hAnsi="Arial" w:eastAsia="Arial" w:cs="Arial"/>
            <w:noProof w:val="0"/>
            <w:lang w:val="en-US"/>
          </w:rPr>
          <w:t>https://doi.org/10.1002/(SICI)1097-0266(199708)18:7%3C509::AID-SMJ882%3E3.0.CO;2-Z</w:t>
        </w:r>
      </w:hyperlink>
      <w:r w:rsidRPr="31B1E6E5" w:rsidR="179486AF">
        <w:rPr>
          <w:rFonts w:ascii="Arial" w:hAnsi="Arial" w:eastAsia="Arial" w:cs="Arial"/>
          <w:noProof w:val="0"/>
          <w:lang w:val="en-US"/>
        </w:rPr>
        <w:t>.</w:t>
      </w:r>
    </w:p>
    <w:p xmlns:wp14="http://schemas.microsoft.com/office/word/2010/wordml" w:rsidP="31B1E6E5" wp14:paraId="323FDDEA" wp14:textId="1665FA4D">
      <w:pPr>
        <w:pStyle w:val="Normal"/>
        <w:keepNext w:val="0"/>
        <w:spacing w:line="360" w:lineRule="auto"/>
        <w:rPr>
          <w:rFonts w:ascii="Arial" w:hAnsi="Arial" w:eastAsia="Arial" w:cs="Arial"/>
          <w:noProof w:val="0"/>
          <w:lang w:val="en-US"/>
        </w:rPr>
      </w:pPr>
      <w:r w:rsidRPr="31B1E6E5" w:rsidR="179486AF">
        <w:rPr>
          <w:rFonts w:ascii="Arial" w:hAnsi="Arial" w:eastAsia="Arial" w:cs="Arial"/>
          <w:noProof w:val="0"/>
          <w:lang w:val="en-US"/>
        </w:rPr>
        <w:t xml:space="preserve">Tesco PLC (2025) </w:t>
      </w:r>
      <w:r w:rsidRPr="31B1E6E5" w:rsidR="179486AF">
        <w:rPr>
          <w:rFonts w:ascii="Arial" w:hAnsi="Arial" w:eastAsia="Arial" w:cs="Arial"/>
          <w:noProof w:val="0"/>
          <w:lang w:val="en-US"/>
        </w:rPr>
        <w:t>Annual Report and Financial Statements 2025</w:t>
      </w:r>
      <w:r w:rsidRPr="31B1E6E5" w:rsidR="179486AF">
        <w:rPr>
          <w:rFonts w:ascii="Arial" w:hAnsi="Arial" w:eastAsia="Arial" w:cs="Arial"/>
          <w:noProof w:val="0"/>
          <w:lang w:val="en-US"/>
        </w:rPr>
        <w:t xml:space="preserve">. Available at: </w:t>
      </w:r>
      <w:hyperlink r:id="Ra6d4137de5fd46b4">
        <w:r w:rsidRPr="31B1E6E5" w:rsidR="179486AF">
          <w:rPr>
            <w:rStyle w:val="Hyperlink"/>
            <w:rFonts w:ascii="Arial" w:hAnsi="Arial" w:eastAsia="Arial" w:cs="Arial"/>
            <w:noProof w:val="0"/>
            <w:lang w:val="en-US"/>
          </w:rPr>
          <w:t>https://www.tescoplc.com/media/ky0bfwpo/tesco</w:t>
        </w:r>
        <w:r w:rsidRPr="31B1E6E5" w:rsidR="179486AF">
          <w:rPr>
            <w:rStyle w:val="Hyperlink"/>
            <w:rFonts w:ascii="Arial" w:hAnsi="Arial" w:eastAsia="Arial" w:cs="Arial"/>
            <w:noProof w:val="0"/>
            <w:lang w:val="en-US"/>
          </w:rPr>
          <w:t>ar25</w:t>
        </w:r>
        <w:r w:rsidRPr="31B1E6E5" w:rsidR="179486AF">
          <w:rPr>
            <w:rStyle w:val="Hyperlink"/>
            <w:rFonts w:ascii="Arial" w:hAnsi="Arial" w:eastAsia="Arial" w:cs="Arial"/>
            <w:noProof w:val="0"/>
            <w:lang w:val="en-US"/>
          </w:rPr>
          <w:t>interactive.pdf</w:t>
        </w:r>
      </w:hyperlink>
      <w:r w:rsidRPr="31B1E6E5" w:rsidR="179486AF">
        <w:rPr>
          <w:rFonts w:ascii="Arial" w:hAnsi="Arial" w:eastAsia="Arial" w:cs="Arial"/>
          <w:noProof w:val="0"/>
          <w:lang w:val="en-US"/>
        </w:rPr>
        <w:t xml:space="preserve"> (Accessed: 9 October 2026).</w:t>
      </w:r>
    </w:p>
    <w:p xmlns:wp14="http://schemas.microsoft.com/office/word/2010/wordml" w:rsidP="31B1E6E5" wp14:paraId="3B873BB9" wp14:textId="7CF8E323">
      <w:pPr>
        <w:pStyle w:val="Normal"/>
        <w:keepNext w:val="0"/>
        <w:spacing w:line="360" w:lineRule="auto"/>
        <w:rPr>
          <w:rFonts w:ascii="Arial" w:hAnsi="Arial" w:eastAsia="Arial" w:cs="Arial"/>
          <w:noProof w:val="0"/>
          <w:lang w:val="en-US"/>
        </w:rPr>
      </w:pPr>
    </w:p>
    <w:p xmlns:wp14="http://schemas.microsoft.com/office/word/2010/wordml" w:rsidP="31B1E6E5" wp14:paraId="44854C01" wp14:textId="72A573C7">
      <w:pPr>
        <w:pStyle w:val="Normal"/>
        <w:keepNext w:val="0"/>
        <w:spacing w:line="360" w:lineRule="auto"/>
        <w:rPr>
          <w:rFonts w:ascii="Arial" w:hAnsi="Arial" w:eastAsia="Arial" w:cs="Arial"/>
          <w:noProof w:val="0"/>
          <w:lang w:val="en-US"/>
        </w:rPr>
      </w:pPr>
    </w:p>
    <w:p xmlns:wp14="http://schemas.microsoft.com/office/word/2010/wordml" w:rsidP="31B1E6E5" wp14:paraId="02F33E9A" wp14:textId="71F1DF86">
      <w:pPr>
        <w:pStyle w:val="Normal"/>
        <w:keepNext w:val="0"/>
        <w:spacing w:line="360" w:lineRule="auto"/>
        <w:rPr>
          <w:rFonts w:ascii="Arial" w:hAnsi="Arial" w:eastAsia="Arial" w:cs="Arial"/>
          <w:noProof w:val="0"/>
          <w:lang w:val="en-US"/>
        </w:rPr>
      </w:pPr>
    </w:p>
    <w:p xmlns:wp14="http://schemas.microsoft.com/office/word/2010/wordml" w:rsidP="31B1E6E5" wp14:paraId="2C078E63" wp14:textId="47B8273D">
      <w:pPr>
        <w:shd w:val="clear" w:color="auto" w:fill="FCFCFC"/>
        <w:spacing w:before="60" w:beforeAutospacing="off" w:after="6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footerReference w:type="default" r:id="Re90913bf71dd4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1B1E6E5" w:rsidTr="31B1E6E5" w14:paraId="79B30889">
      <w:trPr>
        <w:trHeight w:val="300"/>
      </w:trPr>
      <w:tc>
        <w:tcPr>
          <w:tcW w:w="3120" w:type="dxa"/>
          <w:tcMar/>
        </w:tcPr>
        <w:p w:rsidR="31B1E6E5" w:rsidP="31B1E6E5" w:rsidRDefault="31B1E6E5" w14:paraId="5D278412" w14:textId="0C17A374">
          <w:pPr>
            <w:pStyle w:val="Header"/>
            <w:bidi w:val="0"/>
            <w:ind w:left="-115"/>
            <w:jc w:val="left"/>
          </w:pPr>
        </w:p>
      </w:tc>
      <w:tc>
        <w:tcPr>
          <w:tcW w:w="3120" w:type="dxa"/>
          <w:tcMar/>
        </w:tcPr>
        <w:p w:rsidR="31B1E6E5" w:rsidP="31B1E6E5" w:rsidRDefault="31B1E6E5" w14:paraId="6BD83194" w14:textId="70DAD845">
          <w:pPr>
            <w:pStyle w:val="Header"/>
            <w:bidi w:val="0"/>
            <w:jc w:val="center"/>
          </w:pPr>
        </w:p>
      </w:tc>
      <w:tc>
        <w:tcPr>
          <w:tcW w:w="3120" w:type="dxa"/>
          <w:tcMar/>
        </w:tcPr>
        <w:p w:rsidR="31B1E6E5" w:rsidP="31B1E6E5" w:rsidRDefault="31B1E6E5" w14:paraId="2BF57B84" w14:textId="70A9E469">
          <w:pPr>
            <w:pStyle w:val="Header"/>
            <w:bidi w:val="0"/>
            <w:ind w:right="-115"/>
            <w:jc w:val="right"/>
          </w:pPr>
        </w:p>
      </w:tc>
    </w:tr>
  </w:tbl>
  <w:p w:rsidR="31B1E6E5" w:rsidP="31B1E6E5" w:rsidRDefault="31B1E6E5" w14:paraId="5CD6672A" w14:textId="1AB6FBFC">
    <w:pPr>
      <w:pStyle w:val="Footer"/>
      <w:bidi w:val="0"/>
    </w:pPr>
  </w:p>
</w:ftr>
</file>

<file path=word/intelligence2.xml><?xml version="1.0" encoding="utf-8"?>
<int2:intelligence xmlns:int2="http://schemas.microsoft.com/office/intelligence/2020/intelligence">
  <int2:observations>
    <int2:textHash int2:hashCode="ni8UUdXdlt6RIo" int2:id="rRJ7Lc9t">
      <int2:state int2:type="spell" int2:value="Rejected"/>
    </int2:textHash>
    <int2:bookmark int2:bookmarkName="_Int_cqlUwqLX" int2:invalidationBookmarkName="" int2:hashCode="xlFEUnP2xB5xcV" int2:id="KPa9kXAy">
      <int2:state int2:type="gram" int2:value="Rejected"/>
    </int2:bookmark>
    <int2:bookmark int2:bookmarkName="_Int_XHOTQlkH" int2:invalidationBookmarkName="" int2:hashCode="c6mL3qnah9O1Ll" int2:id="mzh4eYS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31610a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262c70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e51373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b3e552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301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439C5"/>
    <w:rsid w:val="00224043"/>
    <w:rsid w:val="0072DBB5"/>
    <w:rsid w:val="01115CEB"/>
    <w:rsid w:val="048EA209"/>
    <w:rsid w:val="07B51579"/>
    <w:rsid w:val="0883247B"/>
    <w:rsid w:val="09566AF3"/>
    <w:rsid w:val="0A9816FC"/>
    <w:rsid w:val="0D7960D2"/>
    <w:rsid w:val="0EF360CF"/>
    <w:rsid w:val="0FFF6BD9"/>
    <w:rsid w:val="1127DEC8"/>
    <w:rsid w:val="113CDED7"/>
    <w:rsid w:val="1532A460"/>
    <w:rsid w:val="16132C33"/>
    <w:rsid w:val="179486AF"/>
    <w:rsid w:val="1798A49F"/>
    <w:rsid w:val="18512124"/>
    <w:rsid w:val="18ADF9CC"/>
    <w:rsid w:val="19A9A0C1"/>
    <w:rsid w:val="1A846127"/>
    <w:rsid w:val="1CBB3CCB"/>
    <w:rsid w:val="1FE2E8CD"/>
    <w:rsid w:val="227A1A89"/>
    <w:rsid w:val="23FB6A1D"/>
    <w:rsid w:val="2ADEAE47"/>
    <w:rsid w:val="2BCCE09E"/>
    <w:rsid w:val="2C7AC7FD"/>
    <w:rsid w:val="2D1E1ED1"/>
    <w:rsid w:val="2F0439C5"/>
    <w:rsid w:val="31B1E6E5"/>
    <w:rsid w:val="3408B872"/>
    <w:rsid w:val="348EF32A"/>
    <w:rsid w:val="380B288F"/>
    <w:rsid w:val="39353593"/>
    <w:rsid w:val="3B4B2C14"/>
    <w:rsid w:val="3E192DB4"/>
    <w:rsid w:val="3E5E171B"/>
    <w:rsid w:val="44269FCB"/>
    <w:rsid w:val="45602CF6"/>
    <w:rsid w:val="45664C5E"/>
    <w:rsid w:val="46DD10DB"/>
    <w:rsid w:val="471D8998"/>
    <w:rsid w:val="47929E6F"/>
    <w:rsid w:val="48A6DF47"/>
    <w:rsid w:val="48F7796F"/>
    <w:rsid w:val="4A0E3FD9"/>
    <w:rsid w:val="4BABEA60"/>
    <w:rsid w:val="4F001F58"/>
    <w:rsid w:val="4F2301B4"/>
    <w:rsid w:val="4F81ABA8"/>
    <w:rsid w:val="5211D5D4"/>
    <w:rsid w:val="53F4ED6E"/>
    <w:rsid w:val="5499E3FB"/>
    <w:rsid w:val="55049B2F"/>
    <w:rsid w:val="5567011E"/>
    <w:rsid w:val="5783C324"/>
    <w:rsid w:val="57E276C4"/>
    <w:rsid w:val="5866FC28"/>
    <w:rsid w:val="5AF29CEC"/>
    <w:rsid w:val="5CBFACEA"/>
    <w:rsid w:val="5D887602"/>
    <w:rsid w:val="5FB72B49"/>
    <w:rsid w:val="5FE88D80"/>
    <w:rsid w:val="61C3CACF"/>
    <w:rsid w:val="62FB545C"/>
    <w:rsid w:val="643007D5"/>
    <w:rsid w:val="65B9FBE5"/>
    <w:rsid w:val="68056F9A"/>
    <w:rsid w:val="6B29BF90"/>
    <w:rsid w:val="6B6AB178"/>
    <w:rsid w:val="6BBC0A97"/>
    <w:rsid w:val="6CEB8138"/>
    <w:rsid w:val="71C5DCCE"/>
    <w:rsid w:val="74076AC7"/>
    <w:rsid w:val="744D7FE3"/>
    <w:rsid w:val="74613718"/>
    <w:rsid w:val="758D4303"/>
    <w:rsid w:val="7596B79F"/>
    <w:rsid w:val="75B442AD"/>
    <w:rsid w:val="75F0243B"/>
    <w:rsid w:val="778D4185"/>
    <w:rsid w:val="77D662EA"/>
    <w:rsid w:val="7827C23C"/>
    <w:rsid w:val="78559EFA"/>
    <w:rsid w:val="79F6EA2F"/>
    <w:rsid w:val="7A220F96"/>
    <w:rsid w:val="7ACC1DA1"/>
    <w:rsid w:val="7F6E6F74"/>
    <w:rsid w:val="7F9D4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4191C"/>
  <w15:chartTrackingRefBased/>
  <w15:docId w15:val="{02BEFBD6-FBBC-4FF6-AF20-8B5B4C8BF2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8056F9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8056F9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8056F9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31B1E6E5"/>
    <w:pPr>
      <w:tabs>
        <w:tab w:val="center" w:leader="none" w:pos="4680"/>
        <w:tab w:val="right" w:leader="none" w:pos="9360"/>
      </w:tabs>
      <w:spacing w:after="0" w:line="240" w:lineRule="auto"/>
    </w:pPr>
  </w:style>
  <w:style w:type="paragraph" w:styleId="Footer">
    <w:uiPriority w:val="99"/>
    <w:name w:val="footer"/>
    <w:basedOn w:val="Normal"/>
    <w:unhideWhenUsed/>
    <w:rsid w:val="31B1E6E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1B1E6E5"/>
    <w:rPr>
      <w:color w:val="467886"/>
      <w:u w:val="single"/>
    </w:rPr>
  </w:style>
  <w:style w:type="paragraph" w:styleId="ListParagraph">
    <w:uiPriority w:val="34"/>
    <w:name w:val="List Paragraph"/>
    <w:basedOn w:val="Normal"/>
    <w:qFormat/>
    <w:rsid w:val="31B1E6E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77/014920639101700108" TargetMode="External" Id="R3d5390da7cab41f6" /><Relationship Type="http://schemas.openxmlformats.org/officeDocument/2006/relationships/hyperlink" Target="https://www.gov.uk/government/statistics/food-statistics-pocketbook/food-statistics-in-your-pocket" TargetMode="External" Id="R20ebe9e3bccf4f45" /><Relationship Type="http://schemas.openxmlformats.org/officeDocument/2006/relationships/hyperlink" Target="https://doi.org/10.2307/41166664" TargetMode="External" Id="R1a78ce2d51d54848" /><Relationship Type="http://schemas.openxmlformats.org/officeDocument/2006/relationships/hyperlink" Target="https://doi.org/10.17719/jisr.2017.1832" TargetMode="External" Id="Rc3dfb039d130474d" /><Relationship Type="http://schemas.openxmlformats.org/officeDocument/2006/relationships/hyperlink" Target="https://doi.org/10.1108/17554251011064837" TargetMode="External" Id="Rc2fd8033e8c04498" /><Relationship Type="http://schemas.openxmlformats.org/officeDocument/2006/relationships/hyperlink" Target="https://doi.org/10.1016/S0024-6301(96)00095-7" TargetMode="External" Id="Rf9751c0f82ae4e80" /><Relationship Type="http://schemas.openxmlformats.org/officeDocument/2006/relationships/hyperlink" Target="https://doi.org/10.1002/(SICI)1097-0266(199708)18:7%3C509::AID-SMJ882%3E3.0.CO;2-Z" TargetMode="External" Id="R24ef8b0123644c92" /><Relationship Type="http://schemas.openxmlformats.org/officeDocument/2006/relationships/hyperlink" Target="https://www.tescoplc.com/media/ky0bfwpo/tescoar25interactive.pdf" TargetMode="External" Id="Ra6d4137de5fd46b4" /><Relationship Type="http://schemas.openxmlformats.org/officeDocument/2006/relationships/footer" Target="footer.xml" Id="Re90913bf71dd4326" /><Relationship Type="http://schemas.microsoft.com/office/2020/10/relationships/intelligence" Target="intelligence2.xml" Id="R19f27039ce8a420f" /><Relationship Type="http://schemas.openxmlformats.org/officeDocument/2006/relationships/numbering" Target="numbering.xml" Id="R5c8bb65610aa4f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2026-10-01T10:31:24.0462369Z</dcterms:created>
  <dcterms:modified xsi:type="dcterms:W3CDTF">2026-10-15T11:04:15.0761957Z</dcterms:modified>
  <dc:creator>Cristina Panaite (2413348)</dc:creator>
  <lastModifiedBy>Cristina Panaite (2413348)</lastModifiedBy>
</coreProperties>
</file>