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6985A" w14:textId="599A131A" w:rsidR="00421A6A" w:rsidRDefault="00421A6A">
      <w:pPr>
        <w:rPr>
          <w:b/>
          <w:bCs/>
          <w:u w:val="single"/>
        </w:rPr>
      </w:pPr>
      <w:r w:rsidRPr="003E50A8">
        <w:rPr>
          <w:b/>
          <w:bCs/>
          <w:u w:val="single"/>
        </w:rPr>
        <w:t>BREEAM vs PASSIVHAUS – Comparison for Matchstick Arena</w:t>
      </w:r>
    </w:p>
    <w:p w14:paraId="30908B03" w14:textId="06DBA264" w:rsidR="0004038F" w:rsidRDefault="0004038F">
      <w:pPr>
        <w:rPr>
          <w:b/>
          <w:bCs/>
        </w:rPr>
      </w:pPr>
      <w:r w:rsidRPr="0004038F">
        <w:rPr>
          <w:b/>
          <w:bCs/>
        </w:rPr>
        <w:t>Introduction</w:t>
      </w:r>
    </w:p>
    <w:p w14:paraId="31887085" w14:textId="77777777" w:rsidR="00454C4D" w:rsidRPr="00454C4D" w:rsidRDefault="00454C4D" w:rsidP="00454C4D">
      <w:r w:rsidRPr="00454C4D">
        <w:t>As sustainability becomes a core priority in modern construction, selecting the right assessment framework is essential to guide design, construction, and operational decisions. This document provides a comparative analysis of two leading environmental performance standards—BREEAM (Building Research Establishment Environmental Assessment Method) and Passivhaus (Passive House Standard).</w:t>
      </w:r>
    </w:p>
    <w:p w14:paraId="79377EDF" w14:textId="60A2CE1F" w:rsidR="0004038F" w:rsidRPr="00454C4D" w:rsidRDefault="00454C4D">
      <w:r w:rsidRPr="00454C4D">
        <w:t>The comparison is made in the context of The Matchstick Arena, a multi-use wellness and community facility in Merthyr Tydfil, where factors such as energy efficiency, occupant wellbeing, community engagement, and environmental impact play a critical role. This document evaluates how each standard aligns with the project’s goals and identifies the most suitable methodology for achieving long-term sustainability and operational performance.</w:t>
      </w:r>
    </w:p>
    <w:p w14:paraId="4905EFB9" w14:textId="078E6277" w:rsidR="0004038F" w:rsidRPr="0004038F" w:rsidRDefault="0004038F">
      <w:pPr>
        <w:rPr>
          <w:b/>
          <w:bCs/>
        </w:rPr>
      </w:pPr>
      <w:r w:rsidRPr="0004038F">
        <w:rPr>
          <w:b/>
          <w:bCs/>
        </w:rPr>
        <w:t>Building Research Establishment Environmental Assessment Method (BREEAM)</w:t>
      </w:r>
    </w:p>
    <w:p w14:paraId="3656927E" w14:textId="27F98D16" w:rsidR="00421A6A" w:rsidRDefault="00421A6A">
      <w:r>
        <w:t>Building Research Establishment Environmental Assessment Method (BREEAM) is a sustainability assessment method for the construction of buildings, measuring environmental performance across a range of categories including energy, water, materials, waste, health and ecology of a construction project.</w:t>
      </w:r>
    </w:p>
    <w:p w14:paraId="586A54EE" w14:textId="79440187" w:rsidR="0004038F" w:rsidRPr="0004038F" w:rsidRDefault="0004038F">
      <w:pPr>
        <w:rPr>
          <w:b/>
          <w:bCs/>
        </w:rPr>
      </w:pPr>
      <w:r w:rsidRPr="0004038F">
        <w:rPr>
          <w:b/>
          <w:bCs/>
        </w:rPr>
        <w:t>Passivhaus</w:t>
      </w:r>
    </w:p>
    <w:p w14:paraId="26913A13" w14:textId="6BFDB9FA" w:rsidR="00421A6A" w:rsidRDefault="00421A6A">
      <w:r>
        <w:t xml:space="preserve">Passivhaus is a rigorous energy performance standard focused on achieving ultra-low energy consumption through high levels of insulation, airtightness, and efficient ventilation, primarily targeting heating and cooling demand. </w:t>
      </w:r>
    </w:p>
    <w:p w14:paraId="1AC74BBA" w14:textId="5F0C7E82" w:rsidR="00421A6A" w:rsidRDefault="00421A6A">
      <w:r>
        <w:t>These two frameworks take different approaches to sustainability and energy performance,</w:t>
      </w:r>
    </w:p>
    <w:p w14:paraId="22E45770" w14:textId="328E22FD" w:rsidR="00421A6A" w:rsidRPr="0004038F" w:rsidRDefault="00421A6A">
      <w:pPr>
        <w:rPr>
          <w:b/>
          <w:bCs/>
        </w:rPr>
      </w:pPr>
      <w:r w:rsidRPr="0004038F">
        <w:rPr>
          <w:b/>
          <w:bCs/>
        </w:rPr>
        <w:t>BREEAM vs PASSIVHAUS comparison</w:t>
      </w:r>
    </w:p>
    <w:tbl>
      <w:tblPr>
        <w:tblStyle w:val="TableGrid"/>
        <w:tblW w:w="0" w:type="auto"/>
        <w:tblLook w:val="04A0" w:firstRow="1" w:lastRow="0" w:firstColumn="1" w:lastColumn="0" w:noHBand="0" w:noVBand="1"/>
      </w:tblPr>
      <w:tblGrid>
        <w:gridCol w:w="3005"/>
        <w:gridCol w:w="3005"/>
        <w:gridCol w:w="3006"/>
      </w:tblGrid>
      <w:tr w:rsidR="00421A6A" w14:paraId="2FD52F1A" w14:textId="77777777" w:rsidTr="00421A6A">
        <w:tc>
          <w:tcPr>
            <w:tcW w:w="3005" w:type="dxa"/>
          </w:tcPr>
          <w:p w14:paraId="77B3A143" w14:textId="77777777" w:rsidR="00421A6A" w:rsidRDefault="00421A6A"/>
        </w:tc>
        <w:tc>
          <w:tcPr>
            <w:tcW w:w="3005" w:type="dxa"/>
          </w:tcPr>
          <w:p w14:paraId="413E70B0" w14:textId="3BA75C90" w:rsidR="00421A6A" w:rsidRDefault="00421A6A">
            <w:r>
              <w:t>BREEAM</w:t>
            </w:r>
          </w:p>
        </w:tc>
        <w:tc>
          <w:tcPr>
            <w:tcW w:w="3006" w:type="dxa"/>
          </w:tcPr>
          <w:p w14:paraId="1375F8C4" w14:textId="3A8C4762" w:rsidR="00421A6A" w:rsidRDefault="00421A6A">
            <w:r>
              <w:t>Passivhaus</w:t>
            </w:r>
          </w:p>
        </w:tc>
      </w:tr>
      <w:tr w:rsidR="00421A6A" w14:paraId="7559CB98" w14:textId="77777777" w:rsidTr="00421A6A">
        <w:tc>
          <w:tcPr>
            <w:tcW w:w="3005" w:type="dxa"/>
          </w:tcPr>
          <w:p w14:paraId="207CBF41" w14:textId="1D1F424F" w:rsidR="00421A6A" w:rsidRDefault="00421A6A">
            <w:r>
              <w:t>Focus</w:t>
            </w:r>
          </w:p>
        </w:tc>
        <w:tc>
          <w:tcPr>
            <w:tcW w:w="3005" w:type="dxa"/>
          </w:tcPr>
          <w:p w14:paraId="6CC1ED0A" w14:textId="565BEB6A" w:rsidR="00421A6A" w:rsidRDefault="006717FC">
            <w:r w:rsidRPr="006717FC">
              <w:t>Holistic sustainability: energy, water, materials, waste, health, transport</w:t>
            </w:r>
          </w:p>
        </w:tc>
        <w:tc>
          <w:tcPr>
            <w:tcW w:w="3006" w:type="dxa"/>
          </w:tcPr>
          <w:p w14:paraId="66AF7CF6" w14:textId="4EBB65DD" w:rsidR="00421A6A" w:rsidRDefault="003E50A8">
            <w:r>
              <w:t>Primarily ultra-low energy performance for heating and cooling</w:t>
            </w:r>
          </w:p>
        </w:tc>
      </w:tr>
      <w:tr w:rsidR="00421A6A" w14:paraId="48320D13" w14:textId="77777777" w:rsidTr="00421A6A">
        <w:tc>
          <w:tcPr>
            <w:tcW w:w="3005" w:type="dxa"/>
          </w:tcPr>
          <w:p w14:paraId="10E48B72" w14:textId="3BC5BC20" w:rsidR="00421A6A" w:rsidRDefault="00421A6A">
            <w:r>
              <w:t>Scope</w:t>
            </w:r>
          </w:p>
        </w:tc>
        <w:tc>
          <w:tcPr>
            <w:tcW w:w="3005" w:type="dxa"/>
          </w:tcPr>
          <w:p w14:paraId="2AC64665" w14:textId="2AFAFB75" w:rsidR="00421A6A" w:rsidRDefault="006717FC">
            <w:r w:rsidRPr="006717FC">
              <w:t>Wide-ranging – includes construction processes, ecology, social impact</w:t>
            </w:r>
          </w:p>
        </w:tc>
        <w:tc>
          <w:tcPr>
            <w:tcW w:w="3006" w:type="dxa"/>
          </w:tcPr>
          <w:p w14:paraId="13874A17" w14:textId="1AEE22D8" w:rsidR="00421A6A" w:rsidRDefault="003E50A8">
            <w:r>
              <w:t>Focuses mainly on building envelope and operational energy efficiency</w:t>
            </w:r>
          </w:p>
        </w:tc>
      </w:tr>
      <w:tr w:rsidR="00421A6A" w14:paraId="5F6E4A6C" w14:textId="77777777" w:rsidTr="00421A6A">
        <w:tc>
          <w:tcPr>
            <w:tcW w:w="3005" w:type="dxa"/>
          </w:tcPr>
          <w:p w14:paraId="432C7F00" w14:textId="228CF97F" w:rsidR="00421A6A" w:rsidRDefault="00421A6A">
            <w:r>
              <w:t>Design Flexibility</w:t>
            </w:r>
          </w:p>
        </w:tc>
        <w:tc>
          <w:tcPr>
            <w:tcW w:w="3005" w:type="dxa"/>
          </w:tcPr>
          <w:p w14:paraId="6950119D" w14:textId="6304C268" w:rsidR="00421A6A" w:rsidRDefault="006717FC">
            <w:r w:rsidRPr="006717FC">
              <w:t>High – adaptable to multi-use buildings like The Matchstick Arena</w:t>
            </w:r>
          </w:p>
          <w:p w14:paraId="1D10E876" w14:textId="77777777" w:rsidR="006717FC" w:rsidRPr="006717FC" w:rsidRDefault="006717FC" w:rsidP="006717FC">
            <w:pPr>
              <w:jc w:val="center"/>
            </w:pPr>
          </w:p>
        </w:tc>
        <w:tc>
          <w:tcPr>
            <w:tcW w:w="3006" w:type="dxa"/>
          </w:tcPr>
          <w:p w14:paraId="2CB2B8F5" w14:textId="62D810C9" w:rsidR="00421A6A" w:rsidRDefault="003E50A8">
            <w:r>
              <w:t>Rigid design parameters, can be challenging for complex, large, or multi-use buildings</w:t>
            </w:r>
          </w:p>
        </w:tc>
      </w:tr>
      <w:tr w:rsidR="00421A6A" w14:paraId="39913F3B" w14:textId="77777777" w:rsidTr="00421A6A">
        <w:tc>
          <w:tcPr>
            <w:tcW w:w="3005" w:type="dxa"/>
          </w:tcPr>
          <w:p w14:paraId="2529ECA6" w14:textId="22717903" w:rsidR="00421A6A" w:rsidRDefault="00421A6A">
            <w:proofErr w:type="spellStart"/>
            <w:r>
              <w:lastRenderedPageBreak/>
              <w:t>Appicability</w:t>
            </w:r>
            <w:proofErr w:type="spellEnd"/>
            <w:r>
              <w:t xml:space="preserve"> to Public/Community Buildings</w:t>
            </w:r>
          </w:p>
        </w:tc>
        <w:tc>
          <w:tcPr>
            <w:tcW w:w="3005" w:type="dxa"/>
          </w:tcPr>
          <w:p w14:paraId="546866DB" w14:textId="65DB6EE3" w:rsidR="00421A6A" w:rsidRDefault="006717FC">
            <w:r w:rsidRPr="006717FC">
              <w:t>Strong – widely used in public/community projects in the UK</w:t>
            </w:r>
          </w:p>
        </w:tc>
        <w:tc>
          <w:tcPr>
            <w:tcW w:w="3006" w:type="dxa"/>
          </w:tcPr>
          <w:p w14:paraId="443ED57F" w14:textId="7AB6E58D" w:rsidR="00421A6A" w:rsidRDefault="003E50A8">
            <w:r>
              <w:t>Less common in UK community buildings, more typical in residential or small-scale</w:t>
            </w:r>
          </w:p>
        </w:tc>
      </w:tr>
      <w:tr w:rsidR="00421A6A" w14:paraId="12B4825A" w14:textId="77777777" w:rsidTr="00421A6A">
        <w:tc>
          <w:tcPr>
            <w:tcW w:w="3005" w:type="dxa"/>
          </w:tcPr>
          <w:p w14:paraId="143388F6" w14:textId="140399BC" w:rsidR="00421A6A" w:rsidRDefault="00421A6A">
            <w:r>
              <w:t>User &amp; Stakeholder Consideration</w:t>
            </w:r>
          </w:p>
        </w:tc>
        <w:tc>
          <w:tcPr>
            <w:tcW w:w="3005" w:type="dxa"/>
          </w:tcPr>
          <w:p w14:paraId="181A06A2" w14:textId="738AFE48" w:rsidR="00421A6A" w:rsidRDefault="006717FC">
            <w:r w:rsidRPr="006717FC">
              <w:t>Considers health, wellbeing, community engagement</w:t>
            </w:r>
          </w:p>
        </w:tc>
        <w:tc>
          <w:tcPr>
            <w:tcW w:w="3006" w:type="dxa"/>
          </w:tcPr>
          <w:p w14:paraId="397D3058" w14:textId="070395D5" w:rsidR="00421A6A" w:rsidRDefault="003E50A8">
            <w:r>
              <w:t>Focuses more on performance and comfort (thermal and air quality)</w:t>
            </w:r>
          </w:p>
        </w:tc>
      </w:tr>
      <w:tr w:rsidR="00421A6A" w14:paraId="62692736" w14:textId="77777777" w:rsidTr="00421A6A">
        <w:tc>
          <w:tcPr>
            <w:tcW w:w="3005" w:type="dxa"/>
          </w:tcPr>
          <w:p w14:paraId="6719227D" w14:textId="2CFF42CD" w:rsidR="00421A6A" w:rsidRDefault="00421A6A">
            <w:r>
              <w:t>Construction Implications</w:t>
            </w:r>
          </w:p>
        </w:tc>
        <w:tc>
          <w:tcPr>
            <w:tcW w:w="3005" w:type="dxa"/>
          </w:tcPr>
          <w:p w14:paraId="4A4D05CD" w14:textId="71859648" w:rsidR="00421A6A" w:rsidRDefault="006717FC">
            <w:r w:rsidRPr="006717FC">
              <w:t>Can integrate with ongoing construction methods; encourages sustainable sourcing</w:t>
            </w:r>
          </w:p>
        </w:tc>
        <w:tc>
          <w:tcPr>
            <w:tcW w:w="3006" w:type="dxa"/>
          </w:tcPr>
          <w:p w14:paraId="07E47500" w14:textId="0631E169" w:rsidR="00421A6A" w:rsidRDefault="003E50A8">
            <w:r>
              <w:t>Requires precise airtightness, high insulation and specialist methods</w:t>
            </w:r>
          </w:p>
        </w:tc>
      </w:tr>
      <w:tr w:rsidR="00421A6A" w14:paraId="47073484" w14:textId="77777777" w:rsidTr="00421A6A">
        <w:tc>
          <w:tcPr>
            <w:tcW w:w="3005" w:type="dxa"/>
          </w:tcPr>
          <w:p w14:paraId="08D36E6D" w14:textId="31635137" w:rsidR="00421A6A" w:rsidRDefault="00421A6A">
            <w:r>
              <w:t>Cost &amp; Complexity</w:t>
            </w:r>
          </w:p>
        </w:tc>
        <w:tc>
          <w:tcPr>
            <w:tcW w:w="3005" w:type="dxa"/>
          </w:tcPr>
          <w:p w14:paraId="32400AEA" w14:textId="6F80450F" w:rsidR="00421A6A" w:rsidRDefault="006717FC">
            <w:r w:rsidRPr="006717FC">
              <w:t>Moderate – can be phased across project elements</w:t>
            </w:r>
          </w:p>
        </w:tc>
        <w:tc>
          <w:tcPr>
            <w:tcW w:w="3006" w:type="dxa"/>
          </w:tcPr>
          <w:p w14:paraId="5DEF7924" w14:textId="6C3B46E4" w:rsidR="00421A6A" w:rsidRDefault="003E50A8">
            <w:r>
              <w:t>Higher upfront design and construction costs, tight tolerances needed</w:t>
            </w:r>
          </w:p>
        </w:tc>
      </w:tr>
      <w:tr w:rsidR="00421A6A" w14:paraId="5E2B336F" w14:textId="77777777" w:rsidTr="00421A6A">
        <w:tc>
          <w:tcPr>
            <w:tcW w:w="3005" w:type="dxa"/>
          </w:tcPr>
          <w:p w14:paraId="3302D961" w14:textId="5A4B077C" w:rsidR="00421A6A" w:rsidRDefault="00421A6A">
            <w:r>
              <w:t>Certification Recognition</w:t>
            </w:r>
          </w:p>
        </w:tc>
        <w:tc>
          <w:tcPr>
            <w:tcW w:w="3005" w:type="dxa"/>
          </w:tcPr>
          <w:p w14:paraId="0F5A1AB5" w14:textId="4BECA19D" w:rsidR="00421A6A" w:rsidRDefault="006717FC">
            <w:r w:rsidRPr="006717FC">
              <w:t>Widely recognized across UK planning authorities and funding bodies</w:t>
            </w:r>
          </w:p>
        </w:tc>
        <w:tc>
          <w:tcPr>
            <w:tcW w:w="3006" w:type="dxa"/>
          </w:tcPr>
          <w:p w14:paraId="0EBF5BA3" w14:textId="1063AB80" w:rsidR="00421A6A" w:rsidRDefault="003E50A8">
            <w:r>
              <w:t>Gaining recognition, but still more niche in large public sector projects</w:t>
            </w:r>
          </w:p>
        </w:tc>
      </w:tr>
    </w:tbl>
    <w:p w14:paraId="0032DF0C" w14:textId="77777777" w:rsidR="00421A6A" w:rsidRDefault="00421A6A"/>
    <w:p w14:paraId="1059EBA3" w14:textId="16086508" w:rsidR="0004038F" w:rsidRPr="0004038F" w:rsidRDefault="0004038F" w:rsidP="003E50A8">
      <w:pPr>
        <w:rPr>
          <w:b/>
          <w:bCs/>
        </w:rPr>
      </w:pPr>
      <w:r w:rsidRPr="0004038F">
        <w:rPr>
          <w:b/>
          <w:bCs/>
        </w:rPr>
        <w:t>Conclusion</w:t>
      </w:r>
    </w:p>
    <w:p w14:paraId="7C223CB6" w14:textId="40FBA0F0" w:rsidR="003E50A8" w:rsidRPr="003E50A8" w:rsidRDefault="003E50A8" w:rsidP="003E50A8">
      <w:r w:rsidRPr="003E50A8">
        <w:t>Given that The Matchstick Arena is a large, multi-use public facility with a strong community, heritage, wellness, and sustainability focus, BREEAM is the more suitable assessment method. It aligns with the project's broader environmental, social, and operational goals – including biophilic design, health amenities, community engagement spaces, and eco-friendly materials.</w:t>
      </w:r>
    </w:p>
    <w:p w14:paraId="487FFBC4" w14:textId="77777777" w:rsidR="003E50A8" w:rsidRPr="003E50A8" w:rsidRDefault="003E50A8" w:rsidP="003E50A8">
      <w:r w:rsidRPr="003E50A8">
        <w:t>BREEAM allows for flexibility in achieving sustainability credits across different categories and is more compatible with public sector developments, where demonstrating well-rounded sustainability (beyond just energy) is critical for planning, funding, and stakeholder approval.</w:t>
      </w:r>
    </w:p>
    <w:p w14:paraId="70EA6C89" w14:textId="77777777" w:rsidR="003E50A8" w:rsidRPr="003E50A8" w:rsidRDefault="003E50A8" w:rsidP="003E50A8">
      <w:r w:rsidRPr="003E50A8">
        <w:t>Passivhaus, while excellent for energy performance, may not be practical for this type of complex building, and its stringent requirements could conflict with the design intent and spatial diversity of the facility.</w:t>
      </w:r>
    </w:p>
    <w:p w14:paraId="44F608CF" w14:textId="77777777" w:rsidR="007A6375" w:rsidRDefault="007A6375"/>
    <w:sectPr w:rsidR="007A6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B5"/>
    <w:rsid w:val="0004038F"/>
    <w:rsid w:val="003414D7"/>
    <w:rsid w:val="003C6C93"/>
    <w:rsid w:val="003E50A8"/>
    <w:rsid w:val="00421A6A"/>
    <w:rsid w:val="00454C4D"/>
    <w:rsid w:val="00541EFF"/>
    <w:rsid w:val="006717FC"/>
    <w:rsid w:val="00703EF3"/>
    <w:rsid w:val="007A6375"/>
    <w:rsid w:val="00AF4604"/>
    <w:rsid w:val="00B65D4A"/>
    <w:rsid w:val="00B821A2"/>
    <w:rsid w:val="00E5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BE30"/>
  <w15:chartTrackingRefBased/>
  <w15:docId w15:val="{FD55E1A8-5B9B-4762-9AB9-F46245308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style>
  <w:style w:type="paragraph" w:styleId="Heading1">
    <w:name w:val="heading 1"/>
    <w:basedOn w:val="Normal"/>
    <w:next w:val="Normal"/>
    <w:link w:val="Heading1Char"/>
    <w:uiPriority w:val="9"/>
    <w:qFormat/>
    <w:rsid w:val="00E57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7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7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7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7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7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7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7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7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AB5"/>
    <w:rPr>
      <w:rFonts w:eastAsiaTheme="majorEastAsia" w:cstheme="majorBidi"/>
      <w:color w:val="272727" w:themeColor="text1" w:themeTint="D8"/>
    </w:rPr>
  </w:style>
  <w:style w:type="paragraph" w:styleId="Title">
    <w:name w:val="Title"/>
    <w:basedOn w:val="Normal"/>
    <w:next w:val="Normal"/>
    <w:link w:val="TitleChar"/>
    <w:uiPriority w:val="10"/>
    <w:qFormat/>
    <w:rsid w:val="00E57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AB5"/>
    <w:pPr>
      <w:spacing w:before="160"/>
      <w:jc w:val="center"/>
    </w:pPr>
    <w:rPr>
      <w:i/>
      <w:iCs/>
      <w:color w:val="404040" w:themeColor="text1" w:themeTint="BF"/>
    </w:rPr>
  </w:style>
  <w:style w:type="character" w:customStyle="1" w:styleId="QuoteChar">
    <w:name w:val="Quote Char"/>
    <w:basedOn w:val="DefaultParagraphFont"/>
    <w:link w:val="Quote"/>
    <w:uiPriority w:val="29"/>
    <w:rsid w:val="00E57AB5"/>
    <w:rPr>
      <w:i/>
      <w:iCs/>
      <w:color w:val="404040" w:themeColor="text1" w:themeTint="BF"/>
    </w:rPr>
  </w:style>
  <w:style w:type="paragraph" w:styleId="ListParagraph">
    <w:name w:val="List Paragraph"/>
    <w:basedOn w:val="Normal"/>
    <w:uiPriority w:val="34"/>
    <w:qFormat/>
    <w:rsid w:val="00E57AB5"/>
    <w:pPr>
      <w:ind w:left="720"/>
      <w:contextualSpacing/>
    </w:pPr>
  </w:style>
  <w:style w:type="character" w:styleId="IntenseEmphasis">
    <w:name w:val="Intense Emphasis"/>
    <w:basedOn w:val="DefaultParagraphFont"/>
    <w:uiPriority w:val="21"/>
    <w:qFormat/>
    <w:rsid w:val="00E57AB5"/>
    <w:rPr>
      <w:i/>
      <w:iCs/>
      <w:color w:val="0F4761" w:themeColor="accent1" w:themeShade="BF"/>
    </w:rPr>
  </w:style>
  <w:style w:type="paragraph" w:styleId="IntenseQuote">
    <w:name w:val="Intense Quote"/>
    <w:basedOn w:val="Normal"/>
    <w:next w:val="Normal"/>
    <w:link w:val="IntenseQuoteChar"/>
    <w:uiPriority w:val="30"/>
    <w:qFormat/>
    <w:rsid w:val="00E57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AB5"/>
    <w:rPr>
      <w:i/>
      <w:iCs/>
      <w:color w:val="0F4761" w:themeColor="accent1" w:themeShade="BF"/>
    </w:rPr>
  </w:style>
  <w:style w:type="character" w:styleId="IntenseReference">
    <w:name w:val="Intense Reference"/>
    <w:basedOn w:val="DefaultParagraphFont"/>
    <w:uiPriority w:val="32"/>
    <w:qFormat/>
    <w:rsid w:val="00E57AB5"/>
    <w:rPr>
      <w:b/>
      <w:bCs/>
      <w:smallCaps/>
      <w:color w:val="0F4761" w:themeColor="accent1" w:themeShade="BF"/>
      <w:spacing w:val="5"/>
    </w:rPr>
  </w:style>
  <w:style w:type="table" w:styleId="TableGrid">
    <w:name w:val="Table Grid"/>
    <w:basedOn w:val="TableNormal"/>
    <w:uiPriority w:val="39"/>
    <w:rsid w:val="00421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67986">
      <w:bodyDiv w:val="1"/>
      <w:marLeft w:val="0"/>
      <w:marRight w:val="0"/>
      <w:marTop w:val="0"/>
      <w:marBottom w:val="0"/>
      <w:divBdr>
        <w:top w:val="none" w:sz="0" w:space="0" w:color="auto"/>
        <w:left w:val="none" w:sz="0" w:space="0" w:color="auto"/>
        <w:bottom w:val="none" w:sz="0" w:space="0" w:color="auto"/>
        <w:right w:val="none" w:sz="0" w:space="0" w:color="auto"/>
      </w:divBdr>
    </w:div>
    <w:div w:id="832331403">
      <w:bodyDiv w:val="1"/>
      <w:marLeft w:val="0"/>
      <w:marRight w:val="0"/>
      <w:marTop w:val="0"/>
      <w:marBottom w:val="0"/>
      <w:divBdr>
        <w:top w:val="none" w:sz="0" w:space="0" w:color="auto"/>
        <w:left w:val="none" w:sz="0" w:space="0" w:color="auto"/>
        <w:bottom w:val="none" w:sz="0" w:space="0" w:color="auto"/>
        <w:right w:val="none" w:sz="0" w:space="0" w:color="auto"/>
      </w:divBdr>
    </w:div>
    <w:div w:id="1261715520">
      <w:bodyDiv w:val="1"/>
      <w:marLeft w:val="0"/>
      <w:marRight w:val="0"/>
      <w:marTop w:val="0"/>
      <w:marBottom w:val="0"/>
      <w:divBdr>
        <w:top w:val="none" w:sz="0" w:space="0" w:color="auto"/>
        <w:left w:val="none" w:sz="0" w:space="0" w:color="auto"/>
        <w:bottom w:val="none" w:sz="0" w:space="0" w:color="auto"/>
        <w:right w:val="none" w:sz="0" w:space="0" w:color="auto"/>
      </w:divBdr>
    </w:div>
    <w:div w:id="139277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LEW20857663 (Kian Lewis-Edwards)</dc:creator>
  <cp:keywords/>
  <dc:description/>
  <cp:lastModifiedBy>LEW20857663 (Kian Lewis-Edwards)</cp:lastModifiedBy>
  <cp:revision>3</cp:revision>
  <dcterms:created xsi:type="dcterms:W3CDTF">2025-05-10T19:21:00Z</dcterms:created>
  <dcterms:modified xsi:type="dcterms:W3CDTF">2025-05-10T19:23:00Z</dcterms:modified>
</cp:coreProperties>
</file>