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stheme="minorHAnsi"/>
          <w:color w:val="5B9BD5" w:themeColor="accent1"/>
          <w:sz w:val="24"/>
          <w:szCs w:val="24"/>
          <w:lang w:val="en-GB"/>
        </w:rPr>
        <w:id w:val="-1522475554"/>
        <w:docPartObj>
          <w:docPartGallery w:val="Cover Pages"/>
          <w:docPartUnique/>
        </w:docPartObj>
      </w:sdtPr>
      <w:sdtEndPr>
        <w:rPr>
          <w:color w:val="auto"/>
        </w:rPr>
      </w:sdtEndPr>
      <w:sdtContent>
        <w:p w14:paraId="21787903" w14:textId="25C7204A" w:rsidR="00250C64" w:rsidRPr="00D90F39" w:rsidRDefault="00250C64" w:rsidP="00D90F39">
          <w:pPr>
            <w:pStyle w:val="NoSpacing"/>
            <w:spacing w:before="1540" w:after="240"/>
            <w:jc w:val="both"/>
            <w:rPr>
              <w:rFonts w:eastAsiaTheme="minorHAnsi" w:cstheme="minorHAnsi"/>
              <w:color w:val="5B9BD5" w:themeColor="accent1"/>
              <w:sz w:val="24"/>
              <w:szCs w:val="24"/>
              <w:lang w:val="en-GB"/>
            </w:rPr>
          </w:pPr>
          <w:r w:rsidRPr="00D90F39">
            <w:rPr>
              <w:rFonts w:cstheme="minorHAnsi"/>
              <w:noProof/>
              <w:sz w:val="24"/>
              <w:szCs w:val="24"/>
            </w:rPr>
            <w:drawing>
              <wp:inline distT="0" distB="0" distL="0" distR="0" wp14:anchorId="632E7333" wp14:editId="58AF703B">
                <wp:extent cx="2485577" cy="935355"/>
                <wp:effectExtent l="0" t="0" r="0" b="0"/>
                <wp:docPr id="1923991905" name="Picture 192399190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5577" cy="935355"/>
                        </a:xfrm>
                        <a:prstGeom prst="rect">
                          <a:avLst/>
                        </a:prstGeom>
                        <a:noFill/>
                        <a:ln>
                          <a:noFill/>
                        </a:ln>
                      </pic:spPr>
                    </pic:pic>
                  </a:graphicData>
                </a:graphic>
              </wp:inline>
            </w:drawing>
          </w:r>
        </w:p>
        <w:p w14:paraId="652918F1" w14:textId="036053B8" w:rsidR="007D1947" w:rsidRPr="00D90F39" w:rsidRDefault="007D1947" w:rsidP="00630E1F">
          <w:pPr>
            <w:pStyle w:val="NoSpacing"/>
            <w:spacing w:before="1540" w:after="240"/>
            <w:jc w:val="center"/>
            <w:rPr>
              <w:rFonts w:cstheme="minorHAnsi"/>
              <w:color w:val="5B9BD5" w:themeColor="accent1"/>
              <w:sz w:val="24"/>
              <w:szCs w:val="24"/>
            </w:rPr>
          </w:pPr>
          <w:r w:rsidRPr="00D90F39">
            <w:rPr>
              <w:rFonts w:cstheme="minorHAnsi"/>
              <w:noProof/>
              <w:color w:val="5B9BD5" w:themeColor="accent1"/>
              <w:sz w:val="24"/>
              <w:szCs w:val="24"/>
            </w:rPr>
            <w:drawing>
              <wp:inline distT="0" distB="0" distL="0" distR="0" wp14:anchorId="09E683CD" wp14:editId="6B5AFB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b/>
              <w:bCs/>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74AEC857" w14:textId="5EA3E7B8" w:rsidR="007D1947" w:rsidRPr="009D4780" w:rsidRDefault="00E4059D" w:rsidP="00630E1F">
              <w:pPr>
                <w:pStyle w:val="NoSpacing"/>
                <w:pBdr>
                  <w:top w:val="single" w:sz="6" w:space="6" w:color="5B9BD5" w:themeColor="accent1"/>
                  <w:bottom w:val="single" w:sz="6" w:space="6" w:color="5B9BD5" w:themeColor="accent1"/>
                </w:pBdr>
                <w:spacing w:after="240"/>
                <w:jc w:val="center"/>
                <w:rPr>
                  <w:rFonts w:eastAsiaTheme="majorEastAsia" w:cstheme="minorHAnsi"/>
                  <w:b/>
                  <w:bCs/>
                  <w:caps/>
                  <w:color w:val="5B9BD5" w:themeColor="accent1"/>
                  <w:sz w:val="72"/>
                  <w:szCs w:val="72"/>
                </w:rPr>
              </w:pPr>
              <w:r w:rsidRPr="009D4780">
                <w:rPr>
                  <w:rFonts w:eastAsiaTheme="majorEastAsia" w:cstheme="minorHAnsi"/>
                  <w:b/>
                  <w:bCs/>
                  <w:caps/>
                  <w:color w:val="5B9BD5" w:themeColor="accent1"/>
                  <w:sz w:val="72"/>
                  <w:szCs w:val="72"/>
                </w:rPr>
                <w:t xml:space="preserve">BUSINESS REPORT </w:t>
              </w:r>
            </w:p>
          </w:sdtContent>
        </w:sdt>
        <w:sdt>
          <w:sdtPr>
            <w:rPr>
              <w:rFonts w:eastAsia="Times New Roman" w:cs="Calibri"/>
              <w:b/>
              <w:bCs/>
              <w:caps/>
              <w:color w:val="5B9BD5"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704895EF" w14:textId="6A586C0E" w:rsidR="007D1947" w:rsidRPr="009D4780" w:rsidRDefault="009D4780" w:rsidP="00630E1F">
              <w:pPr>
                <w:pStyle w:val="NoSpacing"/>
                <w:jc w:val="center"/>
                <w:rPr>
                  <w:rFonts w:cstheme="minorHAnsi"/>
                  <w:color w:val="5B9BD5" w:themeColor="accent1"/>
                  <w:sz w:val="36"/>
                  <w:szCs w:val="36"/>
                </w:rPr>
              </w:pPr>
              <w:r w:rsidRPr="009D4780">
                <w:rPr>
                  <w:rFonts w:eastAsia="Times New Roman" w:cs="Calibri"/>
                  <w:b/>
                  <w:bCs/>
                  <w:caps/>
                  <w:color w:val="5B9BD5" w:themeColor="accent1"/>
                  <w:sz w:val="36"/>
                  <w:szCs w:val="36"/>
                </w:rPr>
                <w:t>LLOYDS BANKING GR</w:t>
              </w:r>
              <w:r w:rsidRPr="009D4780">
                <w:rPr>
                  <w:rFonts w:eastAsia="Times New Roman" w:cs="Calibri"/>
                  <w:b/>
                  <w:bCs/>
                  <w:caps/>
                  <w:color w:val="5B9BD5" w:themeColor="accent1"/>
                  <w:sz w:val="36"/>
                  <w:szCs w:val="36"/>
                </w:rPr>
                <w:t>O</w:t>
              </w:r>
              <w:r w:rsidRPr="009D4780">
                <w:rPr>
                  <w:rFonts w:eastAsia="Times New Roman" w:cs="Calibri"/>
                  <w:b/>
                  <w:bCs/>
                  <w:caps/>
                  <w:color w:val="5B9BD5" w:themeColor="accent1"/>
                  <w:sz w:val="36"/>
                  <w:szCs w:val="36"/>
                </w:rPr>
                <w:t>UP PLC</w:t>
              </w:r>
              <w:r w:rsidRPr="009D4780">
                <w:rPr>
                  <w:rFonts w:eastAsia="Times New Roman" w:cs="Calibri"/>
                  <w:b/>
                  <w:bCs/>
                  <w:caps/>
                  <w:color w:val="5B9BD5" w:themeColor="accent1"/>
                  <w:sz w:val="36"/>
                  <w:szCs w:val="36"/>
                </w:rPr>
                <w:t xml:space="preserve"> </w:t>
              </w:r>
              <w:r w:rsidR="00123FBA">
                <w:rPr>
                  <w:rFonts w:eastAsia="Times New Roman" w:cs="Calibri"/>
                  <w:b/>
                  <w:bCs/>
                  <w:caps/>
                  <w:color w:val="5B9BD5" w:themeColor="accent1"/>
                  <w:sz w:val="36"/>
                  <w:szCs w:val="36"/>
                </w:rPr>
                <w:t>and</w:t>
              </w:r>
              <w:r w:rsidRPr="009D4780">
                <w:rPr>
                  <w:rFonts w:eastAsia="Times New Roman" w:cs="Calibri"/>
                  <w:b/>
                  <w:bCs/>
                  <w:caps/>
                  <w:color w:val="5B9BD5" w:themeColor="accent1"/>
                  <w:sz w:val="36"/>
                  <w:szCs w:val="36"/>
                </w:rPr>
                <w:t xml:space="preserve"> </w:t>
              </w:r>
              <w:r w:rsidRPr="009D4780">
                <w:rPr>
                  <w:rFonts w:eastAsia="Times New Roman" w:cs="Calibri"/>
                  <w:b/>
                  <w:bCs/>
                  <w:caps/>
                  <w:color w:val="5B9BD5" w:themeColor="accent1"/>
                  <w:sz w:val="36"/>
                  <w:szCs w:val="36"/>
                </w:rPr>
                <w:t>GREENACRES PLC</w:t>
              </w:r>
            </w:p>
          </w:sdtContent>
        </w:sdt>
        <w:p w14:paraId="2BACD40F" w14:textId="05403CE1" w:rsidR="007D1947" w:rsidRPr="00D90F39" w:rsidRDefault="00697FCA" w:rsidP="00630E1F">
          <w:pPr>
            <w:pStyle w:val="NoSpacing"/>
            <w:spacing w:before="480"/>
            <w:jc w:val="center"/>
            <w:rPr>
              <w:rFonts w:cstheme="minorHAnsi"/>
              <w:color w:val="5B9BD5" w:themeColor="accent1"/>
              <w:sz w:val="24"/>
              <w:szCs w:val="24"/>
            </w:rPr>
          </w:pPr>
          <w:r w:rsidRPr="00D90F39">
            <w:rPr>
              <w:rFonts w:cstheme="minorHAnsi"/>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1C5F2388" wp14:editId="0DA16F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83565"/>
                    <wp:effectExtent l="0" t="1270" r="0" b="0"/>
                    <wp:wrapNone/>
                    <wp:docPr id="1928678200"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583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aps/>
                                    <w:color w:val="5B9BD5" w:themeColor="accent1"/>
                                    <w:sz w:val="28"/>
                                    <w:szCs w:val="28"/>
                                  </w:rPr>
                                  <w:alias w:val="Date"/>
                                  <w:tag w:val=""/>
                                  <w:id w:val="2013400388"/>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14:paraId="70D6F74F" w14:textId="336FF112" w:rsidR="00FA5C71" w:rsidRDefault="003D6702">
                                    <w:pPr>
                                      <w:pStyle w:val="NoSpacing"/>
                                      <w:spacing w:after="40"/>
                                      <w:jc w:val="center"/>
                                      <w:rPr>
                                        <w:caps/>
                                        <w:color w:val="5B9BD5" w:themeColor="accent1"/>
                                        <w:sz w:val="28"/>
                                        <w:szCs w:val="28"/>
                                      </w:rPr>
                                    </w:pPr>
                                    <w:r>
                                      <w:rPr>
                                        <w:caps/>
                                        <w:color w:val="5B9BD5" w:themeColor="accent1"/>
                                        <w:sz w:val="28"/>
                                        <w:szCs w:val="28"/>
                                      </w:rPr>
                                      <w:t>January 20, 2025</w:t>
                                    </w:r>
                                  </w:p>
                                </w:sdtContent>
                              </w:sdt>
                              <w:p w14:paraId="01DA74C2" w14:textId="2154AF9A" w:rsidR="00FA5C71" w:rsidRDefault="00000000" w:rsidP="003341D5">
                                <w:pPr>
                                  <w:pStyle w:val="NoSpacing"/>
                                  <w:jc w:val="center"/>
                                  <w:rPr>
                                    <w:color w:val="5B9BD5" w:themeColor="accent1"/>
                                  </w:rPr>
                                </w:pPr>
                                <w:sdt>
                                  <w:sdtPr>
                                    <w:rPr>
                                      <w:caps/>
                                      <w:color w:val="5B9BD5" w:themeColor="accent1"/>
                                    </w:rPr>
                                    <w:alias w:val="Company"/>
                                    <w:tag w:val=""/>
                                    <w:id w:val="2013400389"/>
                                    <w:dataBinding w:prefixMappings="xmlns:ns0='http://schemas.openxmlformats.org/officeDocument/2006/extended-properties' " w:xpath="/ns0:Properties[1]/ns0:Company[1]" w:storeItemID="{6668398D-A668-4E3E-A5EB-62B293D839F1}"/>
                                    <w:text/>
                                  </w:sdtPr>
                                  <w:sdtContent>
                                    <w:r w:rsidR="00A11E13">
                                      <w:rPr>
                                        <w:caps/>
                                        <w:color w:val="5B9BD5" w:themeColor="accent1"/>
                                      </w:rPr>
                                      <w:t>university of wales trinity saint daviD</w:t>
                                    </w:r>
                                  </w:sdtContent>
                                </w:sdt>
                              </w:p>
                              <w:p w14:paraId="34BDEF0C" w14:textId="77777777" w:rsidR="00FA5C71" w:rsidRDefault="00000000">
                                <w:pPr>
                                  <w:pStyle w:val="NoSpacing"/>
                                  <w:jc w:val="center"/>
                                  <w:rPr>
                                    <w:color w:val="5B9BD5" w:themeColor="accent1"/>
                                  </w:rPr>
                                </w:pPr>
                                <w:sdt>
                                  <w:sdtPr>
                                    <w:rPr>
                                      <w:color w:val="5B9BD5" w:themeColor="accent1"/>
                                    </w:rPr>
                                    <w:alias w:val="Address"/>
                                    <w:tag w:val=""/>
                                    <w:id w:val="2013400390"/>
                                    <w:showingPlcHdr/>
                                    <w:dataBinding w:prefixMappings="xmlns:ns0='http://schemas.microsoft.com/office/2006/coverPageProps' " w:xpath="/ns0:CoverPageProperties[1]/ns0:CompanyAddress[1]" w:storeItemID="{55AF091B-3C7A-41E3-B477-F2FDAA23CFDA}"/>
                                    <w:text/>
                                  </w:sdtPr>
                                  <w:sdtContent>
                                    <w:r w:rsidR="00FA5C71">
                                      <w:rPr>
                                        <w:color w:val="5B9BD5" w:themeColor="accent1"/>
                                      </w:rPr>
                                      <w:t xml:space="preserve">     </w:t>
                                    </w:r>
                                  </w:sdtContent>
                                </w:sdt>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type w14:anchorId="1C5F2388" id="_x0000_t202" coordsize="21600,21600" o:spt="202" path="m,l,21600r21600,l21600,xe">
                    <v:stroke joinstyle="miter"/>
                    <v:path gradientshapeok="t" o:connecttype="rect"/>
                  </v:shapetype>
                  <v:shape id="Text Box 142" o:spid="_x0000_s1026" type="#_x0000_t202" style="position:absolute;left:0;text-align:left;margin-left:0;margin-top:0;width:451.1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" filled="f" stroked="f" strokeweight=".5pt">
                    <v:textbox style="mso-fit-shape-to-text:t" inset="0,0,0,0">
                      <w:txbxContent>
                        <w:sdt>
                          <w:sdtPr>
                            <w:rPr>
                              <w:caps/>
                              <w:color w:val="5B9BD5" w:themeColor="accent1"/>
                              <w:sz w:val="28"/>
                              <w:szCs w:val="28"/>
                            </w:rPr>
                            <w:alias w:val="Date"/>
                            <w:tag w:val=""/>
                            <w:id w:val="2013400388"/>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14:paraId="70D6F74F" w14:textId="336FF112" w:rsidR="00FA5C71" w:rsidRDefault="003D6702">
                              <w:pPr>
                                <w:pStyle w:val="NoSpacing"/>
                                <w:spacing w:after="40"/>
                                <w:jc w:val="center"/>
                                <w:rPr>
                                  <w:caps/>
                                  <w:color w:val="5B9BD5" w:themeColor="accent1"/>
                                  <w:sz w:val="28"/>
                                  <w:szCs w:val="28"/>
                                </w:rPr>
                              </w:pPr>
                              <w:r>
                                <w:rPr>
                                  <w:caps/>
                                  <w:color w:val="5B9BD5" w:themeColor="accent1"/>
                                  <w:sz w:val="28"/>
                                  <w:szCs w:val="28"/>
                                </w:rPr>
                                <w:t>January 20, 2025</w:t>
                              </w:r>
                            </w:p>
                          </w:sdtContent>
                        </w:sdt>
                        <w:p w14:paraId="01DA74C2" w14:textId="2154AF9A" w:rsidR="00FA5C71" w:rsidRDefault="00000000" w:rsidP="003341D5">
                          <w:pPr>
                            <w:pStyle w:val="NoSpacing"/>
                            <w:jc w:val="center"/>
                            <w:rPr>
                              <w:color w:val="5B9BD5" w:themeColor="accent1"/>
                            </w:rPr>
                          </w:pPr>
                          <w:sdt>
                            <w:sdtPr>
                              <w:rPr>
                                <w:caps/>
                                <w:color w:val="5B9BD5" w:themeColor="accent1"/>
                              </w:rPr>
                              <w:alias w:val="Company"/>
                              <w:tag w:val=""/>
                              <w:id w:val="2013400389"/>
                              <w:dataBinding w:prefixMappings="xmlns:ns0='http://schemas.openxmlformats.org/officeDocument/2006/extended-properties' " w:xpath="/ns0:Properties[1]/ns0:Company[1]" w:storeItemID="{6668398D-A668-4E3E-A5EB-62B293D839F1}"/>
                              <w:text/>
                            </w:sdtPr>
                            <w:sdtContent>
                              <w:r w:rsidR="00A11E13">
                                <w:rPr>
                                  <w:caps/>
                                  <w:color w:val="5B9BD5" w:themeColor="accent1"/>
                                </w:rPr>
                                <w:t>university of wales trinity saint daviD</w:t>
                              </w:r>
                            </w:sdtContent>
                          </w:sdt>
                        </w:p>
                        <w:p w14:paraId="34BDEF0C" w14:textId="77777777" w:rsidR="00FA5C71" w:rsidRDefault="00000000">
                          <w:pPr>
                            <w:pStyle w:val="NoSpacing"/>
                            <w:jc w:val="center"/>
                            <w:rPr>
                              <w:color w:val="5B9BD5" w:themeColor="accent1"/>
                            </w:rPr>
                          </w:pPr>
                          <w:sdt>
                            <w:sdtPr>
                              <w:rPr>
                                <w:color w:val="5B9BD5" w:themeColor="accent1"/>
                              </w:rPr>
                              <w:alias w:val="Address"/>
                              <w:tag w:val=""/>
                              <w:id w:val="2013400390"/>
                              <w:showingPlcHdr/>
                              <w:dataBinding w:prefixMappings="xmlns:ns0='http://schemas.microsoft.com/office/2006/coverPageProps' " w:xpath="/ns0:CoverPageProperties[1]/ns0:CompanyAddress[1]" w:storeItemID="{55AF091B-3C7A-41E3-B477-F2FDAA23CFDA}"/>
                              <w:text/>
                            </w:sdtPr>
                            <w:sdtContent>
                              <w:r w:rsidR="00FA5C71">
                                <w:rPr>
                                  <w:color w:val="5B9BD5" w:themeColor="accent1"/>
                                </w:rPr>
                                <w:t xml:space="preserve">     </w:t>
                              </w:r>
                            </w:sdtContent>
                          </w:sdt>
                        </w:p>
                      </w:txbxContent>
                    </v:textbox>
                    <w10:wrap anchorx="margin" anchory="page"/>
                  </v:shape>
                </w:pict>
              </mc:Fallback>
            </mc:AlternateContent>
          </w:r>
          <w:r w:rsidR="007D1947" w:rsidRPr="00D90F39">
            <w:rPr>
              <w:rFonts w:cstheme="minorHAnsi"/>
              <w:noProof/>
              <w:color w:val="5B9BD5" w:themeColor="accent1"/>
              <w:sz w:val="24"/>
              <w:szCs w:val="24"/>
            </w:rPr>
            <w:drawing>
              <wp:inline distT="0" distB="0" distL="0" distR="0" wp14:anchorId="08E2D63A" wp14:editId="01411C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AB1F0A" w14:textId="77777777" w:rsidR="00633B89" w:rsidRPr="00D90F39" w:rsidRDefault="00633B89" w:rsidP="00D90F39">
          <w:pPr>
            <w:pStyle w:val="NoSpacing"/>
            <w:spacing w:before="480"/>
            <w:jc w:val="both"/>
            <w:rPr>
              <w:rFonts w:cstheme="minorHAnsi"/>
              <w:color w:val="5B9BD5" w:themeColor="accent1"/>
              <w:sz w:val="24"/>
              <w:szCs w:val="24"/>
            </w:rPr>
          </w:pPr>
        </w:p>
        <w:p w14:paraId="13272C6D" w14:textId="77777777" w:rsidR="00633B89" w:rsidRPr="00D90F39" w:rsidRDefault="00633B89" w:rsidP="00D90F39">
          <w:pPr>
            <w:ind w:firstLine="720"/>
            <w:contextualSpacing/>
            <w:rPr>
              <w:rFonts w:cstheme="minorHAnsi"/>
              <w:b/>
              <w:bCs/>
              <w:color w:val="000000" w:themeColor="text1"/>
              <w:sz w:val="24"/>
              <w:szCs w:val="24"/>
              <w:lang w:val="en-US"/>
            </w:rPr>
          </w:pPr>
          <w:r w:rsidRPr="00D90F39">
            <w:rPr>
              <w:rFonts w:cstheme="minorHAnsi"/>
              <w:b/>
              <w:bCs/>
              <w:color w:val="000000" w:themeColor="text1"/>
              <w:sz w:val="24"/>
              <w:szCs w:val="24"/>
              <w:lang w:val="en-US"/>
            </w:rPr>
            <w:t>STUDENT NAME: Robert Nagy</w:t>
          </w:r>
        </w:p>
        <w:p w14:paraId="60E00F0A" w14:textId="77777777" w:rsidR="00633B89" w:rsidRPr="00D90F39" w:rsidRDefault="00633B89" w:rsidP="00D90F39">
          <w:pPr>
            <w:ind w:left="720"/>
            <w:contextualSpacing/>
            <w:rPr>
              <w:rFonts w:cstheme="minorHAnsi"/>
              <w:color w:val="000000" w:themeColor="text1"/>
              <w:sz w:val="24"/>
              <w:szCs w:val="24"/>
            </w:rPr>
          </w:pPr>
          <w:r w:rsidRPr="00D90F39">
            <w:rPr>
              <w:rFonts w:cstheme="minorHAnsi"/>
              <w:b/>
              <w:bCs/>
              <w:color w:val="000000" w:themeColor="text1"/>
              <w:sz w:val="24"/>
              <w:szCs w:val="24"/>
              <w:lang w:val="en-US"/>
            </w:rPr>
            <w:t>STUDENT NUMBER: 1922896</w:t>
          </w:r>
        </w:p>
        <w:p w14:paraId="0EADCA61" w14:textId="46029D27" w:rsidR="00633B89" w:rsidRPr="00D90F39" w:rsidRDefault="00633B89" w:rsidP="00D90F39">
          <w:pPr>
            <w:ind w:left="720"/>
            <w:contextualSpacing/>
            <w:rPr>
              <w:rFonts w:cstheme="minorHAnsi"/>
              <w:color w:val="000000" w:themeColor="text1"/>
              <w:sz w:val="24"/>
              <w:szCs w:val="24"/>
            </w:rPr>
          </w:pPr>
          <w:r w:rsidRPr="00D90F39">
            <w:rPr>
              <w:rFonts w:cstheme="minorHAnsi"/>
              <w:b/>
              <w:bCs/>
              <w:color w:val="000000" w:themeColor="text1"/>
              <w:sz w:val="24"/>
              <w:szCs w:val="24"/>
              <w:lang w:val="en-US"/>
            </w:rPr>
            <w:t xml:space="preserve">MODULE CODE: </w:t>
          </w:r>
          <w:r w:rsidRPr="00D90F39">
            <w:rPr>
              <w:rFonts w:cstheme="minorHAnsi"/>
              <w:b/>
              <w:sz w:val="24"/>
              <w:szCs w:val="24"/>
            </w:rPr>
            <w:t>BMMB7005</w:t>
          </w:r>
        </w:p>
        <w:p w14:paraId="3C399340" w14:textId="5DD04D73" w:rsidR="00633B89" w:rsidRPr="00D90F39" w:rsidRDefault="00633B89" w:rsidP="00D90F39">
          <w:pPr>
            <w:ind w:left="720"/>
            <w:contextualSpacing/>
            <w:rPr>
              <w:rFonts w:cstheme="minorHAnsi"/>
              <w:color w:val="000000" w:themeColor="text1"/>
              <w:sz w:val="24"/>
              <w:szCs w:val="24"/>
            </w:rPr>
          </w:pPr>
          <w:r w:rsidRPr="00D90F39">
            <w:rPr>
              <w:rFonts w:cstheme="minorHAnsi"/>
              <w:b/>
              <w:bCs/>
              <w:color w:val="000000" w:themeColor="text1"/>
              <w:sz w:val="24"/>
              <w:szCs w:val="24"/>
              <w:lang w:val="en-US"/>
            </w:rPr>
            <w:t xml:space="preserve">MODULE NAME: </w:t>
          </w:r>
          <w:r w:rsidR="003D3B3D" w:rsidRPr="00D90F39">
            <w:rPr>
              <w:rFonts w:cstheme="minorHAnsi"/>
              <w:b/>
              <w:sz w:val="24"/>
              <w:szCs w:val="24"/>
            </w:rPr>
            <w:t>Finance for Business Managers</w:t>
          </w:r>
        </w:p>
        <w:p w14:paraId="3EB2FC49" w14:textId="77777777" w:rsidR="00633B89" w:rsidRPr="00D90F39" w:rsidRDefault="00633B89" w:rsidP="00D90F39">
          <w:pPr>
            <w:rPr>
              <w:rFonts w:cstheme="minorHAnsi"/>
              <w:sz w:val="24"/>
              <w:szCs w:val="24"/>
            </w:rPr>
          </w:pPr>
        </w:p>
        <w:p w14:paraId="73855E26" w14:textId="72040CEB" w:rsidR="00633B89" w:rsidRPr="00D90F39" w:rsidRDefault="00633B89" w:rsidP="00D90F39">
          <w:pPr>
            <w:ind w:left="4320" w:firstLine="720"/>
            <w:rPr>
              <w:rFonts w:cstheme="minorHAnsi"/>
              <w:b/>
              <w:sz w:val="24"/>
              <w:szCs w:val="24"/>
            </w:rPr>
          </w:pPr>
          <w:r w:rsidRPr="00D90F39">
            <w:rPr>
              <w:rFonts w:cstheme="minorHAnsi"/>
              <w:b/>
              <w:bCs/>
              <w:sz w:val="24"/>
              <w:szCs w:val="24"/>
            </w:rPr>
            <w:t xml:space="preserve">Lecturer: </w:t>
          </w:r>
          <w:r w:rsidR="003D3B3D" w:rsidRPr="00D90F39">
            <w:rPr>
              <w:rFonts w:cstheme="minorHAnsi"/>
              <w:b/>
              <w:sz w:val="24"/>
              <w:szCs w:val="24"/>
            </w:rPr>
            <w:t xml:space="preserve">Marie </w:t>
          </w:r>
          <w:proofErr w:type="spellStart"/>
          <w:r w:rsidR="003D3B3D" w:rsidRPr="00D90F39">
            <w:rPr>
              <w:rFonts w:cstheme="minorHAnsi"/>
              <w:b/>
              <w:sz w:val="24"/>
              <w:szCs w:val="24"/>
            </w:rPr>
            <w:t>Pitson</w:t>
          </w:r>
          <w:proofErr w:type="spellEnd"/>
        </w:p>
        <w:p w14:paraId="30419B73" w14:textId="77777777" w:rsidR="008931CC" w:rsidRDefault="007D1947" w:rsidP="00D90F39">
          <w:pPr>
            <w:pStyle w:val="Heading1"/>
            <w:rPr>
              <w:rFonts w:asciiTheme="minorHAnsi" w:hAnsiTheme="minorHAnsi" w:cstheme="minorHAnsi"/>
              <w:sz w:val="24"/>
              <w:szCs w:val="24"/>
            </w:rPr>
          </w:pPr>
          <w:r w:rsidRPr="00D90F39">
            <w:rPr>
              <w:rFonts w:asciiTheme="minorHAnsi" w:hAnsiTheme="minorHAnsi" w:cstheme="minorHAnsi"/>
              <w:sz w:val="24"/>
              <w:szCs w:val="24"/>
            </w:rPr>
            <w:br w:type="page"/>
          </w:r>
          <w:bookmarkStart w:id="0" w:name="_Toc186730288"/>
        </w:p>
        <w:p w14:paraId="62B4C37E" w14:textId="3A44DBFF" w:rsidR="008931CC" w:rsidRPr="004A3622" w:rsidRDefault="008931CC" w:rsidP="00D90F39">
          <w:pPr>
            <w:pStyle w:val="Heading1"/>
            <w:rPr>
              <w:rFonts w:asciiTheme="minorHAnsi" w:hAnsiTheme="minorHAnsi" w:cstheme="minorHAnsi"/>
              <w:sz w:val="28"/>
              <w:szCs w:val="28"/>
            </w:rPr>
          </w:pPr>
          <w:r w:rsidRPr="004A3622">
            <w:rPr>
              <w:rFonts w:asciiTheme="minorHAnsi" w:hAnsiTheme="minorHAnsi" w:cstheme="minorHAnsi"/>
              <w:sz w:val="28"/>
              <w:szCs w:val="28"/>
            </w:rPr>
            <w:lastRenderedPageBreak/>
            <w:t>BUSINESS REPORT OF LLOYDS BANKING GROUP PLC</w:t>
          </w:r>
        </w:p>
        <w:p w14:paraId="204FFC06" w14:textId="5FF55B19" w:rsidR="007D1947" w:rsidRDefault="007D1947" w:rsidP="00D90F39">
          <w:pPr>
            <w:pStyle w:val="Heading1"/>
            <w:rPr>
              <w:rFonts w:asciiTheme="minorHAnsi" w:hAnsiTheme="minorHAnsi" w:cstheme="minorHAnsi"/>
              <w:sz w:val="28"/>
              <w:szCs w:val="28"/>
            </w:rPr>
          </w:pPr>
          <w:r w:rsidRPr="00846473">
            <w:rPr>
              <w:rFonts w:asciiTheme="minorHAnsi" w:hAnsiTheme="minorHAnsi" w:cstheme="minorHAnsi"/>
              <w:sz w:val="28"/>
              <w:szCs w:val="28"/>
            </w:rPr>
            <w:t>Executive Summary</w:t>
          </w:r>
          <w:bookmarkEnd w:id="0"/>
        </w:p>
        <w:p w14:paraId="354CFF8A" w14:textId="77777777" w:rsidR="00630E1F" w:rsidRPr="00630E1F" w:rsidRDefault="00630E1F" w:rsidP="00630E1F"/>
        <w:p w14:paraId="37842AFA" w14:textId="77777777" w:rsidR="007D1947" w:rsidRPr="00D90F39" w:rsidRDefault="00E31208" w:rsidP="00D90F39">
          <w:pPr>
            <w:rPr>
              <w:rFonts w:cstheme="minorHAnsi"/>
              <w:sz w:val="24"/>
              <w:szCs w:val="24"/>
            </w:rPr>
          </w:pPr>
          <w:r w:rsidRPr="00D90F39">
            <w:rPr>
              <w:rFonts w:cstheme="minorHAnsi"/>
              <w:sz w:val="24"/>
              <w:szCs w:val="24"/>
            </w:rPr>
            <w:t xml:space="preserve">Financial performance analysis is important and helpful in a range of ways for the financial management of a company. </w:t>
          </w:r>
          <w:r w:rsidR="007D1947" w:rsidRPr="00D90F39">
            <w:rPr>
              <w:rFonts w:cstheme="minorHAnsi"/>
              <w:sz w:val="24"/>
              <w:szCs w:val="24"/>
            </w:rPr>
            <w:t xml:space="preserve">The purpose </w:t>
          </w:r>
          <w:r w:rsidRPr="00D90F39">
            <w:rPr>
              <w:rFonts w:cstheme="minorHAnsi"/>
              <w:sz w:val="24"/>
              <w:szCs w:val="24"/>
            </w:rPr>
            <w:t xml:space="preserve">of this report is to analyse the financial performance of </w:t>
          </w:r>
          <w:r w:rsidR="009C4275" w:rsidRPr="00D90F39">
            <w:rPr>
              <w:rFonts w:cstheme="minorHAnsi"/>
              <w:sz w:val="24"/>
              <w:szCs w:val="24"/>
            </w:rPr>
            <w:t>Lloyds</w:t>
          </w:r>
          <w:r w:rsidRPr="00D90F39">
            <w:rPr>
              <w:rFonts w:cstheme="minorHAnsi"/>
              <w:sz w:val="24"/>
              <w:szCs w:val="24"/>
            </w:rPr>
            <w:t xml:space="preserve"> Banking Group Plc and recommend strategies for the company to improve its financial management in the future.</w:t>
          </w:r>
          <w:r w:rsidR="007C4C3F" w:rsidRPr="00D90F39">
            <w:rPr>
              <w:rFonts w:cstheme="minorHAnsi"/>
              <w:sz w:val="24"/>
              <w:szCs w:val="24"/>
            </w:rPr>
            <w:t xml:space="preserve"> On an overall basis, the findings of the report assisted to determine that the financial management that exists within this company is poor. This is because for the last two years assisted in determining that the profitability of the company is quite poor. Besides profitability, a poor or low operating efficiency can also be determined in this company. Only the liquidity maintained within the company shows satisfactory results even though the cash ratio of the company is low.</w:t>
          </w:r>
        </w:p>
        <w:p w14:paraId="64718685" w14:textId="77777777" w:rsidR="007C4C3F" w:rsidRPr="00D90F39" w:rsidRDefault="007C4C3F" w:rsidP="00D90F39">
          <w:pPr>
            <w:rPr>
              <w:rFonts w:cstheme="minorHAnsi"/>
              <w:sz w:val="24"/>
              <w:szCs w:val="24"/>
            </w:rPr>
          </w:pPr>
          <w:r w:rsidRPr="00D90F39">
            <w:rPr>
              <w:rFonts w:cstheme="minorHAnsi"/>
              <w:sz w:val="24"/>
              <w:szCs w:val="24"/>
            </w:rPr>
            <w:t xml:space="preserve">On the other hand, </w:t>
          </w:r>
          <w:r w:rsidR="005A7E64" w:rsidRPr="00D90F39">
            <w:rPr>
              <w:rFonts w:cstheme="minorHAnsi"/>
              <w:sz w:val="24"/>
              <w:szCs w:val="24"/>
            </w:rPr>
            <w:t>it can be identified that the company has a good capacity of the company to meet debts using assets. However, it can also be determined that the company has poor capacity to meet debts using equity. The investor ratios of the company show a good and satisfactory level of dividend payout in the company but poor levels of earnings per share.</w:t>
          </w:r>
          <w:r w:rsidR="00B83072" w:rsidRPr="00D90F39">
            <w:rPr>
              <w:rFonts w:cstheme="minorHAnsi"/>
              <w:sz w:val="24"/>
              <w:szCs w:val="24"/>
            </w:rPr>
            <w:t xml:space="preserve"> All these aspects prove poor financial management in </w:t>
          </w:r>
          <w:r w:rsidR="009C4275" w:rsidRPr="00D90F39">
            <w:rPr>
              <w:rFonts w:cstheme="minorHAnsi"/>
              <w:sz w:val="24"/>
              <w:szCs w:val="24"/>
            </w:rPr>
            <w:t>Lloyds</w:t>
          </w:r>
          <w:r w:rsidR="00B83072" w:rsidRPr="00D90F39">
            <w:rPr>
              <w:rFonts w:cstheme="minorHAnsi"/>
              <w:sz w:val="24"/>
              <w:szCs w:val="24"/>
            </w:rPr>
            <w:t xml:space="preserve"> Banking Group Plc. Besides this, the limitations present within ratio analysis also indicate chances for the ratio analysis of the company to be incorrect, thereby increasing the chances for poorer financial management.</w:t>
          </w:r>
        </w:p>
        <w:p w14:paraId="72428404" w14:textId="77777777" w:rsidR="00DD1D7A" w:rsidRPr="00D90F39" w:rsidRDefault="00241356" w:rsidP="00D90F39">
          <w:pPr>
            <w:rPr>
              <w:rFonts w:cstheme="minorHAnsi"/>
              <w:sz w:val="24"/>
              <w:szCs w:val="24"/>
            </w:rPr>
          </w:pPr>
          <w:r w:rsidRPr="00D90F39">
            <w:rPr>
              <w:rFonts w:cstheme="minorHAnsi"/>
              <w:sz w:val="24"/>
              <w:szCs w:val="24"/>
            </w:rPr>
            <w:t xml:space="preserve">As a result, </w:t>
          </w:r>
          <w:r w:rsidR="009C4275" w:rsidRPr="00D90F39">
            <w:rPr>
              <w:rFonts w:cstheme="minorHAnsi"/>
              <w:sz w:val="24"/>
              <w:szCs w:val="24"/>
            </w:rPr>
            <w:t>Lloyds</w:t>
          </w:r>
          <w:r w:rsidRPr="00D90F39">
            <w:rPr>
              <w:rFonts w:cstheme="minorHAnsi"/>
              <w:sz w:val="24"/>
              <w:szCs w:val="24"/>
            </w:rPr>
            <w:t xml:space="preserve"> Banking Group Plc is recommended on the reduction in operating costs and enhancement of marketing strategies to improve the company’s profitability. Reduction of short-term debts and expenses, focusing more on cash in hand and others are recommended on improving cash ratio while payment of debts and others are recommended for improving its gearing. </w:t>
          </w:r>
          <w:r w:rsidR="00DD1D7A" w:rsidRPr="00D90F39">
            <w:rPr>
              <w:rFonts w:cstheme="minorHAnsi"/>
              <w:sz w:val="24"/>
              <w:szCs w:val="24"/>
            </w:rPr>
            <w:t>Enhancement of asset utilisation, improvement of cost management and several such recommendations are provided for increasing its operating efficiency and earnings per share. Management of sources of finance and application of capital appraisal models are recommended as well.</w:t>
          </w:r>
          <w:r w:rsidR="00DD1D7A" w:rsidRPr="00D90F39">
            <w:rPr>
              <w:rFonts w:cstheme="minorHAnsi"/>
              <w:sz w:val="24"/>
              <w:szCs w:val="24"/>
            </w:rPr>
            <w:br w:type="page"/>
          </w:r>
        </w:p>
        <w:p w14:paraId="7CCF7646" w14:textId="77777777" w:rsidR="005A7E64" w:rsidRPr="00D90F39" w:rsidRDefault="005A7E64" w:rsidP="00D90F39">
          <w:pPr>
            <w:rPr>
              <w:rFonts w:cstheme="minorHAnsi"/>
              <w:sz w:val="24"/>
              <w:szCs w:val="24"/>
            </w:rPr>
          </w:pPr>
        </w:p>
        <w:sdt>
          <w:sdtPr>
            <w:rPr>
              <w:rFonts w:asciiTheme="minorHAnsi" w:eastAsiaTheme="minorHAnsi" w:hAnsiTheme="minorHAnsi" w:cstheme="minorHAnsi"/>
              <w:color w:val="auto"/>
              <w:sz w:val="24"/>
              <w:szCs w:val="24"/>
              <w:lang w:val="en-GB"/>
            </w:rPr>
            <w:id w:val="-1297214018"/>
            <w:docPartObj>
              <w:docPartGallery w:val="Table of Contents"/>
              <w:docPartUnique/>
            </w:docPartObj>
          </w:sdtPr>
          <w:sdtEndPr>
            <w:rPr>
              <w:b/>
              <w:bCs/>
              <w:noProof/>
            </w:rPr>
          </w:sdtEndPr>
          <w:sdtContent>
            <w:p w14:paraId="3DF96021" w14:textId="77777777" w:rsidR="007D1947" w:rsidRDefault="007D1947" w:rsidP="00D90F39">
              <w:pPr>
                <w:pStyle w:val="TOCHeading"/>
                <w:rPr>
                  <w:rFonts w:asciiTheme="minorHAnsi" w:hAnsiTheme="minorHAnsi" w:cstheme="minorHAnsi"/>
                  <w:sz w:val="28"/>
                  <w:szCs w:val="28"/>
                </w:rPr>
              </w:pPr>
              <w:r w:rsidRPr="00846473">
                <w:rPr>
                  <w:rFonts w:asciiTheme="minorHAnsi" w:hAnsiTheme="minorHAnsi" w:cstheme="minorHAnsi"/>
                  <w:sz w:val="28"/>
                  <w:szCs w:val="28"/>
                </w:rPr>
                <w:t>Table of Contents</w:t>
              </w:r>
            </w:p>
            <w:p w14:paraId="05B0AA12" w14:textId="77777777" w:rsidR="007243A4" w:rsidRPr="007243A4" w:rsidRDefault="007243A4" w:rsidP="007243A4">
              <w:pPr>
                <w:rPr>
                  <w:lang w:val="en-US"/>
                </w:rPr>
              </w:pPr>
            </w:p>
            <w:p w14:paraId="22E99FD7" w14:textId="60405E46" w:rsidR="00B93241" w:rsidRPr="00D90F39" w:rsidRDefault="00B44505" w:rsidP="00D90F39">
              <w:pPr>
                <w:pStyle w:val="TOC1"/>
                <w:rPr>
                  <w:rFonts w:eastAsiaTheme="minorEastAsia" w:cstheme="minorHAnsi"/>
                  <w:noProof/>
                  <w:sz w:val="24"/>
                  <w:szCs w:val="24"/>
                  <w:lang w:val="en-US"/>
                </w:rPr>
              </w:pPr>
              <w:r w:rsidRPr="00D90F39">
                <w:rPr>
                  <w:rFonts w:cstheme="minorHAnsi"/>
                  <w:sz w:val="24"/>
                  <w:szCs w:val="24"/>
                </w:rPr>
                <w:fldChar w:fldCharType="begin"/>
              </w:r>
              <w:r w:rsidR="007D1947" w:rsidRPr="00D90F39">
                <w:rPr>
                  <w:rFonts w:cstheme="minorHAnsi"/>
                  <w:sz w:val="24"/>
                  <w:szCs w:val="24"/>
                </w:rPr>
                <w:instrText xml:space="preserve"> TOC \o "1-3" \h \z \u </w:instrText>
              </w:r>
              <w:r w:rsidRPr="00D90F39">
                <w:rPr>
                  <w:rFonts w:cstheme="minorHAnsi"/>
                  <w:sz w:val="24"/>
                  <w:szCs w:val="24"/>
                </w:rPr>
                <w:fldChar w:fldCharType="separate"/>
              </w:r>
              <w:hyperlink w:anchor="_Toc186730288" w:history="1">
                <w:r w:rsidR="00B93241" w:rsidRPr="00D90F39">
                  <w:rPr>
                    <w:rStyle w:val="Hyperlink"/>
                    <w:rFonts w:cstheme="minorHAnsi"/>
                    <w:noProof/>
                    <w:sz w:val="24"/>
                    <w:szCs w:val="24"/>
                  </w:rPr>
                  <w:t>Executive Summary</w:t>
                </w:r>
                <w:r w:rsidR="00B93241" w:rsidRPr="00D90F39">
                  <w:rPr>
                    <w:rFonts w:cstheme="minorHAnsi"/>
                    <w:noProof/>
                    <w:webHidden/>
                    <w:sz w:val="24"/>
                    <w:szCs w:val="24"/>
                  </w:rPr>
                  <w:tab/>
                </w:r>
                <w:r w:rsidRPr="00D90F39">
                  <w:rPr>
                    <w:rFonts w:cstheme="minorHAnsi"/>
                    <w:noProof/>
                    <w:webHidden/>
                    <w:sz w:val="24"/>
                    <w:szCs w:val="24"/>
                  </w:rPr>
                  <w:fldChar w:fldCharType="begin"/>
                </w:r>
                <w:r w:rsidR="00B93241" w:rsidRPr="00D90F39">
                  <w:rPr>
                    <w:rFonts w:cstheme="minorHAnsi"/>
                    <w:noProof/>
                    <w:webHidden/>
                    <w:sz w:val="24"/>
                    <w:szCs w:val="24"/>
                  </w:rPr>
                  <w:instrText xml:space="preserve"> PAGEREF _Toc186730288 \h </w:instrText>
                </w:r>
                <w:r w:rsidRPr="00D90F39">
                  <w:rPr>
                    <w:rFonts w:cstheme="minorHAnsi"/>
                    <w:noProof/>
                    <w:webHidden/>
                    <w:sz w:val="24"/>
                    <w:szCs w:val="24"/>
                  </w:rPr>
                </w:r>
                <w:r w:rsidRPr="00D90F39">
                  <w:rPr>
                    <w:rFonts w:cstheme="minorHAnsi"/>
                    <w:noProof/>
                    <w:webHidden/>
                    <w:sz w:val="24"/>
                    <w:szCs w:val="24"/>
                  </w:rPr>
                  <w:fldChar w:fldCharType="separate"/>
                </w:r>
                <w:r w:rsidR="00B71885">
                  <w:rPr>
                    <w:rFonts w:cstheme="minorHAnsi"/>
                    <w:noProof/>
                    <w:webHidden/>
                    <w:sz w:val="24"/>
                    <w:szCs w:val="24"/>
                  </w:rPr>
                  <w:t>1</w:t>
                </w:r>
                <w:r w:rsidRPr="00D90F39">
                  <w:rPr>
                    <w:rFonts w:cstheme="minorHAnsi"/>
                    <w:noProof/>
                    <w:webHidden/>
                    <w:sz w:val="24"/>
                    <w:szCs w:val="24"/>
                  </w:rPr>
                  <w:fldChar w:fldCharType="end"/>
                </w:r>
              </w:hyperlink>
            </w:p>
            <w:p w14:paraId="77A5CA60" w14:textId="39C86F75" w:rsidR="00B93241" w:rsidRPr="00D90F39" w:rsidRDefault="00B93241" w:rsidP="00D90F39">
              <w:pPr>
                <w:pStyle w:val="TOC1"/>
                <w:rPr>
                  <w:rFonts w:eastAsiaTheme="minorEastAsia" w:cstheme="minorHAnsi"/>
                  <w:noProof/>
                  <w:sz w:val="24"/>
                  <w:szCs w:val="24"/>
                  <w:lang w:val="en-US"/>
                </w:rPr>
              </w:pPr>
              <w:hyperlink w:anchor="_Toc186730289" w:history="1">
                <w:r w:rsidRPr="00D90F39">
                  <w:rPr>
                    <w:rStyle w:val="Hyperlink"/>
                    <w:rFonts w:cstheme="minorHAnsi"/>
                    <w:noProof/>
                    <w:sz w:val="24"/>
                    <w:szCs w:val="24"/>
                  </w:rPr>
                  <w:t>Introduction</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_Toc186730289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3</w:t>
                </w:r>
                <w:r w:rsidR="00B44505" w:rsidRPr="00D90F39">
                  <w:rPr>
                    <w:rFonts w:cstheme="minorHAnsi"/>
                    <w:noProof/>
                    <w:webHidden/>
                    <w:sz w:val="24"/>
                    <w:szCs w:val="24"/>
                  </w:rPr>
                  <w:fldChar w:fldCharType="end"/>
                </w:r>
              </w:hyperlink>
            </w:p>
            <w:p w14:paraId="2E51CBD2" w14:textId="221E55D7" w:rsidR="00B93241" w:rsidRPr="00D90F39" w:rsidRDefault="00B93241" w:rsidP="00D90F39">
              <w:pPr>
                <w:pStyle w:val="TOC1"/>
                <w:rPr>
                  <w:rFonts w:eastAsiaTheme="minorEastAsia" w:cstheme="minorHAnsi"/>
                  <w:noProof/>
                  <w:sz w:val="24"/>
                  <w:szCs w:val="24"/>
                  <w:lang w:val="en-US"/>
                </w:rPr>
              </w:pPr>
              <w:hyperlink w:anchor="_Toc186730290" w:history="1">
                <w:r w:rsidRPr="00D90F39">
                  <w:rPr>
                    <w:rStyle w:val="Hyperlink"/>
                    <w:rFonts w:cstheme="minorHAnsi"/>
                    <w:noProof/>
                    <w:sz w:val="24"/>
                    <w:szCs w:val="24"/>
                  </w:rPr>
                  <w:t>Main Findings</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_Toc186730290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4</w:t>
                </w:r>
                <w:r w:rsidR="00B44505" w:rsidRPr="00D90F39">
                  <w:rPr>
                    <w:rFonts w:cstheme="minorHAnsi"/>
                    <w:noProof/>
                    <w:webHidden/>
                    <w:sz w:val="24"/>
                    <w:szCs w:val="24"/>
                  </w:rPr>
                  <w:fldChar w:fldCharType="end"/>
                </w:r>
              </w:hyperlink>
            </w:p>
            <w:p w14:paraId="13051660" w14:textId="40F08A65" w:rsidR="00B93241" w:rsidRPr="00D90F39" w:rsidRDefault="00B93241" w:rsidP="00D90F39">
              <w:pPr>
                <w:pStyle w:val="TOC2"/>
                <w:tabs>
                  <w:tab w:val="right" w:leader="dot" w:pos="9016"/>
                </w:tabs>
                <w:rPr>
                  <w:rFonts w:eastAsiaTheme="minorEastAsia" w:cstheme="minorHAnsi"/>
                  <w:noProof/>
                  <w:sz w:val="24"/>
                  <w:szCs w:val="24"/>
                  <w:lang w:val="en-US"/>
                </w:rPr>
              </w:pPr>
              <w:hyperlink w:anchor="_Toc186730291" w:history="1">
                <w:r w:rsidRPr="00D90F39">
                  <w:rPr>
                    <w:rStyle w:val="Hyperlink"/>
                    <w:rFonts w:cstheme="minorHAnsi"/>
                    <w:noProof/>
                    <w:sz w:val="24"/>
                    <w:szCs w:val="24"/>
                  </w:rPr>
                  <w:t xml:space="preserve">Background of </w:t>
                </w:r>
                <w:r w:rsidR="009C4275" w:rsidRPr="00D90F39">
                  <w:rPr>
                    <w:rStyle w:val="Hyperlink"/>
                    <w:rFonts w:cstheme="minorHAnsi"/>
                    <w:noProof/>
                    <w:sz w:val="24"/>
                    <w:szCs w:val="24"/>
                  </w:rPr>
                  <w:t>Lloyds</w:t>
                </w:r>
                <w:r w:rsidRPr="00D90F39">
                  <w:rPr>
                    <w:rStyle w:val="Hyperlink"/>
                    <w:rFonts w:cstheme="minorHAnsi"/>
                    <w:noProof/>
                    <w:sz w:val="24"/>
                    <w:szCs w:val="24"/>
                  </w:rPr>
                  <w:t xml:space="preserve"> Banking Group Plc</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_Toc186730291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4</w:t>
                </w:r>
                <w:r w:rsidR="00B44505" w:rsidRPr="00D90F39">
                  <w:rPr>
                    <w:rFonts w:cstheme="minorHAnsi"/>
                    <w:noProof/>
                    <w:webHidden/>
                    <w:sz w:val="24"/>
                    <w:szCs w:val="24"/>
                  </w:rPr>
                  <w:fldChar w:fldCharType="end"/>
                </w:r>
              </w:hyperlink>
            </w:p>
            <w:p w14:paraId="4538279B" w14:textId="21D462AD" w:rsidR="00B93241" w:rsidRPr="00D90F39" w:rsidRDefault="00B93241" w:rsidP="00D90F39">
              <w:pPr>
                <w:pStyle w:val="TOC2"/>
                <w:tabs>
                  <w:tab w:val="right" w:leader="dot" w:pos="9016"/>
                </w:tabs>
                <w:rPr>
                  <w:rFonts w:eastAsiaTheme="minorEastAsia" w:cstheme="minorHAnsi"/>
                  <w:noProof/>
                  <w:sz w:val="24"/>
                  <w:szCs w:val="24"/>
                  <w:lang w:val="en-US"/>
                </w:rPr>
              </w:pPr>
              <w:hyperlink w:anchor="_Toc186730292" w:history="1">
                <w:r w:rsidRPr="00D90F39">
                  <w:rPr>
                    <w:rStyle w:val="Hyperlink"/>
                    <w:rFonts w:cstheme="minorHAnsi"/>
                    <w:noProof/>
                    <w:sz w:val="24"/>
                    <w:szCs w:val="24"/>
                  </w:rPr>
                  <w:t xml:space="preserve">Results of ratios calculated for </w:t>
                </w:r>
                <w:r w:rsidR="009C4275" w:rsidRPr="00D90F39">
                  <w:rPr>
                    <w:rStyle w:val="Hyperlink"/>
                    <w:rFonts w:cstheme="minorHAnsi"/>
                    <w:noProof/>
                    <w:sz w:val="24"/>
                    <w:szCs w:val="24"/>
                  </w:rPr>
                  <w:t>Lloyds</w:t>
                </w:r>
                <w:r w:rsidRPr="00D90F39">
                  <w:rPr>
                    <w:rStyle w:val="Hyperlink"/>
                    <w:rFonts w:cstheme="minorHAnsi"/>
                    <w:noProof/>
                    <w:sz w:val="24"/>
                    <w:szCs w:val="24"/>
                  </w:rPr>
                  <w:t xml:space="preserve"> Banking Group Plc</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_Toc186730292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5</w:t>
                </w:r>
                <w:r w:rsidR="00B44505" w:rsidRPr="00D90F39">
                  <w:rPr>
                    <w:rFonts w:cstheme="minorHAnsi"/>
                    <w:noProof/>
                    <w:webHidden/>
                    <w:sz w:val="24"/>
                    <w:szCs w:val="24"/>
                  </w:rPr>
                  <w:fldChar w:fldCharType="end"/>
                </w:r>
              </w:hyperlink>
            </w:p>
            <w:p w14:paraId="16545122" w14:textId="32A25E49" w:rsidR="00B93241" w:rsidRPr="00D90F39" w:rsidRDefault="00B93241" w:rsidP="00D90F39">
              <w:pPr>
                <w:pStyle w:val="TOC2"/>
                <w:tabs>
                  <w:tab w:val="right" w:leader="dot" w:pos="9016"/>
                </w:tabs>
                <w:rPr>
                  <w:rFonts w:eastAsiaTheme="minorEastAsia" w:cstheme="minorHAnsi"/>
                  <w:noProof/>
                  <w:sz w:val="24"/>
                  <w:szCs w:val="24"/>
                  <w:lang w:val="en-US"/>
                </w:rPr>
              </w:pPr>
              <w:hyperlink w:anchor="_Toc186730293" w:history="1">
                <w:r w:rsidRPr="00D90F39">
                  <w:rPr>
                    <w:rStyle w:val="Hyperlink"/>
                    <w:rFonts w:cstheme="minorHAnsi"/>
                    <w:noProof/>
                    <w:sz w:val="24"/>
                    <w:szCs w:val="24"/>
                  </w:rPr>
                  <w:t>Critical evaluation of the ratios calculated</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_Toc186730293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6</w:t>
                </w:r>
                <w:r w:rsidR="00B44505" w:rsidRPr="00D90F39">
                  <w:rPr>
                    <w:rFonts w:cstheme="minorHAnsi"/>
                    <w:noProof/>
                    <w:webHidden/>
                    <w:sz w:val="24"/>
                    <w:szCs w:val="24"/>
                  </w:rPr>
                  <w:fldChar w:fldCharType="end"/>
                </w:r>
              </w:hyperlink>
            </w:p>
            <w:p w14:paraId="3BB94770" w14:textId="3AD3EB2B" w:rsidR="00B93241" w:rsidRPr="00D90F39" w:rsidRDefault="00B93241" w:rsidP="00D90F39">
              <w:pPr>
                <w:pStyle w:val="TOC2"/>
                <w:tabs>
                  <w:tab w:val="right" w:leader="dot" w:pos="9016"/>
                </w:tabs>
                <w:rPr>
                  <w:rFonts w:eastAsiaTheme="minorEastAsia" w:cstheme="minorHAnsi"/>
                  <w:noProof/>
                  <w:sz w:val="24"/>
                  <w:szCs w:val="24"/>
                  <w:lang w:val="en-US"/>
                </w:rPr>
              </w:pPr>
              <w:hyperlink w:anchor="_Toc186730294" w:history="1">
                <w:r w:rsidRPr="00D90F39">
                  <w:rPr>
                    <w:rStyle w:val="Hyperlink"/>
                    <w:rFonts w:cstheme="minorHAnsi"/>
                    <w:noProof/>
                    <w:sz w:val="24"/>
                    <w:szCs w:val="24"/>
                  </w:rPr>
                  <w:t>Limitations of ratio analysis</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_Toc186730294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11</w:t>
                </w:r>
                <w:r w:rsidR="00B44505" w:rsidRPr="00D90F39">
                  <w:rPr>
                    <w:rFonts w:cstheme="minorHAnsi"/>
                    <w:noProof/>
                    <w:webHidden/>
                    <w:sz w:val="24"/>
                    <w:szCs w:val="24"/>
                  </w:rPr>
                  <w:fldChar w:fldCharType="end"/>
                </w:r>
              </w:hyperlink>
            </w:p>
            <w:p w14:paraId="4DF67578" w14:textId="46031B1C" w:rsidR="00B93241" w:rsidRPr="00D90F39" w:rsidRDefault="00B93241" w:rsidP="00D90F39">
              <w:pPr>
                <w:pStyle w:val="TOC1"/>
                <w:rPr>
                  <w:rFonts w:eastAsiaTheme="minorEastAsia" w:cstheme="minorHAnsi"/>
                  <w:noProof/>
                  <w:sz w:val="24"/>
                  <w:szCs w:val="24"/>
                  <w:lang w:val="en-US"/>
                </w:rPr>
              </w:pPr>
              <w:hyperlink w:anchor="_Toc186730295" w:history="1">
                <w:r w:rsidRPr="00D90F39">
                  <w:rPr>
                    <w:rStyle w:val="Hyperlink"/>
                    <w:rFonts w:cstheme="minorHAnsi"/>
                    <w:noProof/>
                    <w:sz w:val="24"/>
                    <w:szCs w:val="24"/>
                  </w:rPr>
                  <w:t>Conclusion</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_Toc186730295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12</w:t>
                </w:r>
                <w:r w:rsidR="00B44505" w:rsidRPr="00D90F39">
                  <w:rPr>
                    <w:rFonts w:cstheme="minorHAnsi"/>
                    <w:noProof/>
                    <w:webHidden/>
                    <w:sz w:val="24"/>
                    <w:szCs w:val="24"/>
                  </w:rPr>
                  <w:fldChar w:fldCharType="end"/>
                </w:r>
              </w:hyperlink>
            </w:p>
            <w:p w14:paraId="03055803" w14:textId="62B03961" w:rsidR="00B93241" w:rsidRPr="00D90F39" w:rsidRDefault="00B93241" w:rsidP="00D90F39">
              <w:pPr>
                <w:pStyle w:val="TOC1"/>
                <w:rPr>
                  <w:rFonts w:eastAsiaTheme="minorEastAsia" w:cstheme="minorHAnsi"/>
                  <w:noProof/>
                  <w:sz w:val="24"/>
                  <w:szCs w:val="24"/>
                  <w:lang w:val="en-US"/>
                </w:rPr>
              </w:pPr>
              <w:hyperlink w:anchor="_Toc186730296" w:history="1">
                <w:r w:rsidRPr="00D90F39">
                  <w:rPr>
                    <w:rStyle w:val="Hyperlink"/>
                    <w:rFonts w:cstheme="minorHAnsi"/>
                    <w:noProof/>
                    <w:sz w:val="24"/>
                    <w:szCs w:val="24"/>
                  </w:rPr>
                  <w:t>Recommendation</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_Toc186730296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13</w:t>
                </w:r>
                <w:r w:rsidR="00B44505" w:rsidRPr="00D90F39">
                  <w:rPr>
                    <w:rFonts w:cstheme="minorHAnsi"/>
                    <w:noProof/>
                    <w:webHidden/>
                    <w:sz w:val="24"/>
                    <w:szCs w:val="24"/>
                  </w:rPr>
                  <w:fldChar w:fldCharType="end"/>
                </w:r>
              </w:hyperlink>
            </w:p>
            <w:p w14:paraId="7F0E0F47" w14:textId="2293D269" w:rsidR="00B93241" w:rsidRPr="00D90F39" w:rsidRDefault="00B93241" w:rsidP="00D90F39">
              <w:pPr>
                <w:pStyle w:val="TOC1"/>
                <w:rPr>
                  <w:rFonts w:eastAsiaTheme="minorEastAsia" w:cstheme="minorHAnsi"/>
                  <w:noProof/>
                  <w:sz w:val="24"/>
                  <w:szCs w:val="24"/>
                  <w:lang w:val="en-US"/>
                </w:rPr>
              </w:pPr>
              <w:hyperlink w:anchor="_Toc186730297" w:history="1">
                <w:r w:rsidRPr="00D90F39">
                  <w:rPr>
                    <w:rStyle w:val="Hyperlink"/>
                    <w:rFonts w:cstheme="minorHAnsi"/>
                    <w:noProof/>
                    <w:sz w:val="24"/>
                    <w:szCs w:val="24"/>
                  </w:rPr>
                  <w:t>Bibliography</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_Toc186730297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14</w:t>
                </w:r>
                <w:r w:rsidR="00B44505" w:rsidRPr="00D90F39">
                  <w:rPr>
                    <w:rFonts w:cstheme="minorHAnsi"/>
                    <w:noProof/>
                    <w:webHidden/>
                    <w:sz w:val="24"/>
                    <w:szCs w:val="24"/>
                  </w:rPr>
                  <w:fldChar w:fldCharType="end"/>
                </w:r>
              </w:hyperlink>
            </w:p>
            <w:p w14:paraId="596D0CBB" w14:textId="278AA6B4" w:rsidR="00B93241" w:rsidRPr="00D90F39" w:rsidRDefault="00B93241" w:rsidP="00D90F39">
              <w:pPr>
                <w:pStyle w:val="TOC1"/>
                <w:rPr>
                  <w:rFonts w:eastAsiaTheme="minorEastAsia" w:cstheme="minorHAnsi"/>
                  <w:noProof/>
                  <w:sz w:val="24"/>
                  <w:szCs w:val="24"/>
                  <w:lang w:val="en-US"/>
                </w:rPr>
              </w:pPr>
              <w:hyperlink w:anchor="_Toc186730298" w:history="1">
                <w:r w:rsidRPr="00D90F39">
                  <w:rPr>
                    <w:rStyle w:val="Hyperlink"/>
                    <w:rFonts w:cstheme="minorHAnsi"/>
                    <w:noProof/>
                    <w:sz w:val="24"/>
                    <w:szCs w:val="24"/>
                  </w:rPr>
                  <w:t>Appendix</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_Toc186730298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17</w:t>
                </w:r>
                <w:r w:rsidR="00B44505" w:rsidRPr="00D90F39">
                  <w:rPr>
                    <w:rFonts w:cstheme="minorHAnsi"/>
                    <w:noProof/>
                    <w:webHidden/>
                    <w:sz w:val="24"/>
                    <w:szCs w:val="24"/>
                  </w:rPr>
                  <w:fldChar w:fldCharType="end"/>
                </w:r>
              </w:hyperlink>
            </w:p>
            <w:p w14:paraId="478E4F1B" w14:textId="246664D0" w:rsidR="00B93241" w:rsidRPr="00D90F39" w:rsidRDefault="00B93241" w:rsidP="00D90F39">
              <w:pPr>
                <w:pStyle w:val="TOC2"/>
                <w:tabs>
                  <w:tab w:val="right" w:leader="dot" w:pos="9016"/>
                </w:tabs>
                <w:rPr>
                  <w:rFonts w:eastAsiaTheme="minorEastAsia" w:cstheme="minorHAnsi"/>
                  <w:noProof/>
                  <w:sz w:val="24"/>
                  <w:szCs w:val="24"/>
                  <w:lang w:val="en-US"/>
                </w:rPr>
              </w:pPr>
              <w:hyperlink w:anchor="_Toc186730299" w:history="1">
                <w:r w:rsidRPr="00D90F39">
                  <w:rPr>
                    <w:rStyle w:val="Hyperlink"/>
                    <w:rFonts w:cstheme="minorHAnsi"/>
                    <w:noProof/>
                    <w:sz w:val="24"/>
                    <w:szCs w:val="24"/>
                  </w:rPr>
                  <w:t xml:space="preserve">Financial Statements of </w:t>
                </w:r>
                <w:r w:rsidR="009C4275" w:rsidRPr="00D90F39">
                  <w:rPr>
                    <w:rStyle w:val="Hyperlink"/>
                    <w:rFonts w:cstheme="minorHAnsi"/>
                    <w:noProof/>
                    <w:sz w:val="24"/>
                    <w:szCs w:val="24"/>
                  </w:rPr>
                  <w:t>Lloyds</w:t>
                </w:r>
                <w:r w:rsidRPr="00D90F39">
                  <w:rPr>
                    <w:rStyle w:val="Hyperlink"/>
                    <w:rFonts w:cstheme="minorHAnsi"/>
                    <w:noProof/>
                    <w:sz w:val="24"/>
                    <w:szCs w:val="24"/>
                  </w:rPr>
                  <w:t xml:space="preserve"> Banking Group Plc</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_Toc186730299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17</w:t>
                </w:r>
                <w:r w:rsidR="00B44505" w:rsidRPr="00D90F39">
                  <w:rPr>
                    <w:rFonts w:cstheme="minorHAnsi"/>
                    <w:noProof/>
                    <w:webHidden/>
                    <w:sz w:val="24"/>
                    <w:szCs w:val="24"/>
                  </w:rPr>
                  <w:fldChar w:fldCharType="end"/>
                </w:r>
              </w:hyperlink>
            </w:p>
            <w:p w14:paraId="397D8B3C" w14:textId="4A921BC8" w:rsidR="00B93241" w:rsidRPr="00D90F39" w:rsidRDefault="00B93241" w:rsidP="00D90F39">
              <w:pPr>
                <w:pStyle w:val="TOC2"/>
                <w:tabs>
                  <w:tab w:val="right" w:leader="dot" w:pos="9016"/>
                </w:tabs>
                <w:rPr>
                  <w:rFonts w:eastAsiaTheme="minorEastAsia" w:cstheme="minorHAnsi"/>
                  <w:noProof/>
                  <w:sz w:val="24"/>
                  <w:szCs w:val="24"/>
                  <w:lang w:val="en-US"/>
                </w:rPr>
              </w:pPr>
              <w:hyperlink w:anchor="_Toc186730300" w:history="1">
                <w:r w:rsidRPr="00D90F39">
                  <w:rPr>
                    <w:rStyle w:val="Hyperlink"/>
                    <w:rFonts w:cstheme="minorHAnsi"/>
                    <w:noProof/>
                    <w:sz w:val="24"/>
                    <w:szCs w:val="24"/>
                  </w:rPr>
                  <w:t xml:space="preserve">Ratio Calculations of </w:t>
                </w:r>
                <w:r w:rsidR="009C4275" w:rsidRPr="00D90F39">
                  <w:rPr>
                    <w:rStyle w:val="Hyperlink"/>
                    <w:rFonts w:cstheme="minorHAnsi"/>
                    <w:noProof/>
                    <w:sz w:val="24"/>
                    <w:szCs w:val="24"/>
                  </w:rPr>
                  <w:t>Lloyds</w:t>
                </w:r>
                <w:r w:rsidRPr="00D90F39">
                  <w:rPr>
                    <w:rStyle w:val="Hyperlink"/>
                    <w:rFonts w:cstheme="minorHAnsi"/>
                    <w:noProof/>
                    <w:sz w:val="24"/>
                    <w:szCs w:val="24"/>
                  </w:rPr>
                  <w:t xml:space="preserve"> Banking Group Plc</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_Toc186730300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19</w:t>
                </w:r>
                <w:r w:rsidR="00B44505" w:rsidRPr="00D90F39">
                  <w:rPr>
                    <w:rFonts w:cstheme="minorHAnsi"/>
                    <w:noProof/>
                    <w:webHidden/>
                    <w:sz w:val="24"/>
                    <w:szCs w:val="24"/>
                  </w:rPr>
                  <w:fldChar w:fldCharType="end"/>
                </w:r>
              </w:hyperlink>
            </w:p>
            <w:p w14:paraId="20536121" w14:textId="62DCA9B0" w:rsidR="00B93241" w:rsidRPr="00D90F39" w:rsidRDefault="00B93241" w:rsidP="00D90F39">
              <w:pPr>
                <w:pStyle w:val="TOC1"/>
                <w:rPr>
                  <w:rFonts w:eastAsiaTheme="minorEastAsia" w:cstheme="minorHAnsi"/>
                  <w:noProof/>
                  <w:sz w:val="24"/>
                  <w:szCs w:val="24"/>
                  <w:lang w:val="en-US"/>
                </w:rPr>
              </w:pPr>
              <w:hyperlink w:anchor="_Toc186730301" w:history="1">
                <w:r w:rsidRPr="00D90F39">
                  <w:rPr>
                    <w:rStyle w:val="Hyperlink"/>
                    <w:rFonts w:cstheme="minorHAnsi"/>
                    <w:noProof/>
                    <w:sz w:val="24"/>
                    <w:szCs w:val="24"/>
                  </w:rPr>
                  <w:t>Table of Figures</w:t>
                </w:r>
                <w:r w:rsidRPr="00D90F39">
                  <w:rPr>
                    <w:rFonts w:cstheme="minorHAnsi"/>
                    <w:noProof/>
                    <w:webHidden/>
                    <w:sz w:val="24"/>
                    <w:szCs w:val="24"/>
                  </w:rPr>
                  <w:tab/>
                </w:r>
                <w:r w:rsidR="00B44505" w:rsidRPr="00D90F39">
                  <w:rPr>
                    <w:rFonts w:cstheme="minorHAnsi"/>
                    <w:noProof/>
                    <w:webHidden/>
                    <w:sz w:val="24"/>
                    <w:szCs w:val="24"/>
                  </w:rPr>
                  <w:fldChar w:fldCharType="begin"/>
                </w:r>
                <w:r w:rsidRPr="00D90F39">
                  <w:rPr>
                    <w:rFonts w:cstheme="minorHAnsi"/>
                    <w:noProof/>
                    <w:webHidden/>
                    <w:sz w:val="24"/>
                    <w:szCs w:val="24"/>
                  </w:rPr>
                  <w:instrText xml:space="preserve"> PAGEREF _Toc186730301 \h </w:instrText>
                </w:r>
                <w:r w:rsidR="00B44505" w:rsidRPr="00D90F39">
                  <w:rPr>
                    <w:rFonts w:cstheme="minorHAnsi"/>
                    <w:noProof/>
                    <w:webHidden/>
                    <w:sz w:val="24"/>
                    <w:szCs w:val="24"/>
                  </w:rPr>
                </w:r>
                <w:r w:rsidR="00B44505" w:rsidRPr="00D90F39">
                  <w:rPr>
                    <w:rFonts w:cstheme="minorHAnsi"/>
                    <w:noProof/>
                    <w:webHidden/>
                    <w:sz w:val="24"/>
                    <w:szCs w:val="24"/>
                  </w:rPr>
                  <w:fldChar w:fldCharType="separate"/>
                </w:r>
                <w:r w:rsidR="00B71885">
                  <w:rPr>
                    <w:rFonts w:cstheme="minorHAnsi"/>
                    <w:noProof/>
                    <w:webHidden/>
                    <w:sz w:val="24"/>
                    <w:szCs w:val="24"/>
                  </w:rPr>
                  <w:t>20</w:t>
                </w:r>
                <w:r w:rsidR="00B44505" w:rsidRPr="00D90F39">
                  <w:rPr>
                    <w:rFonts w:cstheme="minorHAnsi"/>
                    <w:noProof/>
                    <w:webHidden/>
                    <w:sz w:val="24"/>
                    <w:szCs w:val="24"/>
                  </w:rPr>
                  <w:fldChar w:fldCharType="end"/>
                </w:r>
              </w:hyperlink>
            </w:p>
            <w:p w14:paraId="39C1EAC8" w14:textId="77777777" w:rsidR="00084E65" w:rsidRPr="00D90F39" w:rsidRDefault="00B44505" w:rsidP="00D90F39">
              <w:pPr>
                <w:rPr>
                  <w:rFonts w:cstheme="minorHAnsi"/>
                  <w:sz w:val="24"/>
                  <w:szCs w:val="24"/>
                </w:rPr>
              </w:pPr>
              <w:r w:rsidRPr="00D90F39">
                <w:rPr>
                  <w:rFonts w:cstheme="minorHAnsi"/>
                  <w:b/>
                  <w:bCs/>
                  <w:noProof/>
                  <w:sz w:val="24"/>
                  <w:szCs w:val="24"/>
                </w:rPr>
                <w:fldChar w:fldCharType="end"/>
              </w:r>
              <w:r w:rsidR="009C7DDC" w:rsidRPr="00D90F39">
                <w:rPr>
                  <w:rFonts w:cstheme="minorHAnsi"/>
                  <w:b/>
                  <w:bCs/>
                  <w:noProof/>
                  <w:sz w:val="24"/>
                  <w:szCs w:val="24"/>
                </w:rPr>
                <w:t xml:space="preserve"> </w:t>
              </w:r>
            </w:p>
          </w:sdtContent>
        </w:sdt>
        <w:p w14:paraId="5F58D28C" w14:textId="77777777" w:rsidR="00084E65" w:rsidRPr="00D90F39" w:rsidRDefault="00084E65" w:rsidP="00D90F39">
          <w:pPr>
            <w:rPr>
              <w:rFonts w:cstheme="minorHAnsi"/>
              <w:sz w:val="24"/>
              <w:szCs w:val="24"/>
            </w:rPr>
          </w:pPr>
        </w:p>
        <w:p w14:paraId="6D92212B" w14:textId="77777777" w:rsidR="007D1947" w:rsidRPr="00D90F39" w:rsidRDefault="007D1947" w:rsidP="00D90F39">
          <w:pPr>
            <w:rPr>
              <w:rFonts w:cstheme="minorHAnsi"/>
              <w:sz w:val="24"/>
              <w:szCs w:val="24"/>
            </w:rPr>
          </w:pPr>
        </w:p>
        <w:p w14:paraId="1A0F666F" w14:textId="77777777" w:rsidR="007D1947" w:rsidRPr="00D90F39" w:rsidRDefault="007D1947" w:rsidP="00D90F39">
          <w:pPr>
            <w:rPr>
              <w:rFonts w:cstheme="minorHAnsi"/>
              <w:sz w:val="24"/>
              <w:szCs w:val="24"/>
            </w:rPr>
          </w:pPr>
        </w:p>
        <w:p w14:paraId="5BD974E2" w14:textId="77777777" w:rsidR="007D1DBC" w:rsidRPr="00D90F39" w:rsidRDefault="007D1DBC" w:rsidP="00D90F39">
          <w:pPr>
            <w:spacing w:line="259" w:lineRule="auto"/>
            <w:rPr>
              <w:rFonts w:eastAsiaTheme="majorEastAsia" w:cstheme="minorHAnsi"/>
              <w:color w:val="2E74B5" w:themeColor="accent1" w:themeShade="BF"/>
              <w:sz w:val="24"/>
              <w:szCs w:val="24"/>
            </w:rPr>
          </w:pPr>
          <w:r w:rsidRPr="00D90F39">
            <w:rPr>
              <w:rFonts w:cstheme="minorHAnsi"/>
              <w:sz w:val="24"/>
              <w:szCs w:val="24"/>
            </w:rPr>
            <w:br w:type="page"/>
          </w:r>
        </w:p>
        <w:p w14:paraId="4065E3A9" w14:textId="77777777" w:rsidR="007D1947" w:rsidRDefault="007D1947" w:rsidP="00D90F39">
          <w:pPr>
            <w:pStyle w:val="Heading1"/>
            <w:rPr>
              <w:rFonts w:asciiTheme="minorHAnsi" w:hAnsiTheme="minorHAnsi" w:cstheme="minorHAnsi"/>
              <w:sz w:val="28"/>
              <w:szCs w:val="28"/>
            </w:rPr>
          </w:pPr>
          <w:bookmarkStart w:id="1" w:name="_Toc186730289"/>
          <w:r w:rsidRPr="00846473">
            <w:rPr>
              <w:rFonts w:asciiTheme="minorHAnsi" w:hAnsiTheme="minorHAnsi" w:cstheme="minorHAnsi"/>
              <w:sz w:val="28"/>
              <w:szCs w:val="28"/>
            </w:rPr>
            <w:lastRenderedPageBreak/>
            <w:t>Introduction</w:t>
          </w:r>
          <w:bookmarkEnd w:id="1"/>
        </w:p>
        <w:p w14:paraId="759CF127" w14:textId="77777777" w:rsidR="00810ECE" w:rsidRPr="00810ECE" w:rsidRDefault="00810ECE" w:rsidP="00810ECE"/>
        <w:p w14:paraId="1FDB90E8" w14:textId="77777777" w:rsidR="004A11F6" w:rsidRPr="00D90F39" w:rsidRDefault="00E505F6" w:rsidP="00D90F39">
          <w:pPr>
            <w:rPr>
              <w:rFonts w:cstheme="minorHAnsi"/>
              <w:sz w:val="24"/>
              <w:szCs w:val="24"/>
            </w:rPr>
          </w:pPr>
          <w:r w:rsidRPr="00D90F39">
            <w:rPr>
              <w:rFonts w:cstheme="minorHAnsi"/>
              <w:sz w:val="24"/>
              <w:szCs w:val="24"/>
            </w:rPr>
            <w:t xml:space="preserve">There are different types of roles that the managers of a company play within its context. One of the key roles that managers play within a company is the management of its finances. However, to manage the finances of </w:t>
          </w:r>
          <w:r w:rsidR="00A51A68" w:rsidRPr="00D90F39">
            <w:rPr>
              <w:rFonts w:cstheme="minorHAnsi"/>
              <w:sz w:val="24"/>
              <w:szCs w:val="24"/>
            </w:rPr>
            <w:t>an organisation</w:t>
          </w:r>
          <w:r w:rsidRPr="00D90F39">
            <w:rPr>
              <w:rFonts w:cstheme="minorHAnsi"/>
              <w:sz w:val="24"/>
              <w:szCs w:val="24"/>
            </w:rPr>
            <w:t xml:space="preserve">, </w:t>
          </w:r>
          <w:r w:rsidR="00A51A68" w:rsidRPr="00D90F39">
            <w:rPr>
              <w:rFonts w:cstheme="minorHAnsi"/>
              <w:sz w:val="24"/>
              <w:szCs w:val="24"/>
            </w:rPr>
            <w:t xml:space="preserve">in-depth </w:t>
          </w:r>
          <w:r w:rsidRPr="00D90F39">
            <w:rPr>
              <w:rFonts w:cstheme="minorHAnsi"/>
              <w:sz w:val="24"/>
              <w:szCs w:val="24"/>
            </w:rPr>
            <w:t>financial performance measurement and analysis is essential. The financial performance analysis of a company helps in understanding and evaluating its overall financial standing in terms of its assets, debts, expenses, equity, reve</w:t>
          </w:r>
          <w:r w:rsidR="00F13A82" w:rsidRPr="00D90F39">
            <w:rPr>
              <w:rFonts w:cstheme="minorHAnsi"/>
              <w:sz w:val="24"/>
              <w:szCs w:val="24"/>
            </w:rPr>
            <w:t>nues as well as profitability</w:t>
          </w:r>
          <w:r w:rsidRPr="00D90F39">
            <w:rPr>
              <w:rFonts w:cstheme="minorHAnsi"/>
              <w:sz w:val="24"/>
              <w:szCs w:val="24"/>
            </w:rPr>
            <w:t xml:space="preserve">. In simple words, financial performance analysis helps in examining the financial performance accomplished in a company along with its financial position over a specific timeframe, </w:t>
          </w:r>
          <w:r w:rsidR="0039352B" w:rsidRPr="00D90F39">
            <w:rPr>
              <w:rFonts w:cstheme="minorHAnsi"/>
              <w:sz w:val="24"/>
              <w:szCs w:val="24"/>
            </w:rPr>
            <w:t>usually two or more accounting periods.</w:t>
          </w:r>
        </w:p>
        <w:p w14:paraId="4552C4D6" w14:textId="77777777" w:rsidR="00120EE1" w:rsidRPr="00D90F39" w:rsidRDefault="0039352B" w:rsidP="00D90F39">
          <w:pPr>
            <w:rPr>
              <w:rFonts w:cstheme="minorHAnsi"/>
              <w:sz w:val="24"/>
              <w:szCs w:val="24"/>
            </w:rPr>
          </w:pPr>
          <w:r w:rsidRPr="00D90F39">
            <w:rPr>
              <w:rFonts w:cstheme="minorHAnsi"/>
              <w:sz w:val="24"/>
              <w:szCs w:val="24"/>
            </w:rPr>
            <w:t xml:space="preserve">This report is going to conduct a detailed financial performance analysis for </w:t>
          </w:r>
          <w:r w:rsidR="009C4275" w:rsidRPr="00D90F39">
            <w:rPr>
              <w:rFonts w:cstheme="minorHAnsi"/>
              <w:sz w:val="24"/>
              <w:szCs w:val="24"/>
            </w:rPr>
            <w:t>Lloyds</w:t>
          </w:r>
          <w:r w:rsidRPr="00D90F39">
            <w:rPr>
              <w:rFonts w:cstheme="minorHAnsi"/>
              <w:sz w:val="24"/>
              <w:szCs w:val="24"/>
            </w:rPr>
            <w:t xml:space="preserve"> Banking Group Plc, </w:t>
          </w:r>
          <w:r w:rsidR="00A51A68" w:rsidRPr="00D90F39">
            <w:rPr>
              <w:rFonts w:cstheme="minorHAnsi"/>
              <w:sz w:val="24"/>
              <w:szCs w:val="24"/>
            </w:rPr>
            <w:t xml:space="preserve">which is </w:t>
          </w:r>
          <w:r w:rsidRPr="00D90F39">
            <w:rPr>
              <w:rFonts w:cstheme="minorHAnsi"/>
              <w:sz w:val="24"/>
              <w:szCs w:val="24"/>
            </w:rPr>
            <w:t xml:space="preserve">a leading banking group </w:t>
          </w:r>
          <w:r w:rsidR="00A51A68" w:rsidRPr="00D90F39">
            <w:rPr>
              <w:rFonts w:cstheme="minorHAnsi"/>
              <w:sz w:val="24"/>
              <w:szCs w:val="24"/>
            </w:rPr>
            <w:t>with</w:t>
          </w:r>
          <w:r w:rsidRPr="00D90F39">
            <w:rPr>
              <w:rFonts w:cstheme="minorHAnsi"/>
              <w:sz w:val="24"/>
              <w:szCs w:val="24"/>
            </w:rPr>
            <w:t xml:space="preserve">in the UK. The company trades its shares on the </w:t>
          </w:r>
          <w:r w:rsidR="00A51A68" w:rsidRPr="00D90F39">
            <w:rPr>
              <w:rFonts w:cstheme="minorHAnsi"/>
              <w:sz w:val="24"/>
              <w:szCs w:val="24"/>
            </w:rPr>
            <w:t xml:space="preserve">LSE or </w:t>
          </w:r>
          <w:r w:rsidR="003E1C8E" w:rsidRPr="00D90F39">
            <w:rPr>
              <w:rFonts w:cstheme="minorHAnsi"/>
              <w:sz w:val="24"/>
              <w:szCs w:val="24"/>
            </w:rPr>
            <w:t xml:space="preserve">London Stock Exchange. This company </w:t>
          </w:r>
          <w:r w:rsidRPr="00D90F39">
            <w:rPr>
              <w:rFonts w:cstheme="minorHAnsi"/>
              <w:sz w:val="24"/>
              <w:szCs w:val="24"/>
            </w:rPr>
            <w:t>is</w:t>
          </w:r>
          <w:r w:rsidR="003E1C8E" w:rsidRPr="00D90F39">
            <w:rPr>
              <w:rFonts w:cstheme="minorHAnsi"/>
              <w:sz w:val="24"/>
              <w:szCs w:val="24"/>
            </w:rPr>
            <w:t xml:space="preserve"> also</w:t>
          </w:r>
          <w:r w:rsidRPr="00D90F39">
            <w:rPr>
              <w:rFonts w:cstheme="minorHAnsi"/>
              <w:sz w:val="24"/>
              <w:szCs w:val="24"/>
            </w:rPr>
            <w:t xml:space="preserve"> a </w:t>
          </w:r>
          <w:r w:rsidR="003E1C8E" w:rsidRPr="00D90F39">
            <w:rPr>
              <w:rFonts w:cstheme="minorHAnsi"/>
              <w:sz w:val="24"/>
              <w:szCs w:val="24"/>
            </w:rPr>
            <w:t>key component or constituent</w:t>
          </w:r>
          <w:r w:rsidRPr="00D90F39">
            <w:rPr>
              <w:rFonts w:cstheme="minorHAnsi"/>
              <w:sz w:val="24"/>
              <w:szCs w:val="24"/>
            </w:rPr>
            <w:t xml:space="preserve"> of the FTSE100 Index. In this report, there will be a detailed calculation of the profitability, gearing, efficiency, investor and liquidity ratios of </w:t>
          </w:r>
          <w:r w:rsidR="009C4275" w:rsidRPr="00D90F39">
            <w:rPr>
              <w:rFonts w:cstheme="minorHAnsi"/>
              <w:sz w:val="24"/>
              <w:szCs w:val="24"/>
            </w:rPr>
            <w:t>Lloyds</w:t>
          </w:r>
          <w:r w:rsidRPr="00D90F39">
            <w:rPr>
              <w:rFonts w:cstheme="minorHAnsi"/>
              <w:sz w:val="24"/>
              <w:szCs w:val="24"/>
            </w:rPr>
            <w:t xml:space="preserve"> Banking Group Plc for the past 2 years. Depending on the calculation of these ratios, </w:t>
          </w:r>
          <w:r w:rsidR="00B72775" w:rsidRPr="00D90F39">
            <w:rPr>
              <w:rFonts w:cstheme="minorHAnsi"/>
              <w:sz w:val="24"/>
              <w:szCs w:val="24"/>
            </w:rPr>
            <w:t xml:space="preserve">there will be an evaluation of the performance of this company in the past two years. The probable reasons that might have led to the changes in these ratios will be determined followed by an analysis of the drawbacks existing within ratio analysis. </w:t>
          </w:r>
          <w:r w:rsidR="00120EE1" w:rsidRPr="00D90F39">
            <w:rPr>
              <w:rFonts w:cstheme="minorHAnsi"/>
              <w:sz w:val="24"/>
              <w:szCs w:val="24"/>
            </w:rPr>
            <w:t>Considering these findings, the company will be recommended on the improvement of its financial management.</w:t>
          </w:r>
          <w:r w:rsidR="00120EE1" w:rsidRPr="00D90F39">
            <w:rPr>
              <w:rFonts w:cstheme="minorHAnsi"/>
              <w:sz w:val="24"/>
              <w:szCs w:val="24"/>
            </w:rPr>
            <w:br w:type="page"/>
          </w:r>
        </w:p>
        <w:p w14:paraId="13561432" w14:textId="77777777" w:rsidR="00480872" w:rsidRPr="006178A4" w:rsidRDefault="00480872" w:rsidP="00D90F39">
          <w:pPr>
            <w:pStyle w:val="Heading1"/>
            <w:rPr>
              <w:rFonts w:asciiTheme="minorHAnsi" w:hAnsiTheme="minorHAnsi" w:cstheme="minorHAnsi"/>
              <w:sz w:val="28"/>
              <w:szCs w:val="28"/>
            </w:rPr>
          </w:pPr>
          <w:bookmarkStart w:id="2" w:name="_Toc186730290"/>
          <w:r w:rsidRPr="006178A4">
            <w:rPr>
              <w:rFonts w:asciiTheme="minorHAnsi" w:hAnsiTheme="minorHAnsi" w:cstheme="minorHAnsi"/>
              <w:sz w:val="28"/>
              <w:szCs w:val="28"/>
            </w:rPr>
            <w:lastRenderedPageBreak/>
            <w:t>Main Findings</w:t>
          </w:r>
          <w:bookmarkEnd w:id="2"/>
        </w:p>
        <w:p w14:paraId="68517C75" w14:textId="77777777" w:rsidR="00480872" w:rsidRDefault="009C7DDC" w:rsidP="00D90F39">
          <w:pPr>
            <w:pStyle w:val="Heading2"/>
            <w:rPr>
              <w:rFonts w:asciiTheme="minorHAnsi" w:hAnsiTheme="minorHAnsi" w:cstheme="minorHAnsi"/>
              <w:sz w:val="28"/>
              <w:szCs w:val="28"/>
            </w:rPr>
          </w:pPr>
          <w:bookmarkStart w:id="3" w:name="_Toc186730291"/>
          <w:r w:rsidRPr="006178A4">
            <w:rPr>
              <w:rFonts w:asciiTheme="minorHAnsi" w:hAnsiTheme="minorHAnsi" w:cstheme="minorHAnsi"/>
              <w:sz w:val="28"/>
              <w:szCs w:val="28"/>
            </w:rPr>
            <w:t xml:space="preserve">Background of </w:t>
          </w:r>
          <w:r w:rsidR="009C4275" w:rsidRPr="006178A4">
            <w:rPr>
              <w:rFonts w:asciiTheme="minorHAnsi" w:hAnsiTheme="minorHAnsi" w:cstheme="minorHAnsi"/>
              <w:sz w:val="28"/>
              <w:szCs w:val="28"/>
            </w:rPr>
            <w:t>Lloyds</w:t>
          </w:r>
          <w:r w:rsidRPr="006178A4">
            <w:rPr>
              <w:rFonts w:asciiTheme="minorHAnsi" w:hAnsiTheme="minorHAnsi" w:cstheme="minorHAnsi"/>
              <w:sz w:val="28"/>
              <w:szCs w:val="28"/>
            </w:rPr>
            <w:t xml:space="preserve"> Banking Group Plc</w:t>
          </w:r>
          <w:bookmarkEnd w:id="3"/>
        </w:p>
        <w:p w14:paraId="39768697" w14:textId="77777777" w:rsidR="007B3670" w:rsidRPr="007B3670" w:rsidRDefault="007B3670" w:rsidP="007B3670"/>
        <w:p w14:paraId="19207A7C" w14:textId="79AB82F2" w:rsidR="009C7DDC" w:rsidRPr="00D90F39" w:rsidRDefault="009C4275" w:rsidP="00D90F39">
          <w:pPr>
            <w:rPr>
              <w:rFonts w:cstheme="minorHAnsi"/>
              <w:sz w:val="24"/>
              <w:szCs w:val="24"/>
            </w:rPr>
          </w:pPr>
          <w:r w:rsidRPr="00D90F39">
            <w:rPr>
              <w:rFonts w:cstheme="minorHAnsi"/>
              <w:sz w:val="24"/>
              <w:szCs w:val="24"/>
            </w:rPr>
            <w:t>Lloyds</w:t>
          </w:r>
          <w:r w:rsidR="00917632" w:rsidRPr="00D90F39">
            <w:rPr>
              <w:rFonts w:cstheme="minorHAnsi"/>
              <w:sz w:val="24"/>
              <w:szCs w:val="24"/>
            </w:rPr>
            <w:t xml:space="preserve"> Banking Group Plc is a leading UK-based company that has been offering financial services for more than 325 years (</w:t>
          </w:r>
          <w:r w:rsidRPr="00D90F39">
            <w:rPr>
              <w:rFonts w:cstheme="minorHAnsi"/>
              <w:sz w:val="24"/>
              <w:szCs w:val="24"/>
            </w:rPr>
            <w:t>Lloyds</w:t>
          </w:r>
          <w:r w:rsidR="00DF3A17" w:rsidRPr="00D90F39">
            <w:rPr>
              <w:rFonts w:cstheme="minorHAnsi"/>
              <w:sz w:val="24"/>
              <w:szCs w:val="24"/>
            </w:rPr>
            <w:t xml:space="preserve"> Banking Group plc, 2024a</w:t>
          </w:r>
          <w:r w:rsidR="00917632" w:rsidRPr="00D90F39">
            <w:rPr>
              <w:rFonts w:cstheme="minorHAnsi"/>
              <w:sz w:val="24"/>
              <w:szCs w:val="24"/>
            </w:rPr>
            <w:t xml:space="preserve">). It has a unique family </w:t>
          </w:r>
          <w:r w:rsidR="000A42E6" w:rsidRPr="00D90F39">
            <w:rPr>
              <w:rFonts w:cstheme="minorHAnsi"/>
              <w:sz w:val="24"/>
              <w:szCs w:val="24"/>
            </w:rPr>
            <w:t>consisting of</w:t>
          </w:r>
          <w:r w:rsidR="00917632" w:rsidRPr="00D90F39">
            <w:rPr>
              <w:rFonts w:cstheme="minorHAnsi"/>
              <w:sz w:val="24"/>
              <w:szCs w:val="24"/>
            </w:rPr>
            <w:t xml:space="preserve"> </w:t>
          </w:r>
          <w:r w:rsidR="00F03833" w:rsidRPr="00D90F39">
            <w:rPr>
              <w:rFonts w:cstheme="minorHAnsi"/>
              <w:sz w:val="24"/>
              <w:szCs w:val="24"/>
            </w:rPr>
            <w:t>household brands</w:t>
          </w:r>
          <w:r w:rsidR="00DF3A17" w:rsidRPr="00D90F39">
            <w:rPr>
              <w:rFonts w:cstheme="minorHAnsi"/>
              <w:sz w:val="24"/>
              <w:szCs w:val="24"/>
            </w:rPr>
            <w:t xml:space="preserve"> with more than 66000 employees across countries such as the UK, Spain, Latin America and others</w:t>
          </w:r>
          <w:r w:rsidR="00F03833" w:rsidRPr="00D90F39">
            <w:rPr>
              <w:rFonts w:cstheme="minorHAnsi"/>
              <w:sz w:val="24"/>
              <w:szCs w:val="24"/>
            </w:rPr>
            <w:t xml:space="preserve">. </w:t>
          </w:r>
          <w:r w:rsidR="00917632" w:rsidRPr="00D90F39">
            <w:rPr>
              <w:rFonts w:cstheme="minorHAnsi"/>
              <w:sz w:val="24"/>
              <w:szCs w:val="24"/>
            </w:rPr>
            <w:t>The role that the company plays involves helping individuals as well as businesses and ensuring a positive contribution to the communities withi</w:t>
          </w:r>
          <w:r w:rsidR="00DF3A17" w:rsidRPr="00D90F39">
            <w:rPr>
              <w:rFonts w:cstheme="minorHAnsi"/>
              <w:sz w:val="24"/>
              <w:szCs w:val="24"/>
            </w:rPr>
            <w:t>n which it has its operations</w:t>
          </w:r>
          <w:r w:rsidR="00917632" w:rsidRPr="00D90F39">
            <w:rPr>
              <w:rFonts w:cstheme="minorHAnsi"/>
              <w:sz w:val="24"/>
              <w:szCs w:val="24"/>
            </w:rPr>
            <w:t xml:space="preserve">. </w:t>
          </w:r>
          <w:r w:rsidR="00DF3A17" w:rsidRPr="00D90F39">
            <w:rPr>
              <w:rFonts w:cstheme="minorHAnsi"/>
              <w:sz w:val="24"/>
              <w:szCs w:val="24"/>
            </w:rPr>
            <w:t xml:space="preserve">There are above 20 million users of the </w:t>
          </w:r>
          <w:r w:rsidRPr="00D90F39">
            <w:rPr>
              <w:rFonts w:cstheme="minorHAnsi"/>
              <w:sz w:val="24"/>
              <w:szCs w:val="24"/>
            </w:rPr>
            <w:t>Lloyds</w:t>
          </w:r>
          <w:r w:rsidR="00DF3A17" w:rsidRPr="00D90F39">
            <w:rPr>
              <w:rFonts w:cstheme="minorHAnsi"/>
              <w:sz w:val="24"/>
              <w:szCs w:val="24"/>
            </w:rPr>
            <w:t xml:space="preserve"> banking application (</w:t>
          </w:r>
          <w:r w:rsidRPr="00D90F39">
            <w:rPr>
              <w:rFonts w:cstheme="minorHAnsi"/>
              <w:sz w:val="24"/>
              <w:szCs w:val="24"/>
            </w:rPr>
            <w:t>Lloyds</w:t>
          </w:r>
          <w:r w:rsidR="00DF3A17" w:rsidRPr="00D90F39">
            <w:rPr>
              <w:rFonts w:cstheme="minorHAnsi"/>
              <w:sz w:val="24"/>
              <w:szCs w:val="24"/>
            </w:rPr>
            <w:t xml:space="preserve"> Banking Group plc, 2024b). </w:t>
          </w:r>
          <w:r w:rsidR="00917632" w:rsidRPr="00D90F39">
            <w:rPr>
              <w:rFonts w:cstheme="minorHAnsi"/>
              <w:sz w:val="24"/>
              <w:szCs w:val="24"/>
            </w:rPr>
            <w:t xml:space="preserve">At </w:t>
          </w:r>
          <w:r w:rsidRPr="00D90F39">
            <w:rPr>
              <w:rFonts w:cstheme="minorHAnsi"/>
              <w:sz w:val="24"/>
              <w:szCs w:val="24"/>
            </w:rPr>
            <w:t>Lloyds</w:t>
          </w:r>
          <w:r w:rsidR="00917632" w:rsidRPr="00D90F39">
            <w:rPr>
              <w:rFonts w:cstheme="minorHAnsi"/>
              <w:sz w:val="24"/>
              <w:szCs w:val="24"/>
            </w:rPr>
            <w:t xml:space="preserve"> Banking Group Plc, there are three main core divisions existing, which are line with its strategy introduced back in the year 2022 (</w:t>
          </w:r>
          <w:r w:rsidRPr="00D90F39">
            <w:rPr>
              <w:rFonts w:cstheme="minorHAnsi"/>
              <w:sz w:val="24"/>
              <w:szCs w:val="24"/>
            </w:rPr>
            <w:t>Lloyds</w:t>
          </w:r>
          <w:r w:rsidR="00DF3A17" w:rsidRPr="00D90F39">
            <w:rPr>
              <w:rFonts w:cstheme="minorHAnsi"/>
              <w:sz w:val="24"/>
              <w:szCs w:val="24"/>
            </w:rPr>
            <w:t xml:space="preserve"> Banking Group plc, 2024c</w:t>
          </w:r>
          <w:r w:rsidR="00917632" w:rsidRPr="00D90F39">
            <w:rPr>
              <w:rFonts w:cstheme="minorHAnsi"/>
              <w:sz w:val="24"/>
              <w:szCs w:val="24"/>
            </w:rPr>
            <w:t>). These core divisions involve commercial banking, retail and insurance, pensions and investments. This restructuring assists the company in terms of optimisation of synergies as well as efficiencies so that customer needs can be served at their best.</w:t>
          </w:r>
        </w:p>
        <w:p w14:paraId="0E07A2B1" w14:textId="77777777" w:rsidR="00917632" w:rsidRPr="00D90F39" w:rsidRDefault="00917632" w:rsidP="00D2124B">
          <w:pPr>
            <w:jc w:val="center"/>
            <w:rPr>
              <w:rFonts w:cstheme="minorHAnsi"/>
              <w:sz w:val="24"/>
              <w:szCs w:val="24"/>
            </w:rPr>
          </w:pPr>
          <w:r w:rsidRPr="00D90F39">
            <w:rPr>
              <w:rFonts w:cstheme="minorHAnsi"/>
              <w:noProof/>
              <w:sz w:val="24"/>
              <w:szCs w:val="24"/>
              <w:lang w:val="en-US"/>
            </w:rPr>
            <w:drawing>
              <wp:anchor distT="0" distB="0" distL="114300" distR="114300" simplePos="0" relativeHeight="251660288" behindDoc="0" locked="0" layoutInCell="1" allowOverlap="1" wp14:anchorId="39FF903B" wp14:editId="76F75EE2">
                <wp:simplePos x="0" y="0"/>
                <wp:positionH relativeFrom="column">
                  <wp:posOffset>666750</wp:posOffset>
                </wp:positionH>
                <wp:positionV relativeFrom="paragraph">
                  <wp:posOffset>61595</wp:posOffset>
                </wp:positionV>
                <wp:extent cx="4610100" cy="2705100"/>
                <wp:effectExtent l="152400" t="152400" r="361950" b="3619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610100" cy="2705100"/>
                        </a:xfrm>
                        <a:prstGeom prst="rect">
                          <a:avLst/>
                        </a:prstGeom>
                        <a:ln>
                          <a:noFill/>
                        </a:ln>
                        <a:effectLst>
                          <a:outerShdw blurRad="292100" dist="139700" dir="2700000" algn="tl" rotWithShape="0">
                            <a:srgbClr val="333333">
                              <a:alpha val="65000"/>
                            </a:srgbClr>
                          </a:outerShdw>
                        </a:effectLst>
                      </pic:spPr>
                    </pic:pic>
                  </a:graphicData>
                </a:graphic>
              </wp:anchor>
            </w:drawing>
          </w:r>
          <w:r w:rsidR="006B74FC" w:rsidRPr="00D90F39">
            <w:rPr>
              <w:rFonts w:cstheme="minorHAnsi"/>
              <w:sz w:val="24"/>
              <w:szCs w:val="24"/>
            </w:rPr>
            <w:br w:type="textWrapping" w:clear="all"/>
          </w:r>
        </w:p>
        <w:p w14:paraId="55F92A41" w14:textId="66C0272D" w:rsidR="00917632" w:rsidRPr="00D90F39" w:rsidRDefault="00917632" w:rsidP="00D2124B">
          <w:pPr>
            <w:pStyle w:val="Caption"/>
            <w:rPr>
              <w:rFonts w:cstheme="minorHAnsi"/>
              <w:sz w:val="24"/>
              <w:szCs w:val="24"/>
            </w:rPr>
          </w:pPr>
          <w:bookmarkStart w:id="4" w:name="_Toc186730476"/>
          <w:r w:rsidRPr="00D90F39">
            <w:rPr>
              <w:rFonts w:cstheme="minorHAnsi"/>
              <w:sz w:val="24"/>
              <w:szCs w:val="24"/>
            </w:rPr>
            <w:t xml:space="preserve">Figure </w:t>
          </w:r>
          <w:r w:rsidR="00B44505" w:rsidRPr="00D90F39">
            <w:rPr>
              <w:rFonts w:cstheme="minorHAnsi"/>
              <w:sz w:val="24"/>
              <w:szCs w:val="24"/>
            </w:rPr>
            <w:fldChar w:fldCharType="begin"/>
          </w:r>
          <w:r w:rsidR="0004104F" w:rsidRPr="00D90F39">
            <w:rPr>
              <w:rFonts w:cstheme="minorHAnsi"/>
              <w:sz w:val="24"/>
              <w:szCs w:val="24"/>
            </w:rPr>
            <w:instrText xml:space="preserve"> SEQ Figure \* ARABIC </w:instrText>
          </w:r>
          <w:r w:rsidR="00B44505" w:rsidRPr="00D90F39">
            <w:rPr>
              <w:rFonts w:cstheme="minorHAnsi"/>
              <w:sz w:val="24"/>
              <w:szCs w:val="24"/>
            </w:rPr>
            <w:fldChar w:fldCharType="separate"/>
          </w:r>
          <w:r w:rsidR="00B71885">
            <w:rPr>
              <w:rFonts w:cstheme="minorHAnsi"/>
              <w:noProof/>
              <w:sz w:val="24"/>
              <w:szCs w:val="24"/>
            </w:rPr>
            <w:t>1</w:t>
          </w:r>
          <w:r w:rsidR="00B44505" w:rsidRPr="00D90F39">
            <w:rPr>
              <w:rFonts w:cstheme="minorHAnsi"/>
              <w:sz w:val="24"/>
              <w:szCs w:val="24"/>
            </w:rPr>
            <w:fldChar w:fldCharType="end"/>
          </w:r>
          <w:r w:rsidRPr="00D90F39">
            <w:rPr>
              <w:rFonts w:cstheme="minorHAnsi"/>
              <w:sz w:val="24"/>
              <w:szCs w:val="24"/>
            </w:rPr>
            <w:t xml:space="preserve">: Divisions of </w:t>
          </w:r>
          <w:r w:rsidR="009C4275" w:rsidRPr="00D90F39">
            <w:rPr>
              <w:rFonts w:cstheme="minorHAnsi"/>
              <w:sz w:val="24"/>
              <w:szCs w:val="24"/>
            </w:rPr>
            <w:t>Lloyds</w:t>
          </w:r>
          <w:r w:rsidRPr="00D90F39">
            <w:rPr>
              <w:rFonts w:cstheme="minorHAnsi"/>
              <w:sz w:val="24"/>
              <w:szCs w:val="24"/>
            </w:rPr>
            <w:t xml:space="preserve"> Banking Group Plc</w:t>
          </w:r>
          <w:bookmarkEnd w:id="4"/>
        </w:p>
        <w:p w14:paraId="52D6E42B" w14:textId="77777777" w:rsidR="00917632" w:rsidRPr="00D90F39" w:rsidRDefault="00917632" w:rsidP="00D2124B">
          <w:pPr>
            <w:jc w:val="center"/>
            <w:rPr>
              <w:rFonts w:cstheme="minorHAnsi"/>
              <w:sz w:val="24"/>
              <w:szCs w:val="24"/>
            </w:rPr>
          </w:pPr>
          <w:r w:rsidRPr="00D90F39">
            <w:rPr>
              <w:rFonts w:cstheme="minorHAnsi"/>
              <w:sz w:val="24"/>
              <w:szCs w:val="24"/>
            </w:rPr>
            <w:t xml:space="preserve">(Source: </w:t>
          </w:r>
          <w:r w:rsidR="009C4275" w:rsidRPr="00D90F39">
            <w:rPr>
              <w:rFonts w:cstheme="minorHAnsi"/>
              <w:sz w:val="24"/>
              <w:szCs w:val="24"/>
            </w:rPr>
            <w:t>Lloyds</w:t>
          </w:r>
          <w:r w:rsidRPr="00D90F39">
            <w:rPr>
              <w:rFonts w:cstheme="minorHAnsi"/>
              <w:sz w:val="24"/>
              <w:szCs w:val="24"/>
            </w:rPr>
            <w:t xml:space="preserve"> Banking Group plc, 2024c)</w:t>
          </w:r>
        </w:p>
        <w:p w14:paraId="18FC1652" w14:textId="77777777" w:rsidR="00480872" w:rsidRDefault="009C7DDC" w:rsidP="00D90F39">
          <w:pPr>
            <w:pStyle w:val="Heading2"/>
            <w:rPr>
              <w:rFonts w:asciiTheme="minorHAnsi" w:hAnsiTheme="minorHAnsi" w:cstheme="minorHAnsi"/>
              <w:sz w:val="28"/>
              <w:szCs w:val="28"/>
            </w:rPr>
          </w:pPr>
          <w:bookmarkStart w:id="5" w:name="_Toc186730292"/>
          <w:r w:rsidRPr="003C6DF3">
            <w:rPr>
              <w:rFonts w:asciiTheme="minorHAnsi" w:hAnsiTheme="minorHAnsi" w:cstheme="minorHAnsi"/>
              <w:sz w:val="28"/>
              <w:szCs w:val="28"/>
            </w:rPr>
            <w:lastRenderedPageBreak/>
            <w:t>R</w:t>
          </w:r>
          <w:r w:rsidR="00705E50" w:rsidRPr="003C6DF3">
            <w:rPr>
              <w:rFonts w:asciiTheme="minorHAnsi" w:hAnsiTheme="minorHAnsi" w:cstheme="minorHAnsi"/>
              <w:sz w:val="28"/>
              <w:szCs w:val="28"/>
            </w:rPr>
            <w:t>esults of r</w:t>
          </w:r>
          <w:r w:rsidRPr="003C6DF3">
            <w:rPr>
              <w:rFonts w:asciiTheme="minorHAnsi" w:hAnsiTheme="minorHAnsi" w:cstheme="minorHAnsi"/>
              <w:sz w:val="28"/>
              <w:szCs w:val="28"/>
            </w:rPr>
            <w:t xml:space="preserve">atios calculated for </w:t>
          </w:r>
          <w:r w:rsidR="009C4275" w:rsidRPr="003C6DF3">
            <w:rPr>
              <w:rFonts w:asciiTheme="minorHAnsi" w:hAnsiTheme="minorHAnsi" w:cstheme="minorHAnsi"/>
              <w:sz w:val="28"/>
              <w:szCs w:val="28"/>
            </w:rPr>
            <w:t>Lloyds</w:t>
          </w:r>
          <w:r w:rsidRPr="003C6DF3">
            <w:rPr>
              <w:rFonts w:asciiTheme="minorHAnsi" w:hAnsiTheme="minorHAnsi" w:cstheme="minorHAnsi"/>
              <w:sz w:val="28"/>
              <w:szCs w:val="28"/>
            </w:rPr>
            <w:t xml:space="preserve"> Banking Group Plc</w:t>
          </w:r>
          <w:bookmarkEnd w:id="5"/>
        </w:p>
        <w:p w14:paraId="79EA0552" w14:textId="77777777" w:rsidR="002D1D33" w:rsidRPr="002D1D33" w:rsidRDefault="002D1D33" w:rsidP="002D1D33"/>
        <w:p w14:paraId="19F11352" w14:textId="77777777" w:rsidR="006A1D5A" w:rsidRPr="00D90F39" w:rsidRDefault="00D613EB" w:rsidP="00D90F39">
          <w:pPr>
            <w:rPr>
              <w:rFonts w:cstheme="minorHAnsi"/>
              <w:sz w:val="24"/>
              <w:szCs w:val="24"/>
            </w:rPr>
          </w:pPr>
          <w:r w:rsidRPr="00D90F39">
            <w:rPr>
              <w:rFonts w:cstheme="minorHAnsi"/>
              <w:sz w:val="24"/>
              <w:szCs w:val="24"/>
            </w:rPr>
            <w:t>There are varied methods and techniques used for the assessment of the performance that is secured in a company (</w:t>
          </w:r>
          <w:r w:rsidR="00D01005" w:rsidRPr="00D90F39">
            <w:rPr>
              <w:rFonts w:cstheme="minorHAnsi"/>
              <w:sz w:val="24"/>
              <w:szCs w:val="24"/>
            </w:rPr>
            <w:t>Marr, 2012</w:t>
          </w:r>
          <w:r w:rsidRPr="00D90F39">
            <w:rPr>
              <w:rFonts w:cstheme="minorHAnsi"/>
              <w:sz w:val="24"/>
              <w:szCs w:val="24"/>
            </w:rPr>
            <w:t xml:space="preserve">). According to </w:t>
          </w:r>
          <w:r w:rsidR="00D01005" w:rsidRPr="00D90F39">
            <w:rPr>
              <w:rFonts w:cstheme="minorHAnsi"/>
              <w:sz w:val="24"/>
              <w:szCs w:val="24"/>
            </w:rPr>
            <w:t xml:space="preserve">Ciaran </w:t>
          </w:r>
          <w:r w:rsidRPr="00D90F39">
            <w:rPr>
              <w:rFonts w:cstheme="minorHAnsi"/>
              <w:sz w:val="24"/>
              <w:szCs w:val="24"/>
            </w:rPr>
            <w:t>(</w:t>
          </w:r>
          <w:r w:rsidR="00D01005" w:rsidRPr="00D90F39">
            <w:rPr>
              <w:rFonts w:cstheme="minorHAnsi"/>
              <w:sz w:val="24"/>
              <w:szCs w:val="24"/>
            </w:rPr>
            <w:t>2008</w:t>
          </w:r>
          <w:r w:rsidRPr="00D90F39">
            <w:rPr>
              <w:rFonts w:cstheme="minorHAnsi"/>
              <w:sz w:val="24"/>
              <w:szCs w:val="24"/>
            </w:rPr>
            <w:t xml:space="preserve">), one of the most important </w:t>
          </w:r>
          <w:r w:rsidR="006A1D5A" w:rsidRPr="00D90F39">
            <w:rPr>
              <w:rFonts w:cstheme="minorHAnsi"/>
              <w:sz w:val="24"/>
              <w:szCs w:val="24"/>
            </w:rPr>
            <w:t xml:space="preserve">methods and techniques that are helpful for the evaluation of the performance accomplished in companies is ratios. Ratios help in the evaluation of a company’s performance by the </w:t>
          </w:r>
          <w:proofErr w:type="gramStart"/>
          <w:r w:rsidR="006A1D5A" w:rsidRPr="00D90F39">
            <w:rPr>
              <w:rFonts w:cstheme="minorHAnsi"/>
              <w:sz w:val="24"/>
              <w:szCs w:val="24"/>
            </w:rPr>
            <w:t>compare and contrast</w:t>
          </w:r>
          <w:proofErr w:type="gramEnd"/>
          <w:r w:rsidR="006A1D5A" w:rsidRPr="00D90F39">
            <w:rPr>
              <w:rFonts w:cstheme="minorHAnsi"/>
              <w:sz w:val="24"/>
              <w:szCs w:val="24"/>
            </w:rPr>
            <w:t xml:space="preserve"> of the figures disclosed within its financial statements</w:t>
          </w:r>
          <w:r w:rsidR="00D01005" w:rsidRPr="00D90F39">
            <w:rPr>
              <w:rFonts w:cstheme="minorHAnsi"/>
              <w:sz w:val="24"/>
              <w:szCs w:val="24"/>
            </w:rPr>
            <w:t xml:space="preserve"> (Bhimani, 2022)</w:t>
          </w:r>
          <w:r w:rsidR="006A1D5A" w:rsidRPr="00D90F39">
            <w:rPr>
              <w:rFonts w:cstheme="minorHAnsi"/>
              <w:sz w:val="24"/>
              <w:szCs w:val="24"/>
            </w:rPr>
            <w:t xml:space="preserve">. The following is a detailed presentation of the ratios calculated for </w:t>
          </w:r>
          <w:r w:rsidR="009C4275" w:rsidRPr="00D90F39">
            <w:rPr>
              <w:rFonts w:cstheme="minorHAnsi"/>
              <w:sz w:val="24"/>
              <w:szCs w:val="24"/>
            </w:rPr>
            <w:t>Lloyds</w:t>
          </w:r>
          <w:r w:rsidR="006A1D5A" w:rsidRPr="00D90F39">
            <w:rPr>
              <w:rFonts w:cstheme="minorHAnsi"/>
              <w:sz w:val="24"/>
              <w:szCs w:val="24"/>
            </w:rPr>
            <w:t xml:space="preserve"> Banking Group Plc for the last two years –</w:t>
          </w:r>
        </w:p>
        <w:tbl>
          <w:tblPr>
            <w:tblStyle w:val="PlainTable5"/>
            <w:tblW w:w="5000" w:type="pct"/>
            <w:tblLayout w:type="fixed"/>
            <w:tblLook w:val="04A0" w:firstRow="1" w:lastRow="0" w:firstColumn="1" w:lastColumn="0" w:noHBand="0" w:noVBand="1"/>
          </w:tblPr>
          <w:tblGrid>
            <w:gridCol w:w="2459"/>
            <w:gridCol w:w="3448"/>
            <w:gridCol w:w="1581"/>
            <w:gridCol w:w="1538"/>
          </w:tblGrid>
          <w:tr w:rsidR="00AB2CEC" w:rsidRPr="00D90F39" w14:paraId="7D57DAA8" w14:textId="77777777" w:rsidTr="00F402CD">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1362" w:type="pct"/>
                <w:noWrap/>
                <w:hideMark/>
              </w:tcPr>
              <w:p w14:paraId="507EE7DC" w14:textId="77777777" w:rsidR="00AB2CEC" w:rsidRPr="00D90F39" w:rsidRDefault="00AB2CEC" w:rsidP="00D90F39">
                <w:pPr>
                  <w:rPr>
                    <w:rFonts w:asciiTheme="minorHAnsi" w:hAnsiTheme="minorHAnsi" w:cstheme="minorHAnsi"/>
                    <w:b/>
                    <w:bCs/>
                    <w:sz w:val="24"/>
                    <w:szCs w:val="24"/>
                  </w:rPr>
                </w:pPr>
                <w:r w:rsidRPr="00D90F39">
                  <w:rPr>
                    <w:rFonts w:asciiTheme="minorHAnsi" w:hAnsiTheme="minorHAnsi" w:cstheme="minorHAnsi"/>
                    <w:b/>
                    <w:bCs/>
                    <w:sz w:val="24"/>
                    <w:szCs w:val="24"/>
                  </w:rPr>
                  <w:t>Type of ratio</w:t>
                </w:r>
              </w:p>
            </w:tc>
            <w:tc>
              <w:tcPr>
                <w:tcW w:w="1910" w:type="pct"/>
                <w:noWrap/>
                <w:hideMark/>
              </w:tcPr>
              <w:p w14:paraId="2F91D02B" w14:textId="77777777" w:rsidR="00AB2CEC" w:rsidRPr="00D90F39" w:rsidRDefault="00AB2CEC" w:rsidP="00D90F39">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sz w:val="24"/>
                    <w:szCs w:val="24"/>
                  </w:rPr>
                </w:pPr>
                <w:r w:rsidRPr="00D90F39">
                  <w:rPr>
                    <w:rFonts w:asciiTheme="minorHAnsi" w:hAnsiTheme="minorHAnsi" w:cstheme="minorHAnsi"/>
                    <w:b/>
                    <w:bCs/>
                    <w:sz w:val="24"/>
                    <w:szCs w:val="24"/>
                  </w:rPr>
                  <w:t>Formula</w:t>
                </w:r>
              </w:p>
            </w:tc>
            <w:tc>
              <w:tcPr>
                <w:tcW w:w="1728" w:type="pct"/>
                <w:gridSpan w:val="2"/>
                <w:noWrap/>
                <w:hideMark/>
              </w:tcPr>
              <w:p w14:paraId="07EBD505" w14:textId="77777777" w:rsidR="00AB2CEC" w:rsidRPr="00D90F39" w:rsidRDefault="00AB2CEC" w:rsidP="00D90F39">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sz w:val="24"/>
                    <w:szCs w:val="24"/>
                  </w:rPr>
                </w:pPr>
                <w:r w:rsidRPr="00D90F39">
                  <w:rPr>
                    <w:rFonts w:asciiTheme="minorHAnsi" w:hAnsiTheme="minorHAnsi" w:cstheme="minorHAnsi"/>
                    <w:b/>
                    <w:bCs/>
                    <w:sz w:val="24"/>
                    <w:szCs w:val="24"/>
                  </w:rPr>
                  <w:t>Calculation of ratios</w:t>
                </w:r>
              </w:p>
            </w:tc>
          </w:tr>
          <w:tr w:rsidR="00AB2CEC" w:rsidRPr="00D90F39" w14:paraId="4ACD19C3"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2E6C67ED" w14:textId="77777777" w:rsidR="00AB2CEC" w:rsidRPr="00D90F39" w:rsidRDefault="00AB2CEC" w:rsidP="00D90F39">
                <w:pPr>
                  <w:rPr>
                    <w:rFonts w:asciiTheme="minorHAnsi" w:hAnsiTheme="minorHAnsi" w:cstheme="minorHAnsi"/>
                    <w:sz w:val="24"/>
                    <w:szCs w:val="24"/>
                  </w:rPr>
                </w:pPr>
              </w:p>
            </w:tc>
            <w:tc>
              <w:tcPr>
                <w:tcW w:w="1910" w:type="pct"/>
                <w:noWrap/>
                <w:hideMark/>
              </w:tcPr>
              <w:p w14:paraId="0FDBC38C"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76" w:type="pct"/>
                <w:noWrap/>
                <w:hideMark/>
              </w:tcPr>
              <w:p w14:paraId="7CE97A2B"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b/>
                    <w:bCs/>
                    <w:sz w:val="24"/>
                    <w:szCs w:val="24"/>
                  </w:rPr>
                </w:pPr>
                <w:r w:rsidRPr="00D90F39">
                  <w:rPr>
                    <w:rFonts w:cstheme="minorHAnsi"/>
                    <w:b/>
                    <w:bCs/>
                    <w:sz w:val="24"/>
                    <w:szCs w:val="24"/>
                  </w:rPr>
                  <w:t>2023</w:t>
                </w:r>
              </w:p>
            </w:tc>
            <w:tc>
              <w:tcPr>
                <w:tcW w:w="852" w:type="pct"/>
                <w:noWrap/>
                <w:hideMark/>
              </w:tcPr>
              <w:p w14:paraId="2400B930"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b/>
                    <w:bCs/>
                    <w:sz w:val="24"/>
                    <w:szCs w:val="24"/>
                  </w:rPr>
                </w:pPr>
                <w:r w:rsidRPr="00D90F39">
                  <w:rPr>
                    <w:rFonts w:cstheme="minorHAnsi"/>
                    <w:b/>
                    <w:bCs/>
                    <w:sz w:val="24"/>
                    <w:szCs w:val="24"/>
                  </w:rPr>
                  <w:t>2022</w:t>
                </w:r>
              </w:p>
            </w:tc>
          </w:tr>
          <w:tr w:rsidR="00AB2CEC" w:rsidRPr="00D90F39" w14:paraId="328444D3"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396237F0" w14:textId="77777777" w:rsidR="00AB2CEC" w:rsidRPr="00D90F39" w:rsidRDefault="00AB2CEC" w:rsidP="00D90F39">
                <w:pPr>
                  <w:rPr>
                    <w:rFonts w:asciiTheme="minorHAnsi" w:hAnsiTheme="minorHAnsi" w:cstheme="minorHAnsi"/>
                    <w:b/>
                    <w:bCs/>
                    <w:sz w:val="24"/>
                    <w:szCs w:val="24"/>
                  </w:rPr>
                </w:pPr>
                <w:r w:rsidRPr="00D90F39">
                  <w:rPr>
                    <w:rFonts w:asciiTheme="minorHAnsi" w:hAnsiTheme="minorHAnsi" w:cstheme="minorHAnsi"/>
                    <w:b/>
                    <w:bCs/>
                    <w:sz w:val="24"/>
                    <w:szCs w:val="24"/>
                  </w:rPr>
                  <w:t>Profitability ratios</w:t>
                </w:r>
              </w:p>
            </w:tc>
            <w:tc>
              <w:tcPr>
                <w:tcW w:w="1910" w:type="pct"/>
                <w:noWrap/>
                <w:hideMark/>
              </w:tcPr>
              <w:p w14:paraId="0808D3D3"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76" w:type="pct"/>
                <w:noWrap/>
                <w:hideMark/>
              </w:tcPr>
              <w:p w14:paraId="55B2ECC4"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52" w:type="pct"/>
                <w:noWrap/>
                <w:hideMark/>
              </w:tcPr>
              <w:p w14:paraId="4C31EE00"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AB2CEC" w:rsidRPr="00D90F39" w14:paraId="14E557CE"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17512FCB" w14:textId="4244D742" w:rsidR="00AB2CEC" w:rsidRPr="00D90F39" w:rsidRDefault="00AB2CEC" w:rsidP="00D90F39">
                <w:pPr>
                  <w:pStyle w:val="ListParagraph"/>
                  <w:numPr>
                    <w:ilvl w:val="0"/>
                    <w:numId w:val="3"/>
                  </w:numPr>
                  <w:rPr>
                    <w:rFonts w:asciiTheme="minorHAnsi" w:hAnsiTheme="minorHAnsi" w:cstheme="minorHAnsi"/>
                    <w:sz w:val="24"/>
                    <w:szCs w:val="24"/>
                  </w:rPr>
                </w:pPr>
                <w:r w:rsidRPr="00D90F39">
                  <w:rPr>
                    <w:rFonts w:asciiTheme="minorHAnsi" w:hAnsiTheme="minorHAnsi" w:cstheme="minorHAnsi"/>
                    <w:sz w:val="24"/>
                    <w:szCs w:val="24"/>
                  </w:rPr>
                  <w:t xml:space="preserve">Gross profit </w:t>
                </w:r>
                <w:r w:rsidR="007140D6" w:rsidRPr="00D90F39">
                  <w:rPr>
                    <w:rFonts w:asciiTheme="minorHAnsi" w:hAnsiTheme="minorHAnsi" w:cstheme="minorHAnsi"/>
                    <w:sz w:val="24"/>
                    <w:szCs w:val="24"/>
                  </w:rPr>
                  <w:t>Ratio</w:t>
                </w:r>
              </w:p>
            </w:tc>
            <w:tc>
              <w:tcPr>
                <w:tcW w:w="1910" w:type="pct"/>
                <w:noWrap/>
                <w:hideMark/>
              </w:tcPr>
              <w:p w14:paraId="20A329C2"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Gross profit</w:t>
                </w:r>
                <w:r w:rsidR="0072772B" w:rsidRPr="00D90F39">
                  <w:rPr>
                    <w:rFonts w:cstheme="minorHAnsi"/>
                    <w:sz w:val="24"/>
                    <w:szCs w:val="24"/>
                  </w:rPr>
                  <w:t>/S</w:t>
                </w:r>
                <w:r w:rsidRPr="00D90F39">
                  <w:rPr>
                    <w:rFonts w:cstheme="minorHAnsi"/>
                    <w:sz w:val="24"/>
                    <w:szCs w:val="24"/>
                  </w:rPr>
                  <w:t>ales turnover × 100</w:t>
                </w:r>
              </w:p>
            </w:tc>
            <w:tc>
              <w:tcPr>
                <w:tcW w:w="876" w:type="pct"/>
                <w:noWrap/>
                <w:hideMark/>
              </w:tcPr>
              <w:p w14:paraId="2E85B4FE"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47.41</w:t>
                </w:r>
                <w:r w:rsidR="007D1DBC" w:rsidRPr="00D90F39">
                  <w:rPr>
                    <w:rFonts w:cstheme="minorHAnsi"/>
                    <w:sz w:val="24"/>
                    <w:szCs w:val="24"/>
                  </w:rPr>
                  <w:t>%</w:t>
                </w:r>
              </w:p>
            </w:tc>
            <w:tc>
              <w:tcPr>
                <w:tcW w:w="852" w:type="pct"/>
                <w:noWrap/>
                <w:hideMark/>
              </w:tcPr>
              <w:p w14:paraId="5A7D52FB"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73.23</w:t>
                </w:r>
                <w:r w:rsidR="007D1DBC" w:rsidRPr="00D90F39">
                  <w:rPr>
                    <w:rFonts w:cstheme="minorHAnsi"/>
                    <w:sz w:val="24"/>
                    <w:szCs w:val="24"/>
                  </w:rPr>
                  <w:t>%</w:t>
                </w:r>
              </w:p>
            </w:tc>
          </w:tr>
          <w:tr w:rsidR="00AB2CEC" w:rsidRPr="00D90F39" w14:paraId="42DD031E"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3D662D89" w14:textId="46D9F766" w:rsidR="00AB2CEC" w:rsidRPr="00D90F39" w:rsidRDefault="00AB2CEC" w:rsidP="00D90F39">
                <w:pPr>
                  <w:pStyle w:val="ListParagraph"/>
                  <w:numPr>
                    <w:ilvl w:val="0"/>
                    <w:numId w:val="3"/>
                  </w:numPr>
                  <w:rPr>
                    <w:rFonts w:asciiTheme="minorHAnsi" w:hAnsiTheme="minorHAnsi" w:cstheme="minorHAnsi"/>
                    <w:sz w:val="24"/>
                    <w:szCs w:val="24"/>
                  </w:rPr>
                </w:pPr>
                <w:r w:rsidRPr="00D90F39">
                  <w:rPr>
                    <w:rFonts w:asciiTheme="minorHAnsi" w:hAnsiTheme="minorHAnsi" w:cstheme="minorHAnsi"/>
                    <w:sz w:val="24"/>
                    <w:szCs w:val="24"/>
                  </w:rPr>
                  <w:t xml:space="preserve">Net profit </w:t>
                </w:r>
                <w:r w:rsidR="007140D6" w:rsidRPr="00D90F39">
                  <w:rPr>
                    <w:rFonts w:asciiTheme="minorHAnsi" w:hAnsiTheme="minorHAnsi" w:cstheme="minorHAnsi"/>
                    <w:sz w:val="24"/>
                    <w:szCs w:val="24"/>
                  </w:rPr>
                  <w:t>Ratio</w:t>
                </w:r>
              </w:p>
            </w:tc>
            <w:tc>
              <w:tcPr>
                <w:tcW w:w="1910" w:type="pct"/>
                <w:noWrap/>
                <w:hideMark/>
              </w:tcPr>
              <w:p w14:paraId="13EDC759"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Net profit</w:t>
                </w:r>
                <w:r w:rsidR="0072772B" w:rsidRPr="00D90F39">
                  <w:rPr>
                    <w:rFonts w:cstheme="minorHAnsi"/>
                    <w:sz w:val="24"/>
                    <w:szCs w:val="24"/>
                  </w:rPr>
                  <w:t>/S</w:t>
                </w:r>
                <w:r w:rsidRPr="00D90F39">
                  <w:rPr>
                    <w:rFonts w:cstheme="minorHAnsi"/>
                    <w:sz w:val="24"/>
                    <w:szCs w:val="24"/>
                  </w:rPr>
                  <w:t>ales turnover × 100</w:t>
                </w:r>
              </w:p>
            </w:tc>
            <w:tc>
              <w:tcPr>
                <w:tcW w:w="876" w:type="pct"/>
                <w:noWrap/>
                <w:hideMark/>
              </w:tcPr>
              <w:p w14:paraId="24056E5C"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0.63</w:t>
                </w:r>
                <w:r w:rsidR="007D1DBC" w:rsidRPr="00D90F39">
                  <w:rPr>
                    <w:rFonts w:cstheme="minorHAnsi"/>
                    <w:sz w:val="24"/>
                    <w:szCs w:val="24"/>
                  </w:rPr>
                  <w:t>%</w:t>
                </w:r>
              </w:p>
            </w:tc>
            <w:tc>
              <w:tcPr>
                <w:tcW w:w="852" w:type="pct"/>
                <w:noWrap/>
                <w:hideMark/>
              </w:tcPr>
              <w:p w14:paraId="7F678EC4"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0.45</w:t>
                </w:r>
                <w:r w:rsidR="007D1DBC" w:rsidRPr="00D90F39">
                  <w:rPr>
                    <w:rFonts w:cstheme="minorHAnsi"/>
                    <w:sz w:val="24"/>
                    <w:szCs w:val="24"/>
                  </w:rPr>
                  <w:t>%</w:t>
                </w:r>
              </w:p>
            </w:tc>
          </w:tr>
          <w:tr w:rsidR="00AB2CEC" w:rsidRPr="00D90F39" w14:paraId="0B31E8C7"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33CD70F0" w14:textId="77777777" w:rsidR="00AB2CEC" w:rsidRPr="00D90F39" w:rsidRDefault="00AB2CEC" w:rsidP="00D90F39">
                <w:pPr>
                  <w:rPr>
                    <w:rFonts w:asciiTheme="minorHAnsi" w:hAnsiTheme="minorHAnsi" w:cstheme="minorHAnsi"/>
                    <w:sz w:val="24"/>
                    <w:szCs w:val="24"/>
                  </w:rPr>
                </w:pPr>
              </w:p>
            </w:tc>
            <w:tc>
              <w:tcPr>
                <w:tcW w:w="1910" w:type="pct"/>
                <w:noWrap/>
                <w:hideMark/>
              </w:tcPr>
              <w:p w14:paraId="6B727543"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76" w:type="pct"/>
                <w:noWrap/>
                <w:hideMark/>
              </w:tcPr>
              <w:p w14:paraId="21096F85"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52" w:type="pct"/>
                <w:noWrap/>
                <w:hideMark/>
              </w:tcPr>
              <w:p w14:paraId="0208159D"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AB2CEC" w:rsidRPr="00D90F39" w14:paraId="0E5A1526"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14BBCB60" w14:textId="77777777" w:rsidR="00AB2CEC" w:rsidRPr="00D90F39" w:rsidRDefault="00AB2CEC" w:rsidP="00D90F39">
                <w:pPr>
                  <w:rPr>
                    <w:rFonts w:asciiTheme="minorHAnsi" w:hAnsiTheme="minorHAnsi" w:cstheme="minorHAnsi"/>
                    <w:b/>
                    <w:bCs/>
                    <w:sz w:val="24"/>
                    <w:szCs w:val="24"/>
                  </w:rPr>
                </w:pPr>
                <w:r w:rsidRPr="00D90F39">
                  <w:rPr>
                    <w:rFonts w:asciiTheme="minorHAnsi" w:hAnsiTheme="minorHAnsi" w:cstheme="minorHAnsi"/>
                    <w:b/>
                    <w:bCs/>
                    <w:sz w:val="24"/>
                    <w:szCs w:val="24"/>
                  </w:rPr>
                  <w:t>Efficiency ratios</w:t>
                </w:r>
              </w:p>
            </w:tc>
            <w:tc>
              <w:tcPr>
                <w:tcW w:w="1910" w:type="pct"/>
                <w:noWrap/>
                <w:hideMark/>
              </w:tcPr>
              <w:p w14:paraId="0375EB60"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76" w:type="pct"/>
                <w:noWrap/>
                <w:hideMark/>
              </w:tcPr>
              <w:p w14:paraId="5DD36D5F"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52" w:type="pct"/>
                <w:noWrap/>
                <w:hideMark/>
              </w:tcPr>
              <w:p w14:paraId="1317AD25"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AB2CEC" w:rsidRPr="00D90F39" w14:paraId="46470206"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30EA08D4" w14:textId="77777777" w:rsidR="00AB2CEC" w:rsidRPr="00D90F39" w:rsidRDefault="00AB2CEC" w:rsidP="00D90F39">
                <w:pPr>
                  <w:pStyle w:val="ListParagraph"/>
                  <w:numPr>
                    <w:ilvl w:val="0"/>
                    <w:numId w:val="4"/>
                  </w:numPr>
                  <w:rPr>
                    <w:rFonts w:asciiTheme="minorHAnsi" w:hAnsiTheme="minorHAnsi" w:cstheme="minorHAnsi"/>
                    <w:sz w:val="24"/>
                    <w:szCs w:val="24"/>
                  </w:rPr>
                </w:pPr>
                <w:r w:rsidRPr="00D90F39">
                  <w:rPr>
                    <w:rFonts w:asciiTheme="minorHAnsi" w:hAnsiTheme="minorHAnsi" w:cstheme="minorHAnsi"/>
                    <w:sz w:val="24"/>
                    <w:szCs w:val="24"/>
                  </w:rPr>
                  <w:t>Efficiency ratio</w:t>
                </w:r>
              </w:p>
            </w:tc>
            <w:tc>
              <w:tcPr>
                <w:tcW w:w="1910" w:type="pct"/>
                <w:noWrap/>
                <w:hideMark/>
              </w:tcPr>
              <w:p w14:paraId="1D61856F"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Non-interest expenses</w:t>
                </w:r>
                <w:r w:rsidR="0072772B" w:rsidRPr="00D90F39">
                  <w:rPr>
                    <w:rFonts w:cstheme="minorHAnsi"/>
                    <w:sz w:val="24"/>
                    <w:szCs w:val="24"/>
                  </w:rPr>
                  <w:t>/</w:t>
                </w:r>
                <w:r w:rsidRPr="00D90F39">
                  <w:rPr>
                    <w:rFonts w:cstheme="minorHAnsi"/>
                    <w:sz w:val="24"/>
                    <w:szCs w:val="24"/>
                  </w:rPr>
                  <w:t>Revenues</w:t>
                </w:r>
              </w:p>
            </w:tc>
            <w:tc>
              <w:tcPr>
                <w:tcW w:w="876" w:type="pct"/>
                <w:noWrap/>
                <w:hideMark/>
              </w:tcPr>
              <w:p w14:paraId="4148B3B0"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0.39</w:t>
                </w:r>
                <w:r w:rsidR="007D1DBC" w:rsidRPr="00D90F39">
                  <w:rPr>
                    <w:rFonts w:cstheme="minorHAnsi"/>
                    <w:sz w:val="24"/>
                    <w:szCs w:val="24"/>
                  </w:rPr>
                  <w:t xml:space="preserve"> times</w:t>
                </w:r>
              </w:p>
            </w:tc>
            <w:tc>
              <w:tcPr>
                <w:tcW w:w="852" w:type="pct"/>
                <w:noWrap/>
                <w:hideMark/>
              </w:tcPr>
              <w:p w14:paraId="1D2241E7"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0.52</w:t>
                </w:r>
                <w:r w:rsidR="007D1DBC" w:rsidRPr="00D90F39">
                  <w:rPr>
                    <w:rFonts w:cstheme="minorHAnsi"/>
                    <w:sz w:val="24"/>
                    <w:szCs w:val="24"/>
                  </w:rPr>
                  <w:t xml:space="preserve"> times</w:t>
                </w:r>
              </w:p>
            </w:tc>
          </w:tr>
          <w:tr w:rsidR="00AB2CEC" w:rsidRPr="00D90F39" w14:paraId="4A674DFF"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2D25887B" w14:textId="77777777" w:rsidR="00AB2CEC" w:rsidRPr="00D90F39" w:rsidRDefault="00AB2CEC" w:rsidP="00D90F39">
                <w:pPr>
                  <w:pStyle w:val="ListParagraph"/>
                  <w:numPr>
                    <w:ilvl w:val="0"/>
                    <w:numId w:val="4"/>
                  </w:numPr>
                  <w:rPr>
                    <w:rFonts w:asciiTheme="minorHAnsi" w:hAnsiTheme="minorHAnsi" w:cstheme="minorHAnsi"/>
                    <w:sz w:val="24"/>
                    <w:szCs w:val="24"/>
                  </w:rPr>
                </w:pPr>
                <w:r w:rsidRPr="00D90F39">
                  <w:rPr>
                    <w:rFonts w:asciiTheme="minorHAnsi" w:hAnsiTheme="minorHAnsi" w:cstheme="minorHAnsi"/>
                    <w:sz w:val="24"/>
                    <w:szCs w:val="24"/>
                  </w:rPr>
                  <w:t>Asset turnover ratio</w:t>
                </w:r>
              </w:p>
            </w:tc>
            <w:tc>
              <w:tcPr>
                <w:tcW w:w="1910" w:type="pct"/>
                <w:noWrap/>
                <w:hideMark/>
              </w:tcPr>
              <w:p w14:paraId="13F1AA88" w14:textId="2E79CA1B" w:rsidR="00AB2CEC" w:rsidRPr="00D90F39" w:rsidRDefault="0072772B"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S</w:t>
                </w:r>
                <w:r w:rsidR="00917ADD" w:rsidRPr="00D90F39">
                  <w:rPr>
                    <w:rFonts w:cstheme="minorHAnsi"/>
                    <w:sz w:val="24"/>
                    <w:szCs w:val="24"/>
                  </w:rPr>
                  <w:t>ales turnover</w:t>
                </w:r>
                <w:r w:rsidRPr="00D90F39">
                  <w:rPr>
                    <w:rFonts w:cstheme="minorHAnsi"/>
                    <w:sz w:val="24"/>
                    <w:szCs w:val="24"/>
                  </w:rPr>
                  <w:t>/</w:t>
                </w:r>
                <w:r w:rsidR="00AB2CEC" w:rsidRPr="00D90F39">
                  <w:rPr>
                    <w:rFonts w:cstheme="minorHAnsi"/>
                    <w:sz w:val="24"/>
                    <w:szCs w:val="24"/>
                  </w:rPr>
                  <w:t>Average assets</w:t>
                </w:r>
              </w:p>
            </w:tc>
            <w:tc>
              <w:tcPr>
                <w:tcW w:w="876" w:type="pct"/>
                <w:noWrap/>
                <w:hideMark/>
              </w:tcPr>
              <w:p w14:paraId="3927E0B3"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0.03</w:t>
                </w:r>
                <w:r w:rsidR="007D1DBC" w:rsidRPr="00D90F39">
                  <w:rPr>
                    <w:rFonts w:cstheme="minorHAnsi"/>
                    <w:sz w:val="24"/>
                    <w:szCs w:val="24"/>
                  </w:rPr>
                  <w:t xml:space="preserve"> times</w:t>
                </w:r>
              </w:p>
            </w:tc>
            <w:tc>
              <w:tcPr>
                <w:tcW w:w="852" w:type="pct"/>
                <w:noWrap/>
                <w:hideMark/>
              </w:tcPr>
              <w:p w14:paraId="49E3FCD5"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0.02</w:t>
                </w:r>
                <w:r w:rsidR="007D1DBC" w:rsidRPr="00D90F39">
                  <w:rPr>
                    <w:rFonts w:cstheme="minorHAnsi"/>
                    <w:sz w:val="24"/>
                    <w:szCs w:val="24"/>
                  </w:rPr>
                  <w:t xml:space="preserve"> times</w:t>
                </w:r>
              </w:p>
            </w:tc>
          </w:tr>
          <w:tr w:rsidR="00AB2CEC" w:rsidRPr="00D90F39" w14:paraId="3E16DCA7"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78280893" w14:textId="77777777" w:rsidR="00AB2CEC" w:rsidRPr="00D90F39" w:rsidRDefault="00AB2CEC" w:rsidP="00D90F39">
                <w:pPr>
                  <w:pStyle w:val="ListParagraph"/>
                  <w:numPr>
                    <w:ilvl w:val="0"/>
                    <w:numId w:val="4"/>
                  </w:numPr>
                  <w:rPr>
                    <w:rFonts w:asciiTheme="minorHAnsi" w:hAnsiTheme="minorHAnsi" w:cstheme="minorHAnsi"/>
                    <w:sz w:val="24"/>
                    <w:szCs w:val="24"/>
                  </w:rPr>
                </w:pPr>
                <w:r w:rsidRPr="00D90F39">
                  <w:rPr>
                    <w:rFonts w:asciiTheme="minorHAnsi" w:hAnsiTheme="minorHAnsi" w:cstheme="minorHAnsi"/>
                    <w:sz w:val="24"/>
                    <w:szCs w:val="24"/>
                  </w:rPr>
                  <w:t>Trade payable days</w:t>
                </w:r>
              </w:p>
            </w:tc>
            <w:tc>
              <w:tcPr>
                <w:tcW w:w="1910" w:type="pct"/>
                <w:noWrap/>
                <w:hideMark/>
              </w:tcPr>
              <w:p w14:paraId="32DDE08C"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Trade payables (creditors)</w:t>
                </w:r>
                <w:r w:rsidR="0072772B" w:rsidRPr="00D90F39">
                  <w:rPr>
                    <w:rFonts w:cstheme="minorHAnsi"/>
                    <w:sz w:val="24"/>
                    <w:szCs w:val="24"/>
                  </w:rPr>
                  <w:t>/COGS</w:t>
                </w:r>
                <w:r w:rsidRPr="00D90F39">
                  <w:rPr>
                    <w:rFonts w:cstheme="minorHAnsi"/>
                    <w:sz w:val="24"/>
                    <w:szCs w:val="24"/>
                  </w:rPr>
                  <w:t xml:space="preserve"> × </w:t>
                </w:r>
                <w:r w:rsidR="00AB329C" w:rsidRPr="00D90F39">
                  <w:rPr>
                    <w:rFonts w:cstheme="minorHAnsi"/>
                    <w:sz w:val="24"/>
                    <w:szCs w:val="24"/>
                  </w:rPr>
                  <w:t>365 days</w:t>
                </w:r>
              </w:p>
            </w:tc>
            <w:tc>
              <w:tcPr>
                <w:tcW w:w="876" w:type="pct"/>
                <w:noWrap/>
                <w:hideMark/>
              </w:tcPr>
              <w:p w14:paraId="04FC1921"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152.23</w:t>
                </w:r>
                <w:r w:rsidR="007D1DBC" w:rsidRPr="00D90F39">
                  <w:rPr>
                    <w:rFonts w:cstheme="minorHAnsi"/>
                    <w:sz w:val="24"/>
                    <w:szCs w:val="24"/>
                  </w:rPr>
                  <w:t xml:space="preserve"> days</w:t>
                </w:r>
              </w:p>
            </w:tc>
            <w:tc>
              <w:tcPr>
                <w:tcW w:w="852" w:type="pct"/>
                <w:noWrap/>
                <w:hideMark/>
              </w:tcPr>
              <w:p w14:paraId="565CB84A"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561.53</w:t>
                </w:r>
                <w:r w:rsidR="007D1DBC" w:rsidRPr="00D90F39">
                  <w:rPr>
                    <w:rFonts w:cstheme="minorHAnsi"/>
                    <w:sz w:val="24"/>
                    <w:szCs w:val="24"/>
                  </w:rPr>
                  <w:t xml:space="preserve"> days</w:t>
                </w:r>
              </w:p>
            </w:tc>
          </w:tr>
          <w:tr w:rsidR="00AB2CEC" w:rsidRPr="00D90F39" w14:paraId="34DB2963"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0E1BD07B" w14:textId="77777777" w:rsidR="00AB2CEC" w:rsidRPr="00D90F39" w:rsidRDefault="00AB2CEC" w:rsidP="00D90F39">
                <w:pPr>
                  <w:rPr>
                    <w:rFonts w:asciiTheme="minorHAnsi" w:hAnsiTheme="minorHAnsi" w:cstheme="minorHAnsi"/>
                    <w:sz w:val="24"/>
                    <w:szCs w:val="24"/>
                  </w:rPr>
                </w:pPr>
              </w:p>
            </w:tc>
            <w:tc>
              <w:tcPr>
                <w:tcW w:w="1910" w:type="pct"/>
                <w:noWrap/>
                <w:hideMark/>
              </w:tcPr>
              <w:p w14:paraId="5C19C20B"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76" w:type="pct"/>
                <w:noWrap/>
                <w:hideMark/>
              </w:tcPr>
              <w:p w14:paraId="63360526"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52" w:type="pct"/>
                <w:noWrap/>
                <w:hideMark/>
              </w:tcPr>
              <w:p w14:paraId="2A7064E3"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AB2CEC" w:rsidRPr="00D90F39" w14:paraId="1CB89539"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56CF9B66" w14:textId="77777777" w:rsidR="00AB2CEC" w:rsidRPr="00D90F39" w:rsidRDefault="00AB2CEC" w:rsidP="00D90F39">
                <w:pPr>
                  <w:rPr>
                    <w:rFonts w:asciiTheme="minorHAnsi" w:hAnsiTheme="minorHAnsi" w:cstheme="minorHAnsi"/>
                    <w:b/>
                    <w:bCs/>
                    <w:sz w:val="24"/>
                    <w:szCs w:val="24"/>
                  </w:rPr>
                </w:pPr>
                <w:r w:rsidRPr="00D90F39">
                  <w:rPr>
                    <w:rFonts w:asciiTheme="minorHAnsi" w:hAnsiTheme="minorHAnsi" w:cstheme="minorHAnsi"/>
                    <w:b/>
                    <w:bCs/>
                    <w:sz w:val="24"/>
                    <w:szCs w:val="24"/>
                  </w:rPr>
                  <w:t>Liquidity ratios</w:t>
                </w:r>
              </w:p>
            </w:tc>
            <w:tc>
              <w:tcPr>
                <w:tcW w:w="1910" w:type="pct"/>
                <w:noWrap/>
                <w:hideMark/>
              </w:tcPr>
              <w:p w14:paraId="75896920"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76" w:type="pct"/>
                <w:noWrap/>
                <w:hideMark/>
              </w:tcPr>
              <w:p w14:paraId="3392DEFF"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52" w:type="pct"/>
                <w:noWrap/>
                <w:hideMark/>
              </w:tcPr>
              <w:p w14:paraId="2481A58B"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AB2CEC" w:rsidRPr="00D90F39" w14:paraId="5A5E2B08"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7041695F" w14:textId="77777777" w:rsidR="00AB2CEC" w:rsidRPr="00D90F39" w:rsidRDefault="00AB2CEC" w:rsidP="00D90F39">
                <w:pPr>
                  <w:pStyle w:val="ListParagraph"/>
                  <w:numPr>
                    <w:ilvl w:val="0"/>
                    <w:numId w:val="5"/>
                  </w:numPr>
                  <w:rPr>
                    <w:rFonts w:asciiTheme="minorHAnsi" w:hAnsiTheme="minorHAnsi" w:cstheme="minorHAnsi"/>
                    <w:sz w:val="24"/>
                    <w:szCs w:val="24"/>
                  </w:rPr>
                </w:pPr>
                <w:r w:rsidRPr="00D90F39">
                  <w:rPr>
                    <w:rFonts w:asciiTheme="minorHAnsi" w:hAnsiTheme="minorHAnsi" w:cstheme="minorHAnsi"/>
                    <w:sz w:val="24"/>
                    <w:szCs w:val="24"/>
                  </w:rPr>
                  <w:t>Current ratio</w:t>
                </w:r>
              </w:p>
            </w:tc>
            <w:tc>
              <w:tcPr>
                <w:tcW w:w="1910" w:type="pct"/>
                <w:noWrap/>
                <w:hideMark/>
              </w:tcPr>
              <w:p w14:paraId="18744E29" w14:textId="77777777" w:rsidR="00AB2CEC" w:rsidRPr="00D90F39" w:rsidRDefault="004E5666"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 xml:space="preserve"> C</w:t>
                </w:r>
                <w:r w:rsidR="00AB2CEC" w:rsidRPr="00D90F39">
                  <w:rPr>
                    <w:rFonts w:cstheme="minorHAnsi"/>
                    <w:sz w:val="24"/>
                    <w:szCs w:val="24"/>
                  </w:rPr>
                  <w:t>urrent assets</w:t>
                </w:r>
                <w:r w:rsidR="0072772B" w:rsidRPr="00D90F39">
                  <w:rPr>
                    <w:rFonts w:cstheme="minorHAnsi"/>
                    <w:sz w:val="24"/>
                    <w:szCs w:val="24"/>
                  </w:rPr>
                  <w:t>/</w:t>
                </w:r>
                <w:r w:rsidRPr="00D90F39">
                  <w:rPr>
                    <w:rFonts w:cstheme="minorHAnsi"/>
                    <w:sz w:val="24"/>
                    <w:szCs w:val="24"/>
                  </w:rPr>
                  <w:t xml:space="preserve"> C</w:t>
                </w:r>
                <w:r w:rsidR="00AB2CEC" w:rsidRPr="00D90F39">
                  <w:rPr>
                    <w:rFonts w:cstheme="minorHAnsi"/>
                    <w:sz w:val="24"/>
                    <w:szCs w:val="24"/>
                  </w:rPr>
                  <w:t>urrent debts</w:t>
                </w:r>
              </w:p>
            </w:tc>
            <w:tc>
              <w:tcPr>
                <w:tcW w:w="876" w:type="pct"/>
                <w:noWrap/>
                <w:hideMark/>
              </w:tcPr>
              <w:p w14:paraId="40E73D0E"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3.36</w:t>
                </w:r>
                <w:r w:rsidR="007D1DBC" w:rsidRPr="00D90F39">
                  <w:rPr>
                    <w:rFonts w:cstheme="minorHAnsi"/>
                    <w:sz w:val="24"/>
                    <w:szCs w:val="24"/>
                  </w:rPr>
                  <w:t>: 1</w:t>
                </w:r>
              </w:p>
            </w:tc>
            <w:tc>
              <w:tcPr>
                <w:tcW w:w="852" w:type="pct"/>
                <w:noWrap/>
                <w:hideMark/>
              </w:tcPr>
              <w:p w14:paraId="021E2AD7"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3</w:t>
                </w:r>
                <w:r w:rsidR="007D1DBC" w:rsidRPr="00D90F39">
                  <w:rPr>
                    <w:rFonts w:cstheme="minorHAnsi"/>
                    <w:sz w:val="24"/>
                    <w:szCs w:val="24"/>
                  </w:rPr>
                  <w:t>: 1</w:t>
                </w:r>
              </w:p>
            </w:tc>
          </w:tr>
          <w:tr w:rsidR="00AB2CEC" w:rsidRPr="00D90F39" w14:paraId="573ADF60"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69A5C333" w14:textId="77777777" w:rsidR="00AB2CEC" w:rsidRPr="00D90F39" w:rsidRDefault="00AB2CEC" w:rsidP="00D90F39">
                <w:pPr>
                  <w:pStyle w:val="ListParagraph"/>
                  <w:numPr>
                    <w:ilvl w:val="0"/>
                    <w:numId w:val="5"/>
                  </w:numPr>
                  <w:rPr>
                    <w:rFonts w:asciiTheme="minorHAnsi" w:hAnsiTheme="minorHAnsi" w:cstheme="minorHAnsi"/>
                    <w:sz w:val="24"/>
                    <w:szCs w:val="24"/>
                  </w:rPr>
                </w:pPr>
                <w:r w:rsidRPr="00D90F39">
                  <w:rPr>
                    <w:rFonts w:asciiTheme="minorHAnsi" w:hAnsiTheme="minorHAnsi" w:cstheme="minorHAnsi"/>
                    <w:sz w:val="24"/>
                    <w:szCs w:val="24"/>
                  </w:rPr>
                  <w:t xml:space="preserve">Cash ratio </w:t>
                </w:r>
              </w:p>
            </w:tc>
            <w:tc>
              <w:tcPr>
                <w:tcW w:w="1910" w:type="pct"/>
                <w:noWrap/>
                <w:hideMark/>
              </w:tcPr>
              <w:p w14:paraId="173E5E96" w14:textId="77777777" w:rsidR="00AB2CEC" w:rsidRPr="00D90F39" w:rsidRDefault="004E5666"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w:t>
                </w:r>
                <w:proofErr w:type="spellStart"/>
                <w:r w:rsidRPr="00D90F39">
                  <w:rPr>
                    <w:rFonts w:cstheme="minorHAnsi"/>
                    <w:sz w:val="24"/>
                    <w:szCs w:val="24"/>
                  </w:rPr>
                  <w:t>Cash+</w:t>
                </w:r>
                <w:r w:rsidR="00AB2CEC" w:rsidRPr="00D90F39">
                  <w:rPr>
                    <w:rFonts w:cstheme="minorHAnsi"/>
                    <w:sz w:val="24"/>
                    <w:szCs w:val="24"/>
                  </w:rPr>
                  <w:t>Marketable</w:t>
                </w:r>
                <w:proofErr w:type="spellEnd"/>
                <w:r w:rsidR="00AB2CEC" w:rsidRPr="00D90F39">
                  <w:rPr>
                    <w:rFonts w:cstheme="minorHAnsi"/>
                    <w:sz w:val="24"/>
                    <w:szCs w:val="24"/>
                  </w:rPr>
                  <w:t xml:space="preserve"> securities)</w:t>
                </w:r>
                <w:r w:rsidR="0072772B" w:rsidRPr="00D90F39">
                  <w:rPr>
                    <w:rFonts w:cstheme="minorHAnsi"/>
                    <w:sz w:val="24"/>
                    <w:szCs w:val="24"/>
                  </w:rPr>
                  <w:t>/</w:t>
                </w:r>
                <w:r w:rsidR="00AB2CEC" w:rsidRPr="00D90F39">
                  <w:rPr>
                    <w:rFonts w:cstheme="minorHAnsi"/>
                    <w:sz w:val="24"/>
                    <w:szCs w:val="24"/>
                  </w:rPr>
                  <w:t>Current Liabilities</w:t>
                </w:r>
              </w:p>
            </w:tc>
            <w:tc>
              <w:tcPr>
                <w:tcW w:w="876" w:type="pct"/>
                <w:noWrap/>
                <w:hideMark/>
              </w:tcPr>
              <w:p w14:paraId="4EBF58EA"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0.86</w:t>
                </w:r>
                <w:r w:rsidR="007D1DBC" w:rsidRPr="00D90F39">
                  <w:rPr>
                    <w:rFonts w:cstheme="minorHAnsi"/>
                    <w:sz w:val="24"/>
                    <w:szCs w:val="24"/>
                  </w:rPr>
                  <w:t>: 1</w:t>
                </w:r>
              </w:p>
            </w:tc>
            <w:tc>
              <w:tcPr>
                <w:tcW w:w="852" w:type="pct"/>
                <w:noWrap/>
                <w:hideMark/>
              </w:tcPr>
              <w:p w14:paraId="1DC2DA3C"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0.92</w:t>
                </w:r>
                <w:r w:rsidR="007D1DBC" w:rsidRPr="00D90F39">
                  <w:rPr>
                    <w:rFonts w:cstheme="minorHAnsi"/>
                    <w:sz w:val="24"/>
                    <w:szCs w:val="24"/>
                  </w:rPr>
                  <w:t>: 1</w:t>
                </w:r>
              </w:p>
            </w:tc>
          </w:tr>
          <w:tr w:rsidR="00AB2CEC" w:rsidRPr="00D90F39" w14:paraId="68962DBF"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08984CD5" w14:textId="77777777" w:rsidR="00AB2CEC" w:rsidRPr="00D90F39" w:rsidRDefault="00AB2CEC" w:rsidP="00D90F39">
                <w:pPr>
                  <w:rPr>
                    <w:rFonts w:asciiTheme="minorHAnsi" w:hAnsiTheme="minorHAnsi" w:cstheme="minorHAnsi"/>
                    <w:sz w:val="24"/>
                    <w:szCs w:val="24"/>
                  </w:rPr>
                </w:pPr>
              </w:p>
            </w:tc>
            <w:tc>
              <w:tcPr>
                <w:tcW w:w="1910" w:type="pct"/>
                <w:noWrap/>
                <w:hideMark/>
              </w:tcPr>
              <w:p w14:paraId="55C82A85"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76" w:type="pct"/>
                <w:noWrap/>
                <w:hideMark/>
              </w:tcPr>
              <w:p w14:paraId="7B14116C"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52" w:type="pct"/>
                <w:noWrap/>
                <w:hideMark/>
              </w:tcPr>
              <w:p w14:paraId="4BED45A8"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AB2CEC" w:rsidRPr="00D90F39" w14:paraId="570E2322"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6465F1EB" w14:textId="77777777" w:rsidR="00AB2CEC" w:rsidRPr="00D90F39" w:rsidRDefault="00AB2CEC" w:rsidP="00D90F39">
                <w:pPr>
                  <w:rPr>
                    <w:rFonts w:asciiTheme="minorHAnsi" w:hAnsiTheme="minorHAnsi" w:cstheme="minorHAnsi"/>
                    <w:b/>
                    <w:bCs/>
                    <w:sz w:val="24"/>
                    <w:szCs w:val="24"/>
                  </w:rPr>
                </w:pPr>
                <w:r w:rsidRPr="00D90F39">
                  <w:rPr>
                    <w:rFonts w:asciiTheme="minorHAnsi" w:hAnsiTheme="minorHAnsi" w:cstheme="minorHAnsi"/>
                    <w:b/>
                    <w:bCs/>
                    <w:sz w:val="24"/>
                    <w:szCs w:val="24"/>
                  </w:rPr>
                  <w:t>Gearing ratios</w:t>
                </w:r>
              </w:p>
            </w:tc>
            <w:tc>
              <w:tcPr>
                <w:tcW w:w="1910" w:type="pct"/>
                <w:noWrap/>
                <w:hideMark/>
              </w:tcPr>
              <w:p w14:paraId="35FEB60A"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76" w:type="pct"/>
                <w:noWrap/>
                <w:hideMark/>
              </w:tcPr>
              <w:p w14:paraId="079A662B"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52" w:type="pct"/>
                <w:noWrap/>
                <w:hideMark/>
              </w:tcPr>
              <w:p w14:paraId="494E2C81"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AB2CEC" w:rsidRPr="00D90F39" w14:paraId="06D54840"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5466BA20" w14:textId="77777777" w:rsidR="00AB2CEC" w:rsidRPr="00D90F39" w:rsidRDefault="00AB2CEC" w:rsidP="00D90F39">
                <w:pPr>
                  <w:pStyle w:val="ListParagraph"/>
                  <w:numPr>
                    <w:ilvl w:val="0"/>
                    <w:numId w:val="6"/>
                  </w:numPr>
                  <w:rPr>
                    <w:rFonts w:asciiTheme="minorHAnsi" w:hAnsiTheme="minorHAnsi" w:cstheme="minorHAnsi"/>
                    <w:sz w:val="24"/>
                    <w:szCs w:val="24"/>
                  </w:rPr>
                </w:pPr>
                <w:r w:rsidRPr="00D90F39">
                  <w:rPr>
                    <w:rFonts w:asciiTheme="minorHAnsi" w:hAnsiTheme="minorHAnsi" w:cstheme="minorHAnsi"/>
                    <w:sz w:val="24"/>
                    <w:szCs w:val="24"/>
                  </w:rPr>
                  <w:t>Debt ratio</w:t>
                </w:r>
              </w:p>
            </w:tc>
            <w:tc>
              <w:tcPr>
                <w:tcW w:w="1910" w:type="pct"/>
                <w:noWrap/>
                <w:hideMark/>
              </w:tcPr>
              <w:p w14:paraId="03FF3140" w14:textId="77777777" w:rsidR="00AB2CEC" w:rsidRPr="00D90F39" w:rsidRDefault="00F75186"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 xml:space="preserve"> D</w:t>
                </w:r>
                <w:r w:rsidR="00AB2CEC" w:rsidRPr="00D90F39">
                  <w:rPr>
                    <w:rFonts w:cstheme="minorHAnsi"/>
                    <w:sz w:val="24"/>
                    <w:szCs w:val="24"/>
                  </w:rPr>
                  <w:t>ebts</w:t>
                </w:r>
                <w:r w:rsidR="0072772B" w:rsidRPr="00D90F39">
                  <w:rPr>
                    <w:rFonts w:cstheme="minorHAnsi"/>
                    <w:sz w:val="24"/>
                    <w:szCs w:val="24"/>
                  </w:rPr>
                  <w:t>/</w:t>
                </w:r>
                <w:r w:rsidRPr="00D90F39">
                  <w:rPr>
                    <w:rFonts w:cstheme="minorHAnsi"/>
                    <w:sz w:val="24"/>
                    <w:szCs w:val="24"/>
                  </w:rPr>
                  <w:t>As</w:t>
                </w:r>
                <w:r w:rsidR="00AB2CEC" w:rsidRPr="00D90F39">
                  <w:rPr>
                    <w:rFonts w:cstheme="minorHAnsi"/>
                    <w:sz w:val="24"/>
                    <w:szCs w:val="24"/>
                  </w:rPr>
                  <w:t>sets</w:t>
                </w:r>
              </w:p>
            </w:tc>
            <w:tc>
              <w:tcPr>
                <w:tcW w:w="876" w:type="pct"/>
                <w:noWrap/>
                <w:hideMark/>
              </w:tcPr>
              <w:p w14:paraId="70110CA2"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0.95</w:t>
                </w:r>
                <w:r w:rsidR="007D1DBC" w:rsidRPr="00D90F39">
                  <w:rPr>
                    <w:rFonts w:cstheme="minorHAnsi"/>
                    <w:sz w:val="24"/>
                    <w:szCs w:val="24"/>
                  </w:rPr>
                  <w:t>: 1</w:t>
                </w:r>
              </w:p>
            </w:tc>
            <w:tc>
              <w:tcPr>
                <w:tcW w:w="852" w:type="pct"/>
                <w:noWrap/>
                <w:hideMark/>
              </w:tcPr>
              <w:p w14:paraId="591E9F62"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0.95</w:t>
                </w:r>
                <w:r w:rsidR="007D1DBC" w:rsidRPr="00D90F39">
                  <w:rPr>
                    <w:rFonts w:cstheme="minorHAnsi"/>
                    <w:sz w:val="24"/>
                    <w:szCs w:val="24"/>
                  </w:rPr>
                  <w:t>: 1</w:t>
                </w:r>
              </w:p>
            </w:tc>
          </w:tr>
          <w:tr w:rsidR="00AB2CEC" w:rsidRPr="00D90F39" w14:paraId="246612DC"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3F4163F7" w14:textId="77777777" w:rsidR="00AB2CEC" w:rsidRPr="00D90F39" w:rsidRDefault="00AB2CEC" w:rsidP="00D90F39">
                <w:pPr>
                  <w:pStyle w:val="ListParagraph"/>
                  <w:numPr>
                    <w:ilvl w:val="0"/>
                    <w:numId w:val="6"/>
                  </w:numPr>
                  <w:rPr>
                    <w:rFonts w:asciiTheme="minorHAnsi" w:hAnsiTheme="minorHAnsi" w:cstheme="minorHAnsi"/>
                    <w:sz w:val="24"/>
                    <w:szCs w:val="24"/>
                  </w:rPr>
                </w:pPr>
                <w:r w:rsidRPr="00D90F39">
                  <w:rPr>
                    <w:rFonts w:asciiTheme="minorHAnsi" w:hAnsiTheme="minorHAnsi" w:cstheme="minorHAnsi"/>
                    <w:sz w:val="24"/>
                    <w:szCs w:val="24"/>
                  </w:rPr>
                  <w:t>Gearing ratio</w:t>
                </w:r>
              </w:p>
            </w:tc>
            <w:tc>
              <w:tcPr>
                <w:tcW w:w="1910" w:type="pct"/>
                <w:noWrap/>
                <w:hideMark/>
              </w:tcPr>
              <w:p w14:paraId="4AA4D4B8" w14:textId="77777777" w:rsidR="00AB2CEC" w:rsidRPr="00D90F39" w:rsidRDefault="00F75186"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 xml:space="preserve"> D</w:t>
                </w:r>
                <w:r w:rsidR="00AB2CEC" w:rsidRPr="00D90F39">
                  <w:rPr>
                    <w:rFonts w:cstheme="minorHAnsi"/>
                    <w:sz w:val="24"/>
                    <w:szCs w:val="24"/>
                  </w:rPr>
                  <w:t>ebts</w:t>
                </w:r>
                <w:r w:rsidR="0072772B" w:rsidRPr="00D90F39">
                  <w:rPr>
                    <w:rFonts w:cstheme="minorHAnsi"/>
                    <w:sz w:val="24"/>
                    <w:szCs w:val="24"/>
                  </w:rPr>
                  <w:t>/</w:t>
                </w:r>
                <w:r w:rsidRPr="00D90F39">
                  <w:rPr>
                    <w:rFonts w:cstheme="minorHAnsi"/>
                    <w:sz w:val="24"/>
                    <w:szCs w:val="24"/>
                  </w:rPr>
                  <w:t>S</w:t>
                </w:r>
                <w:r w:rsidR="00AB2CEC" w:rsidRPr="00D90F39">
                  <w:rPr>
                    <w:rFonts w:cstheme="minorHAnsi"/>
                    <w:sz w:val="24"/>
                    <w:szCs w:val="24"/>
                  </w:rPr>
                  <w:t>hareholders’ equity</w:t>
                </w:r>
              </w:p>
            </w:tc>
            <w:tc>
              <w:tcPr>
                <w:tcW w:w="876" w:type="pct"/>
                <w:noWrap/>
                <w:hideMark/>
              </w:tcPr>
              <w:p w14:paraId="30817674"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17.61</w:t>
                </w:r>
                <w:r w:rsidR="007D1DBC" w:rsidRPr="00D90F39">
                  <w:rPr>
                    <w:rFonts w:cstheme="minorHAnsi"/>
                    <w:sz w:val="24"/>
                    <w:szCs w:val="24"/>
                  </w:rPr>
                  <w:t>: 1</w:t>
                </w:r>
              </w:p>
            </w:tc>
            <w:tc>
              <w:tcPr>
                <w:tcW w:w="852" w:type="pct"/>
                <w:noWrap/>
                <w:hideMark/>
              </w:tcPr>
              <w:p w14:paraId="71AA1149"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18.89</w:t>
                </w:r>
                <w:r w:rsidR="007D1DBC" w:rsidRPr="00D90F39">
                  <w:rPr>
                    <w:rFonts w:cstheme="minorHAnsi"/>
                    <w:sz w:val="24"/>
                    <w:szCs w:val="24"/>
                  </w:rPr>
                  <w:t>: 1</w:t>
                </w:r>
              </w:p>
            </w:tc>
          </w:tr>
          <w:tr w:rsidR="00AB2CEC" w:rsidRPr="00D90F39" w14:paraId="2259F283"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7AEE46C7" w14:textId="77777777" w:rsidR="00AB2CEC" w:rsidRPr="00D90F39" w:rsidRDefault="00AB2CEC" w:rsidP="00D90F39">
                <w:pPr>
                  <w:rPr>
                    <w:rFonts w:asciiTheme="minorHAnsi" w:hAnsiTheme="minorHAnsi" w:cstheme="minorHAnsi"/>
                    <w:sz w:val="24"/>
                    <w:szCs w:val="24"/>
                  </w:rPr>
                </w:pPr>
              </w:p>
            </w:tc>
            <w:tc>
              <w:tcPr>
                <w:tcW w:w="1910" w:type="pct"/>
                <w:noWrap/>
                <w:hideMark/>
              </w:tcPr>
              <w:p w14:paraId="221E3DBA"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76" w:type="pct"/>
                <w:noWrap/>
                <w:hideMark/>
              </w:tcPr>
              <w:p w14:paraId="7D32BEBD"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52" w:type="pct"/>
                <w:noWrap/>
                <w:hideMark/>
              </w:tcPr>
              <w:p w14:paraId="1ECC6561"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AB2CEC" w:rsidRPr="00D90F39" w14:paraId="46688F53"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6FB94EDF" w14:textId="77777777" w:rsidR="00AB2CEC" w:rsidRPr="00D90F39" w:rsidRDefault="00AB2CEC" w:rsidP="00D90F39">
                <w:pPr>
                  <w:rPr>
                    <w:rFonts w:asciiTheme="minorHAnsi" w:hAnsiTheme="minorHAnsi" w:cstheme="minorHAnsi"/>
                    <w:b/>
                    <w:bCs/>
                    <w:sz w:val="24"/>
                    <w:szCs w:val="24"/>
                  </w:rPr>
                </w:pPr>
                <w:r w:rsidRPr="00D90F39">
                  <w:rPr>
                    <w:rFonts w:asciiTheme="minorHAnsi" w:hAnsiTheme="minorHAnsi" w:cstheme="minorHAnsi"/>
                    <w:b/>
                    <w:bCs/>
                    <w:sz w:val="24"/>
                    <w:szCs w:val="24"/>
                  </w:rPr>
                  <w:t>Investor ratios</w:t>
                </w:r>
              </w:p>
            </w:tc>
            <w:tc>
              <w:tcPr>
                <w:tcW w:w="1910" w:type="pct"/>
                <w:noWrap/>
                <w:hideMark/>
              </w:tcPr>
              <w:p w14:paraId="3313C590"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76" w:type="pct"/>
                <w:noWrap/>
                <w:hideMark/>
              </w:tcPr>
              <w:p w14:paraId="188EE53B"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852" w:type="pct"/>
                <w:noWrap/>
                <w:hideMark/>
              </w:tcPr>
              <w:p w14:paraId="3CFCB996"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AB2CEC" w:rsidRPr="00D90F39" w14:paraId="5DB86D36"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344F4935" w14:textId="77777777" w:rsidR="00AB2CEC" w:rsidRPr="00D90F39" w:rsidRDefault="00AB2CEC" w:rsidP="00D90F39">
                <w:pPr>
                  <w:pStyle w:val="ListParagraph"/>
                  <w:numPr>
                    <w:ilvl w:val="0"/>
                    <w:numId w:val="7"/>
                  </w:numPr>
                  <w:rPr>
                    <w:rFonts w:asciiTheme="minorHAnsi" w:hAnsiTheme="minorHAnsi" w:cstheme="minorHAnsi"/>
                    <w:sz w:val="24"/>
                    <w:szCs w:val="24"/>
                  </w:rPr>
                </w:pPr>
                <w:r w:rsidRPr="00D90F39">
                  <w:rPr>
                    <w:rFonts w:asciiTheme="minorHAnsi" w:hAnsiTheme="minorHAnsi" w:cstheme="minorHAnsi"/>
                    <w:sz w:val="24"/>
                    <w:szCs w:val="24"/>
                  </w:rPr>
                  <w:lastRenderedPageBreak/>
                  <w:t>Earnings per share</w:t>
                </w:r>
              </w:p>
            </w:tc>
            <w:tc>
              <w:tcPr>
                <w:tcW w:w="1910" w:type="pct"/>
                <w:noWrap/>
                <w:hideMark/>
              </w:tcPr>
              <w:p w14:paraId="60B838DD" w14:textId="77777777" w:rsidR="00AB2CEC" w:rsidRPr="00D90F39" w:rsidRDefault="00F75186"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Net profit-Preferred</w:t>
                </w:r>
                <w:r w:rsidR="00AB2CEC" w:rsidRPr="00D90F39">
                  <w:rPr>
                    <w:rFonts w:cstheme="minorHAnsi"/>
                    <w:sz w:val="24"/>
                    <w:szCs w:val="24"/>
                  </w:rPr>
                  <w:t xml:space="preserve"> dividends</w:t>
                </w:r>
                <w:r w:rsidR="0072772B" w:rsidRPr="00D90F39">
                  <w:rPr>
                    <w:rFonts w:cstheme="minorHAnsi"/>
                    <w:sz w:val="24"/>
                    <w:szCs w:val="24"/>
                  </w:rPr>
                  <w:t>/</w:t>
                </w:r>
                <w:r w:rsidR="00AB2CEC" w:rsidRPr="00D90F39">
                  <w:rPr>
                    <w:rFonts w:cstheme="minorHAnsi"/>
                    <w:sz w:val="24"/>
                    <w:szCs w:val="24"/>
                  </w:rPr>
                  <w:t>Weighted number of common shares outstanding</w:t>
                </w:r>
              </w:p>
            </w:tc>
            <w:tc>
              <w:tcPr>
                <w:tcW w:w="876" w:type="pct"/>
                <w:noWrap/>
                <w:hideMark/>
              </w:tcPr>
              <w:p w14:paraId="166A627C"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0.08</w:t>
                </w:r>
                <w:r w:rsidR="00DA69D0" w:rsidRPr="00D90F39">
                  <w:rPr>
                    <w:rFonts w:cstheme="minorHAnsi"/>
                    <w:sz w:val="24"/>
                    <w:szCs w:val="24"/>
                  </w:rPr>
                  <w:t xml:space="preserve"> pence per share</w:t>
                </w:r>
              </w:p>
            </w:tc>
            <w:tc>
              <w:tcPr>
                <w:tcW w:w="852" w:type="pct"/>
                <w:noWrap/>
                <w:hideMark/>
              </w:tcPr>
              <w:p w14:paraId="0A50ED9E" w14:textId="77777777" w:rsidR="00AB2CEC" w:rsidRPr="00D90F39" w:rsidRDefault="00AB2CEC"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D90F39">
                  <w:rPr>
                    <w:rFonts w:cstheme="minorHAnsi"/>
                    <w:sz w:val="24"/>
                    <w:szCs w:val="24"/>
                  </w:rPr>
                  <w:t>0.06</w:t>
                </w:r>
                <w:r w:rsidR="00DA69D0" w:rsidRPr="00D90F39">
                  <w:rPr>
                    <w:rFonts w:cstheme="minorHAnsi"/>
                    <w:sz w:val="24"/>
                    <w:szCs w:val="24"/>
                  </w:rPr>
                  <w:t xml:space="preserve"> pence per share</w:t>
                </w:r>
              </w:p>
            </w:tc>
          </w:tr>
          <w:tr w:rsidR="00AB2CEC" w:rsidRPr="00D90F39" w14:paraId="05631E32" w14:textId="77777777" w:rsidTr="00F402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2" w:type="pct"/>
                <w:noWrap/>
                <w:hideMark/>
              </w:tcPr>
              <w:p w14:paraId="07428DE8" w14:textId="77777777" w:rsidR="00AB2CEC" w:rsidRPr="00D90F39" w:rsidRDefault="00AB2CEC" w:rsidP="00D90F39">
                <w:pPr>
                  <w:pStyle w:val="ListParagraph"/>
                  <w:numPr>
                    <w:ilvl w:val="0"/>
                    <w:numId w:val="7"/>
                  </w:numPr>
                  <w:rPr>
                    <w:rFonts w:asciiTheme="minorHAnsi" w:hAnsiTheme="minorHAnsi" w:cstheme="minorHAnsi"/>
                    <w:sz w:val="24"/>
                    <w:szCs w:val="24"/>
                  </w:rPr>
                </w:pPr>
                <w:r w:rsidRPr="00D90F39">
                  <w:rPr>
                    <w:rFonts w:asciiTheme="minorHAnsi" w:hAnsiTheme="minorHAnsi" w:cstheme="minorHAnsi"/>
                    <w:sz w:val="24"/>
                    <w:szCs w:val="24"/>
                  </w:rPr>
                  <w:t>Dividend payout ratio</w:t>
                </w:r>
              </w:p>
            </w:tc>
            <w:tc>
              <w:tcPr>
                <w:tcW w:w="1910" w:type="pct"/>
                <w:noWrap/>
                <w:hideMark/>
              </w:tcPr>
              <w:p w14:paraId="1F4AB63B" w14:textId="77777777" w:rsidR="00AB2CEC" w:rsidRPr="00D90F39" w:rsidRDefault="00F75186"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 xml:space="preserve"> D</w:t>
                </w:r>
                <w:r w:rsidR="00AB2CEC" w:rsidRPr="00D90F39">
                  <w:rPr>
                    <w:rFonts w:cstheme="minorHAnsi"/>
                    <w:sz w:val="24"/>
                    <w:szCs w:val="24"/>
                  </w:rPr>
                  <w:t>ividends paid</w:t>
                </w:r>
                <w:r w:rsidR="0072772B" w:rsidRPr="00D90F39">
                  <w:rPr>
                    <w:rFonts w:cstheme="minorHAnsi"/>
                    <w:sz w:val="24"/>
                    <w:szCs w:val="24"/>
                  </w:rPr>
                  <w:t>/</w:t>
                </w:r>
                <w:r w:rsidR="00BC0B6D" w:rsidRPr="00D90F39">
                  <w:rPr>
                    <w:rFonts w:cstheme="minorHAnsi"/>
                    <w:sz w:val="24"/>
                    <w:szCs w:val="24"/>
                  </w:rPr>
                  <w:t>P</w:t>
                </w:r>
                <w:r w:rsidR="00AB2CEC" w:rsidRPr="00D90F39">
                  <w:rPr>
                    <w:rFonts w:cstheme="minorHAnsi"/>
                    <w:sz w:val="24"/>
                    <w:szCs w:val="24"/>
                  </w:rPr>
                  <w:t>rofit for the year * 100</w:t>
                </w:r>
              </w:p>
            </w:tc>
            <w:tc>
              <w:tcPr>
                <w:tcW w:w="876" w:type="pct"/>
                <w:noWrap/>
                <w:hideMark/>
              </w:tcPr>
              <w:p w14:paraId="103DAAB6"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29.92</w:t>
                </w:r>
                <w:r w:rsidR="00DA69D0" w:rsidRPr="00D90F39">
                  <w:rPr>
                    <w:rFonts w:cstheme="minorHAnsi"/>
                    <w:sz w:val="24"/>
                    <w:szCs w:val="24"/>
                  </w:rPr>
                  <w:t>%</w:t>
                </w:r>
              </w:p>
            </w:tc>
            <w:tc>
              <w:tcPr>
                <w:tcW w:w="852" w:type="pct"/>
                <w:noWrap/>
                <w:hideMark/>
              </w:tcPr>
              <w:p w14:paraId="28CAC137" w14:textId="77777777" w:rsidR="00AB2CEC" w:rsidRPr="00D90F39" w:rsidRDefault="00AB2CEC" w:rsidP="00D90F39">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D90F39">
                  <w:rPr>
                    <w:rFonts w:cstheme="minorHAnsi"/>
                    <w:sz w:val="24"/>
                    <w:szCs w:val="24"/>
                  </w:rPr>
                  <w:t>37.6</w:t>
                </w:r>
                <w:r w:rsidR="00DA69D0" w:rsidRPr="00D90F39">
                  <w:rPr>
                    <w:rFonts w:cstheme="minorHAnsi"/>
                    <w:sz w:val="24"/>
                    <w:szCs w:val="24"/>
                  </w:rPr>
                  <w:t>%</w:t>
                </w:r>
              </w:p>
            </w:tc>
          </w:tr>
          <w:tr w:rsidR="00F402CD" w:rsidRPr="00D90F39" w14:paraId="2BB4FA93" w14:textId="77777777" w:rsidTr="00F402CD">
            <w:trPr>
              <w:trHeight w:val="300"/>
            </w:trPr>
            <w:tc>
              <w:tcPr>
                <w:cnfStyle w:val="001000000000" w:firstRow="0" w:lastRow="0" w:firstColumn="1" w:lastColumn="0" w:oddVBand="0" w:evenVBand="0" w:oddHBand="0" w:evenHBand="0" w:firstRowFirstColumn="0" w:firstRowLastColumn="0" w:lastRowFirstColumn="0" w:lastRowLastColumn="0"/>
                <w:tcW w:w="1362" w:type="pct"/>
                <w:noWrap/>
              </w:tcPr>
              <w:p w14:paraId="3B35C9C5" w14:textId="77777777" w:rsidR="00F402CD" w:rsidRPr="00D90F39" w:rsidRDefault="00F402CD" w:rsidP="00D90F39">
                <w:pPr>
                  <w:pStyle w:val="ListParagraph"/>
                  <w:ind w:left="450"/>
                  <w:rPr>
                    <w:rFonts w:asciiTheme="minorHAnsi" w:hAnsiTheme="minorHAnsi" w:cstheme="minorHAnsi"/>
                    <w:sz w:val="24"/>
                    <w:szCs w:val="24"/>
                  </w:rPr>
                </w:pPr>
              </w:p>
            </w:tc>
            <w:tc>
              <w:tcPr>
                <w:tcW w:w="1910" w:type="pct"/>
                <w:noWrap/>
              </w:tcPr>
              <w:p w14:paraId="7C1EA326" w14:textId="77777777" w:rsidR="00F402CD" w:rsidRDefault="00F402CD"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198A6DA0" w14:textId="77777777" w:rsidR="00322315" w:rsidRPr="00D90F39" w:rsidRDefault="00322315"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76" w:type="pct"/>
                <w:noWrap/>
              </w:tcPr>
              <w:p w14:paraId="6E9C4B8B" w14:textId="77777777" w:rsidR="00F402CD" w:rsidRPr="00D90F39" w:rsidRDefault="00F402CD"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852" w:type="pct"/>
                <w:noWrap/>
              </w:tcPr>
              <w:p w14:paraId="7D0B0B14" w14:textId="77777777" w:rsidR="00F402CD" w:rsidRPr="00D90F39" w:rsidRDefault="00F402CD" w:rsidP="00D90F39">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bl>
        <w:p w14:paraId="468A1504" w14:textId="77777777" w:rsidR="009C7DDC" w:rsidRDefault="009C7DDC" w:rsidP="00D90F39">
          <w:pPr>
            <w:pStyle w:val="Heading2"/>
            <w:rPr>
              <w:rFonts w:asciiTheme="minorHAnsi" w:hAnsiTheme="minorHAnsi" w:cstheme="minorHAnsi"/>
              <w:sz w:val="28"/>
              <w:szCs w:val="28"/>
            </w:rPr>
          </w:pPr>
          <w:bookmarkStart w:id="6" w:name="_Toc186730293"/>
          <w:r w:rsidRPr="005B1DBD">
            <w:rPr>
              <w:rFonts w:asciiTheme="minorHAnsi" w:hAnsiTheme="minorHAnsi" w:cstheme="minorHAnsi"/>
              <w:sz w:val="28"/>
              <w:szCs w:val="28"/>
            </w:rPr>
            <w:t>Critical evaluation of the ratios calculated</w:t>
          </w:r>
          <w:bookmarkEnd w:id="6"/>
        </w:p>
        <w:p w14:paraId="3A27F683" w14:textId="77777777" w:rsidR="00322315" w:rsidRPr="00322315" w:rsidRDefault="00322315" w:rsidP="00322315"/>
        <w:p w14:paraId="3A5524C7" w14:textId="77777777" w:rsidR="009C7DDC" w:rsidRPr="00D90F39" w:rsidRDefault="00D64549" w:rsidP="00D90F39">
          <w:pPr>
            <w:rPr>
              <w:rFonts w:cstheme="minorHAnsi"/>
              <w:sz w:val="24"/>
              <w:szCs w:val="24"/>
            </w:rPr>
          </w:pPr>
          <w:r w:rsidRPr="00D90F39">
            <w:rPr>
              <w:rFonts w:cstheme="minorHAnsi"/>
              <w:sz w:val="24"/>
              <w:szCs w:val="24"/>
            </w:rPr>
            <w:t xml:space="preserve">Depending on the ratios calculated above for </w:t>
          </w:r>
          <w:r w:rsidR="009C4275" w:rsidRPr="00D90F39">
            <w:rPr>
              <w:rFonts w:cstheme="minorHAnsi"/>
              <w:sz w:val="24"/>
              <w:szCs w:val="24"/>
            </w:rPr>
            <w:t>Lloyds</w:t>
          </w:r>
          <w:r w:rsidRPr="00D90F39">
            <w:rPr>
              <w:rFonts w:cstheme="minorHAnsi"/>
              <w:sz w:val="24"/>
              <w:szCs w:val="24"/>
            </w:rPr>
            <w:t xml:space="preserve"> Banking Group Plc, the following is an evaluation of the company’s performance –</w:t>
          </w:r>
        </w:p>
        <w:p w14:paraId="6F70B677" w14:textId="77777777" w:rsidR="00D64549" w:rsidRPr="00D90F39" w:rsidRDefault="00D64549" w:rsidP="00D90F39">
          <w:pPr>
            <w:rPr>
              <w:rFonts w:cstheme="minorHAnsi"/>
              <w:b/>
              <w:i/>
              <w:sz w:val="24"/>
              <w:szCs w:val="24"/>
            </w:rPr>
          </w:pPr>
          <w:r w:rsidRPr="00D90F39">
            <w:rPr>
              <w:rFonts w:cstheme="minorHAnsi"/>
              <w:b/>
              <w:i/>
              <w:sz w:val="24"/>
              <w:szCs w:val="24"/>
            </w:rPr>
            <w:t>Analysis of profitability</w:t>
          </w:r>
        </w:p>
        <w:p w14:paraId="5214DAB5" w14:textId="77777777" w:rsidR="00A60498" w:rsidRPr="00D90F39" w:rsidRDefault="00D01005" w:rsidP="00D90F39">
          <w:pPr>
            <w:rPr>
              <w:rFonts w:cstheme="minorHAnsi"/>
              <w:sz w:val="24"/>
              <w:szCs w:val="24"/>
            </w:rPr>
          </w:pPr>
          <w:r w:rsidRPr="00D90F39">
            <w:rPr>
              <w:rFonts w:cstheme="minorHAnsi"/>
              <w:sz w:val="24"/>
              <w:szCs w:val="24"/>
            </w:rPr>
            <w:t xml:space="preserve">Horngren </w:t>
          </w:r>
          <w:r w:rsidRPr="00D90F39">
            <w:rPr>
              <w:rFonts w:cstheme="minorHAnsi"/>
              <w:i/>
              <w:sz w:val="24"/>
              <w:szCs w:val="24"/>
            </w:rPr>
            <w:t>et al</w:t>
          </w:r>
          <w:r w:rsidRPr="00D90F39">
            <w:rPr>
              <w:rFonts w:cstheme="minorHAnsi"/>
              <w:sz w:val="24"/>
              <w:szCs w:val="24"/>
            </w:rPr>
            <w:t xml:space="preserve">. </w:t>
          </w:r>
          <w:r w:rsidR="003F3716" w:rsidRPr="00D90F39">
            <w:rPr>
              <w:rFonts w:cstheme="minorHAnsi"/>
              <w:sz w:val="24"/>
              <w:szCs w:val="24"/>
            </w:rPr>
            <w:t>(</w:t>
          </w:r>
          <w:r w:rsidRPr="00D90F39">
            <w:rPr>
              <w:rFonts w:cstheme="minorHAnsi"/>
              <w:sz w:val="24"/>
              <w:szCs w:val="24"/>
            </w:rPr>
            <w:t>2019</w:t>
          </w:r>
          <w:r w:rsidR="00BC0B6D" w:rsidRPr="00D90F39">
            <w:rPr>
              <w:rFonts w:cstheme="minorHAnsi"/>
              <w:sz w:val="24"/>
              <w:szCs w:val="24"/>
            </w:rPr>
            <w:t xml:space="preserve">) mentioned that </w:t>
          </w:r>
          <w:r w:rsidR="003F3716" w:rsidRPr="00D90F39">
            <w:rPr>
              <w:rFonts w:cstheme="minorHAnsi"/>
              <w:sz w:val="24"/>
              <w:szCs w:val="24"/>
            </w:rPr>
            <w:t>the profitability ratios refer to the specific group of ratios, which help in the determination of a company’s capacity and efficiency of profit generation.</w:t>
          </w:r>
          <w:r w:rsidR="00665CCE" w:rsidRPr="00D90F39">
            <w:rPr>
              <w:rFonts w:cstheme="minorHAnsi"/>
              <w:sz w:val="24"/>
              <w:szCs w:val="24"/>
            </w:rPr>
            <w:t xml:space="preserve"> However, profitability ratios are of different types such as gross profit and net profit margin. The gross profit margin shows the profit percentage secured after cost of sales are deducted from revenues (</w:t>
          </w:r>
          <w:r w:rsidR="00B17790" w:rsidRPr="00D90F39">
            <w:rPr>
              <w:rFonts w:cstheme="minorHAnsi"/>
              <w:sz w:val="24"/>
              <w:szCs w:val="24"/>
              <w:lang w:val="en-US"/>
            </w:rPr>
            <w:t>Mao, 2023</w:t>
          </w:r>
          <w:r w:rsidR="00665CCE" w:rsidRPr="00D90F39">
            <w:rPr>
              <w:rFonts w:cstheme="minorHAnsi"/>
              <w:sz w:val="24"/>
              <w:szCs w:val="24"/>
            </w:rPr>
            <w:t xml:space="preserve">). However, </w:t>
          </w:r>
          <w:proofErr w:type="spellStart"/>
          <w:r w:rsidR="00B17790" w:rsidRPr="00D90F39">
            <w:rPr>
              <w:rFonts w:cstheme="minorHAnsi"/>
              <w:sz w:val="24"/>
              <w:szCs w:val="24"/>
            </w:rPr>
            <w:t>Alvian</w:t>
          </w:r>
          <w:proofErr w:type="spellEnd"/>
          <w:r w:rsidR="00B17790" w:rsidRPr="00D90F39">
            <w:rPr>
              <w:rFonts w:cstheme="minorHAnsi"/>
              <w:sz w:val="24"/>
              <w:szCs w:val="24"/>
            </w:rPr>
            <w:t xml:space="preserve"> and Munandar </w:t>
          </w:r>
          <w:r w:rsidR="00665CCE" w:rsidRPr="00D90F39">
            <w:rPr>
              <w:rFonts w:cstheme="minorHAnsi"/>
              <w:sz w:val="24"/>
              <w:szCs w:val="24"/>
            </w:rPr>
            <w:t>(</w:t>
          </w:r>
          <w:r w:rsidR="00B17790" w:rsidRPr="00D90F39">
            <w:rPr>
              <w:rFonts w:cstheme="minorHAnsi"/>
              <w:sz w:val="24"/>
              <w:szCs w:val="24"/>
            </w:rPr>
            <w:t>2022</w:t>
          </w:r>
          <w:r w:rsidR="00665CCE" w:rsidRPr="00D90F39">
            <w:rPr>
              <w:rFonts w:cstheme="minorHAnsi"/>
              <w:sz w:val="24"/>
              <w:szCs w:val="24"/>
            </w:rPr>
            <w:t>) mentioned that the net profit margin shows the profit percentage secured in a company after all costs and expenses are charged to its revenues generated.</w:t>
          </w:r>
          <w:r w:rsidR="00B63234" w:rsidRPr="00D90F39">
            <w:rPr>
              <w:rFonts w:cstheme="minorHAnsi"/>
              <w:sz w:val="24"/>
              <w:szCs w:val="24"/>
            </w:rPr>
            <w:t xml:space="preserve"> </w:t>
          </w:r>
          <w:r w:rsidR="009C4275" w:rsidRPr="00D90F39">
            <w:rPr>
              <w:rFonts w:cstheme="minorHAnsi"/>
              <w:sz w:val="24"/>
              <w:szCs w:val="24"/>
            </w:rPr>
            <w:t>Lloyds</w:t>
          </w:r>
          <w:r w:rsidR="00B63234" w:rsidRPr="00D90F39">
            <w:rPr>
              <w:rFonts w:cstheme="minorHAnsi"/>
              <w:sz w:val="24"/>
              <w:szCs w:val="24"/>
            </w:rPr>
            <w:t xml:space="preserve"> Banking Group Plc’s gross profit margin shows a huge reduction </w:t>
          </w:r>
          <w:r w:rsidR="00C4255D" w:rsidRPr="00D90F39">
            <w:rPr>
              <w:rFonts w:cstheme="minorHAnsi"/>
              <w:sz w:val="24"/>
              <w:szCs w:val="24"/>
            </w:rPr>
            <w:t xml:space="preserve">from 73.23% to 47.41% </w:t>
          </w:r>
          <w:r w:rsidR="00B63234" w:rsidRPr="00D90F39">
            <w:rPr>
              <w:rFonts w:cstheme="minorHAnsi"/>
              <w:sz w:val="24"/>
              <w:szCs w:val="24"/>
            </w:rPr>
            <w:t xml:space="preserve">in 2023 relative to 2022. </w:t>
          </w:r>
        </w:p>
        <w:p w14:paraId="051725C1" w14:textId="77777777" w:rsidR="00D64549" w:rsidRPr="00D90F39" w:rsidRDefault="00B63234" w:rsidP="00D90F39">
          <w:pPr>
            <w:rPr>
              <w:rFonts w:cstheme="minorHAnsi"/>
              <w:sz w:val="24"/>
              <w:szCs w:val="24"/>
            </w:rPr>
          </w:pPr>
          <w:r w:rsidRPr="00D90F39">
            <w:rPr>
              <w:rFonts w:cstheme="minorHAnsi"/>
              <w:sz w:val="24"/>
              <w:szCs w:val="24"/>
            </w:rPr>
            <w:t xml:space="preserve">This reduction is seen despite the increase in the company’s revenue. The probable reason for this reduction is the </w:t>
          </w:r>
          <w:r w:rsidR="00E12DDD" w:rsidRPr="00D90F39">
            <w:rPr>
              <w:rFonts w:cstheme="minorHAnsi"/>
              <w:sz w:val="24"/>
              <w:szCs w:val="24"/>
            </w:rPr>
            <w:t>enlargement of</w:t>
          </w:r>
          <w:r w:rsidRPr="00D90F39">
            <w:rPr>
              <w:rFonts w:cstheme="minorHAnsi"/>
              <w:sz w:val="24"/>
              <w:szCs w:val="24"/>
            </w:rPr>
            <w:t xml:space="preserve"> the cost of sales of the company by more than 200% in these two years. Conversely, </w:t>
          </w:r>
          <w:r w:rsidR="009C4275" w:rsidRPr="00D90F39">
            <w:rPr>
              <w:rFonts w:cstheme="minorHAnsi"/>
              <w:sz w:val="24"/>
              <w:szCs w:val="24"/>
            </w:rPr>
            <w:t>Lloyds</w:t>
          </w:r>
          <w:r w:rsidRPr="00D90F39">
            <w:rPr>
              <w:rFonts w:cstheme="minorHAnsi"/>
              <w:sz w:val="24"/>
              <w:szCs w:val="24"/>
            </w:rPr>
            <w:t xml:space="preserve"> Banking Group Plc’s net profit margin shows an increase </w:t>
          </w:r>
          <w:r w:rsidR="00C4255D" w:rsidRPr="00D90F39">
            <w:rPr>
              <w:rFonts w:cstheme="minorHAnsi"/>
              <w:sz w:val="24"/>
              <w:szCs w:val="24"/>
            </w:rPr>
            <w:t xml:space="preserve">from 0.45% to 0.63% </w:t>
          </w:r>
          <w:r w:rsidRPr="00D90F39">
            <w:rPr>
              <w:rFonts w:cstheme="minorHAnsi"/>
              <w:sz w:val="24"/>
              <w:szCs w:val="24"/>
            </w:rPr>
            <w:t>in 2023 relative to 2022.</w:t>
          </w:r>
          <w:r w:rsidR="00657C07" w:rsidRPr="00D90F39">
            <w:rPr>
              <w:rFonts w:cstheme="minorHAnsi"/>
              <w:sz w:val="24"/>
              <w:szCs w:val="24"/>
            </w:rPr>
            <w:t xml:space="preserve"> The strong increase that has occurred in the revenues of the company is the probable reason due to which this ratio has improved. However, on an overall basis, the net profit margin of this company is poor and shows a poor profit generated in the company on an overall basis. The company needs to focus on the improvement of its profitability.</w:t>
          </w:r>
        </w:p>
        <w:p w14:paraId="641001FA" w14:textId="77777777" w:rsidR="00291C25" w:rsidRPr="00D90F39" w:rsidRDefault="00291C25" w:rsidP="00085759">
          <w:pPr>
            <w:jc w:val="center"/>
            <w:rPr>
              <w:rFonts w:cstheme="minorHAnsi"/>
              <w:sz w:val="24"/>
              <w:szCs w:val="24"/>
            </w:rPr>
          </w:pPr>
          <w:r w:rsidRPr="00D90F39">
            <w:rPr>
              <w:rFonts w:cstheme="minorHAnsi"/>
              <w:noProof/>
              <w:sz w:val="24"/>
              <w:szCs w:val="24"/>
              <w:lang w:val="en-US"/>
            </w:rPr>
            <w:lastRenderedPageBreak/>
            <w:drawing>
              <wp:inline distT="0" distB="0" distL="0" distR="0" wp14:anchorId="5178D497" wp14:editId="23808A89">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528BBBF" w14:textId="06989B53" w:rsidR="00534AFD" w:rsidRPr="00D90F39" w:rsidRDefault="00534AFD" w:rsidP="00085759">
          <w:pPr>
            <w:pStyle w:val="Caption"/>
            <w:rPr>
              <w:rFonts w:cstheme="minorHAnsi"/>
              <w:sz w:val="24"/>
              <w:szCs w:val="24"/>
            </w:rPr>
          </w:pPr>
          <w:bookmarkStart w:id="7" w:name="_Toc186730477"/>
          <w:r w:rsidRPr="00D90F39">
            <w:rPr>
              <w:rFonts w:cstheme="minorHAnsi"/>
              <w:sz w:val="24"/>
              <w:szCs w:val="24"/>
            </w:rPr>
            <w:t xml:space="preserve">Figure </w:t>
          </w:r>
          <w:r w:rsidRPr="00D90F39">
            <w:rPr>
              <w:rFonts w:cstheme="minorHAnsi"/>
              <w:sz w:val="24"/>
              <w:szCs w:val="24"/>
            </w:rPr>
            <w:fldChar w:fldCharType="begin"/>
          </w:r>
          <w:r w:rsidRPr="00D90F39">
            <w:rPr>
              <w:rFonts w:cstheme="minorHAnsi"/>
              <w:sz w:val="24"/>
              <w:szCs w:val="24"/>
            </w:rPr>
            <w:instrText xml:space="preserve"> SEQ Figure \* ARABIC </w:instrText>
          </w:r>
          <w:r w:rsidRPr="00D90F39">
            <w:rPr>
              <w:rFonts w:cstheme="minorHAnsi"/>
              <w:sz w:val="24"/>
              <w:szCs w:val="24"/>
            </w:rPr>
            <w:fldChar w:fldCharType="separate"/>
          </w:r>
          <w:r w:rsidR="00B71885">
            <w:rPr>
              <w:rFonts w:cstheme="minorHAnsi"/>
              <w:noProof/>
              <w:sz w:val="24"/>
              <w:szCs w:val="24"/>
            </w:rPr>
            <w:t>2</w:t>
          </w:r>
          <w:r w:rsidRPr="00D90F39">
            <w:rPr>
              <w:rFonts w:cstheme="minorHAnsi"/>
              <w:noProof/>
              <w:sz w:val="24"/>
              <w:szCs w:val="24"/>
            </w:rPr>
            <w:fldChar w:fldCharType="end"/>
          </w:r>
          <w:r w:rsidRPr="00D90F39">
            <w:rPr>
              <w:rFonts w:cstheme="minorHAnsi"/>
              <w:sz w:val="24"/>
              <w:szCs w:val="24"/>
            </w:rPr>
            <w:t xml:space="preserve">: Profitability ratios of </w:t>
          </w:r>
          <w:r w:rsidR="009C4275" w:rsidRPr="00D90F39">
            <w:rPr>
              <w:rFonts w:cstheme="minorHAnsi"/>
              <w:sz w:val="24"/>
              <w:szCs w:val="24"/>
            </w:rPr>
            <w:t>Lloyds</w:t>
          </w:r>
          <w:r w:rsidRPr="00D90F39">
            <w:rPr>
              <w:rFonts w:cstheme="minorHAnsi"/>
              <w:sz w:val="24"/>
              <w:szCs w:val="24"/>
            </w:rPr>
            <w:t xml:space="preserve"> Banking Group plc</w:t>
          </w:r>
          <w:bookmarkEnd w:id="7"/>
        </w:p>
        <w:p w14:paraId="16B765C2" w14:textId="77777777" w:rsidR="00534AFD" w:rsidRPr="00D90F39" w:rsidRDefault="00534AFD" w:rsidP="00085759">
          <w:pPr>
            <w:jc w:val="center"/>
            <w:rPr>
              <w:rFonts w:cstheme="minorHAnsi"/>
              <w:sz w:val="24"/>
              <w:szCs w:val="24"/>
            </w:rPr>
          </w:pPr>
          <w:r w:rsidRPr="00D90F39">
            <w:rPr>
              <w:rFonts w:cstheme="minorHAnsi"/>
              <w:sz w:val="24"/>
              <w:szCs w:val="24"/>
            </w:rPr>
            <w:t>(Source: Created by the learner)</w:t>
          </w:r>
        </w:p>
        <w:p w14:paraId="14C76F03" w14:textId="77777777" w:rsidR="00D64549" w:rsidRPr="00D90F39" w:rsidRDefault="00D64549" w:rsidP="00D90F39">
          <w:pPr>
            <w:rPr>
              <w:rFonts w:cstheme="minorHAnsi"/>
              <w:sz w:val="24"/>
              <w:szCs w:val="24"/>
            </w:rPr>
          </w:pPr>
          <w:r w:rsidRPr="00D90F39">
            <w:rPr>
              <w:rFonts w:cstheme="minorHAnsi"/>
              <w:b/>
              <w:i/>
              <w:sz w:val="24"/>
              <w:szCs w:val="24"/>
            </w:rPr>
            <w:t xml:space="preserve">Analysis of </w:t>
          </w:r>
          <w:r w:rsidR="00C321F2" w:rsidRPr="00D90F39">
            <w:rPr>
              <w:rFonts w:cstheme="minorHAnsi"/>
              <w:b/>
              <w:i/>
              <w:sz w:val="24"/>
              <w:szCs w:val="24"/>
            </w:rPr>
            <w:t>efficiency</w:t>
          </w:r>
        </w:p>
        <w:p w14:paraId="41FA8E05" w14:textId="77777777" w:rsidR="00EC4748" w:rsidRPr="00D90F39" w:rsidRDefault="009705C1" w:rsidP="00D90F39">
          <w:pPr>
            <w:rPr>
              <w:rFonts w:cstheme="minorHAnsi"/>
              <w:sz w:val="24"/>
              <w:szCs w:val="24"/>
            </w:rPr>
          </w:pPr>
          <w:r w:rsidRPr="00D90F39">
            <w:rPr>
              <w:rFonts w:cstheme="minorHAnsi"/>
              <w:sz w:val="24"/>
              <w:szCs w:val="24"/>
            </w:rPr>
            <w:t>Efficiency ratios can be defined as the group of ratios, which assists companies in terms of measuring how well they use their resources for the generation of income (</w:t>
          </w:r>
          <w:r w:rsidR="00D01005" w:rsidRPr="00D90F39">
            <w:rPr>
              <w:rFonts w:cstheme="minorHAnsi"/>
              <w:sz w:val="24"/>
              <w:szCs w:val="24"/>
            </w:rPr>
            <w:t>Drury, 2021</w:t>
          </w:r>
          <w:r w:rsidRPr="00D90F39">
            <w:rPr>
              <w:rFonts w:cstheme="minorHAnsi"/>
              <w:sz w:val="24"/>
              <w:szCs w:val="24"/>
            </w:rPr>
            <w:t>).</w:t>
          </w:r>
          <w:r w:rsidR="00665CCE" w:rsidRPr="00D90F39">
            <w:rPr>
              <w:rFonts w:cstheme="minorHAnsi"/>
              <w:sz w:val="24"/>
              <w:szCs w:val="24"/>
            </w:rPr>
            <w:t xml:space="preserve"> Asset turnover ratio and trade payable days are the two main efficiency ratios. </w:t>
          </w:r>
          <w:proofErr w:type="spellStart"/>
          <w:r w:rsidR="00B17790" w:rsidRPr="00D90F39">
            <w:rPr>
              <w:rFonts w:cstheme="minorHAnsi"/>
              <w:sz w:val="24"/>
              <w:szCs w:val="24"/>
            </w:rPr>
            <w:t>Firman</w:t>
          </w:r>
          <w:proofErr w:type="spellEnd"/>
          <w:r w:rsidR="00B17790" w:rsidRPr="00D90F39">
            <w:rPr>
              <w:rFonts w:cstheme="minorHAnsi"/>
              <w:sz w:val="24"/>
              <w:szCs w:val="24"/>
            </w:rPr>
            <w:t xml:space="preserve"> and Salvia </w:t>
          </w:r>
          <w:r w:rsidR="00665CCE" w:rsidRPr="00D90F39">
            <w:rPr>
              <w:rFonts w:cstheme="minorHAnsi"/>
              <w:sz w:val="24"/>
              <w:szCs w:val="24"/>
            </w:rPr>
            <w:t>(</w:t>
          </w:r>
          <w:r w:rsidR="00B17790" w:rsidRPr="00D90F39">
            <w:rPr>
              <w:rFonts w:cstheme="minorHAnsi"/>
              <w:sz w:val="24"/>
              <w:szCs w:val="24"/>
            </w:rPr>
            <w:t>2021</w:t>
          </w:r>
          <w:r w:rsidR="00665CCE" w:rsidRPr="00D90F39">
            <w:rPr>
              <w:rFonts w:cstheme="minorHAnsi"/>
              <w:sz w:val="24"/>
              <w:szCs w:val="24"/>
            </w:rPr>
            <w:t xml:space="preserve">) defined asset turnover ratio as the ratio shows the efficiency </w:t>
          </w:r>
          <w:r w:rsidR="00E12DDD" w:rsidRPr="00D90F39">
            <w:rPr>
              <w:rFonts w:cstheme="minorHAnsi"/>
              <w:sz w:val="24"/>
              <w:szCs w:val="24"/>
            </w:rPr>
            <w:t>present within</w:t>
          </w:r>
          <w:r w:rsidR="00665CCE" w:rsidRPr="00D90F39">
            <w:rPr>
              <w:rFonts w:cstheme="minorHAnsi"/>
              <w:sz w:val="24"/>
              <w:szCs w:val="24"/>
            </w:rPr>
            <w:t xml:space="preserve"> a company’s assets </w:t>
          </w:r>
          <w:r w:rsidR="00E12DDD" w:rsidRPr="00D90F39">
            <w:rPr>
              <w:rFonts w:cstheme="minorHAnsi"/>
              <w:sz w:val="24"/>
              <w:szCs w:val="24"/>
            </w:rPr>
            <w:t xml:space="preserve">in terms of generation of </w:t>
          </w:r>
          <w:r w:rsidR="00665CCE" w:rsidRPr="00D90F39">
            <w:rPr>
              <w:rFonts w:cstheme="minorHAnsi"/>
              <w:sz w:val="24"/>
              <w:szCs w:val="24"/>
            </w:rPr>
            <w:t xml:space="preserve">revenues. However, </w:t>
          </w:r>
          <w:proofErr w:type="spellStart"/>
          <w:r w:rsidR="00B17790" w:rsidRPr="00D90F39">
            <w:rPr>
              <w:rFonts w:cstheme="minorHAnsi"/>
              <w:sz w:val="24"/>
              <w:szCs w:val="24"/>
              <w:lang w:val="en-US"/>
            </w:rPr>
            <w:t>Koralun-Bereźnicka</w:t>
          </w:r>
          <w:proofErr w:type="spellEnd"/>
          <w:r w:rsidR="00B17790" w:rsidRPr="00D90F39">
            <w:rPr>
              <w:rFonts w:cstheme="minorHAnsi"/>
              <w:sz w:val="24"/>
              <w:szCs w:val="24"/>
            </w:rPr>
            <w:t xml:space="preserve"> </w:t>
          </w:r>
          <w:r w:rsidR="00665CCE" w:rsidRPr="00D90F39">
            <w:rPr>
              <w:rFonts w:cstheme="minorHAnsi"/>
              <w:sz w:val="24"/>
              <w:szCs w:val="24"/>
            </w:rPr>
            <w:t>(</w:t>
          </w:r>
          <w:r w:rsidR="00B17790" w:rsidRPr="00D90F39">
            <w:rPr>
              <w:rFonts w:cstheme="minorHAnsi"/>
              <w:sz w:val="24"/>
              <w:szCs w:val="24"/>
            </w:rPr>
            <w:t>2022</w:t>
          </w:r>
          <w:r w:rsidR="00665CCE" w:rsidRPr="00D90F39">
            <w:rPr>
              <w:rFonts w:cstheme="minorHAnsi"/>
              <w:sz w:val="24"/>
              <w:szCs w:val="24"/>
            </w:rPr>
            <w:t>) stated that trade payable days indicates the average timeframe needed for paying off trade creditors.</w:t>
          </w:r>
          <w:r w:rsidR="00A60498" w:rsidRPr="00D90F39">
            <w:rPr>
              <w:rFonts w:cstheme="minorHAnsi"/>
              <w:sz w:val="24"/>
              <w:szCs w:val="24"/>
            </w:rPr>
            <w:t xml:space="preserve"> </w:t>
          </w:r>
          <w:r w:rsidR="009C4275" w:rsidRPr="00D90F39">
            <w:rPr>
              <w:rFonts w:cstheme="minorHAnsi"/>
              <w:sz w:val="24"/>
              <w:szCs w:val="24"/>
            </w:rPr>
            <w:t>Lloyds</w:t>
          </w:r>
          <w:r w:rsidR="00A60498" w:rsidRPr="00D90F39">
            <w:rPr>
              <w:rFonts w:cstheme="minorHAnsi"/>
              <w:sz w:val="24"/>
              <w:szCs w:val="24"/>
            </w:rPr>
            <w:t xml:space="preserve"> Banking Group Plc’s asset turnover ratio shows a marginal increase</w:t>
          </w:r>
          <w:r w:rsidR="00C4255D" w:rsidRPr="00D90F39">
            <w:rPr>
              <w:rFonts w:cstheme="minorHAnsi"/>
              <w:sz w:val="24"/>
              <w:szCs w:val="24"/>
            </w:rPr>
            <w:t xml:space="preserve"> from 0.02 to 0.03 </w:t>
          </w:r>
          <w:r w:rsidR="00A60498" w:rsidRPr="00D90F39">
            <w:rPr>
              <w:rFonts w:cstheme="minorHAnsi"/>
              <w:sz w:val="24"/>
              <w:szCs w:val="24"/>
            </w:rPr>
            <w:t>in 2023 relative to 2022</w:t>
          </w:r>
          <w:r w:rsidR="00EC4748" w:rsidRPr="00D90F39">
            <w:rPr>
              <w:rFonts w:cstheme="minorHAnsi"/>
              <w:sz w:val="24"/>
              <w:szCs w:val="24"/>
            </w:rPr>
            <w:t xml:space="preserve"> due to increase in its sales.</w:t>
          </w:r>
        </w:p>
        <w:p w14:paraId="44273E0B" w14:textId="77777777" w:rsidR="00665CCE" w:rsidRPr="00D90F39" w:rsidRDefault="00A60498" w:rsidP="00D90F39">
          <w:pPr>
            <w:rPr>
              <w:rFonts w:cstheme="minorHAnsi"/>
              <w:sz w:val="24"/>
              <w:szCs w:val="24"/>
            </w:rPr>
          </w:pPr>
          <w:r w:rsidRPr="00D90F39">
            <w:rPr>
              <w:rFonts w:cstheme="minorHAnsi"/>
              <w:sz w:val="24"/>
              <w:szCs w:val="24"/>
            </w:rPr>
            <w:t xml:space="preserve">However, this ratio is poor on an overall basis and shows good income generation from assets. </w:t>
          </w:r>
          <w:r w:rsidR="00DC67AA" w:rsidRPr="00D90F39">
            <w:rPr>
              <w:rFonts w:cstheme="minorHAnsi"/>
              <w:sz w:val="24"/>
              <w:szCs w:val="24"/>
            </w:rPr>
            <w:t>Trade payable days of the company show a great improvement</w:t>
          </w:r>
          <w:r w:rsidR="00C4255D" w:rsidRPr="00D90F39">
            <w:rPr>
              <w:rFonts w:cstheme="minorHAnsi"/>
              <w:sz w:val="24"/>
              <w:szCs w:val="24"/>
            </w:rPr>
            <w:t xml:space="preserve"> from 561.53 days to 152.23 days</w:t>
          </w:r>
          <w:r w:rsidR="00DC67AA" w:rsidRPr="00D90F39">
            <w:rPr>
              <w:rFonts w:cstheme="minorHAnsi"/>
              <w:sz w:val="24"/>
              <w:szCs w:val="24"/>
            </w:rPr>
            <w:t xml:space="preserve">. </w:t>
          </w:r>
          <w:r w:rsidR="00EC4748" w:rsidRPr="00D90F39">
            <w:rPr>
              <w:rFonts w:cstheme="minorHAnsi"/>
              <w:sz w:val="24"/>
              <w:szCs w:val="24"/>
            </w:rPr>
            <w:t xml:space="preserve">This is due to the reduction in the company’s payables and increase in its cost of sales. However, this ratio is still quite poor and needs to be improved. </w:t>
          </w:r>
          <w:r w:rsidR="00665CCE" w:rsidRPr="00D90F39">
            <w:rPr>
              <w:rFonts w:cstheme="minorHAnsi"/>
              <w:sz w:val="24"/>
              <w:szCs w:val="24"/>
            </w:rPr>
            <w:t xml:space="preserve">According to </w:t>
          </w:r>
          <w:r w:rsidR="00B17790" w:rsidRPr="00D90F39">
            <w:rPr>
              <w:rFonts w:cstheme="minorHAnsi"/>
              <w:sz w:val="24"/>
              <w:szCs w:val="24"/>
              <w:lang w:val="en-US"/>
            </w:rPr>
            <w:t>Abidin</w:t>
          </w:r>
          <w:r w:rsidR="00B17790" w:rsidRPr="00D90F39">
            <w:rPr>
              <w:rFonts w:cstheme="minorHAnsi"/>
              <w:sz w:val="24"/>
              <w:szCs w:val="24"/>
            </w:rPr>
            <w:t xml:space="preserve"> </w:t>
          </w:r>
          <w:r w:rsidR="00B17790" w:rsidRPr="00D90F39">
            <w:rPr>
              <w:rFonts w:cstheme="minorHAnsi"/>
              <w:i/>
              <w:sz w:val="24"/>
              <w:szCs w:val="24"/>
            </w:rPr>
            <w:t>et al</w:t>
          </w:r>
          <w:r w:rsidR="00B17790" w:rsidRPr="00D90F39">
            <w:rPr>
              <w:rFonts w:cstheme="minorHAnsi"/>
              <w:sz w:val="24"/>
              <w:szCs w:val="24"/>
            </w:rPr>
            <w:t xml:space="preserve">. </w:t>
          </w:r>
          <w:r w:rsidR="00665CCE" w:rsidRPr="00D90F39">
            <w:rPr>
              <w:rFonts w:cstheme="minorHAnsi"/>
              <w:sz w:val="24"/>
              <w:szCs w:val="24"/>
            </w:rPr>
            <w:t>(</w:t>
          </w:r>
          <w:r w:rsidR="00B17790" w:rsidRPr="00D90F39">
            <w:rPr>
              <w:rFonts w:cstheme="minorHAnsi"/>
              <w:sz w:val="24"/>
              <w:szCs w:val="24"/>
            </w:rPr>
            <w:t>2021</w:t>
          </w:r>
          <w:r w:rsidR="00665CCE" w:rsidRPr="00D90F39">
            <w:rPr>
              <w:rFonts w:cstheme="minorHAnsi"/>
              <w:sz w:val="24"/>
              <w:szCs w:val="24"/>
            </w:rPr>
            <w:t xml:space="preserve">), in the case of banks, efficiency ratio is also one of the key ratios that show how banks control their costs as well as earn revenues. </w:t>
          </w:r>
          <w:r w:rsidR="009C4275" w:rsidRPr="00D90F39">
            <w:rPr>
              <w:rFonts w:cstheme="minorHAnsi"/>
              <w:sz w:val="24"/>
              <w:szCs w:val="24"/>
            </w:rPr>
            <w:t>Lloyds</w:t>
          </w:r>
          <w:r w:rsidR="00EC4748" w:rsidRPr="00D90F39">
            <w:rPr>
              <w:rFonts w:cstheme="minorHAnsi"/>
              <w:sz w:val="24"/>
              <w:szCs w:val="24"/>
            </w:rPr>
            <w:t xml:space="preserve"> Banking Group Plc’s this ratio shows a reduction </w:t>
          </w:r>
          <w:r w:rsidR="00C4255D" w:rsidRPr="00D90F39">
            <w:rPr>
              <w:rFonts w:cstheme="minorHAnsi"/>
              <w:sz w:val="24"/>
              <w:szCs w:val="24"/>
            </w:rPr>
            <w:t xml:space="preserve">from 0.52 times to 0.39 times </w:t>
          </w:r>
          <w:r w:rsidR="00EC4748" w:rsidRPr="00D90F39">
            <w:rPr>
              <w:rFonts w:cstheme="minorHAnsi"/>
              <w:sz w:val="24"/>
              <w:szCs w:val="24"/>
            </w:rPr>
            <w:t xml:space="preserve">in these years, which might be due to increase of both non-interest expenses and revenues. This reduction needs to be improved in the upcoming periods. </w:t>
          </w:r>
        </w:p>
        <w:p w14:paraId="3083F8E0" w14:textId="77777777" w:rsidR="00291C25" w:rsidRPr="00D90F39" w:rsidRDefault="00291C25" w:rsidP="005967A9">
          <w:pPr>
            <w:jc w:val="center"/>
            <w:rPr>
              <w:rFonts w:cstheme="minorHAnsi"/>
              <w:sz w:val="24"/>
              <w:szCs w:val="24"/>
            </w:rPr>
          </w:pPr>
          <w:r w:rsidRPr="00D90F39">
            <w:rPr>
              <w:rFonts w:cstheme="minorHAnsi"/>
              <w:noProof/>
              <w:sz w:val="24"/>
              <w:szCs w:val="24"/>
              <w:lang w:val="en-US"/>
            </w:rPr>
            <w:lastRenderedPageBreak/>
            <w:drawing>
              <wp:inline distT="0" distB="0" distL="0" distR="0" wp14:anchorId="154F6FE8" wp14:editId="2384CB5C">
                <wp:extent cx="4572000" cy="2743200"/>
                <wp:effectExtent l="19050" t="0" r="1905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EF6AC9" w14:textId="2223F221" w:rsidR="00534AFD" w:rsidRPr="00D90F39" w:rsidRDefault="00534AFD" w:rsidP="005967A9">
          <w:pPr>
            <w:pStyle w:val="Caption"/>
            <w:rPr>
              <w:rFonts w:cstheme="minorHAnsi"/>
              <w:sz w:val="24"/>
              <w:szCs w:val="24"/>
            </w:rPr>
          </w:pPr>
          <w:bookmarkStart w:id="8" w:name="_Toc186730478"/>
          <w:r w:rsidRPr="00D90F39">
            <w:rPr>
              <w:rFonts w:cstheme="minorHAnsi"/>
              <w:sz w:val="24"/>
              <w:szCs w:val="24"/>
            </w:rPr>
            <w:t xml:space="preserve">Figure </w:t>
          </w:r>
          <w:r w:rsidRPr="00D90F39">
            <w:rPr>
              <w:rFonts w:cstheme="minorHAnsi"/>
              <w:sz w:val="24"/>
              <w:szCs w:val="24"/>
            </w:rPr>
            <w:fldChar w:fldCharType="begin"/>
          </w:r>
          <w:r w:rsidRPr="00D90F39">
            <w:rPr>
              <w:rFonts w:cstheme="minorHAnsi"/>
              <w:sz w:val="24"/>
              <w:szCs w:val="24"/>
            </w:rPr>
            <w:instrText xml:space="preserve"> SEQ Figure \* ARABIC </w:instrText>
          </w:r>
          <w:r w:rsidRPr="00D90F39">
            <w:rPr>
              <w:rFonts w:cstheme="minorHAnsi"/>
              <w:sz w:val="24"/>
              <w:szCs w:val="24"/>
            </w:rPr>
            <w:fldChar w:fldCharType="separate"/>
          </w:r>
          <w:r w:rsidR="00B71885">
            <w:rPr>
              <w:rFonts w:cstheme="minorHAnsi"/>
              <w:noProof/>
              <w:sz w:val="24"/>
              <w:szCs w:val="24"/>
            </w:rPr>
            <w:t>3</w:t>
          </w:r>
          <w:r w:rsidRPr="00D90F39">
            <w:rPr>
              <w:rFonts w:cstheme="minorHAnsi"/>
              <w:noProof/>
              <w:sz w:val="24"/>
              <w:szCs w:val="24"/>
            </w:rPr>
            <w:fldChar w:fldCharType="end"/>
          </w:r>
          <w:r w:rsidRPr="00D90F39">
            <w:rPr>
              <w:rFonts w:cstheme="minorHAnsi"/>
              <w:sz w:val="24"/>
              <w:szCs w:val="24"/>
            </w:rPr>
            <w:t xml:space="preserve">: Efficiency ratios of </w:t>
          </w:r>
          <w:r w:rsidR="009C4275" w:rsidRPr="00D90F39">
            <w:rPr>
              <w:rFonts w:cstheme="minorHAnsi"/>
              <w:sz w:val="24"/>
              <w:szCs w:val="24"/>
            </w:rPr>
            <w:t>Lloyds</w:t>
          </w:r>
          <w:r w:rsidRPr="00D90F39">
            <w:rPr>
              <w:rFonts w:cstheme="minorHAnsi"/>
              <w:sz w:val="24"/>
              <w:szCs w:val="24"/>
            </w:rPr>
            <w:t xml:space="preserve"> Banking Group plc</w:t>
          </w:r>
          <w:bookmarkEnd w:id="8"/>
        </w:p>
        <w:p w14:paraId="68E090CF" w14:textId="77777777" w:rsidR="00534AFD" w:rsidRPr="00D90F39" w:rsidRDefault="00534AFD" w:rsidP="005967A9">
          <w:pPr>
            <w:jc w:val="center"/>
            <w:rPr>
              <w:rFonts w:cstheme="minorHAnsi"/>
              <w:sz w:val="24"/>
              <w:szCs w:val="24"/>
            </w:rPr>
          </w:pPr>
          <w:r w:rsidRPr="00D90F39">
            <w:rPr>
              <w:rFonts w:cstheme="minorHAnsi"/>
              <w:sz w:val="24"/>
              <w:szCs w:val="24"/>
            </w:rPr>
            <w:t>(Source: Created by the learner)</w:t>
          </w:r>
        </w:p>
        <w:p w14:paraId="0A2055B4" w14:textId="77777777" w:rsidR="00D64549" w:rsidRPr="00D90F39" w:rsidRDefault="00D64549" w:rsidP="00D90F39">
          <w:pPr>
            <w:rPr>
              <w:rFonts w:cstheme="minorHAnsi"/>
              <w:sz w:val="24"/>
              <w:szCs w:val="24"/>
            </w:rPr>
          </w:pPr>
          <w:r w:rsidRPr="00D90F39">
            <w:rPr>
              <w:rFonts w:cstheme="minorHAnsi"/>
              <w:b/>
              <w:i/>
              <w:sz w:val="24"/>
              <w:szCs w:val="24"/>
            </w:rPr>
            <w:t xml:space="preserve">Analysis of </w:t>
          </w:r>
          <w:r w:rsidR="00C321F2" w:rsidRPr="00D90F39">
            <w:rPr>
              <w:rFonts w:cstheme="minorHAnsi"/>
              <w:b/>
              <w:i/>
              <w:sz w:val="24"/>
              <w:szCs w:val="24"/>
            </w:rPr>
            <w:t>liquidity</w:t>
          </w:r>
        </w:p>
        <w:p w14:paraId="1584A193" w14:textId="6C79C46F" w:rsidR="00D64549" w:rsidRPr="00D90F39" w:rsidRDefault="003F3716" w:rsidP="00D90F39">
          <w:pPr>
            <w:rPr>
              <w:rFonts w:cstheme="minorHAnsi"/>
              <w:sz w:val="24"/>
              <w:szCs w:val="24"/>
            </w:rPr>
          </w:pPr>
          <w:r w:rsidRPr="00D90F39">
            <w:rPr>
              <w:rFonts w:cstheme="minorHAnsi"/>
              <w:sz w:val="24"/>
              <w:szCs w:val="24"/>
            </w:rPr>
            <w:t xml:space="preserve">According to </w:t>
          </w:r>
          <w:proofErr w:type="spellStart"/>
          <w:r w:rsidR="00D01005" w:rsidRPr="00D90F39">
            <w:rPr>
              <w:rFonts w:cstheme="minorHAnsi"/>
              <w:sz w:val="24"/>
              <w:szCs w:val="24"/>
            </w:rPr>
            <w:t>Atrill</w:t>
          </w:r>
          <w:proofErr w:type="spellEnd"/>
          <w:r w:rsidR="00D01005" w:rsidRPr="00D90F39">
            <w:rPr>
              <w:rFonts w:cstheme="minorHAnsi"/>
              <w:sz w:val="24"/>
              <w:szCs w:val="24"/>
            </w:rPr>
            <w:t xml:space="preserve"> </w:t>
          </w:r>
          <w:r w:rsidRPr="00D90F39">
            <w:rPr>
              <w:rFonts w:cstheme="minorHAnsi"/>
              <w:sz w:val="24"/>
              <w:szCs w:val="24"/>
            </w:rPr>
            <w:t>(</w:t>
          </w:r>
          <w:r w:rsidR="00D01005" w:rsidRPr="00D90F39">
            <w:rPr>
              <w:rFonts w:cstheme="minorHAnsi"/>
              <w:sz w:val="24"/>
              <w:szCs w:val="24"/>
            </w:rPr>
            <w:t>2020</w:t>
          </w:r>
          <w:r w:rsidRPr="00D90F39">
            <w:rPr>
              <w:rFonts w:cstheme="minorHAnsi"/>
              <w:sz w:val="24"/>
              <w:szCs w:val="24"/>
            </w:rPr>
            <w:t xml:space="preserve">), the liquidity ratios refer to the specific group of ratios, which help in the determination of a company’s </w:t>
          </w:r>
          <w:r w:rsidR="004E4607" w:rsidRPr="00D90F39">
            <w:rPr>
              <w:rFonts w:cstheme="minorHAnsi"/>
              <w:sz w:val="24"/>
              <w:szCs w:val="24"/>
            </w:rPr>
            <w:t>competence</w:t>
          </w:r>
          <w:r w:rsidRPr="00D90F39">
            <w:rPr>
              <w:rFonts w:cstheme="minorHAnsi"/>
              <w:sz w:val="24"/>
              <w:szCs w:val="24"/>
            </w:rPr>
            <w:t xml:space="preserve"> to repay all its short-term dues and </w:t>
          </w:r>
          <w:r w:rsidR="004E4607" w:rsidRPr="00D90F39">
            <w:rPr>
              <w:rFonts w:cstheme="minorHAnsi"/>
              <w:sz w:val="24"/>
              <w:szCs w:val="24"/>
            </w:rPr>
            <w:t>debts</w:t>
          </w:r>
          <w:r w:rsidRPr="00D90F39">
            <w:rPr>
              <w:rFonts w:cstheme="minorHAnsi"/>
              <w:sz w:val="24"/>
              <w:szCs w:val="24"/>
            </w:rPr>
            <w:t>.</w:t>
          </w:r>
          <w:r w:rsidR="00665CCE" w:rsidRPr="00D90F39">
            <w:rPr>
              <w:rFonts w:cstheme="minorHAnsi"/>
              <w:sz w:val="24"/>
              <w:szCs w:val="24"/>
            </w:rPr>
            <w:t xml:space="preserve"> </w:t>
          </w:r>
          <w:r w:rsidR="008C1956" w:rsidRPr="00D90F39">
            <w:rPr>
              <w:rFonts w:cstheme="minorHAnsi"/>
              <w:sz w:val="24"/>
              <w:szCs w:val="24"/>
            </w:rPr>
            <w:t xml:space="preserve">Current ratio and cash ratio are the two main types of liquidity ratios. </w:t>
          </w:r>
          <w:proofErr w:type="spellStart"/>
          <w:r w:rsidR="00B17790" w:rsidRPr="00D90F39">
            <w:rPr>
              <w:rFonts w:cstheme="minorHAnsi"/>
              <w:sz w:val="24"/>
              <w:szCs w:val="24"/>
            </w:rPr>
            <w:t>Kartikasari</w:t>
          </w:r>
          <w:proofErr w:type="spellEnd"/>
          <w:r w:rsidR="00B17790" w:rsidRPr="00D90F39">
            <w:rPr>
              <w:rFonts w:cstheme="minorHAnsi"/>
              <w:sz w:val="24"/>
              <w:szCs w:val="24"/>
            </w:rPr>
            <w:t xml:space="preserve">, </w:t>
          </w:r>
          <w:proofErr w:type="spellStart"/>
          <w:r w:rsidR="00B17790" w:rsidRPr="00D90F39">
            <w:rPr>
              <w:rFonts w:cstheme="minorHAnsi"/>
              <w:sz w:val="24"/>
              <w:szCs w:val="24"/>
            </w:rPr>
            <w:t>Karyatun</w:t>
          </w:r>
          <w:proofErr w:type="spellEnd"/>
          <w:r w:rsidR="00B17790" w:rsidRPr="00D90F39">
            <w:rPr>
              <w:rFonts w:cstheme="minorHAnsi"/>
              <w:sz w:val="24"/>
              <w:szCs w:val="24"/>
            </w:rPr>
            <w:t xml:space="preserve"> and </w:t>
          </w:r>
          <w:proofErr w:type="spellStart"/>
          <w:r w:rsidR="00B17790" w:rsidRPr="00D90F39">
            <w:rPr>
              <w:rFonts w:cstheme="minorHAnsi"/>
              <w:sz w:val="24"/>
              <w:szCs w:val="24"/>
            </w:rPr>
            <w:t>Digdowiseiso</w:t>
          </w:r>
          <w:proofErr w:type="spellEnd"/>
          <w:r w:rsidR="00B17790" w:rsidRPr="00D90F39">
            <w:rPr>
              <w:rFonts w:cstheme="minorHAnsi"/>
              <w:sz w:val="24"/>
              <w:szCs w:val="24"/>
            </w:rPr>
            <w:t xml:space="preserve"> </w:t>
          </w:r>
          <w:r w:rsidR="008C1956" w:rsidRPr="00D90F39">
            <w:rPr>
              <w:rFonts w:cstheme="minorHAnsi"/>
              <w:sz w:val="24"/>
              <w:szCs w:val="24"/>
            </w:rPr>
            <w:t>(</w:t>
          </w:r>
          <w:r w:rsidR="00B17790" w:rsidRPr="00D90F39">
            <w:rPr>
              <w:rFonts w:cstheme="minorHAnsi"/>
              <w:sz w:val="24"/>
              <w:szCs w:val="24"/>
            </w:rPr>
            <w:t>2023</w:t>
          </w:r>
          <w:r w:rsidR="008C1956" w:rsidRPr="00D90F39">
            <w:rPr>
              <w:rFonts w:cstheme="minorHAnsi"/>
              <w:sz w:val="24"/>
              <w:szCs w:val="24"/>
            </w:rPr>
            <w:t xml:space="preserve">) defined current ratio as the ratio that compares the short-term assets and short-term debts of a company. However, </w:t>
          </w:r>
          <w:proofErr w:type="spellStart"/>
          <w:r w:rsidR="00B17790" w:rsidRPr="00D90F39">
            <w:rPr>
              <w:rFonts w:cstheme="minorHAnsi"/>
              <w:sz w:val="24"/>
              <w:szCs w:val="24"/>
            </w:rPr>
            <w:t>Budianto</w:t>
          </w:r>
          <w:proofErr w:type="spellEnd"/>
          <w:r w:rsidR="00B17790" w:rsidRPr="00D90F39">
            <w:rPr>
              <w:rFonts w:cstheme="minorHAnsi"/>
              <w:sz w:val="24"/>
              <w:szCs w:val="24"/>
            </w:rPr>
            <w:t xml:space="preserve"> and Dewi </w:t>
          </w:r>
          <w:r w:rsidR="008C1956" w:rsidRPr="00D90F39">
            <w:rPr>
              <w:rFonts w:cstheme="minorHAnsi"/>
              <w:sz w:val="24"/>
              <w:szCs w:val="24"/>
            </w:rPr>
            <w:t>(</w:t>
          </w:r>
          <w:r w:rsidR="00B17790" w:rsidRPr="00D90F39">
            <w:rPr>
              <w:rFonts w:cstheme="minorHAnsi"/>
              <w:sz w:val="24"/>
              <w:szCs w:val="24"/>
            </w:rPr>
            <w:t>2023</w:t>
          </w:r>
          <w:r w:rsidR="008C1956" w:rsidRPr="00D90F39">
            <w:rPr>
              <w:rFonts w:cstheme="minorHAnsi"/>
              <w:sz w:val="24"/>
              <w:szCs w:val="24"/>
            </w:rPr>
            <w:t xml:space="preserve">) </w:t>
          </w:r>
          <w:r w:rsidR="00212762" w:rsidRPr="00D90F39">
            <w:rPr>
              <w:rFonts w:cstheme="minorHAnsi"/>
              <w:sz w:val="24"/>
              <w:szCs w:val="24"/>
            </w:rPr>
            <w:t xml:space="preserve">defined cash ratio as the ratio, which </w:t>
          </w:r>
          <w:r w:rsidR="008C1956" w:rsidRPr="00D90F39">
            <w:rPr>
              <w:rFonts w:cstheme="minorHAnsi"/>
              <w:sz w:val="24"/>
              <w:szCs w:val="24"/>
            </w:rPr>
            <w:t>determines a</w:t>
          </w:r>
          <w:r w:rsidR="009A5761" w:rsidRPr="00D90F39">
            <w:rPr>
              <w:rFonts w:cstheme="minorHAnsi"/>
              <w:sz w:val="24"/>
              <w:szCs w:val="24"/>
            </w:rPr>
            <w:t>n</w:t>
          </w:r>
          <w:r w:rsidR="008C1956" w:rsidRPr="00D90F39">
            <w:rPr>
              <w:rFonts w:cstheme="minorHAnsi"/>
              <w:sz w:val="24"/>
              <w:szCs w:val="24"/>
            </w:rPr>
            <w:t xml:space="preserve"> </w:t>
          </w:r>
          <w:r w:rsidR="009A5761" w:rsidRPr="00D90F39">
            <w:rPr>
              <w:rFonts w:cstheme="minorHAnsi"/>
              <w:sz w:val="24"/>
              <w:szCs w:val="24"/>
            </w:rPr>
            <w:t>organisation’s</w:t>
          </w:r>
          <w:r w:rsidR="008C1956" w:rsidRPr="00D90F39">
            <w:rPr>
              <w:rFonts w:cstheme="minorHAnsi"/>
              <w:sz w:val="24"/>
              <w:szCs w:val="24"/>
            </w:rPr>
            <w:t xml:space="preserve"> capacity of covering its short-term debts by utilising only its cash.</w:t>
          </w:r>
          <w:r w:rsidR="00EC4748" w:rsidRPr="00D90F39">
            <w:rPr>
              <w:rFonts w:cstheme="minorHAnsi"/>
              <w:sz w:val="24"/>
              <w:szCs w:val="24"/>
            </w:rPr>
            <w:t xml:space="preserve"> </w:t>
          </w:r>
          <w:r w:rsidR="009C4275" w:rsidRPr="00D90F39">
            <w:rPr>
              <w:rFonts w:cstheme="minorHAnsi"/>
              <w:sz w:val="24"/>
              <w:szCs w:val="24"/>
            </w:rPr>
            <w:t>Lloyds</w:t>
          </w:r>
          <w:r w:rsidR="00EC4748" w:rsidRPr="00D90F39">
            <w:rPr>
              <w:rFonts w:cstheme="minorHAnsi"/>
              <w:sz w:val="24"/>
              <w:szCs w:val="24"/>
            </w:rPr>
            <w:t xml:space="preserve"> Banking Group Plc’s current ratio shows an increase </w:t>
          </w:r>
          <w:r w:rsidR="007F0A9E" w:rsidRPr="00D90F39">
            <w:rPr>
              <w:rFonts w:cstheme="minorHAnsi"/>
              <w:sz w:val="24"/>
              <w:szCs w:val="24"/>
            </w:rPr>
            <w:t xml:space="preserve">from 3 to 3.36 </w:t>
          </w:r>
          <w:r w:rsidR="00EC4748" w:rsidRPr="00D90F39">
            <w:rPr>
              <w:rFonts w:cstheme="minorHAnsi"/>
              <w:sz w:val="24"/>
              <w:szCs w:val="24"/>
            </w:rPr>
            <w:t>in 2023 relative to 2022, the possible reasons being increase in short-term assets and reduction in short-term debts.</w:t>
          </w:r>
          <w:r w:rsidR="00CC4B4C" w:rsidRPr="00D90F39">
            <w:rPr>
              <w:rFonts w:cstheme="minorHAnsi"/>
              <w:sz w:val="24"/>
              <w:szCs w:val="24"/>
            </w:rPr>
            <w:t xml:space="preserve"> The cash ratio however shows a marginal reduction </w:t>
          </w:r>
          <w:r w:rsidR="007F0A9E" w:rsidRPr="00D90F39">
            <w:rPr>
              <w:rFonts w:cstheme="minorHAnsi"/>
              <w:sz w:val="24"/>
              <w:szCs w:val="24"/>
            </w:rPr>
            <w:t xml:space="preserve">from 0.92 to 0.86 </w:t>
          </w:r>
          <w:r w:rsidR="00CC4B4C" w:rsidRPr="00D90F39">
            <w:rPr>
              <w:rFonts w:cstheme="minorHAnsi"/>
              <w:sz w:val="24"/>
              <w:szCs w:val="24"/>
            </w:rPr>
            <w:t xml:space="preserve">during these two years. A simultaneous reduction in the cash of the company and </w:t>
          </w:r>
          <w:r w:rsidR="00C35E54" w:rsidRPr="00D90F39">
            <w:rPr>
              <w:rFonts w:cstheme="minorHAnsi"/>
              <w:sz w:val="24"/>
              <w:szCs w:val="24"/>
            </w:rPr>
            <w:t xml:space="preserve">its short-term debts are the two probable reasons due to the decrease in this ratio. On an overall basis, </w:t>
          </w:r>
          <w:r w:rsidR="009C4275" w:rsidRPr="00D90F39">
            <w:rPr>
              <w:rFonts w:cstheme="minorHAnsi"/>
              <w:sz w:val="24"/>
              <w:szCs w:val="24"/>
            </w:rPr>
            <w:t>Lloyds</w:t>
          </w:r>
          <w:r w:rsidR="00C35E54" w:rsidRPr="00D90F39">
            <w:rPr>
              <w:rFonts w:cstheme="minorHAnsi"/>
              <w:sz w:val="24"/>
              <w:szCs w:val="24"/>
            </w:rPr>
            <w:t xml:space="preserve"> Banking Group Plc’s current ratio is </w:t>
          </w:r>
          <w:r w:rsidR="00EF4306" w:rsidRPr="00D90F39">
            <w:rPr>
              <w:rFonts w:cstheme="minorHAnsi"/>
              <w:sz w:val="24"/>
              <w:szCs w:val="24"/>
            </w:rPr>
            <w:t>good,</w:t>
          </w:r>
          <w:r w:rsidR="00C35E54" w:rsidRPr="00D90F39">
            <w:rPr>
              <w:rFonts w:cstheme="minorHAnsi"/>
              <w:sz w:val="24"/>
              <w:szCs w:val="24"/>
            </w:rPr>
            <w:t xml:space="preserve"> but its cash ratio is low and has also undergone a further reduction. An improvement is needed in this ratio of the company.</w:t>
          </w:r>
        </w:p>
        <w:p w14:paraId="1C374D4F" w14:textId="77777777" w:rsidR="00291C25" w:rsidRPr="00D90F39" w:rsidRDefault="00291C25" w:rsidP="005E5121">
          <w:pPr>
            <w:jc w:val="center"/>
            <w:rPr>
              <w:rFonts w:cstheme="minorHAnsi"/>
              <w:sz w:val="24"/>
              <w:szCs w:val="24"/>
            </w:rPr>
          </w:pPr>
          <w:r w:rsidRPr="00D90F39">
            <w:rPr>
              <w:rFonts w:cstheme="minorHAnsi"/>
              <w:noProof/>
              <w:sz w:val="24"/>
              <w:szCs w:val="24"/>
              <w:lang w:val="en-US"/>
            </w:rPr>
            <w:lastRenderedPageBreak/>
            <w:drawing>
              <wp:inline distT="0" distB="0" distL="0" distR="0" wp14:anchorId="387A451D" wp14:editId="45BA4852">
                <wp:extent cx="4572000" cy="2743200"/>
                <wp:effectExtent l="19050" t="0" r="19050"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09D9F6D" w14:textId="774D9480" w:rsidR="00534AFD" w:rsidRPr="00D90F39" w:rsidRDefault="00534AFD" w:rsidP="005E5121">
          <w:pPr>
            <w:pStyle w:val="Caption"/>
            <w:rPr>
              <w:rFonts w:cstheme="minorHAnsi"/>
              <w:sz w:val="24"/>
              <w:szCs w:val="24"/>
            </w:rPr>
          </w:pPr>
          <w:bookmarkStart w:id="9" w:name="_Toc186730479"/>
          <w:r w:rsidRPr="00D90F39">
            <w:rPr>
              <w:rFonts w:cstheme="minorHAnsi"/>
              <w:sz w:val="24"/>
              <w:szCs w:val="24"/>
            </w:rPr>
            <w:t xml:space="preserve">Figure </w:t>
          </w:r>
          <w:r w:rsidRPr="00D90F39">
            <w:rPr>
              <w:rFonts w:cstheme="minorHAnsi"/>
              <w:sz w:val="24"/>
              <w:szCs w:val="24"/>
            </w:rPr>
            <w:fldChar w:fldCharType="begin"/>
          </w:r>
          <w:r w:rsidRPr="00D90F39">
            <w:rPr>
              <w:rFonts w:cstheme="minorHAnsi"/>
              <w:sz w:val="24"/>
              <w:szCs w:val="24"/>
            </w:rPr>
            <w:instrText xml:space="preserve"> SEQ Figure \* ARABIC </w:instrText>
          </w:r>
          <w:r w:rsidRPr="00D90F39">
            <w:rPr>
              <w:rFonts w:cstheme="minorHAnsi"/>
              <w:sz w:val="24"/>
              <w:szCs w:val="24"/>
            </w:rPr>
            <w:fldChar w:fldCharType="separate"/>
          </w:r>
          <w:r w:rsidR="00B71885">
            <w:rPr>
              <w:rFonts w:cstheme="minorHAnsi"/>
              <w:noProof/>
              <w:sz w:val="24"/>
              <w:szCs w:val="24"/>
            </w:rPr>
            <w:t>4</w:t>
          </w:r>
          <w:r w:rsidRPr="00D90F39">
            <w:rPr>
              <w:rFonts w:cstheme="minorHAnsi"/>
              <w:noProof/>
              <w:sz w:val="24"/>
              <w:szCs w:val="24"/>
            </w:rPr>
            <w:fldChar w:fldCharType="end"/>
          </w:r>
          <w:r w:rsidRPr="00D90F39">
            <w:rPr>
              <w:rFonts w:cstheme="minorHAnsi"/>
              <w:sz w:val="24"/>
              <w:szCs w:val="24"/>
            </w:rPr>
            <w:t xml:space="preserve">: Liquidity ratios of </w:t>
          </w:r>
          <w:r w:rsidR="009C4275" w:rsidRPr="00D90F39">
            <w:rPr>
              <w:rFonts w:cstheme="minorHAnsi"/>
              <w:sz w:val="24"/>
              <w:szCs w:val="24"/>
            </w:rPr>
            <w:t>Lloyds</w:t>
          </w:r>
          <w:r w:rsidRPr="00D90F39">
            <w:rPr>
              <w:rFonts w:cstheme="minorHAnsi"/>
              <w:sz w:val="24"/>
              <w:szCs w:val="24"/>
            </w:rPr>
            <w:t xml:space="preserve"> Banking Group plc</w:t>
          </w:r>
          <w:bookmarkEnd w:id="9"/>
        </w:p>
        <w:p w14:paraId="09F9D644" w14:textId="77777777" w:rsidR="00534AFD" w:rsidRPr="00D90F39" w:rsidRDefault="00534AFD" w:rsidP="005E5121">
          <w:pPr>
            <w:jc w:val="center"/>
            <w:rPr>
              <w:rFonts w:cstheme="minorHAnsi"/>
              <w:sz w:val="24"/>
              <w:szCs w:val="24"/>
            </w:rPr>
          </w:pPr>
          <w:r w:rsidRPr="00D90F39">
            <w:rPr>
              <w:rFonts w:cstheme="minorHAnsi"/>
              <w:sz w:val="24"/>
              <w:szCs w:val="24"/>
            </w:rPr>
            <w:t>(Source: Created by the learner)</w:t>
          </w:r>
        </w:p>
        <w:p w14:paraId="509DB4FC" w14:textId="77777777" w:rsidR="00D64549" w:rsidRPr="00D90F39" w:rsidRDefault="00D64549" w:rsidP="00D90F39">
          <w:pPr>
            <w:rPr>
              <w:rFonts w:cstheme="minorHAnsi"/>
              <w:sz w:val="24"/>
              <w:szCs w:val="24"/>
            </w:rPr>
          </w:pPr>
          <w:r w:rsidRPr="00D90F39">
            <w:rPr>
              <w:rFonts w:cstheme="minorHAnsi"/>
              <w:b/>
              <w:i/>
              <w:sz w:val="24"/>
              <w:szCs w:val="24"/>
            </w:rPr>
            <w:t xml:space="preserve">Analysis of </w:t>
          </w:r>
          <w:r w:rsidR="00C321F2" w:rsidRPr="00D90F39">
            <w:rPr>
              <w:rFonts w:cstheme="minorHAnsi"/>
              <w:b/>
              <w:i/>
              <w:sz w:val="24"/>
              <w:szCs w:val="24"/>
            </w:rPr>
            <w:t>gearing</w:t>
          </w:r>
        </w:p>
        <w:p w14:paraId="4D350FEC" w14:textId="77777777" w:rsidR="00D64549" w:rsidRPr="00D90F39" w:rsidRDefault="009705C1" w:rsidP="00D90F39">
          <w:pPr>
            <w:rPr>
              <w:rFonts w:cstheme="minorHAnsi"/>
              <w:sz w:val="24"/>
              <w:szCs w:val="24"/>
            </w:rPr>
          </w:pPr>
          <w:r w:rsidRPr="00D90F39">
            <w:rPr>
              <w:rFonts w:cstheme="minorHAnsi"/>
              <w:sz w:val="24"/>
              <w:szCs w:val="24"/>
            </w:rPr>
            <w:t>Gearing ratios can be defined as the group of ratios, which assists companies in terms of measuring its financial health</w:t>
          </w:r>
          <w:r w:rsidR="00D01005" w:rsidRPr="00D90F39">
            <w:rPr>
              <w:rFonts w:cstheme="minorHAnsi"/>
              <w:sz w:val="24"/>
              <w:szCs w:val="24"/>
            </w:rPr>
            <w:t>, its risks</w:t>
          </w:r>
          <w:r w:rsidRPr="00D90F39">
            <w:rPr>
              <w:rFonts w:cstheme="minorHAnsi"/>
              <w:sz w:val="24"/>
              <w:szCs w:val="24"/>
            </w:rPr>
            <w:t xml:space="preserve"> and its capacity of repaying debts (</w:t>
          </w:r>
          <w:r w:rsidR="00D01005" w:rsidRPr="00D90F39">
            <w:rPr>
              <w:rFonts w:cstheme="minorHAnsi"/>
              <w:sz w:val="24"/>
              <w:szCs w:val="24"/>
            </w:rPr>
            <w:t xml:space="preserve">Saunders, Cornett and </w:t>
          </w:r>
          <w:proofErr w:type="spellStart"/>
          <w:r w:rsidR="00D01005" w:rsidRPr="00D90F39">
            <w:rPr>
              <w:rFonts w:cstheme="minorHAnsi"/>
              <w:sz w:val="24"/>
              <w:szCs w:val="24"/>
            </w:rPr>
            <w:t>Erhemjamts</w:t>
          </w:r>
          <w:proofErr w:type="spellEnd"/>
          <w:r w:rsidRPr="00D90F39">
            <w:rPr>
              <w:rFonts w:cstheme="minorHAnsi"/>
              <w:sz w:val="24"/>
              <w:szCs w:val="24"/>
            </w:rPr>
            <w:t>).</w:t>
          </w:r>
          <w:r w:rsidR="008545AA" w:rsidRPr="00D90F39">
            <w:rPr>
              <w:rFonts w:cstheme="minorHAnsi"/>
              <w:sz w:val="24"/>
              <w:szCs w:val="24"/>
            </w:rPr>
            <w:t xml:space="preserve"> Debt ratio and gearing ratio are two key gearing ratios. </w:t>
          </w:r>
          <w:r w:rsidR="00C66204" w:rsidRPr="00D90F39">
            <w:rPr>
              <w:rFonts w:cstheme="minorHAnsi"/>
              <w:sz w:val="24"/>
              <w:szCs w:val="24"/>
            </w:rPr>
            <w:t xml:space="preserve">Sukma, </w:t>
          </w:r>
          <w:proofErr w:type="spellStart"/>
          <w:r w:rsidR="00C66204" w:rsidRPr="00D90F39">
            <w:rPr>
              <w:rFonts w:cstheme="minorHAnsi"/>
              <w:sz w:val="24"/>
              <w:szCs w:val="24"/>
            </w:rPr>
            <w:t>Nurtina</w:t>
          </w:r>
          <w:proofErr w:type="spellEnd"/>
          <w:r w:rsidR="00C66204" w:rsidRPr="00D90F39">
            <w:rPr>
              <w:rFonts w:cstheme="minorHAnsi"/>
              <w:sz w:val="24"/>
              <w:szCs w:val="24"/>
            </w:rPr>
            <w:t xml:space="preserve"> and Nainggolan </w:t>
          </w:r>
          <w:r w:rsidR="008545AA" w:rsidRPr="00D90F39">
            <w:rPr>
              <w:rFonts w:cstheme="minorHAnsi"/>
              <w:sz w:val="24"/>
              <w:szCs w:val="24"/>
            </w:rPr>
            <w:t>(</w:t>
          </w:r>
          <w:r w:rsidR="00C66204" w:rsidRPr="00D90F39">
            <w:rPr>
              <w:rFonts w:cstheme="minorHAnsi"/>
              <w:sz w:val="24"/>
              <w:szCs w:val="24"/>
            </w:rPr>
            <w:t>2022</w:t>
          </w:r>
          <w:r w:rsidR="008545AA" w:rsidRPr="00D90F39">
            <w:rPr>
              <w:rFonts w:cstheme="minorHAnsi"/>
              <w:sz w:val="24"/>
              <w:szCs w:val="24"/>
            </w:rPr>
            <w:t xml:space="preserve">) defined debt ratio as </w:t>
          </w:r>
          <w:r w:rsidR="003D339E" w:rsidRPr="00D90F39">
            <w:rPr>
              <w:rFonts w:cstheme="minorHAnsi"/>
              <w:sz w:val="24"/>
              <w:szCs w:val="24"/>
            </w:rPr>
            <w:t xml:space="preserve">the ratio that helps to identify a company’s debt payment abilities by using assets. </w:t>
          </w:r>
          <w:r w:rsidR="00C66204" w:rsidRPr="00D90F39">
            <w:rPr>
              <w:rFonts w:cstheme="minorHAnsi"/>
              <w:sz w:val="24"/>
              <w:szCs w:val="24"/>
              <w:lang w:val="en-US"/>
            </w:rPr>
            <w:t>Aldo</w:t>
          </w:r>
          <w:r w:rsidR="00C66204" w:rsidRPr="00D90F39">
            <w:rPr>
              <w:rFonts w:cstheme="minorHAnsi"/>
              <w:sz w:val="24"/>
              <w:szCs w:val="24"/>
            </w:rPr>
            <w:t xml:space="preserve"> </w:t>
          </w:r>
          <w:r w:rsidR="008545AA" w:rsidRPr="00D90F39">
            <w:rPr>
              <w:rFonts w:cstheme="minorHAnsi"/>
              <w:sz w:val="24"/>
              <w:szCs w:val="24"/>
            </w:rPr>
            <w:t>(</w:t>
          </w:r>
          <w:r w:rsidR="00C66204" w:rsidRPr="00D90F39">
            <w:rPr>
              <w:rFonts w:cstheme="minorHAnsi"/>
              <w:sz w:val="24"/>
              <w:szCs w:val="24"/>
            </w:rPr>
            <w:t>2022</w:t>
          </w:r>
          <w:r w:rsidR="008545AA" w:rsidRPr="00D90F39">
            <w:rPr>
              <w:rFonts w:cstheme="minorHAnsi"/>
              <w:sz w:val="24"/>
              <w:szCs w:val="24"/>
            </w:rPr>
            <w:t>) defined gearing ratio as the</w:t>
          </w:r>
          <w:r w:rsidR="003D339E" w:rsidRPr="00D90F39">
            <w:rPr>
              <w:rFonts w:cstheme="minorHAnsi"/>
              <w:sz w:val="24"/>
              <w:szCs w:val="24"/>
            </w:rPr>
            <w:t xml:space="preserve"> ratio</w:t>
          </w:r>
          <w:r w:rsidR="008545AA" w:rsidRPr="00D90F39">
            <w:rPr>
              <w:rFonts w:cstheme="minorHAnsi"/>
              <w:sz w:val="24"/>
              <w:szCs w:val="24"/>
            </w:rPr>
            <w:t xml:space="preserve"> </w:t>
          </w:r>
          <w:r w:rsidR="003D339E" w:rsidRPr="00D90F39">
            <w:rPr>
              <w:rFonts w:cstheme="minorHAnsi"/>
              <w:sz w:val="24"/>
              <w:szCs w:val="24"/>
            </w:rPr>
            <w:t>that helps to identify a company’s debt payment abilities based on equity.</w:t>
          </w:r>
          <w:r w:rsidR="00C35E54" w:rsidRPr="00D90F39">
            <w:rPr>
              <w:rFonts w:cstheme="minorHAnsi"/>
              <w:sz w:val="24"/>
              <w:szCs w:val="24"/>
            </w:rPr>
            <w:t xml:space="preserve"> </w:t>
          </w:r>
          <w:r w:rsidR="009C4275" w:rsidRPr="00D90F39">
            <w:rPr>
              <w:rFonts w:cstheme="minorHAnsi"/>
              <w:sz w:val="24"/>
              <w:szCs w:val="24"/>
            </w:rPr>
            <w:t>Lloyds</w:t>
          </w:r>
          <w:r w:rsidR="00C35E54" w:rsidRPr="00D90F39">
            <w:rPr>
              <w:rFonts w:cstheme="minorHAnsi"/>
              <w:sz w:val="24"/>
              <w:szCs w:val="24"/>
            </w:rPr>
            <w:t xml:space="preserve"> Banking Group Plc’s debt ratio has not undergone any noticeable change in 2023 relative to 2022</w:t>
          </w:r>
          <w:r w:rsidR="007F0A9E" w:rsidRPr="00D90F39">
            <w:rPr>
              <w:rFonts w:cstheme="minorHAnsi"/>
              <w:sz w:val="24"/>
              <w:szCs w:val="24"/>
            </w:rPr>
            <w:t xml:space="preserve"> and has remained about 0.95 in both the years</w:t>
          </w:r>
          <w:r w:rsidR="00C35E54" w:rsidRPr="00D90F39">
            <w:rPr>
              <w:rFonts w:cstheme="minorHAnsi"/>
              <w:sz w:val="24"/>
              <w:szCs w:val="24"/>
            </w:rPr>
            <w:t xml:space="preserve">. The probable reason for this is that the total assets of this company have increased along with an increase in its total debts. However, if the gearing ratio is considered, </w:t>
          </w:r>
          <w:proofErr w:type="gramStart"/>
          <w:r w:rsidR="00C35E54" w:rsidRPr="00D90F39">
            <w:rPr>
              <w:rFonts w:cstheme="minorHAnsi"/>
              <w:sz w:val="24"/>
              <w:szCs w:val="24"/>
            </w:rPr>
            <w:t>it can be seen that there</w:t>
          </w:r>
          <w:proofErr w:type="gramEnd"/>
          <w:r w:rsidR="00C35E54" w:rsidRPr="00D90F39">
            <w:rPr>
              <w:rFonts w:cstheme="minorHAnsi"/>
              <w:sz w:val="24"/>
              <w:szCs w:val="24"/>
            </w:rPr>
            <w:t xml:space="preserve"> has been a reduction</w:t>
          </w:r>
          <w:r w:rsidR="00BE73B2" w:rsidRPr="00D90F39">
            <w:rPr>
              <w:rFonts w:cstheme="minorHAnsi"/>
              <w:sz w:val="24"/>
              <w:szCs w:val="24"/>
            </w:rPr>
            <w:t xml:space="preserve"> from 18.89 to 17.61 </w:t>
          </w:r>
          <w:r w:rsidR="00C35E54" w:rsidRPr="00D90F39">
            <w:rPr>
              <w:rFonts w:cstheme="minorHAnsi"/>
              <w:sz w:val="24"/>
              <w:szCs w:val="24"/>
            </w:rPr>
            <w:t xml:space="preserve">in the last two years. </w:t>
          </w:r>
          <w:r w:rsidR="00BE73B2" w:rsidRPr="00D90F39">
            <w:rPr>
              <w:rFonts w:cstheme="minorHAnsi"/>
              <w:sz w:val="24"/>
              <w:szCs w:val="24"/>
            </w:rPr>
            <w:t>However, this shows much higher equity than debts, which needs to be improved immediately.</w:t>
          </w:r>
        </w:p>
        <w:p w14:paraId="07B0AB8D" w14:textId="77777777" w:rsidR="00291C25" w:rsidRPr="00D90F39" w:rsidRDefault="00291C25" w:rsidP="00E513D2">
          <w:pPr>
            <w:jc w:val="center"/>
            <w:rPr>
              <w:rFonts w:cstheme="minorHAnsi"/>
              <w:sz w:val="24"/>
              <w:szCs w:val="24"/>
            </w:rPr>
          </w:pPr>
          <w:r w:rsidRPr="00D90F39">
            <w:rPr>
              <w:rFonts w:cstheme="minorHAnsi"/>
              <w:noProof/>
              <w:sz w:val="24"/>
              <w:szCs w:val="24"/>
              <w:lang w:val="en-US"/>
            </w:rPr>
            <w:lastRenderedPageBreak/>
            <w:drawing>
              <wp:inline distT="0" distB="0" distL="0" distR="0" wp14:anchorId="16754304" wp14:editId="2B98A009">
                <wp:extent cx="4572000" cy="2743200"/>
                <wp:effectExtent l="19050" t="0" r="19050"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FB1F965" w14:textId="1A7BC8A9" w:rsidR="00534AFD" w:rsidRPr="00D90F39" w:rsidRDefault="00534AFD" w:rsidP="00E513D2">
          <w:pPr>
            <w:pStyle w:val="Caption"/>
            <w:rPr>
              <w:rFonts w:cstheme="minorHAnsi"/>
              <w:sz w:val="24"/>
              <w:szCs w:val="24"/>
            </w:rPr>
          </w:pPr>
          <w:bookmarkStart w:id="10" w:name="_Toc186730480"/>
          <w:r w:rsidRPr="00D90F39">
            <w:rPr>
              <w:rFonts w:cstheme="minorHAnsi"/>
              <w:sz w:val="24"/>
              <w:szCs w:val="24"/>
            </w:rPr>
            <w:t xml:space="preserve">Figure </w:t>
          </w:r>
          <w:r w:rsidRPr="00D90F39">
            <w:rPr>
              <w:rFonts w:cstheme="minorHAnsi"/>
              <w:sz w:val="24"/>
              <w:szCs w:val="24"/>
            </w:rPr>
            <w:fldChar w:fldCharType="begin"/>
          </w:r>
          <w:r w:rsidRPr="00D90F39">
            <w:rPr>
              <w:rFonts w:cstheme="minorHAnsi"/>
              <w:sz w:val="24"/>
              <w:szCs w:val="24"/>
            </w:rPr>
            <w:instrText xml:space="preserve"> SEQ Figure \* ARABIC </w:instrText>
          </w:r>
          <w:r w:rsidRPr="00D90F39">
            <w:rPr>
              <w:rFonts w:cstheme="minorHAnsi"/>
              <w:sz w:val="24"/>
              <w:szCs w:val="24"/>
            </w:rPr>
            <w:fldChar w:fldCharType="separate"/>
          </w:r>
          <w:r w:rsidR="00B71885">
            <w:rPr>
              <w:rFonts w:cstheme="minorHAnsi"/>
              <w:noProof/>
              <w:sz w:val="24"/>
              <w:szCs w:val="24"/>
            </w:rPr>
            <w:t>5</w:t>
          </w:r>
          <w:r w:rsidRPr="00D90F39">
            <w:rPr>
              <w:rFonts w:cstheme="minorHAnsi"/>
              <w:noProof/>
              <w:sz w:val="24"/>
              <w:szCs w:val="24"/>
            </w:rPr>
            <w:fldChar w:fldCharType="end"/>
          </w:r>
          <w:r w:rsidRPr="00D90F39">
            <w:rPr>
              <w:rFonts w:cstheme="minorHAnsi"/>
              <w:sz w:val="24"/>
              <w:szCs w:val="24"/>
            </w:rPr>
            <w:t xml:space="preserve">: Gearing ratios of </w:t>
          </w:r>
          <w:r w:rsidR="009C4275" w:rsidRPr="00D90F39">
            <w:rPr>
              <w:rFonts w:cstheme="minorHAnsi"/>
              <w:sz w:val="24"/>
              <w:szCs w:val="24"/>
            </w:rPr>
            <w:t>Lloyds</w:t>
          </w:r>
          <w:r w:rsidRPr="00D90F39">
            <w:rPr>
              <w:rFonts w:cstheme="minorHAnsi"/>
              <w:sz w:val="24"/>
              <w:szCs w:val="24"/>
            </w:rPr>
            <w:t xml:space="preserve"> Banking Group plc</w:t>
          </w:r>
          <w:bookmarkEnd w:id="10"/>
        </w:p>
        <w:p w14:paraId="09B961E0" w14:textId="77777777" w:rsidR="00534AFD" w:rsidRPr="00D90F39" w:rsidRDefault="00534AFD" w:rsidP="00E513D2">
          <w:pPr>
            <w:jc w:val="center"/>
            <w:rPr>
              <w:rFonts w:cstheme="minorHAnsi"/>
              <w:sz w:val="24"/>
              <w:szCs w:val="24"/>
            </w:rPr>
          </w:pPr>
          <w:r w:rsidRPr="00D90F39">
            <w:rPr>
              <w:rFonts w:cstheme="minorHAnsi"/>
              <w:sz w:val="24"/>
              <w:szCs w:val="24"/>
            </w:rPr>
            <w:t>(Source: Created by the learner)</w:t>
          </w:r>
        </w:p>
        <w:p w14:paraId="27EC7B1C" w14:textId="77777777" w:rsidR="00D64549" w:rsidRPr="00D90F39" w:rsidRDefault="00D64549" w:rsidP="00D90F39">
          <w:pPr>
            <w:rPr>
              <w:rFonts w:cstheme="minorHAnsi"/>
              <w:sz w:val="24"/>
              <w:szCs w:val="24"/>
            </w:rPr>
          </w:pPr>
          <w:r w:rsidRPr="00D90F39">
            <w:rPr>
              <w:rFonts w:cstheme="minorHAnsi"/>
              <w:b/>
              <w:i/>
              <w:sz w:val="24"/>
              <w:szCs w:val="24"/>
            </w:rPr>
            <w:t xml:space="preserve">Analysis of </w:t>
          </w:r>
          <w:r w:rsidR="00C321F2" w:rsidRPr="00D90F39">
            <w:rPr>
              <w:rFonts w:cstheme="minorHAnsi"/>
              <w:b/>
              <w:i/>
              <w:sz w:val="24"/>
              <w:szCs w:val="24"/>
            </w:rPr>
            <w:t>investor ratios</w:t>
          </w:r>
        </w:p>
        <w:p w14:paraId="363BA582" w14:textId="77777777" w:rsidR="009C7DDC" w:rsidRPr="00D90F39" w:rsidRDefault="003F3716" w:rsidP="00D90F39">
          <w:pPr>
            <w:rPr>
              <w:rFonts w:cstheme="minorHAnsi"/>
              <w:sz w:val="24"/>
              <w:szCs w:val="24"/>
            </w:rPr>
          </w:pPr>
          <w:r w:rsidRPr="00D90F39">
            <w:rPr>
              <w:rFonts w:cstheme="minorHAnsi"/>
              <w:sz w:val="24"/>
              <w:szCs w:val="24"/>
            </w:rPr>
            <w:t xml:space="preserve">According to </w:t>
          </w:r>
          <w:proofErr w:type="spellStart"/>
          <w:r w:rsidR="00D01005" w:rsidRPr="00D90F39">
            <w:rPr>
              <w:rFonts w:cstheme="minorHAnsi"/>
              <w:sz w:val="24"/>
              <w:szCs w:val="24"/>
            </w:rPr>
            <w:t>Atrill</w:t>
          </w:r>
          <w:proofErr w:type="spellEnd"/>
          <w:r w:rsidR="00D01005" w:rsidRPr="00D90F39">
            <w:rPr>
              <w:rFonts w:cstheme="minorHAnsi"/>
              <w:sz w:val="24"/>
              <w:szCs w:val="24"/>
            </w:rPr>
            <w:t xml:space="preserve"> and </w:t>
          </w:r>
          <w:proofErr w:type="spellStart"/>
          <w:r w:rsidR="00D01005" w:rsidRPr="00D90F39">
            <w:rPr>
              <w:rFonts w:cstheme="minorHAnsi"/>
              <w:sz w:val="24"/>
              <w:szCs w:val="24"/>
            </w:rPr>
            <w:t>Mclaney</w:t>
          </w:r>
          <w:proofErr w:type="spellEnd"/>
          <w:r w:rsidR="00D01005" w:rsidRPr="00D90F39">
            <w:rPr>
              <w:rFonts w:cstheme="minorHAnsi"/>
              <w:sz w:val="24"/>
              <w:szCs w:val="24"/>
            </w:rPr>
            <w:t xml:space="preserve"> </w:t>
          </w:r>
          <w:r w:rsidRPr="00D90F39">
            <w:rPr>
              <w:rFonts w:cstheme="minorHAnsi"/>
              <w:sz w:val="24"/>
              <w:szCs w:val="24"/>
            </w:rPr>
            <w:t>(</w:t>
          </w:r>
          <w:r w:rsidR="00D01005" w:rsidRPr="00D90F39">
            <w:rPr>
              <w:rFonts w:cstheme="minorHAnsi"/>
              <w:sz w:val="24"/>
              <w:szCs w:val="24"/>
            </w:rPr>
            <w:t>2021</w:t>
          </w:r>
          <w:r w:rsidRPr="00D90F39">
            <w:rPr>
              <w:rFonts w:cstheme="minorHAnsi"/>
              <w:sz w:val="24"/>
              <w:szCs w:val="24"/>
            </w:rPr>
            <w:t xml:space="preserve">), the investor ratios refer to the specific group of ratios, which help in the determination of a company’s performance in the share market, thereby aiding investor decision-making. </w:t>
          </w:r>
          <w:r w:rsidR="00A257BF" w:rsidRPr="00D90F39">
            <w:rPr>
              <w:rFonts w:cstheme="minorHAnsi"/>
              <w:sz w:val="24"/>
              <w:szCs w:val="24"/>
            </w:rPr>
            <w:t>Earnings per share refer to an investor ratio, which determines the profit earned in companies for each share present within its common stock (</w:t>
          </w:r>
          <w:r w:rsidR="00C66204" w:rsidRPr="00D90F39">
            <w:rPr>
              <w:rFonts w:cstheme="minorHAnsi"/>
              <w:sz w:val="24"/>
              <w:szCs w:val="24"/>
              <w:lang w:val="en-US"/>
            </w:rPr>
            <w:t>Arsal, 2021</w:t>
          </w:r>
          <w:r w:rsidR="00A257BF" w:rsidRPr="00D90F39">
            <w:rPr>
              <w:rFonts w:cstheme="minorHAnsi"/>
              <w:sz w:val="24"/>
              <w:szCs w:val="24"/>
            </w:rPr>
            <w:t xml:space="preserve">). </w:t>
          </w:r>
          <w:proofErr w:type="spellStart"/>
          <w:r w:rsidR="00C66204" w:rsidRPr="00D90F39">
            <w:rPr>
              <w:rFonts w:cstheme="minorHAnsi"/>
              <w:sz w:val="24"/>
              <w:szCs w:val="24"/>
              <w:lang w:val="en-US"/>
            </w:rPr>
            <w:t>Hutabarat</w:t>
          </w:r>
          <w:proofErr w:type="spellEnd"/>
          <w:r w:rsidR="00C66204" w:rsidRPr="00D90F39">
            <w:rPr>
              <w:rFonts w:cstheme="minorHAnsi"/>
              <w:sz w:val="24"/>
              <w:szCs w:val="24"/>
            </w:rPr>
            <w:t xml:space="preserve"> </w:t>
          </w:r>
          <w:r w:rsidR="00C66204" w:rsidRPr="00D90F39">
            <w:rPr>
              <w:rFonts w:cstheme="minorHAnsi"/>
              <w:i/>
              <w:sz w:val="24"/>
              <w:szCs w:val="24"/>
            </w:rPr>
            <w:t>et al.</w:t>
          </w:r>
          <w:r w:rsidR="00C66204" w:rsidRPr="00D90F39">
            <w:rPr>
              <w:rFonts w:cstheme="minorHAnsi"/>
              <w:sz w:val="24"/>
              <w:szCs w:val="24"/>
            </w:rPr>
            <w:t xml:space="preserve"> </w:t>
          </w:r>
          <w:r w:rsidR="00A257BF" w:rsidRPr="00D90F39">
            <w:rPr>
              <w:rFonts w:cstheme="minorHAnsi"/>
              <w:sz w:val="24"/>
              <w:szCs w:val="24"/>
            </w:rPr>
            <w:t>(</w:t>
          </w:r>
          <w:r w:rsidR="00C66204" w:rsidRPr="00D90F39">
            <w:rPr>
              <w:rFonts w:cstheme="minorHAnsi"/>
              <w:sz w:val="24"/>
              <w:szCs w:val="24"/>
            </w:rPr>
            <w:t>2023</w:t>
          </w:r>
          <w:r w:rsidR="000B37CE" w:rsidRPr="00D90F39">
            <w:rPr>
              <w:rFonts w:cstheme="minorHAnsi"/>
              <w:sz w:val="24"/>
              <w:szCs w:val="24"/>
            </w:rPr>
            <w:t xml:space="preserve">) defined the </w:t>
          </w:r>
          <w:r w:rsidR="00A257BF" w:rsidRPr="00D90F39">
            <w:rPr>
              <w:rFonts w:cstheme="minorHAnsi"/>
              <w:sz w:val="24"/>
              <w:szCs w:val="24"/>
            </w:rPr>
            <w:t>dividend pay</w:t>
          </w:r>
          <w:r w:rsidR="000B37CE" w:rsidRPr="00D90F39">
            <w:rPr>
              <w:rFonts w:cstheme="minorHAnsi"/>
              <w:sz w:val="24"/>
              <w:szCs w:val="24"/>
            </w:rPr>
            <w:t xml:space="preserve">out ratio </w:t>
          </w:r>
          <w:proofErr w:type="gramStart"/>
          <w:r w:rsidR="000B37CE" w:rsidRPr="00D90F39">
            <w:rPr>
              <w:rFonts w:cstheme="minorHAnsi"/>
              <w:sz w:val="24"/>
              <w:szCs w:val="24"/>
            </w:rPr>
            <w:t>is</w:t>
          </w:r>
          <w:proofErr w:type="gramEnd"/>
          <w:r w:rsidR="000B37CE" w:rsidRPr="00D90F39">
            <w:rPr>
              <w:rFonts w:cstheme="minorHAnsi"/>
              <w:sz w:val="24"/>
              <w:szCs w:val="24"/>
            </w:rPr>
            <w:t xml:space="preserve"> a kind of investor ratio, which </w:t>
          </w:r>
          <w:r w:rsidR="00A33D79" w:rsidRPr="00D90F39">
            <w:rPr>
              <w:rFonts w:cstheme="minorHAnsi"/>
              <w:sz w:val="24"/>
              <w:szCs w:val="24"/>
            </w:rPr>
            <w:t>shows the net income paid to stockholders as dividends.</w:t>
          </w:r>
          <w:r w:rsidR="00AE3018" w:rsidRPr="00D90F39">
            <w:rPr>
              <w:rFonts w:cstheme="minorHAnsi"/>
              <w:sz w:val="24"/>
              <w:szCs w:val="24"/>
            </w:rPr>
            <w:t xml:space="preserve"> </w:t>
          </w:r>
          <w:r w:rsidR="009C4275" w:rsidRPr="00D90F39">
            <w:rPr>
              <w:rFonts w:cstheme="minorHAnsi"/>
              <w:sz w:val="24"/>
              <w:szCs w:val="24"/>
            </w:rPr>
            <w:t>Lloyds</w:t>
          </w:r>
          <w:r w:rsidR="00AE3018" w:rsidRPr="00D90F39">
            <w:rPr>
              <w:rFonts w:cstheme="minorHAnsi"/>
              <w:sz w:val="24"/>
              <w:szCs w:val="24"/>
            </w:rPr>
            <w:t xml:space="preserve"> Banking Group Plc’s earnings per share show a marginal increase </w:t>
          </w:r>
          <w:r w:rsidR="00BE73B2" w:rsidRPr="00D90F39">
            <w:rPr>
              <w:rFonts w:cstheme="minorHAnsi"/>
              <w:sz w:val="24"/>
              <w:szCs w:val="24"/>
            </w:rPr>
            <w:t xml:space="preserve">from 0.06 to 0.08 </w:t>
          </w:r>
          <w:r w:rsidR="00AE3018" w:rsidRPr="00D90F39">
            <w:rPr>
              <w:rFonts w:cstheme="minorHAnsi"/>
              <w:sz w:val="24"/>
              <w:szCs w:val="24"/>
            </w:rPr>
            <w:t>in its value in 2023 relative to that of 2022</w:t>
          </w:r>
          <w:r w:rsidR="00087A05" w:rsidRPr="00D90F39">
            <w:rPr>
              <w:rFonts w:cstheme="minorHAnsi"/>
              <w:sz w:val="24"/>
              <w:szCs w:val="24"/>
            </w:rPr>
            <w:t xml:space="preserve">, the probable reasons for which are increased profits and decreasing outstanding shares. </w:t>
          </w:r>
          <w:r w:rsidR="005F7C28" w:rsidRPr="00D90F39">
            <w:rPr>
              <w:rFonts w:cstheme="minorHAnsi"/>
              <w:sz w:val="24"/>
              <w:szCs w:val="24"/>
            </w:rPr>
            <w:t xml:space="preserve">A noticeable reduction </w:t>
          </w:r>
          <w:r w:rsidR="00BE73B2" w:rsidRPr="00D90F39">
            <w:rPr>
              <w:rFonts w:cstheme="minorHAnsi"/>
              <w:sz w:val="24"/>
              <w:szCs w:val="24"/>
            </w:rPr>
            <w:t>from 37.6</w:t>
          </w:r>
          <w:r w:rsidR="007962AC" w:rsidRPr="00D90F39">
            <w:rPr>
              <w:rFonts w:cstheme="minorHAnsi"/>
              <w:sz w:val="24"/>
              <w:szCs w:val="24"/>
            </w:rPr>
            <w:t>%</w:t>
          </w:r>
          <w:r w:rsidR="00BE73B2" w:rsidRPr="00D90F39">
            <w:rPr>
              <w:rFonts w:cstheme="minorHAnsi"/>
              <w:sz w:val="24"/>
              <w:szCs w:val="24"/>
            </w:rPr>
            <w:t xml:space="preserve"> to 29.92</w:t>
          </w:r>
          <w:r w:rsidR="007962AC" w:rsidRPr="00D90F39">
            <w:rPr>
              <w:rFonts w:cstheme="minorHAnsi"/>
              <w:sz w:val="24"/>
              <w:szCs w:val="24"/>
            </w:rPr>
            <w:t>%</w:t>
          </w:r>
          <w:r w:rsidR="00BE73B2" w:rsidRPr="00D90F39">
            <w:rPr>
              <w:rFonts w:cstheme="minorHAnsi"/>
              <w:sz w:val="24"/>
              <w:szCs w:val="24"/>
            </w:rPr>
            <w:t xml:space="preserve"> </w:t>
          </w:r>
          <w:r w:rsidR="005F7C28" w:rsidRPr="00D90F39">
            <w:rPr>
              <w:rFonts w:cstheme="minorHAnsi"/>
              <w:sz w:val="24"/>
              <w:szCs w:val="24"/>
            </w:rPr>
            <w:t xml:space="preserve">can also be identified in the company’s </w:t>
          </w:r>
          <w:r w:rsidR="00A026C8" w:rsidRPr="00D90F39">
            <w:rPr>
              <w:rFonts w:cstheme="minorHAnsi"/>
              <w:sz w:val="24"/>
              <w:szCs w:val="24"/>
            </w:rPr>
            <w:t>dividend payout ratio. The reason for this reduction is the increase in its dividends being lower than the increase in its profits. However, a good dividend payout is still maintained in the company. A significant improvement is needed in the company’s earnings per share.</w:t>
          </w:r>
        </w:p>
        <w:p w14:paraId="294938E1" w14:textId="77777777" w:rsidR="00291C25" w:rsidRPr="00D90F39" w:rsidRDefault="00291C25" w:rsidP="00401CC3">
          <w:pPr>
            <w:jc w:val="center"/>
            <w:rPr>
              <w:rFonts w:cstheme="minorHAnsi"/>
              <w:sz w:val="24"/>
              <w:szCs w:val="24"/>
            </w:rPr>
          </w:pPr>
          <w:r w:rsidRPr="00D90F39">
            <w:rPr>
              <w:rFonts w:cstheme="minorHAnsi"/>
              <w:noProof/>
              <w:sz w:val="24"/>
              <w:szCs w:val="24"/>
              <w:lang w:val="en-US"/>
            </w:rPr>
            <w:lastRenderedPageBreak/>
            <w:drawing>
              <wp:inline distT="0" distB="0" distL="0" distR="0" wp14:anchorId="194039DC" wp14:editId="4FF8766D">
                <wp:extent cx="4572000" cy="2743200"/>
                <wp:effectExtent l="19050" t="0" r="19050"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917E29B" w14:textId="0B136C8F" w:rsidR="000B1EC5" w:rsidRPr="00D90F39" w:rsidRDefault="000B1EC5" w:rsidP="00401CC3">
          <w:pPr>
            <w:pStyle w:val="Caption"/>
            <w:rPr>
              <w:rFonts w:cstheme="minorHAnsi"/>
              <w:sz w:val="24"/>
              <w:szCs w:val="24"/>
            </w:rPr>
          </w:pPr>
          <w:bookmarkStart w:id="11" w:name="_Toc186730481"/>
          <w:r w:rsidRPr="00D90F39">
            <w:rPr>
              <w:rFonts w:cstheme="minorHAnsi"/>
              <w:sz w:val="24"/>
              <w:szCs w:val="24"/>
            </w:rPr>
            <w:t xml:space="preserve">Figure </w:t>
          </w:r>
          <w:r w:rsidR="00534AFD" w:rsidRPr="00D90F39">
            <w:rPr>
              <w:rFonts w:cstheme="minorHAnsi"/>
              <w:sz w:val="24"/>
              <w:szCs w:val="24"/>
            </w:rPr>
            <w:fldChar w:fldCharType="begin"/>
          </w:r>
          <w:r w:rsidR="00534AFD" w:rsidRPr="00D90F39">
            <w:rPr>
              <w:rFonts w:cstheme="minorHAnsi"/>
              <w:sz w:val="24"/>
              <w:szCs w:val="24"/>
            </w:rPr>
            <w:instrText xml:space="preserve"> SEQ Figure \* ARABIC </w:instrText>
          </w:r>
          <w:r w:rsidR="00534AFD" w:rsidRPr="00D90F39">
            <w:rPr>
              <w:rFonts w:cstheme="minorHAnsi"/>
              <w:sz w:val="24"/>
              <w:szCs w:val="24"/>
            </w:rPr>
            <w:fldChar w:fldCharType="separate"/>
          </w:r>
          <w:r w:rsidR="00B71885">
            <w:rPr>
              <w:rFonts w:cstheme="minorHAnsi"/>
              <w:noProof/>
              <w:sz w:val="24"/>
              <w:szCs w:val="24"/>
            </w:rPr>
            <w:t>6</w:t>
          </w:r>
          <w:r w:rsidR="00534AFD" w:rsidRPr="00D90F39">
            <w:rPr>
              <w:rFonts w:cstheme="minorHAnsi"/>
              <w:noProof/>
              <w:sz w:val="24"/>
              <w:szCs w:val="24"/>
            </w:rPr>
            <w:fldChar w:fldCharType="end"/>
          </w:r>
          <w:r w:rsidRPr="00D90F39">
            <w:rPr>
              <w:rFonts w:cstheme="minorHAnsi"/>
              <w:sz w:val="24"/>
              <w:szCs w:val="24"/>
            </w:rPr>
            <w:t xml:space="preserve">: </w:t>
          </w:r>
          <w:r w:rsidR="00FD2BA8" w:rsidRPr="00D90F39">
            <w:rPr>
              <w:rFonts w:cstheme="minorHAnsi"/>
              <w:sz w:val="24"/>
              <w:szCs w:val="24"/>
            </w:rPr>
            <w:t>Investor ratios of</w:t>
          </w:r>
          <w:r w:rsidRPr="00D90F39">
            <w:rPr>
              <w:rFonts w:cstheme="minorHAnsi"/>
              <w:sz w:val="24"/>
              <w:szCs w:val="24"/>
            </w:rPr>
            <w:t xml:space="preserve"> </w:t>
          </w:r>
          <w:r w:rsidR="009C4275" w:rsidRPr="00D90F39">
            <w:rPr>
              <w:rFonts w:cstheme="minorHAnsi"/>
              <w:sz w:val="24"/>
              <w:szCs w:val="24"/>
            </w:rPr>
            <w:t>Lloyds</w:t>
          </w:r>
          <w:r w:rsidRPr="00D90F39">
            <w:rPr>
              <w:rFonts w:cstheme="minorHAnsi"/>
              <w:sz w:val="24"/>
              <w:szCs w:val="24"/>
            </w:rPr>
            <w:t xml:space="preserve"> Banking Group plc</w:t>
          </w:r>
          <w:bookmarkEnd w:id="11"/>
        </w:p>
        <w:p w14:paraId="245D5077" w14:textId="77777777" w:rsidR="000B1EC5" w:rsidRDefault="000B1EC5" w:rsidP="00401CC3">
          <w:pPr>
            <w:jc w:val="center"/>
            <w:rPr>
              <w:rFonts w:cstheme="minorHAnsi"/>
              <w:sz w:val="24"/>
              <w:szCs w:val="24"/>
            </w:rPr>
          </w:pPr>
          <w:r w:rsidRPr="00D90F39">
            <w:rPr>
              <w:rFonts w:cstheme="minorHAnsi"/>
              <w:sz w:val="24"/>
              <w:szCs w:val="24"/>
            </w:rPr>
            <w:t>(Source: Created by the learner)</w:t>
          </w:r>
        </w:p>
        <w:p w14:paraId="505C987A" w14:textId="77777777" w:rsidR="00401CC3" w:rsidRPr="00D90F39" w:rsidRDefault="00401CC3" w:rsidP="00401CC3">
          <w:pPr>
            <w:jc w:val="center"/>
            <w:rPr>
              <w:rFonts w:cstheme="minorHAnsi"/>
              <w:sz w:val="24"/>
              <w:szCs w:val="24"/>
            </w:rPr>
          </w:pPr>
        </w:p>
        <w:p w14:paraId="2AE4BE52" w14:textId="77777777" w:rsidR="009C7DDC" w:rsidRDefault="009C7DDC" w:rsidP="00D90F39">
          <w:pPr>
            <w:pStyle w:val="Heading2"/>
            <w:rPr>
              <w:rFonts w:asciiTheme="minorHAnsi" w:hAnsiTheme="minorHAnsi" w:cstheme="minorHAnsi"/>
              <w:sz w:val="28"/>
              <w:szCs w:val="28"/>
            </w:rPr>
          </w:pPr>
          <w:bookmarkStart w:id="12" w:name="_Toc186730294"/>
          <w:r w:rsidRPr="00EE4E1C">
            <w:rPr>
              <w:rFonts w:asciiTheme="minorHAnsi" w:hAnsiTheme="minorHAnsi" w:cstheme="minorHAnsi"/>
              <w:sz w:val="28"/>
              <w:szCs w:val="28"/>
            </w:rPr>
            <w:t>Limitations of ratio analysis</w:t>
          </w:r>
          <w:bookmarkEnd w:id="12"/>
        </w:p>
        <w:p w14:paraId="0FBF3B40" w14:textId="77777777" w:rsidR="00401CC3" w:rsidRPr="00401CC3" w:rsidRDefault="00401CC3" w:rsidP="00401CC3"/>
        <w:p w14:paraId="24662882" w14:textId="77777777" w:rsidR="009C7DDC" w:rsidRPr="00D90F39" w:rsidRDefault="00044320" w:rsidP="00D90F39">
          <w:pPr>
            <w:rPr>
              <w:rFonts w:cstheme="minorHAnsi"/>
              <w:sz w:val="24"/>
              <w:szCs w:val="24"/>
            </w:rPr>
          </w:pPr>
          <w:r w:rsidRPr="00D90F39">
            <w:rPr>
              <w:rFonts w:cstheme="minorHAnsi"/>
              <w:sz w:val="24"/>
              <w:szCs w:val="24"/>
            </w:rPr>
            <w:t>There are different sorts of limitations in present in ratio analysis irrespective of the range of benefits and usefulness of this method or technique. A few of the primary limitations present within ratio analysis are the following –</w:t>
          </w:r>
        </w:p>
        <w:p w14:paraId="7E2CB919" w14:textId="77777777" w:rsidR="00044320" w:rsidRPr="00D90F39" w:rsidRDefault="00447F50" w:rsidP="00D90F39">
          <w:pPr>
            <w:pStyle w:val="ListParagraph"/>
            <w:numPr>
              <w:ilvl w:val="0"/>
              <w:numId w:val="2"/>
            </w:numPr>
            <w:rPr>
              <w:rFonts w:cstheme="minorHAnsi"/>
              <w:sz w:val="24"/>
              <w:szCs w:val="24"/>
            </w:rPr>
          </w:pPr>
          <w:r w:rsidRPr="00D90F39">
            <w:rPr>
              <w:rFonts w:cstheme="minorHAnsi"/>
              <w:sz w:val="24"/>
              <w:szCs w:val="24"/>
            </w:rPr>
            <w:t>The analysis of the ratios of a company is dependent on historical data only</w:t>
          </w:r>
          <w:r w:rsidR="009E5527" w:rsidRPr="00D90F39">
            <w:rPr>
              <w:rFonts w:cstheme="minorHAnsi"/>
              <w:sz w:val="24"/>
              <w:szCs w:val="24"/>
            </w:rPr>
            <w:t xml:space="preserve"> (</w:t>
          </w:r>
          <w:r w:rsidR="009E5527" w:rsidRPr="00D90F39">
            <w:rPr>
              <w:rFonts w:cstheme="minorHAnsi"/>
              <w:sz w:val="24"/>
              <w:szCs w:val="24"/>
              <w:lang w:val="en-US"/>
            </w:rPr>
            <w:t>Kurniawan, 2021</w:t>
          </w:r>
          <w:r w:rsidR="009E5527" w:rsidRPr="00D90F39">
            <w:rPr>
              <w:rFonts w:cstheme="minorHAnsi"/>
              <w:sz w:val="24"/>
              <w:szCs w:val="24"/>
            </w:rPr>
            <w:t>)</w:t>
          </w:r>
          <w:r w:rsidRPr="00D90F39">
            <w:rPr>
              <w:rFonts w:cstheme="minorHAnsi"/>
              <w:sz w:val="24"/>
              <w:szCs w:val="24"/>
            </w:rPr>
            <w:t>. There is no consideration of present data, which fails to provide a realistic representation of its present and future performance.</w:t>
          </w:r>
        </w:p>
        <w:p w14:paraId="14C5E4ED" w14:textId="77777777" w:rsidR="0005781E" w:rsidRPr="00D90F39" w:rsidRDefault="0005781E" w:rsidP="00D90F39">
          <w:pPr>
            <w:pStyle w:val="ListParagraph"/>
            <w:numPr>
              <w:ilvl w:val="0"/>
              <w:numId w:val="2"/>
            </w:numPr>
            <w:rPr>
              <w:rFonts w:cstheme="minorHAnsi"/>
              <w:sz w:val="24"/>
              <w:szCs w:val="24"/>
            </w:rPr>
          </w:pPr>
          <w:r w:rsidRPr="00D90F39">
            <w:rPr>
              <w:rFonts w:cstheme="minorHAnsi"/>
              <w:sz w:val="24"/>
              <w:szCs w:val="24"/>
            </w:rPr>
            <w:t>Moreover, a company’s financial statements are released on periodical basis, resulting in time difference between the releases</w:t>
          </w:r>
          <w:r w:rsidR="009E5527" w:rsidRPr="00D90F39">
            <w:rPr>
              <w:rFonts w:cstheme="minorHAnsi"/>
              <w:sz w:val="24"/>
              <w:szCs w:val="24"/>
            </w:rPr>
            <w:t xml:space="preserve"> (</w:t>
          </w:r>
          <w:proofErr w:type="spellStart"/>
          <w:r w:rsidR="009E5527" w:rsidRPr="00D90F39">
            <w:rPr>
              <w:rFonts w:cstheme="minorHAnsi"/>
              <w:sz w:val="24"/>
              <w:szCs w:val="24"/>
            </w:rPr>
            <w:t>Sitompul</w:t>
          </w:r>
          <w:proofErr w:type="spellEnd"/>
          <w:r w:rsidR="009E5527" w:rsidRPr="00D90F39">
            <w:rPr>
              <w:rFonts w:cstheme="minorHAnsi"/>
              <w:sz w:val="24"/>
              <w:szCs w:val="24"/>
            </w:rPr>
            <w:t xml:space="preserve">, </w:t>
          </w:r>
          <w:proofErr w:type="spellStart"/>
          <w:r w:rsidR="009E5527" w:rsidRPr="00D90F39">
            <w:rPr>
              <w:rFonts w:cstheme="minorHAnsi"/>
              <w:sz w:val="24"/>
              <w:szCs w:val="24"/>
            </w:rPr>
            <w:t>Ichsan</w:t>
          </w:r>
          <w:proofErr w:type="spellEnd"/>
          <w:r w:rsidR="009E5527" w:rsidRPr="00D90F39">
            <w:rPr>
              <w:rFonts w:cstheme="minorHAnsi"/>
              <w:sz w:val="24"/>
              <w:szCs w:val="24"/>
            </w:rPr>
            <w:t xml:space="preserve"> and Nasution, 2021)</w:t>
          </w:r>
          <w:r w:rsidRPr="00D90F39">
            <w:rPr>
              <w:rFonts w:cstheme="minorHAnsi"/>
              <w:sz w:val="24"/>
              <w:szCs w:val="24"/>
            </w:rPr>
            <w:t xml:space="preserve">. For example, if inflation has occurred between the releases of </w:t>
          </w:r>
          <w:r w:rsidR="009C4275" w:rsidRPr="00D90F39">
            <w:rPr>
              <w:rFonts w:cstheme="minorHAnsi"/>
              <w:sz w:val="24"/>
              <w:szCs w:val="24"/>
            </w:rPr>
            <w:t>Lloyds</w:t>
          </w:r>
          <w:r w:rsidRPr="00D90F39">
            <w:rPr>
              <w:rFonts w:cstheme="minorHAnsi"/>
              <w:sz w:val="24"/>
              <w:szCs w:val="24"/>
            </w:rPr>
            <w:t xml:space="preserve"> Banking Group Plc’s financial statements, the results of the ratios might be incorrect.</w:t>
          </w:r>
        </w:p>
        <w:p w14:paraId="06EC20DB" w14:textId="4391E940" w:rsidR="0005781E" w:rsidRPr="00D90F39" w:rsidRDefault="0005781E" w:rsidP="00D90F39">
          <w:pPr>
            <w:pStyle w:val="ListParagraph"/>
            <w:numPr>
              <w:ilvl w:val="0"/>
              <w:numId w:val="2"/>
            </w:numPr>
            <w:rPr>
              <w:rFonts w:cstheme="minorHAnsi"/>
              <w:sz w:val="24"/>
              <w:szCs w:val="24"/>
            </w:rPr>
          </w:pPr>
          <w:r w:rsidRPr="00D90F39">
            <w:rPr>
              <w:rFonts w:cstheme="minorHAnsi"/>
              <w:sz w:val="24"/>
              <w:szCs w:val="24"/>
            </w:rPr>
            <w:t xml:space="preserve">Besides this, ratios are unable to show the </w:t>
          </w:r>
          <w:r w:rsidR="009E40F6" w:rsidRPr="00D90F39">
            <w:rPr>
              <w:rFonts w:cstheme="minorHAnsi"/>
              <w:sz w:val="24"/>
              <w:szCs w:val="24"/>
            </w:rPr>
            <w:t>prospects</w:t>
          </w:r>
          <w:r w:rsidRPr="00D90F39">
            <w:rPr>
              <w:rFonts w:cstheme="minorHAnsi"/>
              <w:sz w:val="24"/>
              <w:szCs w:val="24"/>
            </w:rPr>
            <w:t xml:space="preserve"> and valuation of a company and its projects. For ex</w:t>
          </w:r>
          <w:r w:rsidR="000B37CE" w:rsidRPr="00D90F39">
            <w:rPr>
              <w:rFonts w:cstheme="minorHAnsi"/>
              <w:sz w:val="24"/>
              <w:szCs w:val="24"/>
            </w:rPr>
            <w:t xml:space="preserve">ample, capital appraisal models that can be </w:t>
          </w:r>
          <w:r w:rsidRPr="00D90F39">
            <w:rPr>
              <w:rFonts w:cstheme="minorHAnsi"/>
              <w:sz w:val="24"/>
              <w:szCs w:val="24"/>
            </w:rPr>
            <w:t xml:space="preserve">net present value </w:t>
          </w:r>
          <w:r w:rsidR="000B37CE" w:rsidRPr="00D90F39">
            <w:rPr>
              <w:rFonts w:cstheme="minorHAnsi"/>
              <w:sz w:val="24"/>
              <w:szCs w:val="24"/>
            </w:rPr>
            <w:t>or</w:t>
          </w:r>
          <w:r w:rsidRPr="00D90F39">
            <w:rPr>
              <w:rFonts w:cstheme="minorHAnsi"/>
              <w:sz w:val="24"/>
              <w:szCs w:val="24"/>
            </w:rPr>
            <w:t xml:space="preserve"> accounting rate of return show the expected future profits and valuation of a company’s projects and investments, which ratios cannot.</w:t>
          </w:r>
        </w:p>
        <w:p w14:paraId="2BB53359" w14:textId="77777777" w:rsidR="0022786F" w:rsidRPr="00D90F39" w:rsidRDefault="0005781E" w:rsidP="00D90F39">
          <w:pPr>
            <w:pStyle w:val="ListParagraph"/>
            <w:numPr>
              <w:ilvl w:val="0"/>
              <w:numId w:val="2"/>
            </w:numPr>
            <w:rPr>
              <w:rFonts w:cstheme="minorHAnsi"/>
              <w:sz w:val="24"/>
              <w:szCs w:val="24"/>
            </w:rPr>
          </w:pPr>
          <w:r w:rsidRPr="00D90F39">
            <w:rPr>
              <w:rFonts w:cstheme="minorHAnsi"/>
              <w:sz w:val="24"/>
              <w:szCs w:val="24"/>
            </w:rPr>
            <w:lastRenderedPageBreak/>
            <w:t>Similarly, ratios are unable to consider the sources of finance available in a company using which its future performance can be improved</w:t>
          </w:r>
          <w:r w:rsidR="009E5527" w:rsidRPr="00D90F39">
            <w:rPr>
              <w:rFonts w:cstheme="minorHAnsi"/>
              <w:sz w:val="24"/>
              <w:szCs w:val="24"/>
            </w:rPr>
            <w:t xml:space="preserve"> (Maheshwari, Maheshwari and Maheshwari, 2024)</w:t>
          </w:r>
          <w:r w:rsidRPr="00D90F39">
            <w:rPr>
              <w:rFonts w:cstheme="minorHAnsi"/>
              <w:sz w:val="24"/>
              <w:szCs w:val="24"/>
            </w:rPr>
            <w:t>.</w:t>
          </w:r>
          <w:r w:rsidR="004024C8" w:rsidRPr="00D90F39">
            <w:rPr>
              <w:rFonts w:cstheme="minorHAnsi"/>
              <w:sz w:val="24"/>
              <w:szCs w:val="24"/>
            </w:rPr>
            <w:t xml:space="preserve"> For example, the ratios above show </w:t>
          </w:r>
          <w:r w:rsidR="009C4275" w:rsidRPr="00D90F39">
            <w:rPr>
              <w:rFonts w:cstheme="minorHAnsi"/>
              <w:sz w:val="24"/>
              <w:szCs w:val="24"/>
            </w:rPr>
            <w:t>Lloyds</w:t>
          </w:r>
          <w:r w:rsidR="004024C8" w:rsidRPr="00D90F39">
            <w:rPr>
              <w:rFonts w:cstheme="minorHAnsi"/>
              <w:sz w:val="24"/>
              <w:szCs w:val="24"/>
            </w:rPr>
            <w:t xml:space="preserve"> Banking Group Plc’s financial performance but fail to reflect its financing sources and stability in its finances.</w:t>
          </w:r>
        </w:p>
        <w:p w14:paraId="154E5313" w14:textId="77777777" w:rsidR="00123C28" w:rsidRPr="00D90F39" w:rsidRDefault="0022786F" w:rsidP="00D90F39">
          <w:pPr>
            <w:pStyle w:val="ListParagraph"/>
            <w:numPr>
              <w:ilvl w:val="0"/>
              <w:numId w:val="2"/>
            </w:numPr>
            <w:rPr>
              <w:rFonts w:cstheme="minorHAnsi"/>
              <w:sz w:val="24"/>
              <w:szCs w:val="24"/>
            </w:rPr>
          </w:pPr>
          <w:r w:rsidRPr="00D90F39">
            <w:rPr>
              <w:rFonts w:cstheme="minorHAnsi"/>
              <w:sz w:val="24"/>
              <w:szCs w:val="24"/>
            </w:rPr>
            <w:t>Conversely, ratios of companies</w:t>
          </w:r>
          <w:r w:rsidR="009E5527" w:rsidRPr="00D90F39">
            <w:rPr>
              <w:rFonts w:cstheme="minorHAnsi"/>
              <w:sz w:val="24"/>
              <w:szCs w:val="24"/>
            </w:rPr>
            <w:t xml:space="preserve"> </w:t>
          </w:r>
          <w:r w:rsidR="00CE583E" w:rsidRPr="00D90F39">
            <w:rPr>
              <w:rFonts w:cstheme="minorHAnsi"/>
              <w:sz w:val="24"/>
              <w:szCs w:val="24"/>
            </w:rPr>
            <w:t xml:space="preserve">are calculated based upon its financial statements. However, business managers often manipulate financial statements for their own advantage. </w:t>
          </w:r>
          <w:r w:rsidR="009E5527" w:rsidRPr="00D90F39">
            <w:rPr>
              <w:rFonts w:cstheme="minorHAnsi"/>
              <w:sz w:val="24"/>
              <w:szCs w:val="24"/>
            </w:rPr>
            <w:t xml:space="preserve">If such manipulations have occurred in the financial statements of </w:t>
          </w:r>
          <w:r w:rsidR="009C4275" w:rsidRPr="00D90F39">
            <w:rPr>
              <w:rFonts w:cstheme="minorHAnsi"/>
              <w:sz w:val="24"/>
              <w:szCs w:val="24"/>
            </w:rPr>
            <w:t>Lloyds</w:t>
          </w:r>
          <w:r w:rsidR="009E5527" w:rsidRPr="00D90F39">
            <w:rPr>
              <w:rFonts w:cstheme="minorHAnsi"/>
              <w:sz w:val="24"/>
              <w:szCs w:val="24"/>
            </w:rPr>
            <w:t xml:space="preserve"> Banking Group Plc, the above financial performance analysis for the company might turn out ineffective.</w:t>
          </w:r>
          <w:bookmarkStart w:id="13" w:name="_Toc186730295"/>
        </w:p>
        <w:p w14:paraId="1F4BC270" w14:textId="77777777" w:rsidR="00123C28" w:rsidRPr="00D90F39" w:rsidRDefault="00123C28" w:rsidP="00D90F39">
          <w:pPr>
            <w:rPr>
              <w:rFonts w:cstheme="minorHAnsi"/>
              <w:sz w:val="24"/>
              <w:szCs w:val="24"/>
            </w:rPr>
          </w:pPr>
        </w:p>
        <w:p w14:paraId="78A6470E" w14:textId="54DC378B" w:rsidR="003341D5" w:rsidRPr="009C742D" w:rsidRDefault="00AA2A91" w:rsidP="00D90F39">
          <w:pPr>
            <w:rPr>
              <w:rFonts w:cstheme="minorHAnsi"/>
              <w:color w:val="0070C0"/>
              <w:sz w:val="28"/>
              <w:szCs w:val="28"/>
            </w:rPr>
          </w:pPr>
          <w:r w:rsidRPr="009C742D">
            <w:rPr>
              <w:rFonts w:cstheme="minorHAnsi"/>
              <w:color w:val="0070C0"/>
              <w:sz w:val="28"/>
              <w:szCs w:val="28"/>
            </w:rPr>
            <w:t>Conclusion</w:t>
          </w:r>
          <w:bookmarkEnd w:id="13"/>
        </w:p>
        <w:p w14:paraId="1E00D382" w14:textId="57A3F25B" w:rsidR="0019318F" w:rsidRPr="00D90F39" w:rsidRDefault="001E4199" w:rsidP="00D90F39">
          <w:pPr>
            <w:rPr>
              <w:rFonts w:cstheme="minorHAnsi"/>
              <w:sz w:val="24"/>
              <w:szCs w:val="24"/>
            </w:rPr>
          </w:pPr>
          <w:r w:rsidRPr="00D90F39">
            <w:rPr>
              <w:rFonts w:cstheme="minorHAnsi"/>
              <w:sz w:val="24"/>
              <w:szCs w:val="24"/>
            </w:rPr>
            <w:t>I</w:t>
          </w:r>
          <w:r w:rsidR="000B179E" w:rsidRPr="00D90F39">
            <w:rPr>
              <w:rFonts w:cstheme="minorHAnsi"/>
              <w:sz w:val="24"/>
              <w:szCs w:val="24"/>
            </w:rPr>
            <w:t xml:space="preserve">t can be summarised that ratios are one of the most effective methods and techniques using which </w:t>
          </w:r>
          <w:r w:rsidR="0019318F" w:rsidRPr="00D90F39">
            <w:rPr>
              <w:rFonts w:cstheme="minorHAnsi"/>
              <w:sz w:val="24"/>
              <w:szCs w:val="24"/>
            </w:rPr>
            <w:t xml:space="preserve">financial performance analysis is conducted. The importance and effectiveness of ratios could be determined. Moreover, the </w:t>
          </w:r>
          <w:r w:rsidR="00BA568E" w:rsidRPr="00D90F39">
            <w:rPr>
              <w:rFonts w:cstheme="minorHAnsi"/>
              <w:sz w:val="24"/>
              <w:szCs w:val="24"/>
            </w:rPr>
            <w:t>assessment</w:t>
          </w:r>
          <w:r w:rsidR="0019318F" w:rsidRPr="00D90F39">
            <w:rPr>
              <w:rFonts w:cstheme="minorHAnsi"/>
              <w:sz w:val="24"/>
              <w:szCs w:val="24"/>
            </w:rPr>
            <w:t xml:space="preserve"> of the financial statements of </w:t>
          </w:r>
          <w:r w:rsidR="009C4275" w:rsidRPr="00D90F39">
            <w:rPr>
              <w:rFonts w:cstheme="minorHAnsi"/>
              <w:sz w:val="24"/>
              <w:szCs w:val="24"/>
            </w:rPr>
            <w:t>Lloyds</w:t>
          </w:r>
          <w:r w:rsidR="0019318F" w:rsidRPr="00D90F39">
            <w:rPr>
              <w:rFonts w:cstheme="minorHAnsi"/>
              <w:sz w:val="24"/>
              <w:szCs w:val="24"/>
            </w:rPr>
            <w:t xml:space="preserve"> Banking Group Plc for the last two years assisted in determining that the profitability of the company is quite poor. At the same time, the company is also determined on possessing a poor or low efficiency. Conversely, the liquidity maintained within the company shows satisfactory results. At the same time, if the gearing ratios are considered, it can be determined that the capacity of the company to meet debts using assets is good.</w:t>
          </w:r>
        </w:p>
        <w:p w14:paraId="20BED99A" w14:textId="4A3E0AF7" w:rsidR="00740FD1" w:rsidRPr="00D90F39" w:rsidRDefault="0019318F" w:rsidP="00D90F39">
          <w:pPr>
            <w:rPr>
              <w:rFonts w:cstheme="minorHAnsi"/>
              <w:sz w:val="24"/>
              <w:szCs w:val="24"/>
            </w:rPr>
          </w:pPr>
          <w:r w:rsidRPr="00D90F39">
            <w:rPr>
              <w:rFonts w:cstheme="minorHAnsi"/>
              <w:sz w:val="24"/>
              <w:szCs w:val="24"/>
            </w:rPr>
            <w:t xml:space="preserve">However, </w:t>
          </w:r>
          <w:r w:rsidR="009C4275" w:rsidRPr="00D90F39">
            <w:rPr>
              <w:rFonts w:cstheme="minorHAnsi"/>
              <w:sz w:val="24"/>
              <w:szCs w:val="24"/>
            </w:rPr>
            <w:t>Lloyds</w:t>
          </w:r>
          <w:r w:rsidRPr="00D90F39">
            <w:rPr>
              <w:rFonts w:cstheme="minorHAnsi"/>
              <w:sz w:val="24"/>
              <w:szCs w:val="24"/>
            </w:rPr>
            <w:t xml:space="preserve"> Banking Group Plc’s capacity of the company to meet debts using equity is poor and needs to be improved immediately. A good dividend payout is also observed in the company but its earnings per share are low despite the improvement that has taken place in the last two years. Thus, on an overall basis, the financial performance of this company is determined to be poor and needs to undergo a significant improvement. </w:t>
          </w:r>
          <w:r w:rsidR="00E30E76" w:rsidRPr="00D90F39">
            <w:rPr>
              <w:rFonts w:cstheme="minorHAnsi"/>
              <w:sz w:val="24"/>
              <w:szCs w:val="24"/>
            </w:rPr>
            <w:t xml:space="preserve">Besides this, from the findings of the report, it could be identified that ratios have certain inherent limitations such use of historical data, financial statement manipulations and others. </w:t>
          </w:r>
          <w:r w:rsidR="00740FD1" w:rsidRPr="00D90F39">
            <w:rPr>
              <w:rFonts w:cstheme="minorHAnsi"/>
              <w:sz w:val="24"/>
              <w:szCs w:val="24"/>
            </w:rPr>
            <w:t xml:space="preserve">Hence, it can be determined that </w:t>
          </w:r>
          <w:r w:rsidR="009C4275" w:rsidRPr="00D90F39">
            <w:rPr>
              <w:rFonts w:cstheme="minorHAnsi"/>
              <w:sz w:val="24"/>
              <w:szCs w:val="24"/>
            </w:rPr>
            <w:t>Lloyds</w:t>
          </w:r>
          <w:r w:rsidR="00740FD1" w:rsidRPr="00D90F39">
            <w:rPr>
              <w:rFonts w:cstheme="minorHAnsi"/>
              <w:sz w:val="24"/>
              <w:szCs w:val="24"/>
            </w:rPr>
            <w:t xml:space="preserve"> Banking Group Plc needs to adopt specific strategies and measures to improve its financial performance in the upcoming accounting periods.</w:t>
          </w:r>
        </w:p>
        <w:p w14:paraId="3D89C5FE" w14:textId="77777777" w:rsidR="00850A2A" w:rsidRPr="00D90F39" w:rsidRDefault="00850A2A" w:rsidP="00D90F39">
          <w:pPr>
            <w:rPr>
              <w:rFonts w:cstheme="minorHAnsi"/>
              <w:sz w:val="24"/>
              <w:szCs w:val="24"/>
            </w:rPr>
          </w:pPr>
        </w:p>
        <w:p w14:paraId="54AEA556" w14:textId="77777777" w:rsidR="003341D5" w:rsidRDefault="003341D5" w:rsidP="00D90F39">
          <w:pPr>
            <w:pStyle w:val="Heading1"/>
            <w:rPr>
              <w:rFonts w:asciiTheme="minorHAnsi" w:hAnsiTheme="minorHAnsi" w:cstheme="minorHAnsi"/>
              <w:sz w:val="28"/>
              <w:szCs w:val="28"/>
            </w:rPr>
          </w:pPr>
          <w:bookmarkStart w:id="14" w:name="_Toc186730296"/>
          <w:r w:rsidRPr="009C742D">
            <w:rPr>
              <w:rFonts w:asciiTheme="minorHAnsi" w:hAnsiTheme="minorHAnsi" w:cstheme="minorHAnsi"/>
              <w:sz w:val="28"/>
              <w:szCs w:val="28"/>
            </w:rPr>
            <w:lastRenderedPageBreak/>
            <w:t>Recommendation</w:t>
          </w:r>
          <w:bookmarkEnd w:id="14"/>
        </w:p>
        <w:p w14:paraId="31EE5F4B" w14:textId="77777777" w:rsidR="00826845" w:rsidRPr="00826845" w:rsidRDefault="00826845" w:rsidP="00826845"/>
        <w:p w14:paraId="4B09BD84" w14:textId="77777777" w:rsidR="00AA2A91" w:rsidRPr="00D90F39" w:rsidRDefault="00527C4A" w:rsidP="00D90F39">
          <w:pPr>
            <w:rPr>
              <w:rFonts w:cstheme="minorHAnsi"/>
              <w:sz w:val="24"/>
              <w:szCs w:val="24"/>
            </w:rPr>
          </w:pPr>
          <w:r w:rsidRPr="00D90F39">
            <w:rPr>
              <w:rFonts w:cstheme="minorHAnsi"/>
              <w:sz w:val="24"/>
              <w:szCs w:val="24"/>
            </w:rPr>
            <w:t xml:space="preserve">Depending on the findings of </w:t>
          </w:r>
          <w:r w:rsidR="009C4275" w:rsidRPr="00D90F39">
            <w:rPr>
              <w:rFonts w:cstheme="minorHAnsi"/>
              <w:sz w:val="24"/>
              <w:szCs w:val="24"/>
            </w:rPr>
            <w:t>Lloyds</w:t>
          </w:r>
          <w:r w:rsidRPr="00D90F39">
            <w:rPr>
              <w:rFonts w:cstheme="minorHAnsi"/>
              <w:sz w:val="24"/>
              <w:szCs w:val="24"/>
            </w:rPr>
            <w:t xml:space="preserve"> Banking Group Plc’s financial performance accomplished in the last two years, the following are the recommendations for the company </w:t>
          </w:r>
          <w:r w:rsidR="00E31208" w:rsidRPr="00D90F39">
            <w:rPr>
              <w:rFonts w:cstheme="minorHAnsi"/>
              <w:sz w:val="24"/>
              <w:szCs w:val="24"/>
            </w:rPr>
            <w:t xml:space="preserve">to improve its financial management </w:t>
          </w:r>
          <w:r w:rsidRPr="00D90F39">
            <w:rPr>
              <w:rFonts w:cstheme="minorHAnsi"/>
              <w:sz w:val="24"/>
              <w:szCs w:val="24"/>
            </w:rPr>
            <w:t>–</w:t>
          </w:r>
        </w:p>
        <w:p w14:paraId="4FB852A9" w14:textId="77777777" w:rsidR="00527C4A" w:rsidRPr="00D90F39" w:rsidRDefault="00A328A7" w:rsidP="00D90F39">
          <w:pPr>
            <w:pStyle w:val="ListParagraph"/>
            <w:numPr>
              <w:ilvl w:val="0"/>
              <w:numId w:val="1"/>
            </w:numPr>
            <w:rPr>
              <w:rFonts w:cstheme="minorHAnsi"/>
              <w:sz w:val="24"/>
              <w:szCs w:val="24"/>
            </w:rPr>
          </w:pPr>
          <w:r w:rsidRPr="00D90F39">
            <w:rPr>
              <w:rFonts w:cstheme="minorHAnsi"/>
              <w:sz w:val="24"/>
              <w:szCs w:val="24"/>
            </w:rPr>
            <w:t xml:space="preserve">According to </w:t>
          </w:r>
          <w:r w:rsidR="00044320" w:rsidRPr="00D90F39">
            <w:rPr>
              <w:rFonts w:cstheme="minorHAnsi"/>
              <w:sz w:val="24"/>
              <w:szCs w:val="24"/>
            </w:rPr>
            <w:t xml:space="preserve">Feinberg and Zanardi </w:t>
          </w:r>
          <w:r w:rsidRPr="00D90F39">
            <w:rPr>
              <w:rFonts w:cstheme="minorHAnsi"/>
              <w:sz w:val="24"/>
              <w:szCs w:val="24"/>
            </w:rPr>
            <w:t>(</w:t>
          </w:r>
          <w:r w:rsidR="00044320" w:rsidRPr="00D90F39">
            <w:rPr>
              <w:rFonts w:cstheme="minorHAnsi"/>
              <w:sz w:val="24"/>
              <w:szCs w:val="24"/>
            </w:rPr>
            <w:t>2022</w:t>
          </w:r>
          <w:r w:rsidRPr="00D90F39">
            <w:rPr>
              <w:rFonts w:cstheme="minorHAnsi"/>
              <w:sz w:val="24"/>
              <w:szCs w:val="24"/>
            </w:rPr>
            <w:t xml:space="preserve">), </w:t>
          </w:r>
          <w:r w:rsidR="00DF4DB5" w:rsidRPr="00D90F39">
            <w:rPr>
              <w:rFonts w:cstheme="minorHAnsi"/>
              <w:sz w:val="24"/>
              <w:szCs w:val="24"/>
            </w:rPr>
            <w:t xml:space="preserve">reducing the operating costs of a company and enhancing its marketing strategies is helpful for improving its profitability. To increase </w:t>
          </w:r>
          <w:r w:rsidR="009C4275" w:rsidRPr="00D90F39">
            <w:rPr>
              <w:rFonts w:cstheme="minorHAnsi"/>
              <w:sz w:val="24"/>
              <w:szCs w:val="24"/>
            </w:rPr>
            <w:t>Lloyds</w:t>
          </w:r>
          <w:r w:rsidR="00DF4DB5" w:rsidRPr="00D90F39">
            <w:rPr>
              <w:rFonts w:cstheme="minorHAnsi"/>
              <w:sz w:val="24"/>
              <w:szCs w:val="24"/>
            </w:rPr>
            <w:t xml:space="preserve"> Banking Group Plc’s net profit margin, reduction in operating costs and enhancement of marketing strategies are recommended.</w:t>
          </w:r>
        </w:p>
        <w:p w14:paraId="6D47F1D6" w14:textId="77777777" w:rsidR="00A328A7" w:rsidRPr="00D90F39" w:rsidRDefault="00A328A7" w:rsidP="00D90F39">
          <w:pPr>
            <w:pStyle w:val="ListParagraph"/>
            <w:numPr>
              <w:ilvl w:val="0"/>
              <w:numId w:val="1"/>
            </w:numPr>
            <w:rPr>
              <w:rFonts w:cstheme="minorHAnsi"/>
              <w:sz w:val="24"/>
              <w:szCs w:val="24"/>
            </w:rPr>
          </w:pPr>
          <w:r w:rsidRPr="00D90F39">
            <w:rPr>
              <w:rFonts w:cstheme="minorHAnsi"/>
              <w:sz w:val="24"/>
              <w:szCs w:val="24"/>
            </w:rPr>
            <w:t xml:space="preserve">To improve the cash ratio of the company, it is recommended </w:t>
          </w:r>
          <w:r w:rsidR="00DF4DB5" w:rsidRPr="00D90F39">
            <w:rPr>
              <w:rFonts w:cstheme="minorHAnsi"/>
              <w:sz w:val="24"/>
              <w:szCs w:val="24"/>
            </w:rPr>
            <w:t>on the reduction of short-term debts and expenses, focusing more on cash in hand and negotiating longer payment cycles.</w:t>
          </w:r>
        </w:p>
        <w:p w14:paraId="7C1593C7" w14:textId="77777777" w:rsidR="00A328A7" w:rsidRPr="00D90F39" w:rsidRDefault="00A328A7" w:rsidP="00D90F39">
          <w:pPr>
            <w:pStyle w:val="ListParagraph"/>
            <w:numPr>
              <w:ilvl w:val="0"/>
              <w:numId w:val="1"/>
            </w:numPr>
            <w:rPr>
              <w:rFonts w:cstheme="minorHAnsi"/>
              <w:sz w:val="24"/>
              <w:szCs w:val="24"/>
            </w:rPr>
          </w:pPr>
          <w:r w:rsidRPr="00D90F39">
            <w:rPr>
              <w:rFonts w:cstheme="minorHAnsi"/>
              <w:sz w:val="24"/>
              <w:szCs w:val="24"/>
            </w:rPr>
            <w:t xml:space="preserve">The gearing of the company is recommended to be improved via </w:t>
          </w:r>
          <w:r w:rsidR="00DF4DB5" w:rsidRPr="00D90F39">
            <w:rPr>
              <w:rFonts w:cstheme="minorHAnsi"/>
              <w:sz w:val="24"/>
              <w:szCs w:val="24"/>
            </w:rPr>
            <w:t>the payment of debts, increase of profits, enhancement of inventory management and cutting off operating costs.</w:t>
          </w:r>
        </w:p>
        <w:p w14:paraId="62D32F01" w14:textId="77777777" w:rsidR="00A328A7" w:rsidRPr="00D90F39" w:rsidRDefault="00A328A7" w:rsidP="00D90F39">
          <w:pPr>
            <w:pStyle w:val="ListParagraph"/>
            <w:numPr>
              <w:ilvl w:val="0"/>
              <w:numId w:val="1"/>
            </w:numPr>
            <w:rPr>
              <w:rFonts w:cstheme="minorHAnsi"/>
              <w:sz w:val="24"/>
              <w:szCs w:val="24"/>
            </w:rPr>
          </w:pPr>
          <w:r w:rsidRPr="00D90F39">
            <w:rPr>
              <w:rFonts w:cstheme="minorHAnsi"/>
              <w:sz w:val="24"/>
              <w:szCs w:val="24"/>
            </w:rPr>
            <w:t xml:space="preserve">According to </w:t>
          </w:r>
          <w:r w:rsidR="00044320" w:rsidRPr="00D90F39">
            <w:rPr>
              <w:rFonts w:cstheme="minorHAnsi"/>
              <w:sz w:val="24"/>
              <w:szCs w:val="24"/>
              <w:lang w:val="en-US"/>
            </w:rPr>
            <w:t>Abdullah</w:t>
          </w:r>
          <w:r w:rsidR="00044320" w:rsidRPr="00D90F39">
            <w:rPr>
              <w:rFonts w:cstheme="minorHAnsi"/>
              <w:sz w:val="24"/>
              <w:szCs w:val="24"/>
            </w:rPr>
            <w:t xml:space="preserve"> </w:t>
          </w:r>
          <w:r w:rsidRPr="00D90F39">
            <w:rPr>
              <w:rFonts w:cstheme="minorHAnsi"/>
              <w:sz w:val="24"/>
              <w:szCs w:val="24"/>
            </w:rPr>
            <w:t>(</w:t>
          </w:r>
          <w:r w:rsidR="00044320" w:rsidRPr="00D90F39">
            <w:rPr>
              <w:rFonts w:cstheme="minorHAnsi"/>
              <w:sz w:val="24"/>
              <w:szCs w:val="24"/>
            </w:rPr>
            <w:t>2023</w:t>
          </w:r>
          <w:r w:rsidRPr="00D90F39">
            <w:rPr>
              <w:rFonts w:cstheme="minorHAnsi"/>
              <w:sz w:val="24"/>
              <w:szCs w:val="24"/>
            </w:rPr>
            <w:t>),</w:t>
          </w:r>
          <w:r w:rsidR="00044320" w:rsidRPr="00D90F39">
            <w:rPr>
              <w:rFonts w:cstheme="minorHAnsi"/>
              <w:sz w:val="24"/>
              <w:szCs w:val="24"/>
            </w:rPr>
            <w:t xml:space="preserve"> </w:t>
          </w:r>
          <w:r w:rsidRPr="00D90F39">
            <w:rPr>
              <w:rFonts w:cstheme="minorHAnsi"/>
              <w:sz w:val="24"/>
              <w:szCs w:val="24"/>
            </w:rPr>
            <w:t>a company’s operating efficiency can be improved through</w:t>
          </w:r>
          <w:r w:rsidR="00DF4DB5" w:rsidRPr="00D90F39">
            <w:rPr>
              <w:rFonts w:cstheme="minorHAnsi"/>
              <w:sz w:val="24"/>
              <w:szCs w:val="24"/>
            </w:rPr>
            <w:t xml:space="preserve"> enhancement of asset utilisation, refining of sales processes and investment into modern technologies. </w:t>
          </w:r>
          <w:r w:rsidR="009C4275" w:rsidRPr="00D90F39">
            <w:rPr>
              <w:rFonts w:cstheme="minorHAnsi"/>
              <w:sz w:val="24"/>
              <w:szCs w:val="24"/>
            </w:rPr>
            <w:t>Lloyds</w:t>
          </w:r>
          <w:r w:rsidR="00DF4DB5" w:rsidRPr="00D90F39">
            <w:rPr>
              <w:rFonts w:cstheme="minorHAnsi"/>
              <w:sz w:val="24"/>
              <w:szCs w:val="24"/>
            </w:rPr>
            <w:t xml:space="preserve"> Banking Group Plc’s efficiency is also recommended on being improved by adopting all these strategies.</w:t>
          </w:r>
        </w:p>
        <w:p w14:paraId="5ABF20FD" w14:textId="77777777" w:rsidR="00A350C7" w:rsidRPr="00D90F39" w:rsidRDefault="00A328A7" w:rsidP="00D90F39">
          <w:pPr>
            <w:pStyle w:val="ListParagraph"/>
            <w:numPr>
              <w:ilvl w:val="0"/>
              <w:numId w:val="1"/>
            </w:numPr>
            <w:rPr>
              <w:rFonts w:cstheme="minorHAnsi"/>
              <w:sz w:val="24"/>
              <w:szCs w:val="24"/>
            </w:rPr>
          </w:pPr>
          <w:r w:rsidRPr="00D90F39">
            <w:rPr>
              <w:rFonts w:cstheme="minorHAnsi"/>
              <w:sz w:val="24"/>
              <w:szCs w:val="24"/>
            </w:rPr>
            <w:t xml:space="preserve">To improve the earnings per share of the company, </w:t>
          </w:r>
          <w:r w:rsidR="00DF4DB5" w:rsidRPr="00D90F39">
            <w:rPr>
              <w:rFonts w:cstheme="minorHAnsi"/>
              <w:sz w:val="24"/>
              <w:szCs w:val="24"/>
            </w:rPr>
            <w:t>the company is recommended to enhance its revenue growth, improve its cost management</w:t>
          </w:r>
          <w:r w:rsidR="00044320" w:rsidRPr="00D90F39">
            <w:rPr>
              <w:rFonts w:cstheme="minorHAnsi"/>
              <w:sz w:val="24"/>
              <w:szCs w:val="24"/>
            </w:rPr>
            <w:t xml:space="preserve"> and optimise</w:t>
          </w:r>
          <w:r w:rsidR="00DF4DB5" w:rsidRPr="00D90F39">
            <w:rPr>
              <w:rFonts w:cstheme="minorHAnsi"/>
              <w:sz w:val="24"/>
              <w:szCs w:val="24"/>
            </w:rPr>
            <w:t xml:space="preserve"> its capital structure and </w:t>
          </w:r>
          <w:r w:rsidR="00044320" w:rsidRPr="00D90F39">
            <w:rPr>
              <w:rFonts w:cstheme="minorHAnsi"/>
              <w:sz w:val="24"/>
              <w:szCs w:val="24"/>
            </w:rPr>
            <w:t>debt management.</w:t>
          </w:r>
        </w:p>
        <w:p w14:paraId="71616BC4" w14:textId="77777777" w:rsidR="005A1B76" w:rsidRPr="00D90F39" w:rsidRDefault="00A350C7" w:rsidP="00D90F39">
          <w:pPr>
            <w:pStyle w:val="ListParagraph"/>
            <w:numPr>
              <w:ilvl w:val="0"/>
              <w:numId w:val="1"/>
            </w:numPr>
            <w:rPr>
              <w:rFonts w:cstheme="minorHAnsi"/>
              <w:sz w:val="24"/>
              <w:szCs w:val="24"/>
            </w:rPr>
          </w:pPr>
          <w:r w:rsidRPr="00D90F39">
            <w:rPr>
              <w:rFonts w:cstheme="minorHAnsi"/>
              <w:sz w:val="24"/>
              <w:szCs w:val="24"/>
            </w:rPr>
            <w:t>Determination and management of sources of finance along with application of capital appraisal models is also recommended to the company for better financial management in the future.</w:t>
          </w:r>
          <w:r w:rsidR="001D4F68" w:rsidRPr="00D90F39">
            <w:rPr>
              <w:rFonts w:cstheme="minorHAnsi"/>
              <w:sz w:val="24"/>
              <w:szCs w:val="24"/>
            </w:rPr>
            <w:t xml:space="preserve"> Sources of finance will maintain an availability of finance in the company while capital appraisal models will ensure maximised returns from capital investments.</w:t>
          </w:r>
          <w:r w:rsidR="005A1B76" w:rsidRPr="00D90F39">
            <w:rPr>
              <w:rFonts w:cstheme="minorHAnsi"/>
              <w:sz w:val="24"/>
              <w:szCs w:val="24"/>
            </w:rPr>
            <w:br w:type="page"/>
          </w:r>
        </w:p>
        <w:p w14:paraId="41702096" w14:textId="77777777" w:rsidR="00AA2A91" w:rsidRDefault="00AA2A91" w:rsidP="00D90F39">
          <w:pPr>
            <w:pStyle w:val="Heading1"/>
            <w:rPr>
              <w:rFonts w:asciiTheme="minorHAnsi" w:hAnsiTheme="minorHAnsi" w:cstheme="minorHAnsi"/>
              <w:sz w:val="28"/>
              <w:szCs w:val="28"/>
            </w:rPr>
          </w:pPr>
          <w:bookmarkStart w:id="15" w:name="_Toc186730297"/>
          <w:r w:rsidRPr="00D90F39">
            <w:rPr>
              <w:rFonts w:asciiTheme="minorHAnsi" w:hAnsiTheme="minorHAnsi" w:cstheme="minorHAnsi"/>
              <w:sz w:val="28"/>
              <w:szCs w:val="28"/>
            </w:rPr>
            <w:lastRenderedPageBreak/>
            <w:t>Bibliograph</w:t>
          </w:r>
          <w:r w:rsidR="00B05662" w:rsidRPr="00D90F39">
            <w:rPr>
              <w:rFonts w:asciiTheme="minorHAnsi" w:hAnsiTheme="minorHAnsi" w:cstheme="minorHAnsi"/>
              <w:sz w:val="28"/>
              <w:szCs w:val="28"/>
            </w:rPr>
            <w:t>y</w:t>
          </w:r>
          <w:bookmarkEnd w:id="15"/>
        </w:p>
        <w:p w14:paraId="75375355" w14:textId="77777777" w:rsidR="00D90F39" w:rsidRPr="00D90F39" w:rsidRDefault="00D90F39" w:rsidP="00D90F39"/>
        <w:p w14:paraId="059EE101" w14:textId="77777777" w:rsidR="00FA5C71" w:rsidRPr="00D90F39" w:rsidRDefault="006F6A3A" w:rsidP="00D90F39">
          <w:pPr>
            <w:rPr>
              <w:rFonts w:cstheme="minorHAnsi"/>
              <w:sz w:val="24"/>
              <w:szCs w:val="24"/>
              <w:lang w:val="en-US"/>
            </w:rPr>
          </w:pPr>
          <w:r w:rsidRPr="00D90F39">
            <w:rPr>
              <w:rFonts w:cstheme="minorHAnsi"/>
              <w:sz w:val="24"/>
              <w:szCs w:val="24"/>
              <w:lang w:val="en-US"/>
            </w:rPr>
            <w:t>Abdullah, M.A</w:t>
          </w:r>
          <w:r w:rsidR="00B05662" w:rsidRPr="00D90F39">
            <w:rPr>
              <w:rFonts w:cstheme="minorHAnsi"/>
              <w:sz w:val="24"/>
              <w:szCs w:val="24"/>
              <w:lang w:val="en-US"/>
            </w:rPr>
            <w:t>. (2023)</w:t>
          </w:r>
          <w:r w:rsidRPr="00D90F39">
            <w:rPr>
              <w:rFonts w:cstheme="minorHAnsi"/>
              <w:sz w:val="24"/>
              <w:szCs w:val="24"/>
              <w:lang w:val="en-US"/>
            </w:rPr>
            <w:t xml:space="preserve"> ENVIRONMENTAL DISCLOSURE, OPERATING EFFICIENCY RATIO, AND CAPITAL EXPENDITURE ON FINANCIAL PERFORMANCE. In </w:t>
          </w:r>
          <w:r w:rsidRPr="00D90F39">
            <w:rPr>
              <w:rFonts w:cstheme="minorHAnsi"/>
              <w:i/>
              <w:iCs/>
              <w:sz w:val="24"/>
              <w:szCs w:val="24"/>
              <w:lang w:val="en-US"/>
            </w:rPr>
            <w:t>Proceeding of International Conference on Business and Banking Innovations</w:t>
          </w:r>
          <w:r w:rsidRPr="00D90F39">
            <w:rPr>
              <w:rFonts w:cstheme="minorHAnsi"/>
              <w:sz w:val="24"/>
              <w:szCs w:val="24"/>
              <w:lang w:val="en-US"/>
            </w:rPr>
            <w:t> (Vol. 5).</w:t>
          </w:r>
        </w:p>
        <w:p w14:paraId="3B2A93EB"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Abidin, Z., </w:t>
          </w:r>
          <w:proofErr w:type="spellStart"/>
          <w:r w:rsidRPr="00D90F39">
            <w:rPr>
              <w:rFonts w:cstheme="minorHAnsi"/>
              <w:sz w:val="24"/>
              <w:szCs w:val="24"/>
              <w:lang w:val="en-US"/>
            </w:rPr>
            <w:t>Prabantarikso</w:t>
          </w:r>
          <w:proofErr w:type="spellEnd"/>
          <w:r w:rsidRPr="00D90F39">
            <w:rPr>
              <w:rFonts w:cstheme="minorHAnsi"/>
              <w:sz w:val="24"/>
              <w:szCs w:val="24"/>
              <w:lang w:val="en-US"/>
            </w:rPr>
            <w:t xml:space="preserve">, R.M., </w:t>
          </w:r>
          <w:proofErr w:type="spellStart"/>
          <w:r w:rsidRPr="00D90F39">
            <w:rPr>
              <w:rFonts w:cstheme="minorHAnsi"/>
              <w:sz w:val="24"/>
              <w:szCs w:val="24"/>
              <w:lang w:val="en-US"/>
            </w:rPr>
            <w:t>Wardhani</w:t>
          </w:r>
          <w:proofErr w:type="spellEnd"/>
          <w:r w:rsidRPr="00D90F39">
            <w:rPr>
              <w:rFonts w:cstheme="minorHAnsi"/>
              <w:sz w:val="24"/>
              <w:szCs w:val="24"/>
              <w:lang w:val="en-US"/>
            </w:rPr>
            <w:t>, R.A. and Endri, E</w:t>
          </w:r>
          <w:r w:rsidR="00B05662" w:rsidRPr="00D90F39">
            <w:rPr>
              <w:rFonts w:cstheme="minorHAnsi"/>
              <w:sz w:val="24"/>
              <w:szCs w:val="24"/>
              <w:lang w:val="en-US"/>
            </w:rPr>
            <w:t>. (2021)</w:t>
          </w:r>
          <w:r w:rsidRPr="00D90F39">
            <w:rPr>
              <w:rFonts w:cstheme="minorHAnsi"/>
              <w:sz w:val="24"/>
              <w:szCs w:val="24"/>
              <w:lang w:val="en-US"/>
            </w:rPr>
            <w:t xml:space="preserve"> Analysis of bank efficiency between conventional banks and regional development banks in Indonesia. </w:t>
          </w:r>
          <w:r w:rsidRPr="00D90F39">
            <w:rPr>
              <w:rFonts w:cstheme="minorHAnsi"/>
              <w:i/>
              <w:iCs/>
              <w:sz w:val="24"/>
              <w:szCs w:val="24"/>
              <w:lang w:val="en-US"/>
            </w:rPr>
            <w:t>The Journal of Asian Finance, Economics and Business</w:t>
          </w:r>
          <w:r w:rsidRPr="00D90F39">
            <w:rPr>
              <w:rFonts w:cstheme="minorHAnsi"/>
              <w:sz w:val="24"/>
              <w:szCs w:val="24"/>
              <w:lang w:val="en-US"/>
            </w:rPr>
            <w:t>, </w:t>
          </w:r>
          <w:r w:rsidRPr="00D90F39">
            <w:rPr>
              <w:rFonts w:cstheme="minorHAnsi"/>
              <w:i/>
              <w:iCs/>
              <w:sz w:val="24"/>
              <w:szCs w:val="24"/>
              <w:lang w:val="en-US"/>
            </w:rPr>
            <w:t>8</w:t>
          </w:r>
          <w:r w:rsidRPr="00D90F39">
            <w:rPr>
              <w:rFonts w:cstheme="minorHAnsi"/>
              <w:sz w:val="24"/>
              <w:szCs w:val="24"/>
              <w:lang w:val="en-US"/>
            </w:rPr>
            <w:t>(1), pp.741-750.</w:t>
          </w:r>
        </w:p>
        <w:p w14:paraId="6B796CD2" w14:textId="35B75944" w:rsidR="00FA5C71" w:rsidRPr="00D90F39" w:rsidRDefault="006F6A3A" w:rsidP="00D90F39">
          <w:pPr>
            <w:rPr>
              <w:rFonts w:cstheme="minorHAnsi"/>
              <w:sz w:val="24"/>
              <w:szCs w:val="24"/>
              <w:lang w:val="en-US"/>
            </w:rPr>
          </w:pPr>
          <w:r w:rsidRPr="00D90F39">
            <w:rPr>
              <w:rFonts w:cstheme="minorHAnsi"/>
              <w:sz w:val="24"/>
              <w:szCs w:val="24"/>
              <w:lang w:val="en-US"/>
            </w:rPr>
            <w:t>Aldo, M</w:t>
          </w:r>
          <w:r w:rsidR="00B05662" w:rsidRPr="00D90F39">
            <w:rPr>
              <w:rFonts w:cstheme="minorHAnsi"/>
              <w:sz w:val="24"/>
              <w:szCs w:val="24"/>
              <w:lang w:val="en-US"/>
            </w:rPr>
            <w:t>. (2022)</w:t>
          </w:r>
          <w:r w:rsidRPr="00D90F39">
            <w:rPr>
              <w:rFonts w:cstheme="minorHAnsi"/>
              <w:sz w:val="24"/>
              <w:szCs w:val="24"/>
              <w:lang w:val="en-US"/>
            </w:rPr>
            <w:t xml:space="preserve"> The Effect of Gearing, Price </w:t>
          </w:r>
          <w:r w:rsidR="00D90F39" w:rsidRPr="00D90F39">
            <w:rPr>
              <w:rFonts w:cstheme="minorHAnsi"/>
              <w:sz w:val="24"/>
              <w:szCs w:val="24"/>
              <w:lang w:val="en-US"/>
            </w:rPr>
            <w:t>Earnings</w:t>
          </w:r>
          <w:r w:rsidRPr="00D90F39">
            <w:rPr>
              <w:rFonts w:cstheme="minorHAnsi"/>
              <w:sz w:val="24"/>
              <w:szCs w:val="24"/>
              <w:lang w:val="en-US"/>
            </w:rPr>
            <w:t xml:space="preserve"> Ratio, Interest Rate, Risk on Abnormal Return. </w:t>
          </w:r>
          <w:r w:rsidRPr="00D90F39">
            <w:rPr>
              <w:rFonts w:cstheme="minorHAnsi"/>
              <w:i/>
              <w:iCs/>
              <w:sz w:val="24"/>
              <w:szCs w:val="24"/>
              <w:lang w:val="en-US"/>
            </w:rPr>
            <w:t>Indonesian Interdisciplinary Journal of Sharia Economics (IIJSE)</w:t>
          </w:r>
          <w:r w:rsidRPr="00D90F39">
            <w:rPr>
              <w:rFonts w:cstheme="minorHAnsi"/>
              <w:sz w:val="24"/>
              <w:szCs w:val="24"/>
              <w:lang w:val="en-US"/>
            </w:rPr>
            <w:t>, </w:t>
          </w:r>
          <w:r w:rsidRPr="00D90F39">
            <w:rPr>
              <w:rFonts w:cstheme="minorHAnsi"/>
              <w:i/>
              <w:iCs/>
              <w:sz w:val="24"/>
              <w:szCs w:val="24"/>
              <w:lang w:val="en-US"/>
            </w:rPr>
            <w:t>5</w:t>
          </w:r>
          <w:r w:rsidRPr="00D90F39">
            <w:rPr>
              <w:rFonts w:cstheme="minorHAnsi"/>
              <w:sz w:val="24"/>
              <w:szCs w:val="24"/>
              <w:lang w:val="en-US"/>
            </w:rPr>
            <w:t>(2), pp.751-767.</w:t>
          </w:r>
        </w:p>
        <w:p w14:paraId="2C5094F3" w14:textId="4B19D209"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Alvian</w:t>
          </w:r>
          <w:proofErr w:type="spellEnd"/>
          <w:r w:rsidRPr="00D90F39">
            <w:rPr>
              <w:rFonts w:cstheme="minorHAnsi"/>
              <w:sz w:val="24"/>
              <w:szCs w:val="24"/>
              <w:lang w:val="en-US"/>
            </w:rPr>
            <w:t>, R. and Munandar, A</w:t>
          </w:r>
          <w:r w:rsidR="00B05662" w:rsidRPr="00D90F39">
            <w:rPr>
              <w:rFonts w:cstheme="minorHAnsi"/>
              <w:sz w:val="24"/>
              <w:szCs w:val="24"/>
              <w:lang w:val="en-US"/>
            </w:rPr>
            <w:t>. (2022)</w:t>
          </w:r>
          <w:r w:rsidRPr="00D90F39">
            <w:rPr>
              <w:rFonts w:cstheme="minorHAnsi"/>
              <w:sz w:val="24"/>
              <w:szCs w:val="24"/>
              <w:lang w:val="en-US"/>
            </w:rPr>
            <w:t xml:space="preserve"> The influence of </w:t>
          </w:r>
          <w:r w:rsidR="00D90F39" w:rsidRPr="00D90F39">
            <w:rPr>
              <w:rFonts w:cstheme="minorHAnsi"/>
              <w:sz w:val="24"/>
              <w:szCs w:val="24"/>
              <w:lang w:val="en-US"/>
            </w:rPr>
            <w:t>debt-to-equity</w:t>
          </w:r>
          <w:r w:rsidRPr="00D90F39">
            <w:rPr>
              <w:rFonts w:cstheme="minorHAnsi"/>
              <w:sz w:val="24"/>
              <w:szCs w:val="24"/>
              <w:lang w:val="en-US"/>
            </w:rPr>
            <w:t xml:space="preserve"> ratio, net profit margin, and cash ratio on firm value. </w:t>
          </w:r>
          <w:r w:rsidRPr="00D90F39">
            <w:rPr>
              <w:rFonts w:cstheme="minorHAnsi"/>
              <w:i/>
              <w:iCs/>
              <w:sz w:val="24"/>
              <w:szCs w:val="24"/>
              <w:lang w:val="en-US"/>
            </w:rPr>
            <w:t xml:space="preserve">Fair Value: </w:t>
          </w:r>
          <w:proofErr w:type="spellStart"/>
          <w:r w:rsidRPr="00D90F39">
            <w:rPr>
              <w:rFonts w:cstheme="minorHAnsi"/>
              <w:i/>
              <w:iCs/>
              <w:sz w:val="24"/>
              <w:szCs w:val="24"/>
              <w:lang w:val="en-US"/>
            </w:rPr>
            <w:t>Jurnal</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Ilmiah</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Akuntansi</w:t>
          </w:r>
          <w:proofErr w:type="spellEnd"/>
          <w:r w:rsidRPr="00D90F39">
            <w:rPr>
              <w:rFonts w:cstheme="minorHAnsi"/>
              <w:i/>
              <w:iCs/>
              <w:sz w:val="24"/>
              <w:szCs w:val="24"/>
              <w:lang w:val="en-US"/>
            </w:rPr>
            <w:t xml:space="preserve"> dan </w:t>
          </w:r>
          <w:proofErr w:type="spellStart"/>
          <w:r w:rsidRPr="00D90F39">
            <w:rPr>
              <w:rFonts w:cstheme="minorHAnsi"/>
              <w:i/>
              <w:iCs/>
              <w:sz w:val="24"/>
              <w:szCs w:val="24"/>
              <w:lang w:val="en-US"/>
            </w:rPr>
            <w:t>Keuangan</w:t>
          </w:r>
          <w:proofErr w:type="spellEnd"/>
          <w:r w:rsidRPr="00D90F39">
            <w:rPr>
              <w:rFonts w:cstheme="minorHAnsi"/>
              <w:sz w:val="24"/>
              <w:szCs w:val="24"/>
              <w:lang w:val="en-US"/>
            </w:rPr>
            <w:t>, </w:t>
          </w:r>
          <w:r w:rsidRPr="00D90F39">
            <w:rPr>
              <w:rFonts w:cstheme="minorHAnsi"/>
              <w:i/>
              <w:iCs/>
              <w:sz w:val="24"/>
              <w:szCs w:val="24"/>
              <w:lang w:val="en-US"/>
            </w:rPr>
            <w:t>4</w:t>
          </w:r>
          <w:r w:rsidRPr="00D90F39">
            <w:rPr>
              <w:rFonts w:cstheme="minorHAnsi"/>
              <w:sz w:val="24"/>
              <w:szCs w:val="24"/>
              <w:lang w:val="en-US"/>
            </w:rPr>
            <w:t>(7), pp.2682-2690.</w:t>
          </w:r>
        </w:p>
        <w:p w14:paraId="2A6EEE0B" w14:textId="77777777" w:rsidR="00FA5C71" w:rsidRPr="00D90F39" w:rsidRDefault="006F6A3A" w:rsidP="00D90F39">
          <w:pPr>
            <w:rPr>
              <w:rFonts w:cstheme="minorHAnsi"/>
              <w:sz w:val="24"/>
              <w:szCs w:val="24"/>
              <w:lang w:val="en-US"/>
            </w:rPr>
          </w:pPr>
          <w:r w:rsidRPr="00D90F39">
            <w:rPr>
              <w:rFonts w:cstheme="minorHAnsi"/>
              <w:sz w:val="24"/>
              <w:szCs w:val="24"/>
              <w:lang w:val="en-US"/>
            </w:rPr>
            <w:t>Arsal, M</w:t>
          </w:r>
          <w:r w:rsidR="00B05662" w:rsidRPr="00D90F39">
            <w:rPr>
              <w:rFonts w:cstheme="minorHAnsi"/>
              <w:sz w:val="24"/>
              <w:szCs w:val="24"/>
              <w:lang w:val="en-US"/>
            </w:rPr>
            <w:t>. (2021)</w:t>
          </w:r>
          <w:r w:rsidRPr="00D90F39">
            <w:rPr>
              <w:rFonts w:cstheme="minorHAnsi"/>
              <w:sz w:val="24"/>
              <w:szCs w:val="24"/>
              <w:lang w:val="en-US"/>
            </w:rPr>
            <w:t xml:space="preserve"> Impact of earnings per share and dividend per share on firm value. </w:t>
          </w:r>
          <w:r w:rsidRPr="00D90F39">
            <w:rPr>
              <w:rFonts w:cstheme="minorHAnsi"/>
              <w:i/>
              <w:iCs/>
              <w:sz w:val="24"/>
              <w:szCs w:val="24"/>
              <w:lang w:val="en-US"/>
            </w:rPr>
            <w:t xml:space="preserve">ATESTASI: </w:t>
          </w:r>
          <w:proofErr w:type="spellStart"/>
          <w:r w:rsidRPr="00D90F39">
            <w:rPr>
              <w:rFonts w:cstheme="minorHAnsi"/>
              <w:i/>
              <w:iCs/>
              <w:sz w:val="24"/>
              <w:szCs w:val="24"/>
              <w:lang w:val="en-US"/>
            </w:rPr>
            <w:t>Jurnal</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Ilmiah</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Akuntansi</w:t>
          </w:r>
          <w:proofErr w:type="spellEnd"/>
          <w:r w:rsidRPr="00D90F39">
            <w:rPr>
              <w:rFonts w:cstheme="minorHAnsi"/>
              <w:sz w:val="24"/>
              <w:szCs w:val="24"/>
              <w:lang w:val="en-US"/>
            </w:rPr>
            <w:t>, </w:t>
          </w:r>
          <w:r w:rsidRPr="00D90F39">
            <w:rPr>
              <w:rFonts w:cstheme="minorHAnsi"/>
              <w:i/>
              <w:iCs/>
              <w:sz w:val="24"/>
              <w:szCs w:val="24"/>
              <w:lang w:val="en-US"/>
            </w:rPr>
            <w:t>4</w:t>
          </w:r>
          <w:r w:rsidRPr="00D90F39">
            <w:rPr>
              <w:rFonts w:cstheme="minorHAnsi"/>
              <w:sz w:val="24"/>
              <w:szCs w:val="24"/>
              <w:lang w:val="en-US"/>
            </w:rPr>
            <w:t>(1), pp.11-18.</w:t>
          </w:r>
        </w:p>
        <w:p w14:paraId="7CAEE593"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Atrill</w:t>
          </w:r>
          <w:proofErr w:type="spellEnd"/>
          <w:r w:rsidRPr="00D90F39">
            <w:rPr>
              <w:rFonts w:cstheme="minorHAnsi"/>
              <w:sz w:val="24"/>
              <w:szCs w:val="24"/>
              <w:lang w:val="en-US"/>
            </w:rPr>
            <w:t xml:space="preserve">, P. (2020) </w:t>
          </w:r>
          <w:r w:rsidRPr="00D90F39">
            <w:rPr>
              <w:rFonts w:cstheme="minorHAnsi"/>
              <w:i/>
              <w:iCs/>
              <w:sz w:val="24"/>
              <w:szCs w:val="24"/>
              <w:lang w:val="en-US"/>
            </w:rPr>
            <w:t>Financial Management for Decision Makers</w:t>
          </w:r>
          <w:r w:rsidRPr="00D90F39">
            <w:rPr>
              <w:rFonts w:cstheme="minorHAnsi"/>
              <w:sz w:val="24"/>
              <w:szCs w:val="24"/>
              <w:lang w:val="en-US"/>
            </w:rPr>
            <w:t xml:space="preserve">. 9th </w:t>
          </w:r>
          <w:proofErr w:type="spellStart"/>
          <w:proofErr w:type="gramStart"/>
          <w:r w:rsidRPr="00D90F39">
            <w:rPr>
              <w:rFonts w:cstheme="minorHAnsi"/>
              <w:sz w:val="24"/>
              <w:szCs w:val="24"/>
              <w:lang w:val="en-US"/>
            </w:rPr>
            <w:t>edn</w:t>
          </w:r>
          <w:proofErr w:type="spellEnd"/>
          <w:proofErr w:type="gramEnd"/>
          <w:r w:rsidRPr="00D90F39">
            <w:rPr>
              <w:rFonts w:cstheme="minorHAnsi"/>
              <w:sz w:val="24"/>
              <w:szCs w:val="24"/>
              <w:lang w:val="en-US"/>
            </w:rPr>
            <w:t xml:space="preserve">. Harlow, United Kingdom: Pearson Education Limited. </w:t>
          </w:r>
        </w:p>
        <w:p w14:paraId="5CAA207A"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Atrill</w:t>
          </w:r>
          <w:proofErr w:type="spellEnd"/>
          <w:r w:rsidRPr="00D90F39">
            <w:rPr>
              <w:rFonts w:cstheme="minorHAnsi"/>
              <w:sz w:val="24"/>
              <w:szCs w:val="24"/>
              <w:lang w:val="en-US"/>
            </w:rPr>
            <w:t xml:space="preserve">, P. And MCLANEY, E.J. (2021) </w:t>
          </w:r>
          <w:r w:rsidRPr="00D90F39">
            <w:rPr>
              <w:rFonts w:cstheme="minorHAnsi"/>
              <w:i/>
              <w:iCs/>
              <w:sz w:val="24"/>
              <w:szCs w:val="24"/>
              <w:lang w:val="en-US"/>
            </w:rPr>
            <w:t>Management accounting for decision makers</w:t>
          </w:r>
          <w:r w:rsidRPr="00D90F39">
            <w:rPr>
              <w:rFonts w:cstheme="minorHAnsi"/>
              <w:sz w:val="24"/>
              <w:szCs w:val="24"/>
              <w:lang w:val="en-US"/>
            </w:rPr>
            <w:t xml:space="preserve">. 10th </w:t>
          </w:r>
          <w:proofErr w:type="spellStart"/>
          <w:r w:rsidRPr="00D90F39">
            <w:rPr>
              <w:rFonts w:cstheme="minorHAnsi"/>
              <w:sz w:val="24"/>
              <w:szCs w:val="24"/>
              <w:lang w:val="en-US"/>
            </w:rPr>
            <w:t>edn</w:t>
          </w:r>
          <w:proofErr w:type="spellEnd"/>
          <w:r w:rsidRPr="00D90F39">
            <w:rPr>
              <w:rFonts w:cstheme="minorHAnsi"/>
              <w:sz w:val="24"/>
              <w:szCs w:val="24"/>
              <w:lang w:val="en-US"/>
            </w:rPr>
            <w:t xml:space="preserve">. Harlow, England: PEARSON EDUCATION LIMITED. </w:t>
          </w:r>
        </w:p>
        <w:p w14:paraId="05ACCDB4"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Bhimani, A. (2022) </w:t>
          </w:r>
          <w:r w:rsidRPr="00D90F39">
            <w:rPr>
              <w:rFonts w:cstheme="minorHAnsi"/>
              <w:i/>
              <w:iCs/>
              <w:sz w:val="24"/>
              <w:szCs w:val="24"/>
              <w:lang w:val="en-US"/>
            </w:rPr>
            <w:t>Financial Management for technology start-ups: How to power growth, track performance and Drive Innovation</w:t>
          </w:r>
          <w:r w:rsidRPr="00D90F39">
            <w:rPr>
              <w:rFonts w:cstheme="minorHAnsi"/>
              <w:sz w:val="24"/>
              <w:szCs w:val="24"/>
              <w:lang w:val="en-US"/>
            </w:rPr>
            <w:t xml:space="preserve">. 2nd </w:t>
          </w:r>
          <w:proofErr w:type="spellStart"/>
          <w:proofErr w:type="gramStart"/>
          <w:r w:rsidRPr="00D90F39">
            <w:rPr>
              <w:rFonts w:cstheme="minorHAnsi"/>
              <w:sz w:val="24"/>
              <w:szCs w:val="24"/>
              <w:lang w:val="en-US"/>
            </w:rPr>
            <w:t>edn</w:t>
          </w:r>
          <w:proofErr w:type="spellEnd"/>
          <w:proofErr w:type="gramEnd"/>
          <w:r w:rsidRPr="00D90F39">
            <w:rPr>
              <w:rFonts w:cstheme="minorHAnsi"/>
              <w:sz w:val="24"/>
              <w:szCs w:val="24"/>
              <w:lang w:val="en-US"/>
            </w:rPr>
            <w:t xml:space="preserve">. London: Kogan Page Limited. </w:t>
          </w:r>
        </w:p>
        <w:p w14:paraId="515C1CA6"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Budianto</w:t>
          </w:r>
          <w:proofErr w:type="spellEnd"/>
          <w:r w:rsidRPr="00D90F39">
            <w:rPr>
              <w:rFonts w:cstheme="minorHAnsi"/>
              <w:sz w:val="24"/>
              <w:szCs w:val="24"/>
              <w:lang w:val="en-US"/>
            </w:rPr>
            <w:t>, E.W.H. and Dewi, N.D.T</w:t>
          </w:r>
          <w:r w:rsidR="00B05662" w:rsidRPr="00D90F39">
            <w:rPr>
              <w:rFonts w:cstheme="minorHAnsi"/>
              <w:sz w:val="24"/>
              <w:szCs w:val="24"/>
              <w:lang w:val="en-US"/>
            </w:rPr>
            <w:t>. (2023)</w:t>
          </w:r>
          <w:r w:rsidRPr="00D90F39">
            <w:rPr>
              <w:rFonts w:cstheme="minorHAnsi"/>
              <w:sz w:val="24"/>
              <w:szCs w:val="24"/>
              <w:lang w:val="en-US"/>
            </w:rPr>
            <w:t> </w:t>
          </w:r>
          <w:r w:rsidRPr="00D90F39">
            <w:rPr>
              <w:rFonts w:cstheme="minorHAnsi"/>
              <w:i/>
              <w:iCs/>
              <w:sz w:val="24"/>
              <w:szCs w:val="24"/>
              <w:lang w:val="en-US"/>
            </w:rPr>
            <w:t xml:space="preserve">Cash Ratio in Sharia and Conventional Banking: Mapping Research Topics using </w:t>
          </w:r>
          <w:proofErr w:type="spellStart"/>
          <w:r w:rsidRPr="00D90F39">
            <w:rPr>
              <w:rFonts w:cstheme="minorHAnsi"/>
              <w:i/>
              <w:iCs/>
              <w:sz w:val="24"/>
              <w:szCs w:val="24"/>
              <w:lang w:val="en-US"/>
            </w:rPr>
            <w:t>VOSviewer</w:t>
          </w:r>
          <w:proofErr w:type="spellEnd"/>
          <w:r w:rsidRPr="00D90F39">
            <w:rPr>
              <w:rFonts w:cstheme="minorHAnsi"/>
              <w:i/>
              <w:iCs/>
              <w:sz w:val="24"/>
              <w:szCs w:val="24"/>
              <w:lang w:val="en-US"/>
            </w:rPr>
            <w:t xml:space="preserve"> Bibliometric and Library Research</w:t>
          </w:r>
          <w:r w:rsidRPr="00D90F39">
            <w:rPr>
              <w:rFonts w:cstheme="minorHAnsi"/>
              <w:sz w:val="24"/>
              <w:szCs w:val="24"/>
              <w:lang w:val="en-US"/>
            </w:rPr>
            <w:t> [online]</w:t>
          </w:r>
        </w:p>
        <w:p w14:paraId="55C3F73A"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Ciaran, W. (2008) </w:t>
          </w:r>
          <w:r w:rsidRPr="00D90F39">
            <w:rPr>
              <w:rFonts w:cstheme="minorHAnsi"/>
              <w:i/>
              <w:iCs/>
              <w:sz w:val="24"/>
              <w:szCs w:val="24"/>
              <w:lang w:val="en-US"/>
            </w:rPr>
            <w:t>Key management ratios: the 100+ ratios every manager needs to know</w:t>
          </w:r>
          <w:r w:rsidRPr="00D90F39">
            <w:rPr>
              <w:rFonts w:cstheme="minorHAnsi"/>
              <w:sz w:val="24"/>
              <w:szCs w:val="24"/>
              <w:lang w:val="en-US"/>
            </w:rPr>
            <w:t xml:space="preserve">. 4th </w:t>
          </w:r>
          <w:proofErr w:type="spellStart"/>
          <w:proofErr w:type="gramStart"/>
          <w:r w:rsidRPr="00D90F39">
            <w:rPr>
              <w:rFonts w:cstheme="minorHAnsi"/>
              <w:sz w:val="24"/>
              <w:szCs w:val="24"/>
              <w:lang w:val="en-US"/>
            </w:rPr>
            <w:t>edn</w:t>
          </w:r>
          <w:proofErr w:type="spellEnd"/>
          <w:proofErr w:type="gramEnd"/>
          <w:r w:rsidRPr="00D90F39">
            <w:rPr>
              <w:rFonts w:cstheme="minorHAnsi"/>
              <w:sz w:val="24"/>
              <w:szCs w:val="24"/>
              <w:lang w:val="en-US"/>
            </w:rPr>
            <w:t xml:space="preserve">. Harlow, England, FT Prentice Hall. </w:t>
          </w:r>
        </w:p>
        <w:p w14:paraId="59F04DA0"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DAHIYAT, A.A., </w:t>
          </w:r>
          <w:proofErr w:type="spellStart"/>
          <w:r w:rsidRPr="00D90F39">
            <w:rPr>
              <w:rFonts w:cstheme="minorHAnsi"/>
              <w:sz w:val="24"/>
              <w:szCs w:val="24"/>
              <w:lang w:val="en-US"/>
            </w:rPr>
            <w:t>Weshah</w:t>
          </w:r>
          <w:proofErr w:type="spellEnd"/>
          <w:r w:rsidRPr="00D90F39">
            <w:rPr>
              <w:rFonts w:cstheme="minorHAnsi"/>
              <w:sz w:val="24"/>
              <w:szCs w:val="24"/>
              <w:lang w:val="en-US"/>
            </w:rPr>
            <w:t xml:space="preserve">, S.R. and </w:t>
          </w:r>
          <w:proofErr w:type="spellStart"/>
          <w:r w:rsidRPr="00D90F39">
            <w:rPr>
              <w:rFonts w:cstheme="minorHAnsi"/>
              <w:sz w:val="24"/>
              <w:szCs w:val="24"/>
              <w:lang w:val="en-US"/>
            </w:rPr>
            <w:t>Aldahiyat</w:t>
          </w:r>
          <w:proofErr w:type="spellEnd"/>
          <w:r w:rsidRPr="00D90F39">
            <w:rPr>
              <w:rFonts w:cstheme="minorHAnsi"/>
              <w:sz w:val="24"/>
              <w:szCs w:val="24"/>
              <w:lang w:val="en-US"/>
            </w:rPr>
            <w:t>, M</w:t>
          </w:r>
          <w:r w:rsidR="00B05662" w:rsidRPr="00D90F39">
            <w:rPr>
              <w:rFonts w:cstheme="minorHAnsi"/>
              <w:sz w:val="24"/>
              <w:szCs w:val="24"/>
              <w:lang w:val="en-US"/>
            </w:rPr>
            <w:t>. (2021)</w:t>
          </w:r>
          <w:r w:rsidRPr="00D90F39">
            <w:rPr>
              <w:rFonts w:cstheme="minorHAnsi"/>
              <w:sz w:val="24"/>
              <w:szCs w:val="24"/>
              <w:lang w:val="en-US"/>
            </w:rPr>
            <w:t xml:space="preserve"> Liquidity and solvency management and its impact on financial performance: Empirical evidence from Jordan. </w:t>
          </w:r>
          <w:r w:rsidRPr="00D90F39">
            <w:rPr>
              <w:rFonts w:cstheme="minorHAnsi"/>
              <w:i/>
              <w:iCs/>
              <w:sz w:val="24"/>
              <w:szCs w:val="24"/>
              <w:lang w:val="en-US"/>
            </w:rPr>
            <w:t>The Journal of Asian Finance, Economics and Business</w:t>
          </w:r>
          <w:r w:rsidRPr="00D90F39">
            <w:rPr>
              <w:rFonts w:cstheme="minorHAnsi"/>
              <w:sz w:val="24"/>
              <w:szCs w:val="24"/>
              <w:lang w:val="en-US"/>
            </w:rPr>
            <w:t>, </w:t>
          </w:r>
          <w:r w:rsidRPr="00D90F39">
            <w:rPr>
              <w:rFonts w:cstheme="minorHAnsi"/>
              <w:i/>
              <w:iCs/>
              <w:sz w:val="24"/>
              <w:szCs w:val="24"/>
              <w:lang w:val="en-US"/>
            </w:rPr>
            <w:t>8</w:t>
          </w:r>
          <w:r w:rsidRPr="00D90F39">
            <w:rPr>
              <w:rFonts w:cstheme="minorHAnsi"/>
              <w:sz w:val="24"/>
              <w:szCs w:val="24"/>
              <w:lang w:val="en-US"/>
            </w:rPr>
            <w:t>(5), pp.135-141.</w:t>
          </w:r>
        </w:p>
        <w:p w14:paraId="72DEDFFE" w14:textId="77777777" w:rsidR="00B05662" w:rsidRPr="00D90F39" w:rsidRDefault="00B05662" w:rsidP="00D90F39">
          <w:pPr>
            <w:rPr>
              <w:rFonts w:cstheme="minorHAnsi"/>
              <w:sz w:val="24"/>
              <w:szCs w:val="24"/>
              <w:lang w:val="en-US"/>
            </w:rPr>
          </w:pPr>
          <w:r w:rsidRPr="00D90F39">
            <w:rPr>
              <w:rFonts w:cstheme="minorHAnsi"/>
              <w:sz w:val="24"/>
              <w:szCs w:val="24"/>
              <w:lang w:val="en-US"/>
            </w:rPr>
            <w:lastRenderedPageBreak/>
            <w:t xml:space="preserve">Drury, C. (2021) </w:t>
          </w:r>
          <w:r w:rsidRPr="00D90F39">
            <w:rPr>
              <w:rFonts w:cstheme="minorHAnsi"/>
              <w:i/>
              <w:iCs/>
              <w:sz w:val="24"/>
              <w:szCs w:val="24"/>
              <w:lang w:val="en-US"/>
            </w:rPr>
            <w:t>Management and cost accounting</w:t>
          </w:r>
          <w:r w:rsidRPr="00D90F39">
            <w:rPr>
              <w:rFonts w:cstheme="minorHAnsi"/>
              <w:sz w:val="24"/>
              <w:szCs w:val="24"/>
              <w:lang w:val="en-US"/>
            </w:rPr>
            <w:t xml:space="preserve">. 11th </w:t>
          </w:r>
          <w:proofErr w:type="spellStart"/>
          <w:r w:rsidRPr="00D90F39">
            <w:rPr>
              <w:rFonts w:cstheme="minorHAnsi"/>
              <w:sz w:val="24"/>
              <w:szCs w:val="24"/>
              <w:lang w:val="en-US"/>
            </w:rPr>
            <w:t>edn</w:t>
          </w:r>
          <w:proofErr w:type="spellEnd"/>
          <w:r w:rsidRPr="00D90F39">
            <w:rPr>
              <w:rFonts w:cstheme="minorHAnsi"/>
              <w:sz w:val="24"/>
              <w:szCs w:val="24"/>
              <w:lang w:val="en-US"/>
            </w:rPr>
            <w:t xml:space="preserve">. Australia: Cengage. </w:t>
          </w:r>
        </w:p>
        <w:p w14:paraId="6B44108D" w14:textId="77777777" w:rsidR="00FA5C71" w:rsidRPr="00D90F39" w:rsidRDefault="006F6A3A" w:rsidP="00D90F39">
          <w:pPr>
            <w:rPr>
              <w:rFonts w:cstheme="minorHAnsi"/>
              <w:sz w:val="24"/>
              <w:szCs w:val="24"/>
              <w:lang w:val="en-US"/>
            </w:rPr>
          </w:pPr>
          <w:r w:rsidRPr="00D90F39">
            <w:rPr>
              <w:rFonts w:cstheme="minorHAnsi"/>
              <w:sz w:val="24"/>
              <w:szCs w:val="24"/>
              <w:lang w:val="en-US"/>
            </w:rPr>
            <w:t>Feinberg, B. and Zanardi, M</w:t>
          </w:r>
          <w:r w:rsidR="00B05662" w:rsidRPr="00D90F39">
            <w:rPr>
              <w:rFonts w:cstheme="minorHAnsi"/>
              <w:sz w:val="24"/>
              <w:szCs w:val="24"/>
              <w:lang w:val="en-US"/>
            </w:rPr>
            <w:t>. (2022)</w:t>
          </w:r>
          <w:r w:rsidRPr="00D90F39">
            <w:rPr>
              <w:rFonts w:cstheme="minorHAnsi"/>
              <w:sz w:val="24"/>
              <w:szCs w:val="24"/>
              <w:lang w:val="en-US"/>
            </w:rPr>
            <w:t xml:space="preserve"> Analysis of the Influence of Operational Costs on Increasing the Financial Performance of American Public </w:t>
          </w:r>
          <w:proofErr w:type="spellStart"/>
          <w:r w:rsidRPr="00D90F39">
            <w:rPr>
              <w:rFonts w:cstheme="minorHAnsi"/>
              <w:sz w:val="24"/>
              <w:szCs w:val="24"/>
              <w:lang w:val="en-US"/>
            </w:rPr>
            <w:t>Helath</w:t>
          </w:r>
          <w:proofErr w:type="spellEnd"/>
          <w:r w:rsidRPr="00D90F39">
            <w:rPr>
              <w:rFonts w:cstheme="minorHAnsi"/>
              <w:sz w:val="24"/>
              <w:szCs w:val="24"/>
              <w:lang w:val="en-US"/>
            </w:rPr>
            <w:t xml:space="preserve"> Corporation. </w:t>
          </w:r>
          <w:r w:rsidRPr="00D90F39">
            <w:rPr>
              <w:rFonts w:cstheme="minorHAnsi"/>
              <w:i/>
              <w:iCs/>
              <w:sz w:val="24"/>
              <w:szCs w:val="24"/>
              <w:lang w:val="en-US"/>
            </w:rPr>
            <w:t>MEDALION JOURNAL: Medical Research, Nursing, Health and Midwife Participation</w:t>
          </w:r>
          <w:r w:rsidRPr="00D90F39">
            <w:rPr>
              <w:rFonts w:cstheme="minorHAnsi"/>
              <w:sz w:val="24"/>
              <w:szCs w:val="24"/>
              <w:lang w:val="en-US"/>
            </w:rPr>
            <w:t>, </w:t>
          </w:r>
          <w:r w:rsidRPr="00D90F39">
            <w:rPr>
              <w:rFonts w:cstheme="minorHAnsi"/>
              <w:i/>
              <w:iCs/>
              <w:sz w:val="24"/>
              <w:szCs w:val="24"/>
              <w:lang w:val="en-US"/>
            </w:rPr>
            <w:t>3</w:t>
          </w:r>
          <w:r w:rsidRPr="00D90F39">
            <w:rPr>
              <w:rFonts w:cstheme="minorHAnsi"/>
              <w:sz w:val="24"/>
              <w:szCs w:val="24"/>
              <w:lang w:val="en-US"/>
            </w:rPr>
            <w:t>(2), pp.44-57.</w:t>
          </w:r>
        </w:p>
        <w:p w14:paraId="2D3BE60A" w14:textId="003AD23B"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Firman</w:t>
          </w:r>
          <w:proofErr w:type="spellEnd"/>
          <w:r w:rsidRPr="00D90F39">
            <w:rPr>
              <w:rFonts w:cstheme="minorHAnsi"/>
              <w:sz w:val="24"/>
              <w:szCs w:val="24"/>
              <w:lang w:val="en-US"/>
            </w:rPr>
            <w:t>, D. and Salvia, S</w:t>
          </w:r>
          <w:r w:rsidR="00B05662" w:rsidRPr="00D90F39">
            <w:rPr>
              <w:rFonts w:cstheme="minorHAnsi"/>
              <w:sz w:val="24"/>
              <w:szCs w:val="24"/>
              <w:lang w:val="en-US"/>
            </w:rPr>
            <w:t>. (2021)</w:t>
          </w:r>
          <w:r w:rsidRPr="00D90F39">
            <w:rPr>
              <w:rFonts w:cstheme="minorHAnsi"/>
              <w:sz w:val="24"/>
              <w:szCs w:val="24"/>
              <w:lang w:val="en-US"/>
            </w:rPr>
            <w:t xml:space="preserve"> The Effect </w:t>
          </w:r>
          <w:r w:rsidR="00D90F39" w:rsidRPr="00D90F39">
            <w:rPr>
              <w:rFonts w:cstheme="minorHAnsi"/>
              <w:sz w:val="24"/>
              <w:szCs w:val="24"/>
              <w:lang w:val="en-US"/>
            </w:rPr>
            <w:t>of</w:t>
          </w:r>
          <w:r w:rsidRPr="00D90F39">
            <w:rPr>
              <w:rFonts w:cstheme="minorHAnsi"/>
              <w:sz w:val="24"/>
              <w:szCs w:val="24"/>
              <w:lang w:val="en-US"/>
            </w:rPr>
            <w:t xml:space="preserve"> Total Asset Turnover, Net Profit Margin, And Debt </w:t>
          </w:r>
          <w:r w:rsidR="00D90F39" w:rsidRPr="00D90F39">
            <w:rPr>
              <w:rFonts w:cstheme="minorHAnsi"/>
              <w:sz w:val="24"/>
              <w:szCs w:val="24"/>
              <w:lang w:val="en-US"/>
            </w:rPr>
            <w:t>to</w:t>
          </w:r>
          <w:r w:rsidRPr="00D90F39">
            <w:rPr>
              <w:rFonts w:cstheme="minorHAnsi"/>
              <w:sz w:val="24"/>
              <w:szCs w:val="24"/>
              <w:lang w:val="en-US"/>
            </w:rPr>
            <w:t xml:space="preserve"> Equity Ratio </w:t>
          </w:r>
          <w:r w:rsidR="005E5068" w:rsidRPr="00D90F39">
            <w:rPr>
              <w:rFonts w:cstheme="minorHAnsi"/>
              <w:sz w:val="24"/>
              <w:szCs w:val="24"/>
              <w:lang w:val="en-US"/>
            </w:rPr>
            <w:t>on</w:t>
          </w:r>
          <w:r w:rsidRPr="00D90F39">
            <w:rPr>
              <w:rFonts w:cstheme="minorHAnsi"/>
              <w:sz w:val="24"/>
              <w:szCs w:val="24"/>
              <w:lang w:val="en-US"/>
            </w:rPr>
            <w:t xml:space="preserve"> Profit Growth </w:t>
          </w:r>
          <w:r w:rsidR="00CC0A94" w:rsidRPr="00D90F39">
            <w:rPr>
              <w:rFonts w:cstheme="minorHAnsi"/>
              <w:sz w:val="24"/>
              <w:szCs w:val="24"/>
              <w:lang w:val="en-US"/>
            </w:rPr>
            <w:t>on</w:t>
          </w:r>
          <w:r w:rsidRPr="00D90F39">
            <w:rPr>
              <w:rFonts w:cstheme="minorHAnsi"/>
              <w:sz w:val="24"/>
              <w:szCs w:val="24"/>
              <w:lang w:val="en-US"/>
            </w:rPr>
            <w:t xml:space="preserve"> The Indonesia Stock Exchange. </w:t>
          </w:r>
          <w:r w:rsidRPr="00D90F39">
            <w:rPr>
              <w:rFonts w:cstheme="minorHAnsi"/>
              <w:i/>
              <w:iCs/>
              <w:sz w:val="24"/>
              <w:szCs w:val="24"/>
              <w:lang w:val="en-US"/>
            </w:rPr>
            <w:t>International Journal of Economic, Technology and Social Sciences (Injects)</w:t>
          </w:r>
          <w:r w:rsidRPr="00D90F39">
            <w:rPr>
              <w:rFonts w:cstheme="minorHAnsi"/>
              <w:sz w:val="24"/>
              <w:szCs w:val="24"/>
              <w:lang w:val="en-US"/>
            </w:rPr>
            <w:t>, </w:t>
          </w:r>
          <w:r w:rsidRPr="00D90F39">
            <w:rPr>
              <w:rFonts w:cstheme="minorHAnsi"/>
              <w:i/>
              <w:iCs/>
              <w:sz w:val="24"/>
              <w:szCs w:val="24"/>
              <w:lang w:val="en-US"/>
            </w:rPr>
            <w:t>2</w:t>
          </w:r>
          <w:r w:rsidRPr="00D90F39">
            <w:rPr>
              <w:rFonts w:cstheme="minorHAnsi"/>
              <w:sz w:val="24"/>
              <w:szCs w:val="24"/>
              <w:lang w:val="en-US"/>
            </w:rPr>
            <w:t>(1), pp.154-165.</w:t>
          </w:r>
        </w:p>
        <w:p w14:paraId="6DF4C800"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Horngren, C.T. </w:t>
          </w:r>
          <w:r w:rsidRPr="00D90F39">
            <w:rPr>
              <w:rFonts w:cstheme="minorHAnsi"/>
              <w:i/>
              <w:iCs/>
              <w:sz w:val="24"/>
              <w:szCs w:val="24"/>
              <w:lang w:val="en-US"/>
            </w:rPr>
            <w:t>et al.</w:t>
          </w:r>
          <w:r w:rsidRPr="00D90F39">
            <w:rPr>
              <w:rFonts w:cstheme="minorHAnsi"/>
              <w:sz w:val="24"/>
              <w:szCs w:val="24"/>
              <w:lang w:val="en-US"/>
            </w:rPr>
            <w:t xml:space="preserve"> (2019) </w:t>
          </w:r>
          <w:r w:rsidRPr="00D90F39">
            <w:rPr>
              <w:rFonts w:cstheme="minorHAnsi"/>
              <w:i/>
              <w:iCs/>
              <w:sz w:val="24"/>
              <w:szCs w:val="24"/>
              <w:lang w:val="en-US"/>
            </w:rPr>
            <w:t>Horngren’s cost accounting: A managerial emphasis</w:t>
          </w:r>
          <w:r w:rsidRPr="00D90F39">
            <w:rPr>
              <w:rFonts w:cstheme="minorHAnsi"/>
              <w:sz w:val="24"/>
              <w:szCs w:val="24"/>
              <w:lang w:val="en-US"/>
            </w:rPr>
            <w:t xml:space="preserve">. 16th </w:t>
          </w:r>
          <w:proofErr w:type="spellStart"/>
          <w:proofErr w:type="gramStart"/>
          <w:r w:rsidRPr="00D90F39">
            <w:rPr>
              <w:rFonts w:cstheme="minorHAnsi"/>
              <w:sz w:val="24"/>
              <w:szCs w:val="24"/>
              <w:lang w:val="en-US"/>
            </w:rPr>
            <w:t>edn</w:t>
          </w:r>
          <w:proofErr w:type="spellEnd"/>
          <w:proofErr w:type="gramEnd"/>
          <w:r w:rsidRPr="00D90F39">
            <w:rPr>
              <w:rFonts w:cstheme="minorHAnsi"/>
              <w:sz w:val="24"/>
              <w:szCs w:val="24"/>
              <w:lang w:val="en-US"/>
            </w:rPr>
            <w:t xml:space="preserve">. </w:t>
          </w:r>
          <w:proofErr w:type="spellStart"/>
          <w:r w:rsidRPr="00D90F39">
            <w:rPr>
              <w:rFonts w:cstheme="minorHAnsi"/>
              <w:sz w:val="24"/>
              <w:szCs w:val="24"/>
              <w:lang w:val="en-US"/>
            </w:rPr>
            <w:t>Baverton</w:t>
          </w:r>
          <w:proofErr w:type="spellEnd"/>
          <w:r w:rsidRPr="00D90F39">
            <w:rPr>
              <w:rFonts w:cstheme="minorHAnsi"/>
              <w:sz w:val="24"/>
              <w:szCs w:val="24"/>
              <w:lang w:val="en-US"/>
            </w:rPr>
            <w:t xml:space="preserve">, Copyright Clearance Center. </w:t>
          </w:r>
        </w:p>
        <w:p w14:paraId="62A994F2"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Hutabarat</w:t>
          </w:r>
          <w:proofErr w:type="spellEnd"/>
          <w:r w:rsidRPr="00D90F39">
            <w:rPr>
              <w:rFonts w:cstheme="minorHAnsi"/>
              <w:sz w:val="24"/>
              <w:szCs w:val="24"/>
              <w:lang w:val="en-US"/>
            </w:rPr>
            <w:t xml:space="preserve">, M.I., </w:t>
          </w:r>
          <w:proofErr w:type="spellStart"/>
          <w:r w:rsidRPr="00D90F39">
            <w:rPr>
              <w:rFonts w:cstheme="minorHAnsi"/>
              <w:sz w:val="24"/>
              <w:szCs w:val="24"/>
              <w:lang w:val="en-US"/>
            </w:rPr>
            <w:t>Silalahi</w:t>
          </w:r>
          <w:proofErr w:type="spellEnd"/>
          <w:r w:rsidRPr="00D90F39">
            <w:rPr>
              <w:rFonts w:cstheme="minorHAnsi"/>
              <w:sz w:val="24"/>
              <w:szCs w:val="24"/>
              <w:lang w:val="en-US"/>
            </w:rPr>
            <w:t xml:space="preserve">, H., </w:t>
          </w:r>
          <w:proofErr w:type="spellStart"/>
          <w:r w:rsidRPr="00D90F39">
            <w:rPr>
              <w:rFonts w:cstheme="minorHAnsi"/>
              <w:sz w:val="24"/>
              <w:szCs w:val="24"/>
              <w:lang w:val="en-US"/>
            </w:rPr>
            <w:t>Samosir</w:t>
          </w:r>
          <w:proofErr w:type="spellEnd"/>
          <w:r w:rsidRPr="00D90F39">
            <w:rPr>
              <w:rFonts w:cstheme="minorHAnsi"/>
              <w:sz w:val="24"/>
              <w:szCs w:val="24"/>
              <w:lang w:val="en-US"/>
            </w:rPr>
            <w:t>, H.E.S., Siregar, M.R. and Damanik, H.M</w:t>
          </w:r>
          <w:r w:rsidR="00B05662" w:rsidRPr="00D90F39">
            <w:rPr>
              <w:rFonts w:cstheme="minorHAnsi"/>
              <w:sz w:val="24"/>
              <w:szCs w:val="24"/>
              <w:lang w:val="en-US"/>
            </w:rPr>
            <w:t>. (2023)</w:t>
          </w:r>
          <w:r w:rsidRPr="00D90F39">
            <w:rPr>
              <w:rFonts w:cstheme="minorHAnsi"/>
              <w:sz w:val="24"/>
              <w:szCs w:val="24"/>
              <w:lang w:val="en-US"/>
            </w:rPr>
            <w:t xml:space="preserve"> Analysis current ratio return on asset and debt to equity ratio on dividend payout ratio. </w:t>
          </w:r>
          <w:r w:rsidRPr="00D90F39">
            <w:rPr>
              <w:rFonts w:cstheme="minorHAnsi"/>
              <w:i/>
              <w:iCs/>
              <w:sz w:val="24"/>
              <w:szCs w:val="24"/>
              <w:lang w:val="en-US"/>
            </w:rPr>
            <w:t>Enrichment: Journal of Management</w:t>
          </w:r>
          <w:r w:rsidRPr="00D90F39">
            <w:rPr>
              <w:rFonts w:cstheme="minorHAnsi"/>
              <w:sz w:val="24"/>
              <w:szCs w:val="24"/>
              <w:lang w:val="en-US"/>
            </w:rPr>
            <w:t>, </w:t>
          </w:r>
          <w:r w:rsidRPr="00D90F39">
            <w:rPr>
              <w:rFonts w:cstheme="minorHAnsi"/>
              <w:i/>
              <w:iCs/>
              <w:sz w:val="24"/>
              <w:szCs w:val="24"/>
              <w:lang w:val="en-US"/>
            </w:rPr>
            <w:t>13</w:t>
          </w:r>
          <w:r w:rsidRPr="00D90F39">
            <w:rPr>
              <w:rFonts w:cstheme="minorHAnsi"/>
              <w:sz w:val="24"/>
              <w:szCs w:val="24"/>
              <w:lang w:val="en-US"/>
            </w:rPr>
            <w:t>(2), pp.1552-1559.</w:t>
          </w:r>
        </w:p>
        <w:p w14:paraId="1EC3E5F4"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Kartikasari</w:t>
          </w:r>
          <w:proofErr w:type="spellEnd"/>
          <w:r w:rsidRPr="00D90F39">
            <w:rPr>
              <w:rFonts w:cstheme="minorHAnsi"/>
              <w:sz w:val="24"/>
              <w:szCs w:val="24"/>
              <w:lang w:val="en-US"/>
            </w:rPr>
            <w:t xml:space="preserve">, E., </w:t>
          </w:r>
          <w:proofErr w:type="spellStart"/>
          <w:r w:rsidRPr="00D90F39">
            <w:rPr>
              <w:rFonts w:cstheme="minorHAnsi"/>
              <w:sz w:val="24"/>
              <w:szCs w:val="24"/>
              <w:lang w:val="en-US"/>
            </w:rPr>
            <w:t>Karyatun</w:t>
          </w:r>
          <w:proofErr w:type="spellEnd"/>
          <w:r w:rsidRPr="00D90F39">
            <w:rPr>
              <w:rFonts w:cstheme="minorHAnsi"/>
              <w:sz w:val="24"/>
              <w:szCs w:val="24"/>
              <w:lang w:val="en-US"/>
            </w:rPr>
            <w:t xml:space="preserve">, S. and </w:t>
          </w:r>
          <w:proofErr w:type="spellStart"/>
          <w:r w:rsidRPr="00D90F39">
            <w:rPr>
              <w:rFonts w:cstheme="minorHAnsi"/>
              <w:sz w:val="24"/>
              <w:szCs w:val="24"/>
              <w:lang w:val="en-US"/>
            </w:rPr>
            <w:t>Digdowiseiso</w:t>
          </w:r>
          <w:proofErr w:type="spellEnd"/>
          <w:r w:rsidRPr="00D90F39">
            <w:rPr>
              <w:rFonts w:cstheme="minorHAnsi"/>
              <w:sz w:val="24"/>
              <w:szCs w:val="24"/>
              <w:lang w:val="en-US"/>
            </w:rPr>
            <w:t>, K</w:t>
          </w:r>
          <w:r w:rsidR="00B05662" w:rsidRPr="00D90F39">
            <w:rPr>
              <w:rFonts w:cstheme="minorHAnsi"/>
              <w:sz w:val="24"/>
              <w:szCs w:val="24"/>
              <w:lang w:val="en-US"/>
            </w:rPr>
            <w:t>. (2023)</w:t>
          </w:r>
          <w:r w:rsidRPr="00D90F39">
            <w:rPr>
              <w:rFonts w:cstheme="minorHAnsi"/>
              <w:sz w:val="24"/>
              <w:szCs w:val="24"/>
              <w:lang w:val="en-US"/>
            </w:rPr>
            <w:t xml:space="preserve"> The Effect of Return on Assets, Current Ratio, and Debt to Equity Ratio on The Firm Value of Property and Real Estate Companies Listed on IDX for 2016-2020 Period. </w:t>
          </w:r>
          <w:proofErr w:type="spellStart"/>
          <w:r w:rsidRPr="00D90F39">
            <w:rPr>
              <w:rFonts w:cstheme="minorHAnsi"/>
              <w:i/>
              <w:iCs/>
              <w:sz w:val="24"/>
              <w:szCs w:val="24"/>
              <w:lang w:val="en-US"/>
            </w:rPr>
            <w:t>Jurnal</w:t>
          </w:r>
          <w:proofErr w:type="spellEnd"/>
          <w:r w:rsidRPr="00D90F39">
            <w:rPr>
              <w:rFonts w:cstheme="minorHAnsi"/>
              <w:i/>
              <w:iCs/>
              <w:sz w:val="24"/>
              <w:szCs w:val="24"/>
              <w:lang w:val="en-US"/>
            </w:rPr>
            <w:t xml:space="preserve"> Syntax Admiration</w:t>
          </w:r>
          <w:r w:rsidRPr="00D90F39">
            <w:rPr>
              <w:rFonts w:cstheme="minorHAnsi"/>
              <w:sz w:val="24"/>
              <w:szCs w:val="24"/>
              <w:lang w:val="en-US"/>
            </w:rPr>
            <w:t>, </w:t>
          </w:r>
          <w:r w:rsidRPr="00D90F39">
            <w:rPr>
              <w:rFonts w:cstheme="minorHAnsi"/>
              <w:i/>
              <w:iCs/>
              <w:sz w:val="24"/>
              <w:szCs w:val="24"/>
              <w:lang w:val="en-US"/>
            </w:rPr>
            <w:t>4</w:t>
          </w:r>
          <w:r w:rsidRPr="00D90F39">
            <w:rPr>
              <w:rFonts w:cstheme="minorHAnsi"/>
              <w:sz w:val="24"/>
              <w:szCs w:val="24"/>
              <w:lang w:val="en-US"/>
            </w:rPr>
            <w:t>(5), pp.787-798.</w:t>
          </w:r>
        </w:p>
        <w:p w14:paraId="5C59738B"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Koralun-Bereźnicka</w:t>
          </w:r>
          <w:proofErr w:type="spellEnd"/>
          <w:r w:rsidRPr="00D90F39">
            <w:rPr>
              <w:rFonts w:cstheme="minorHAnsi"/>
              <w:sz w:val="24"/>
              <w:szCs w:val="24"/>
              <w:lang w:val="en-US"/>
            </w:rPr>
            <w:t>, J</w:t>
          </w:r>
          <w:r w:rsidR="00B05662" w:rsidRPr="00D90F39">
            <w:rPr>
              <w:rFonts w:cstheme="minorHAnsi"/>
              <w:sz w:val="24"/>
              <w:szCs w:val="24"/>
              <w:lang w:val="en-US"/>
            </w:rPr>
            <w:t>. (2022)</w:t>
          </w:r>
          <w:r w:rsidRPr="00D90F39">
            <w:rPr>
              <w:rFonts w:cstheme="minorHAnsi"/>
              <w:sz w:val="24"/>
              <w:szCs w:val="24"/>
              <w:lang w:val="en-US"/>
            </w:rPr>
            <w:t xml:space="preserve"> Patterns in corporate trade credit management: insights into the Polish trade sector. </w:t>
          </w:r>
          <w:proofErr w:type="spellStart"/>
          <w:r w:rsidRPr="00D90F39">
            <w:rPr>
              <w:rFonts w:cstheme="minorHAnsi"/>
              <w:i/>
              <w:iCs/>
              <w:sz w:val="24"/>
              <w:szCs w:val="24"/>
              <w:lang w:val="en-US"/>
            </w:rPr>
            <w:t>Zeszyty</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Naukowe</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Politechniki</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Śląskiej</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Organizacja</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i</w:t>
          </w:r>
          <w:proofErr w:type="spellEnd"/>
          <w:r w:rsidRPr="00D90F39">
            <w:rPr>
              <w:rFonts w:cstheme="minorHAnsi"/>
              <w:i/>
              <w:iCs/>
              <w:sz w:val="24"/>
              <w:szCs w:val="24"/>
              <w:lang w:val="en-US"/>
            </w:rPr>
            <w:t xml:space="preserve"> </w:t>
          </w:r>
          <w:proofErr w:type="spellStart"/>
          <w:r w:rsidRPr="00D90F39">
            <w:rPr>
              <w:rFonts w:cstheme="minorHAnsi"/>
              <w:i/>
              <w:iCs/>
              <w:sz w:val="24"/>
              <w:szCs w:val="24"/>
              <w:lang w:val="en-US"/>
            </w:rPr>
            <w:t>Zarządzanie</w:t>
          </w:r>
          <w:proofErr w:type="spellEnd"/>
          <w:r w:rsidRPr="00D90F39">
            <w:rPr>
              <w:rFonts w:cstheme="minorHAnsi"/>
              <w:sz w:val="24"/>
              <w:szCs w:val="24"/>
              <w:lang w:val="en-US"/>
            </w:rPr>
            <w:t>, (166).</w:t>
          </w:r>
        </w:p>
        <w:p w14:paraId="6EB27449" w14:textId="56BF1C03" w:rsidR="00FA5C71" w:rsidRPr="00D90F39" w:rsidRDefault="006F6A3A" w:rsidP="00D90F39">
          <w:pPr>
            <w:rPr>
              <w:rFonts w:cstheme="minorHAnsi"/>
              <w:sz w:val="24"/>
              <w:szCs w:val="24"/>
              <w:lang w:val="en-US"/>
            </w:rPr>
          </w:pPr>
          <w:r w:rsidRPr="00D90F39">
            <w:rPr>
              <w:rFonts w:cstheme="minorHAnsi"/>
              <w:sz w:val="24"/>
              <w:szCs w:val="24"/>
              <w:lang w:val="en-US"/>
            </w:rPr>
            <w:t>Kurniawan, A</w:t>
          </w:r>
          <w:r w:rsidR="00B05662" w:rsidRPr="00D90F39">
            <w:rPr>
              <w:rFonts w:cstheme="minorHAnsi"/>
              <w:sz w:val="24"/>
              <w:szCs w:val="24"/>
              <w:lang w:val="en-US"/>
            </w:rPr>
            <w:t>. (2021)</w:t>
          </w:r>
          <w:r w:rsidRPr="00D90F39">
            <w:rPr>
              <w:rFonts w:cstheme="minorHAnsi"/>
              <w:sz w:val="24"/>
              <w:szCs w:val="24"/>
              <w:lang w:val="en-US"/>
            </w:rPr>
            <w:t xml:space="preserve"> Analysis of the effect of return on </w:t>
          </w:r>
          <w:r w:rsidR="00D90F39" w:rsidRPr="00D90F39">
            <w:rPr>
              <w:rFonts w:cstheme="minorHAnsi"/>
              <w:sz w:val="24"/>
              <w:szCs w:val="24"/>
              <w:lang w:val="en-US"/>
            </w:rPr>
            <w:t>assets</w:t>
          </w:r>
          <w:r w:rsidRPr="00D90F39">
            <w:rPr>
              <w:rFonts w:cstheme="minorHAnsi"/>
              <w:sz w:val="24"/>
              <w:szCs w:val="24"/>
              <w:lang w:val="en-US"/>
            </w:rPr>
            <w:t>, debt to equity ratio, and total asset turnover on share return. </w:t>
          </w:r>
          <w:r w:rsidRPr="00D90F39">
            <w:rPr>
              <w:rFonts w:cstheme="minorHAnsi"/>
              <w:i/>
              <w:iCs/>
              <w:sz w:val="24"/>
              <w:szCs w:val="24"/>
              <w:lang w:val="en-US"/>
            </w:rPr>
            <w:t>Journal of Industrial Engineering &amp; Management Research</w:t>
          </w:r>
          <w:r w:rsidRPr="00D90F39">
            <w:rPr>
              <w:rFonts w:cstheme="minorHAnsi"/>
              <w:sz w:val="24"/>
              <w:szCs w:val="24"/>
              <w:lang w:val="en-US"/>
            </w:rPr>
            <w:t>, </w:t>
          </w:r>
          <w:r w:rsidRPr="00D90F39">
            <w:rPr>
              <w:rFonts w:cstheme="minorHAnsi"/>
              <w:i/>
              <w:iCs/>
              <w:sz w:val="24"/>
              <w:szCs w:val="24"/>
              <w:lang w:val="en-US"/>
            </w:rPr>
            <w:t>2</w:t>
          </w:r>
          <w:r w:rsidRPr="00D90F39">
            <w:rPr>
              <w:rFonts w:cstheme="minorHAnsi"/>
              <w:sz w:val="24"/>
              <w:szCs w:val="24"/>
              <w:lang w:val="en-US"/>
            </w:rPr>
            <w:t>(1), pp.64-72.</w:t>
          </w:r>
        </w:p>
        <w:p w14:paraId="4F23F7B9" w14:textId="0C381D65" w:rsidR="00FA5C71" w:rsidRPr="00D90F39" w:rsidRDefault="006F6A3A" w:rsidP="00D90F39">
          <w:pPr>
            <w:rPr>
              <w:rFonts w:cstheme="minorHAnsi"/>
              <w:sz w:val="24"/>
              <w:szCs w:val="24"/>
              <w:lang w:val="en-US"/>
            </w:rPr>
          </w:pPr>
          <w:r w:rsidRPr="00D90F39">
            <w:rPr>
              <w:rFonts w:cstheme="minorHAnsi"/>
              <w:sz w:val="24"/>
              <w:szCs w:val="24"/>
              <w:lang w:val="en-US"/>
            </w:rPr>
            <w:t xml:space="preserve">Lloyds Banking Group plc. (2023) </w:t>
          </w:r>
          <w:r w:rsidRPr="00D90F39">
            <w:rPr>
              <w:rFonts w:cstheme="minorHAnsi"/>
              <w:i/>
              <w:iCs/>
              <w:sz w:val="24"/>
              <w:szCs w:val="24"/>
              <w:lang w:val="en-US"/>
            </w:rPr>
            <w:t xml:space="preserve">Annual Report - Lloyds Banking Group </w:t>
          </w:r>
          <w:r w:rsidR="00D90F39" w:rsidRPr="00D90F39">
            <w:rPr>
              <w:rFonts w:cstheme="minorHAnsi"/>
              <w:i/>
              <w:iCs/>
              <w:sz w:val="24"/>
              <w:szCs w:val="24"/>
              <w:lang w:val="en-US"/>
            </w:rPr>
            <w:t>Plc.</w:t>
          </w:r>
          <w:r w:rsidRPr="00D90F39">
            <w:rPr>
              <w:rFonts w:cstheme="minorHAnsi"/>
              <w:sz w:val="24"/>
              <w:szCs w:val="24"/>
              <w:lang w:val="en-US"/>
            </w:rPr>
            <w:t xml:space="preserve"> Available at: https://www.lloydsbankinggroup.com/assets/pdfs/investors/financial-performance/lloyds-banking-group-plc/2023/q4/2023-lbg-annual-report.pdf (Accessed: 02 January 2025). </w:t>
          </w:r>
        </w:p>
        <w:p w14:paraId="31E360EE" w14:textId="358C1735" w:rsidR="00B05662" w:rsidRPr="00D90F39" w:rsidRDefault="00B05662" w:rsidP="00D90F39">
          <w:pPr>
            <w:rPr>
              <w:rFonts w:cstheme="minorHAnsi"/>
              <w:sz w:val="24"/>
              <w:szCs w:val="24"/>
              <w:lang w:val="en-US"/>
            </w:rPr>
          </w:pPr>
          <w:r w:rsidRPr="00D90F39">
            <w:rPr>
              <w:rFonts w:cstheme="minorHAnsi"/>
              <w:sz w:val="24"/>
              <w:szCs w:val="24"/>
              <w:lang w:val="en-US"/>
            </w:rPr>
            <w:t xml:space="preserve">Lloyds Banking Group plc. (2024a) </w:t>
          </w:r>
          <w:r w:rsidRPr="00D90F39">
            <w:rPr>
              <w:rFonts w:cstheme="minorHAnsi"/>
              <w:i/>
              <w:iCs/>
              <w:sz w:val="24"/>
              <w:szCs w:val="24"/>
              <w:lang w:val="en-US"/>
            </w:rPr>
            <w:t>Home</w:t>
          </w:r>
          <w:r w:rsidRPr="00D90F39">
            <w:rPr>
              <w:rFonts w:cstheme="minorHAnsi"/>
              <w:sz w:val="24"/>
              <w:szCs w:val="24"/>
              <w:lang w:val="en-US"/>
            </w:rPr>
            <w:t xml:space="preserve">, </w:t>
          </w:r>
          <w:r w:rsidRPr="00D90F39">
            <w:rPr>
              <w:rFonts w:cstheme="minorHAnsi"/>
              <w:i/>
              <w:iCs/>
              <w:sz w:val="24"/>
              <w:szCs w:val="24"/>
              <w:lang w:val="en-US"/>
            </w:rPr>
            <w:t xml:space="preserve">Home - Lloyds Banking Group </w:t>
          </w:r>
          <w:r w:rsidR="00D90F39" w:rsidRPr="00D90F39">
            <w:rPr>
              <w:rFonts w:cstheme="minorHAnsi"/>
              <w:i/>
              <w:iCs/>
              <w:sz w:val="24"/>
              <w:szCs w:val="24"/>
              <w:lang w:val="en-US"/>
            </w:rPr>
            <w:t>Plc.</w:t>
          </w:r>
          <w:r w:rsidRPr="00D90F39">
            <w:rPr>
              <w:rFonts w:cstheme="minorHAnsi"/>
              <w:sz w:val="24"/>
              <w:szCs w:val="24"/>
              <w:lang w:val="en-US"/>
            </w:rPr>
            <w:t xml:space="preserve"> Available at: https://www.lloydsbankinggroup.com/ (Accessed: 02 January 2025). </w:t>
          </w:r>
        </w:p>
        <w:p w14:paraId="7B0A5370" w14:textId="2BF8DD7A" w:rsidR="00B05662" w:rsidRPr="00D90F39" w:rsidRDefault="00B05662" w:rsidP="00D90F39">
          <w:pPr>
            <w:rPr>
              <w:rFonts w:cstheme="minorHAnsi"/>
              <w:sz w:val="24"/>
              <w:szCs w:val="24"/>
              <w:lang w:val="en-US"/>
            </w:rPr>
          </w:pPr>
          <w:r w:rsidRPr="00D90F39">
            <w:rPr>
              <w:rFonts w:cstheme="minorHAnsi"/>
              <w:sz w:val="24"/>
              <w:szCs w:val="24"/>
              <w:lang w:val="en-US"/>
            </w:rPr>
            <w:t xml:space="preserve">Lloyds Banking Group plc. (2024b) </w:t>
          </w:r>
          <w:r w:rsidRPr="00D90F39">
            <w:rPr>
              <w:rFonts w:cstheme="minorHAnsi"/>
              <w:i/>
              <w:iCs/>
              <w:sz w:val="24"/>
              <w:szCs w:val="24"/>
              <w:lang w:val="en-US"/>
            </w:rPr>
            <w:t xml:space="preserve">Who We Are - Lloyds Banking Group </w:t>
          </w:r>
          <w:r w:rsidR="00D90F39" w:rsidRPr="00D90F39">
            <w:rPr>
              <w:rFonts w:cstheme="minorHAnsi"/>
              <w:i/>
              <w:iCs/>
              <w:sz w:val="24"/>
              <w:szCs w:val="24"/>
              <w:lang w:val="en-US"/>
            </w:rPr>
            <w:t>Plc.</w:t>
          </w:r>
          <w:r w:rsidRPr="00D90F39">
            <w:rPr>
              <w:rFonts w:cstheme="minorHAnsi"/>
              <w:sz w:val="24"/>
              <w:szCs w:val="24"/>
              <w:lang w:val="en-US"/>
            </w:rPr>
            <w:t xml:space="preserve"> Available at: https://www.lloydsbankinggroup.com/who-we-are.html (Accessed: 02 January 2025). </w:t>
          </w:r>
        </w:p>
        <w:p w14:paraId="562FECBE" w14:textId="0FF1D6D8" w:rsidR="00B05662" w:rsidRPr="00D90F39" w:rsidRDefault="00B05662" w:rsidP="00D90F39">
          <w:pPr>
            <w:rPr>
              <w:rFonts w:cstheme="minorHAnsi"/>
              <w:sz w:val="24"/>
              <w:szCs w:val="24"/>
              <w:lang w:val="en-US"/>
            </w:rPr>
          </w:pPr>
          <w:r w:rsidRPr="00D90F39">
            <w:rPr>
              <w:rFonts w:cstheme="minorHAnsi"/>
              <w:sz w:val="24"/>
              <w:szCs w:val="24"/>
              <w:lang w:val="en-US"/>
            </w:rPr>
            <w:lastRenderedPageBreak/>
            <w:t xml:space="preserve">Lloyds Banking Group plc. (2024c) </w:t>
          </w:r>
          <w:r w:rsidRPr="00D90F39">
            <w:rPr>
              <w:rFonts w:cstheme="minorHAnsi"/>
              <w:i/>
              <w:iCs/>
              <w:sz w:val="24"/>
              <w:szCs w:val="24"/>
              <w:lang w:val="en-US"/>
            </w:rPr>
            <w:t xml:space="preserve">Who We Are, Group Overview - Lloyds Banking Group </w:t>
          </w:r>
          <w:r w:rsidR="00D90F39" w:rsidRPr="00D90F39">
            <w:rPr>
              <w:rFonts w:cstheme="minorHAnsi"/>
              <w:i/>
              <w:iCs/>
              <w:sz w:val="24"/>
              <w:szCs w:val="24"/>
              <w:lang w:val="en-US"/>
            </w:rPr>
            <w:t>Plc.</w:t>
          </w:r>
          <w:r w:rsidRPr="00D90F39">
            <w:rPr>
              <w:rFonts w:cstheme="minorHAnsi"/>
              <w:sz w:val="24"/>
              <w:szCs w:val="24"/>
              <w:lang w:val="en-US"/>
            </w:rPr>
            <w:t xml:space="preserve"> Available at: https://www.lloydsbankinggroup.com/who-we-are/group-overview.html (Accessed: 02 January 2025). </w:t>
          </w:r>
        </w:p>
        <w:p w14:paraId="079A1503" w14:textId="77777777" w:rsidR="00FA5C71" w:rsidRPr="00D90F39" w:rsidRDefault="006F6A3A" w:rsidP="00D90F39">
          <w:pPr>
            <w:rPr>
              <w:rFonts w:cstheme="minorHAnsi"/>
              <w:sz w:val="24"/>
              <w:szCs w:val="24"/>
              <w:lang w:val="en-US"/>
            </w:rPr>
          </w:pPr>
          <w:r w:rsidRPr="00D90F39">
            <w:rPr>
              <w:rFonts w:cstheme="minorHAnsi"/>
              <w:sz w:val="24"/>
              <w:szCs w:val="24"/>
              <w:lang w:val="en-US"/>
            </w:rPr>
            <w:t>Maheshwari, S.N., Maheshwari, S.K. and Maheshwari, S.K</w:t>
          </w:r>
          <w:r w:rsidR="00B05662" w:rsidRPr="00D90F39">
            <w:rPr>
              <w:rFonts w:cstheme="minorHAnsi"/>
              <w:sz w:val="24"/>
              <w:szCs w:val="24"/>
              <w:lang w:val="en-US"/>
            </w:rPr>
            <w:t>. (2024)</w:t>
          </w:r>
          <w:r w:rsidRPr="00D90F39">
            <w:rPr>
              <w:rFonts w:cstheme="minorHAnsi"/>
              <w:sz w:val="24"/>
              <w:szCs w:val="24"/>
              <w:lang w:val="en-US"/>
            </w:rPr>
            <w:t> </w:t>
          </w:r>
          <w:r w:rsidRPr="00D90F39">
            <w:rPr>
              <w:rFonts w:cstheme="minorHAnsi"/>
              <w:i/>
              <w:iCs/>
              <w:sz w:val="24"/>
              <w:szCs w:val="24"/>
              <w:lang w:val="en-US"/>
            </w:rPr>
            <w:t>Management Accounting and Financial Control</w:t>
          </w:r>
          <w:r w:rsidRPr="00D90F39">
            <w:rPr>
              <w:rFonts w:cstheme="minorHAnsi"/>
              <w:sz w:val="24"/>
              <w:szCs w:val="24"/>
              <w:lang w:val="en-US"/>
            </w:rPr>
            <w:t>. Sultan Chand &amp; Sons.</w:t>
          </w:r>
        </w:p>
        <w:p w14:paraId="3D24BB5A" w14:textId="24AB57C1" w:rsidR="00FA5C71" w:rsidRPr="00D90F39" w:rsidRDefault="006F6A3A" w:rsidP="00D90F39">
          <w:pPr>
            <w:rPr>
              <w:rFonts w:cstheme="minorHAnsi"/>
              <w:sz w:val="24"/>
              <w:szCs w:val="24"/>
              <w:lang w:val="en-US"/>
            </w:rPr>
          </w:pPr>
          <w:r w:rsidRPr="00D90F39">
            <w:rPr>
              <w:rFonts w:cstheme="minorHAnsi"/>
              <w:sz w:val="24"/>
              <w:szCs w:val="24"/>
              <w:lang w:val="en-US"/>
            </w:rPr>
            <w:t>Mao, R</w:t>
          </w:r>
          <w:r w:rsidR="00B05662" w:rsidRPr="00D90F39">
            <w:rPr>
              <w:rFonts w:cstheme="minorHAnsi"/>
              <w:sz w:val="24"/>
              <w:szCs w:val="24"/>
              <w:lang w:val="en-US"/>
            </w:rPr>
            <w:t>. (2023)</w:t>
          </w:r>
          <w:r w:rsidRPr="00D90F39">
            <w:rPr>
              <w:rFonts w:cstheme="minorHAnsi"/>
              <w:sz w:val="24"/>
              <w:szCs w:val="24"/>
              <w:lang w:val="en-US"/>
            </w:rPr>
            <w:t xml:space="preserve"> Verify the Relationship Between a Company’s Earning per Share, Return on Equity, Return on Asset, Sales Growth, Price to </w:t>
          </w:r>
          <w:r w:rsidR="00D90F39" w:rsidRPr="00D90F39">
            <w:rPr>
              <w:rFonts w:cstheme="minorHAnsi"/>
              <w:sz w:val="24"/>
              <w:szCs w:val="24"/>
              <w:lang w:val="en-US"/>
            </w:rPr>
            <w:t>Earnings</w:t>
          </w:r>
          <w:r w:rsidRPr="00D90F39">
            <w:rPr>
              <w:rFonts w:cstheme="minorHAnsi"/>
              <w:sz w:val="24"/>
              <w:szCs w:val="24"/>
              <w:lang w:val="en-US"/>
            </w:rPr>
            <w:t xml:space="preserve"> Ratio, Current Ratio, Gross Profit Margin, Quick Ratio, Asset Turnover and Its Stock Price. In </w:t>
          </w:r>
          <w:r w:rsidRPr="00D90F39">
            <w:rPr>
              <w:rFonts w:cstheme="minorHAnsi"/>
              <w:i/>
              <w:iCs/>
              <w:sz w:val="24"/>
              <w:szCs w:val="24"/>
              <w:lang w:val="en-US"/>
            </w:rPr>
            <w:t>SHS Web of Conferences</w:t>
          </w:r>
          <w:r w:rsidRPr="00D90F39">
            <w:rPr>
              <w:rFonts w:cstheme="minorHAnsi"/>
              <w:sz w:val="24"/>
              <w:szCs w:val="24"/>
              <w:lang w:val="en-US"/>
            </w:rPr>
            <w:t> (Vol. 163, p. 03003). EDP Sciences.</w:t>
          </w:r>
        </w:p>
        <w:p w14:paraId="45344C6E"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Marr, B. (2012) </w:t>
          </w:r>
          <w:r w:rsidRPr="00D90F39">
            <w:rPr>
              <w:rFonts w:cstheme="minorHAnsi"/>
              <w:i/>
              <w:iCs/>
              <w:sz w:val="24"/>
              <w:szCs w:val="24"/>
              <w:lang w:val="en-US"/>
            </w:rPr>
            <w:t>Key performance indicators: The 75 measures every manager needs to know Bernard Marr</w:t>
          </w:r>
          <w:r w:rsidRPr="00D90F39">
            <w:rPr>
              <w:rFonts w:cstheme="minorHAnsi"/>
              <w:sz w:val="24"/>
              <w:szCs w:val="24"/>
              <w:lang w:val="en-US"/>
            </w:rPr>
            <w:t xml:space="preserve">. 1st </w:t>
          </w:r>
          <w:proofErr w:type="spellStart"/>
          <w:proofErr w:type="gramStart"/>
          <w:r w:rsidRPr="00D90F39">
            <w:rPr>
              <w:rFonts w:cstheme="minorHAnsi"/>
              <w:sz w:val="24"/>
              <w:szCs w:val="24"/>
              <w:lang w:val="en-US"/>
            </w:rPr>
            <w:t>edn</w:t>
          </w:r>
          <w:proofErr w:type="spellEnd"/>
          <w:proofErr w:type="gramEnd"/>
          <w:r w:rsidRPr="00D90F39">
            <w:rPr>
              <w:rFonts w:cstheme="minorHAnsi"/>
              <w:sz w:val="24"/>
              <w:szCs w:val="24"/>
              <w:lang w:val="en-US"/>
            </w:rPr>
            <w:t xml:space="preserve">. Harlow, England </w:t>
          </w:r>
          <w:proofErr w:type="spellStart"/>
          <w:r w:rsidRPr="00D90F39">
            <w:rPr>
              <w:rFonts w:cstheme="minorHAnsi"/>
              <w:sz w:val="24"/>
              <w:szCs w:val="24"/>
              <w:lang w:val="en-US"/>
            </w:rPr>
            <w:t>etc</w:t>
          </w:r>
          <w:proofErr w:type="spellEnd"/>
          <w:r w:rsidRPr="00D90F39">
            <w:rPr>
              <w:rFonts w:cstheme="minorHAnsi"/>
              <w:sz w:val="24"/>
              <w:szCs w:val="24"/>
              <w:lang w:val="en-US"/>
            </w:rPr>
            <w:t xml:space="preserve">: Pearson Education. </w:t>
          </w:r>
        </w:p>
        <w:p w14:paraId="0264DE8C" w14:textId="77777777" w:rsidR="00FA5C71" w:rsidRPr="00D90F39" w:rsidRDefault="006F6A3A" w:rsidP="00D90F39">
          <w:pPr>
            <w:rPr>
              <w:rFonts w:cstheme="minorHAnsi"/>
              <w:sz w:val="24"/>
              <w:szCs w:val="24"/>
              <w:lang w:val="en-US"/>
            </w:rPr>
          </w:pPr>
          <w:r w:rsidRPr="00D90F39">
            <w:rPr>
              <w:rFonts w:cstheme="minorHAnsi"/>
              <w:sz w:val="24"/>
              <w:szCs w:val="24"/>
              <w:lang w:val="en-US"/>
            </w:rPr>
            <w:t xml:space="preserve">Saunders, A., Cornett, M.M. and </w:t>
          </w:r>
          <w:proofErr w:type="spellStart"/>
          <w:r w:rsidRPr="00D90F39">
            <w:rPr>
              <w:rFonts w:cstheme="minorHAnsi"/>
              <w:sz w:val="24"/>
              <w:szCs w:val="24"/>
              <w:lang w:val="en-US"/>
            </w:rPr>
            <w:t>Erhemjamts</w:t>
          </w:r>
          <w:proofErr w:type="spellEnd"/>
          <w:r w:rsidRPr="00D90F39">
            <w:rPr>
              <w:rFonts w:cstheme="minorHAnsi"/>
              <w:sz w:val="24"/>
              <w:szCs w:val="24"/>
              <w:lang w:val="en-US"/>
            </w:rPr>
            <w:t xml:space="preserve">, O. (2021) </w:t>
          </w:r>
          <w:r w:rsidRPr="00D90F39">
            <w:rPr>
              <w:rFonts w:cstheme="minorHAnsi"/>
              <w:i/>
              <w:iCs/>
              <w:sz w:val="24"/>
              <w:szCs w:val="24"/>
              <w:lang w:val="en-US"/>
            </w:rPr>
            <w:t>Financial Institutions Management: A risk management approach</w:t>
          </w:r>
          <w:r w:rsidRPr="00D90F39">
            <w:rPr>
              <w:rFonts w:cstheme="minorHAnsi"/>
              <w:sz w:val="24"/>
              <w:szCs w:val="24"/>
              <w:lang w:val="en-US"/>
            </w:rPr>
            <w:t xml:space="preserve">. 10th </w:t>
          </w:r>
          <w:proofErr w:type="spellStart"/>
          <w:r w:rsidRPr="00D90F39">
            <w:rPr>
              <w:rFonts w:cstheme="minorHAnsi"/>
              <w:sz w:val="24"/>
              <w:szCs w:val="24"/>
              <w:lang w:val="en-US"/>
            </w:rPr>
            <w:t>edn</w:t>
          </w:r>
          <w:proofErr w:type="spellEnd"/>
          <w:r w:rsidRPr="00D90F39">
            <w:rPr>
              <w:rFonts w:cstheme="minorHAnsi"/>
              <w:sz w:val="24"/>
              <w:szCs w:val="24"/>
              <w:lang w:val="en-US"/>
            </w:rPr>
            <w:t xml:space="preserve">. New York, NY: McGraw Hill LLC. </w:t>
          </w:r>
        </w:p>
        <w:p w14:paraId="72BA5861" w14:textId="77777777" w:rsidR="00FA5C71" w:rsidRPr="00D90F39" w:rsidRDefault="006F6A3A" w:rsidP="00D90F39">
          <w:pPr>
            <w:rPr>
              <w:rFonts w:cstheme="minorHAnsi"/>
              <w:sz w:val="24"/>
              <w:szCs w:val="24"/>
              <w:lang w:val="en-US"/>
            </w:rPr>
          </w:pPr>
          <w:r w:rsidRPr="00D90F39">
            <w:rPr>
              <w:rFonts w:cstheme="minorHAnsi"/>
              <w:sz w:val="24"/>
              <w:szCs w:val="24"/>
              <w:lang w:val="en-US"/>
            </w:rPr>
            <w:t>Schroeder, R.G., Clark, M.W. and Cathey, J.M</w:t>
          </w:r>
          <w:r w:rsidR="00B05662" w:rsidRPr="00D90F39">
            <w:rPr>
              <w:rFonts w:cstheme="minorHAnsi"/>
              <w:sz w:val="24"/>
              <w:szCs w:val="24"/>
              <w:lang w:val="en-US"/>
            </w:rPr>
            <w:t>. (2022)</w:t>
          </w:r>
          <w:r w:rsidRPr="00D90F39">
            <w:rPr>
              <w:rFonts w:cstheme="minorHAnsi"/>
              <w:sz w:val="24"/>
              <w:szCs w:val="24"/>
              <w:lang w:val="en-US"/>
            </w:rPr>
            <w:t> </w:t>
          </w:r>
          <w:r w:rsidRPr="00D90F39">
            <w:rPr>
              <w:rFonts w:cstheme="minorHAnsi"/>
              <w:i/>
              <w:iCs/>
              <w:sz w:val="24"/>
              <w:szCs w:val="24"/>
              <w:lang w:val="en-US"/>
            </w:rPr>
            <w:t>Financial accounting theory and analysis: text and cases</w:t>
          </w:r>
          <w:r w:rsidRPr="00D90F39">
            <w:rPr>
              <w:rFonts w:cstheme="minorHAnsi"/>
              <w:sz w:val="24"/>
              <w:szCs w:val="24"/>
              <w:lang w:val="en-US"/>
            </w:rPr>
            <w:t>. John Wiley &amp; Sons.</w:t>
          </w:r>
        </w:p>
        <w:p w14:paraId="71DD71EE" w14:textId="77777777" w:rsidR="00FA5C71" w:rsidRPr="00D90F39" w:rsidRDefault="006F6A3A" w:rsidP="00D90F39">
          <w:pPr>
            <w:rPr>
              <w:rFonts w:cstheme="minorHAnsi"/>
              <w:sz w:val="24"/>
              <w:szCs w:val="24"/>
              <w:lang w:val="en-US"/>
            </w:rPr>
          </w:pPr>
          <w:proofErr w:type="spellStart"/>
          <w:r w:rsidRPr="00D90F39">
            <w:rPr>
              <w:rFonts w:cstheme="minorHAnsi"/>
              <w:sz w:val="24"/>
              <w:szCs w:val="24"/>
              <w:lang w:val="en-US"/>
            </w:rPr>
            <w:t>Sitompul</w:t>
          </w:r>
          <w:proofErr w:type="spellEnd"/>
          <w:r w:rsidRPr="00D90F39">
            <w:rPr>
              <w:rFonts w:cstheme="minorHAnsi"/>
              <w:sz w:val="24"/>
              <w:szCs w:val="24"/>
              <w:lang w:val="en-US"/>
            </w:rPr>
            <w:t xml:space="preserve">, S., </w:t>
          </w:r>
          <w:proofErr w:type="spellStart"/>
          <w:r w:rsidRPr="00D90F39">
            <w:rPr>
              <w:rFonts w:cstheme="minorHAnsi"/>
              <w:sz w:val="24"/>
              <w:szCs w:val="24"/>
              <w:lang w:val="en-US"/>
            </w:rPr>
            <w:t>Ichsan</w:t>
          </w:r>
          <w:proofErr w:type="spellEnd"/>
          <w:r w:rsidRPr="00D90F39">
            <w:rPr>
              <w:rFonts w:cstheme="minorHAnsi"/>
              <w:sz w:val="24"/>
              <w:szCs w:val="24"/>
              <w:lang w:val="en-US"/>
            </w:rPr>
            <w:t>, R.N. and Nasution, L</w:t>
          </w:r>
          <w:r w:rsidR="00B05662" w:rsidRPr="00D90F39">
            <w:rPr>
              <w:rFonts w:cstheme="minorHAnsi"/>
              <w:sz w:val="24"/>
              <w:szCs w:val="24"/>
              <w:lang w:val="en-US"/>
            </w:rPr>
            <w:t>. (2021)</w:t>
          </w:r>
          <w:r w:rsidRPr="00D90F39">
            <w:rPr>
              <w:rFonts w:cstheme="minorHAnsi"/>
              <w:sz w:val="24"/>
              <w:szCs w:val="24"/>
              <w:lang w:val="en-US"/>
            </w:rPr>
            <w:t xml:space="preserve"> The Influence of Exchange Rate, Inflation, For the Results of the Development Assets of Islamic Banks.</w:t>
          </w:r>
        </w:p>
        <w:p w14:paraId="5768AF92" w14:textId="15B5A6B0" w:rsidR="00B05662" w:rsidRPr="00D90F39" w:rsidRDefault="006F6A3A" w:rsidP="00D90F39">
          <w:pPr>
            <w:rPr>
              <w:rFonts w:cstheme="minorHAnsi"/>
              <w:sz w:val="24"/>
              <w:szCs w:val="24"/>
            </w:rPr>
          </w:pPr>
          <w:r w:rsidRPr="00D90F39">
            <w:rPr>
              <w:rFonts w:cstheme="minorHAnsi"/>
              <w:sz w:val="24"/>
              <w:szCs w:val="24"/>
              <w:lang w:val="en-US"/>
            </w:rPr>
            <w:t xml:space="preserve">Sukma, RP, </w:t>
          </w:r>
          <w:proofErr w:type="spellStart"/>
          <w:r w:rsidRPr="00D90F39">
            <w:rPr>
              <w:rFonts w:cstheme="minorHAnsi"/>
              <w:sz w:val="24"/>
              <w:szCs w:val="24"/>
              <w:lang w:val="en-US"/>
            </w:rPr>
            <w:t>Nurtina</w:t>
          </w:r>
          <w:proofErr w:type="spellEnd"/>
          <w:r w:rsidRPr="00D90F39">
            <w:rPr>
              <w:rFonts w:cstheme="minorHAnsi"/>
              <w:sz w:val="24"/>
              <w:szCs w:val="24"/>
              <w:lang w:val="en-US"/>
            </w:rPr>
            <w:t>, AR and Nainggolan, BM, 2022. Effect of debt ratio, long-term debt to equity, and firm size on profitability. </w:t>
          </w:r>
          <w:r w:rsidRPr="00D90F39">
            <w:rPr>
              <w:rFonts w:cstheme="minorHAnsi"/>
              <w:i/>
              <w:iCs/>
              <w:sz w:val="24"/>
              <w:szCs w:val="24"/>
              <w:lang w:val="en-US"/>
            </w:rPr>
            <w:t xml:space="preserve">Journal of Management and </w:t>
          </w:r>
          <w:r w:rsidR="00D90F39" w:rsidRPr="00D90F39">
            <w:rPr>
              <w:rFonts w:cstheme="minorHAnsi"/>
              <w:i/>
              <w:iCs/>
              <w:sz w:val="24"/>
              <w:szCs w:val="24"/>
              <w:lang w:val="en-US"/>
            </w:rPr>
            <w:t>Leadership</w:t>
          </w:r>
          <w:r w:rsidR="00D90F39" w:rsidRPr="00D90F39">
            <w:rPr>
              <w:rFonts w:cstheme="minorHAnsi"/>
              <w:sz w:val="24"/>
              <w:szCs w:val="24"/>
              <w:lang w:val="en-US"/>
            </w:rPr>
            <w:t>,</w:t>
          </w:r>
          <w:r w:rsidRPr="00D90F39">
            <w:rPr>
              <w:rFonts w:cstheme="minorHAnsi"/>
              <w:sz w:val="24"/>
              <w:szCs w:val="24"/>
              <w:lang w:val="en-US"/>
            </w:rPr>
            <w:t> </w:t>
          </w:r>
          <w:r w:rsidRPr="00D90F39">
            <w:rPr>
              <w:rFonts w:cstheme="minorHAnsi"/>
              <w:i/>
              <w:iCs/>
              <w:sz w:val="24"/>
              <w:szCs w:val="24"/>
              <w:lang w:val="en-US"/>
            </w:rPr>
            <w:t>5</w:t>
          </w:r>
          <w:r w:rsidRPr="00D90F39">
            <w:rPr>
              <w:rFonts w:cstheme="minorHAnsi"/>
              <w:sz w:val="24"/>
              <w:szCs w:val="24"/>
              <w:lang w:val="en-US"/>
            </w:rPr>
            <w:t> (1), pp.27-37.</w:t>
          </w:r>
        </w:p>
      </w:sdtContent>
    </w:sdt>
    <w:p w14:paraId="66245478" w14:textId="77777777" w:rsidR="00F271A1" w:rsidRPr="00D90F39" w:rsidRDefault="00F271A1" w:rsidP="00D90F39">
      <w:pPr>
        <w:rPr>
          <w:rFonts w:cstheme="minorHAnsi"/>
          <w:sz w:val="24"/>
          <w:szCs w:val="24"/>
          <w:lang w:val="en-US"/>
        </w:rPr>
      </w:pPr>
      <w:r w:rsidRPr="00D90F39">
        <w:rPr>
          <w:rFonts w:cstheme="minorHAnsi"/>
          <w:sz w:val="24"/>
          <w:szCs w:val="24"/>
        </w:rPr>
        <w:br w:type="page"/>
      </w:r>
    </w:p>
    <w:p w14:paraId="1AC97708" w14:textId="77777777" w:rsidR="003341D5" w:rsidRPr="00BF357C" w:rsidRDefault="00CF0E48" w:rsidP="00CF0E48">
      <w:pPr>
        <w:pStyle w:val="Heading1"/>
        <w:rPr>
          <w:sz w:val="28"/>
          <w:szCs w:val="28"/>
        </w:rPr>
      </w:pPr>
      <w:bookmarkStart w:id="16" w:name="_Toc186730298"/>
      <w:r w:rsidRPr="00BF357C">
        <w:rPr>
          <w:sz w:val="28"/>
          <w:szCs w:val="28"/>
        </w:rPr>
        <w:lastRenderedPageBreak/>
        <w:t>Appendi</w:t>
      </w:r>
      <w:r w:rsidR="003341D5" w:rsidRPr="00BF357C">
        <w:rPr>
          <w:sz w:val="28"/>
          <w:szCs w:val="28"/>
        </w:rPr>
        <w:t>x</w:t>
      </w:r>
      <w:bookmarkEnd w:id="16"/>
      <w:r w:rsidR="003F11D7" w:rsidRPr="00BF357C">
        <w:rPr>
          <w:sz w:val="28"/>
          <w:szCs w:val="28"/>
        </w:rPr>
        <w:t xml:space="preserve"> </w:t>
      </w:r>
    </w:p>
    <w:p w14:paraId="3DE835EA" w14:textId="77777777" w:rsidR="003341D5" w:rsidRPr="00BF357C" w:rsidRDefault="00F271A1" w:rsidP="00F271A1">
      <w:pPr>
        <w:pStyle w:val="Heading2"/>
        <w:jc w:val="center"/>
        <w:rPr>
          <w:sz w:val="28"/>
          <w:szCs w:val="28"/>
        </w:rPr>
      </w:pPr>
      <w:bookmarkStart w:id="17" w:name="_Toc186730299"/>
      <w:r w:rsidRPr="00BF357C">
        <w:rPr>
          <w:sz w:val="28"/>
          <w:szCs w:val="28"/>
        </w:rPr>
        <w:t xml:space="preserve">Financial Statements of </w:t>
      </w:r>
      <w:r w:rsidR="009C4275" w:rsidRPr="00BF357C">
        <w:rPr>
          <w:sz w:val="28"/>
          <w:szCs w:val="28"/>
        </w:rPr>
        <w:t>Lloyds</w:t>
      </w:r>
      <w:r w:rsidRPr="00BF357C">
        <w:rPr>
          <w:sz w:val="28"/>
          <w:szCs w:val="28"/>
        </w:rPr>
        <w:t xml:space="preserve"> Banking Group Plc</w:t>
      </w:r>
      <w:bookmarkEnd w:id="17"/>
    </w:p>
    <w:p w14:paraId="10691AD7" w14:textId="77777777" w:rsidR="003341D5" w:rsidRDefault="00261925" w:rsidP="00261925">
      <w:pPr>
        <w:jc w:val="center"/>
      </w:pPr>
      <w:r>
        <w:rPr>
          <w:noProof/>
          <w:lang w:val="en-US"/>
        </w:rPr>
        <w:drawing>
          <wp:inline distT="0" distB="0" distL="0" distR="0" wp14:anchorId="09E414B5" wp14:editId="433BFB12">
            <wp:extent cx="4762500" cy="5532120"/>
            <wp:effectExtent l="152400" t="152400" r="361950" b="35433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4762500" cy="5532120"/>
                    </a:xfrm>
                    <a:prstGeom prst="rect">
                      <a:avLst/>
                    </a:prstGeom>
                    <a:ln>
                      <a:noFill/>
                    </a:ln>
                    <a:effectLst>
                      <a:outerShdw blurRad="292100" dist="139700" dir="2700000" algn="tl" rotWithShape="0">
                        <a:srgbClr val="333333">
                          <a:alpha val="65000"/>
                        </a:srgbClr>
                      </a:outerShdw>
                    </a:effectLst>
                  </pic:spPr>
                </pic:pic>
              </a:graphicData>
            </a:graphic>
          </wp:inline>
        </w:drawing>
      </w:r>
    </w:p>
    <w:p w14:paraId="2B3772DD" w14:textId="04E00165" w:rsidR="00261925" w:rsidRDefault="00261925" w:rsidP="00261925">
      <w:pPr>
        <w:pStyle w:val="Caption"/>
      </w:pPr>
      <w:bookmarkStart w:id="18" w:name="_Toc186730482"/>
      <w:r>
        <w:t xml:space="preserve">Figure </w:t>
      </w:r>
      <w:r w:rsidR="00617E05">
        <w:fldChar w:fldCharType="begin"/>
      </w:r>
      <w:r w:rsidR="00617E05">
        <w:instrText xml:space="preserve"> SEQ Figure \* ARABIC </w:instrText>
      </w:r>
      <w:r w:rsidR="00617E05">
        <w:fldChar w:fldCharType="separate"/>
      </w:r>
      <w:r w:rsidR="00B71885">
        <w:rPr>
          <w:noProof/>
        </w:rPr>
        <w:t>7</w:t>
      </w:r>
      <w:r w:rsidR="00617E05">
        <w:rPr>
          <w:noProof/>
        </w:rPr>
        <w:fldChar w:fldCharType="end"/>
      </w:r>
      <w:r>
        <w:t xml:space="preserve">: Income Statement of </w:t>
      </w:r>
      <w:r w:rsidR="009C4275">
        <w:t>Lloyds</w:t>
      </w:r>
      <w:r>
        <w:t xml:space="preserve"> Banking Group plc</w:t>
      </w:r>
      <w:bookmarkEnd w:id="18"/>
    </w:p>
    <w:p w14:paraId="093E4A13" w14:textId="77777777" w:rsidR="00261925" w:rsidRDefault="00261925" w:rsidP="00261925">
      <w:pPr>
        <w:jc w:val="center"/>
      </w:pPr>
      <w:r>
        <w:t xml:space="preserve">(Source: </w:t>
      </w:r>
      <w:r w:rsidR="009C4275">
        <w:t>Lloyds</w:t>
      </w:r>
      <w:r>
        <w:t xml:space="preserve"> Banking Group plc, 2</w:t>
      </w:r>
      <w:r w:rsidR="00D132BE">
        <w:t>023</w:t>
      </w:r>
      <w:r>
        <w:t>)</w:t>
      </w:r>
    </w:p>
    <w:p w14:paraId="35AC80D0" w14:textId="77777777" w:rsidR="003341D5" w:rsidRDefault="00261925" w:rsidP="00261925">
      <w:pPr>
        <w:jc w:val="center"/>
      </w:pPr>
      <w:r>
        <w:rPr>
          <w:noProof/>
          <w:lang w:val="en-US"/>
        </w:rPr>
        <w:lastRenderedPageBreak/>
        <w:drawing>
          <wp:inline distT="0" distB="0" distL="0" distR="0" wp14:anchorId="770CE934" wp14:editId="68E89FBA">
            <wp:extent cx="5052060" cy="5966460"/>
            <wp:effectExtent l="152400" t="152400" r="358140" b="35814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a:stretch>
                      <a:fillRect/>
                    </a:stretch>
                  </pic:blipFill>
                  <pic:spPr bwMode="auto">
                    <a:xfrm>
                      <a:off x="0" y="0"/>
                      <a:ext cx="5052060" cy="5966460"/>
                    </a:xfrm>
                    <a:prstGeom prst="rect">
                      <a:avLst/>
                    </a:prstGeom>
                    <a:ln>
                      <a:noFill/>
                    </a:ln>
                    <a:effectLst>
                      <a:outerShdw blurRad="292100" dist="139700" dir="2700000" algn="tl" rotWithShape="0">
                        <a:srgbClr val="333333">
                          <a:alpha val="65000"/>
                        </a:srgbClr>
                      </a:outerShdw>
                    </a:effectLst>
                  </pic:spPr>
                </pic:pic>
              </a:graphicData>
            </a:graphic>
          </wp:inline>
        </w:drawing>
      </w:r>
    </w:p>
    <w:p w14:paraId="35D67119" w14:textId="0A0A633C" w:rsidR="00261925" w:rsidRDefault="00261925" w:rsidP="00261925">
      <w:pPr>
        <w:pStyle w:val="Caption"/>
      </w:pPr>
      <w:bookmarkStart w:id="19" w:name="_Toc186730483"/>
      <w:r>
        <w:t xml:space="preserve">Figure </w:t>
      </w:r>
      <w:r w:rsidR="00617E05">
        <w:fldChar w:fldCharType="begin"/>
      </w:r>
      <w:r w:rsidR="00617E05">
        <w:instrText xml:space="preserve"> SEQ Figure \* ARABIC </w:instrText>
      </w:r>
      <w:r w:rsidR="00617E05">
        <w:fldChar w:fldCharType="separate"/>
      </w:r>
      <w:r w:rsidR="00B71885">
        <w:rPr>
          <w:noProof/>
        </w:rPr>
        <w:t>8</w:t>
      </w:r>
      <w:r w:rsidR="00617E05">
        <w:rPr>
          <w:noProof/>
        </w:rPr>
        <w:fldChar w:fldCharType="end"/>
      </w:r>
      <w:r>
        <w:t xml:space="preserve">: Balance Sheet of </w:t>
      </w:r>
      <w:r w:rsidR="009C4275">
        <w:t>Lloyds</w:t>
      </w:r>
      <w:r>
        <w:t xml:space="preserve"> Banking Group plc</w:t>
      </w:r>
      <w:bookmarkEnd w:id="19"/>
    </w:p>
    <w:p w14:paraId="7EBD9522" w14:textId="77777777" w:rsidR="00261925" w:rsidRDefault="00261925" w:rsidP="00261925">
      <w:pPr>
        <w:jc w:val="center"/>
      </w:pPr>
      <w:r>
        <w:t xml:space="preserve">(Source: </w:t>
      </w:r>
      <w:r w:rsidR="009C4275">
        <w:t>Lloyds</w:t>
      </w:r>
      <w:r>
        <w:t xml:space="preserve"> Banking Group plc, 202</w:t>
      </w:r>
      <w:r w:rsidR="00D132BE">
        <w:t>3</w:t>
      </w:r>
      <w:r>
        <w:t>)</w:t>
      </w:r>
    </w:p>
    <w:p w14:paraId="22CA1CCA" w14:textId="77777777" w:rsidR="00F3059D" w:rsidRDefault="00F3059D" w:rsidP="00261925">
      <w:pPr>
        <w:jc w:val="center"/>
      </w:pPr>
    </w:p>
    <w:p w14:paraId="473AAEFB" w14:textId="77777777" w:rsidR="00F3059D" w:rsidRDefault="00F3059D" w:rsidP="00261925">
      <w:pPr>
        <w:jc w:val="center"/>
      </w:pPr>
    </w:p>
    <w:p w14:paraId="64E5332F" w14:textId="77777777" w:rsidR="00F3059D" w:rsidRDefault="00F3059D" w:rsidP="00261925">
      <w:pPr>
        <w:jc w:val="center"/>
      </w:pPr>
    </w:p>
    <w:p w14:paraId="154EE000" w14:textId="77777777" w:rsidR="00F3059D" w:rsidRPr="00261925" w:rsidRDefault="00F3059D" w:rsidP="00261925">
      <w:pPr>
        <w:jc w:val="center"/>
      </w:pPr>
    </w:p>
    <w:p w14:paraId="4A0F3D60" w14:textId="77777777" w:rsidR="00F271A1" w:rsidRPr="002A4491" w:rsidRDefault="00F271A1" w:rsidP="00F271A1">
      <w:pPr>
        <w:pStyle w:val="Heading2"/>
        <w:jc w:val="center"/>
        <w:rPr>
          <w:sz w:val="28"/>
          <w:szCs w:val="28"/>
        </w:rPr>
      </w:pPr>
      <w:bookmarkStart w:id="20" w:name="_Toc186730300"/>
      <w:r w:rsidRPr="002A4491">
        <w:rPr>
          <w:sz w:val="28"/>
          <w:szCs w:val="28"/>
        </w:rPr>
        <w:lastRenderedPageBreak/>
        <w:t xml:space="preserve">Ratio Calculations of </w:t>
      </w:r>
      <w:r w:rsidR="009C4275" w:rsidRPr="002A4491">
        <w:rPr>
          <w:sz w:val="28"/>
          <w:szCs w:val="28"/>
        </w:rPr>
        <w:t>Lloyds</w:t>
      </w:r>
      <w:r w:rsidRPr="002A4491">
        <w:rPr>
          <w:sz w:val="28"/>
          <w:szCs w:val="28"/>
        </w:rPr>
        <w:t xml:space="preserve"> Banking Group Plc</w:t>
      </w:r>
      <w:bookmarkEnd w:id="20"/>
    </w:p>
    <w:p w14:paraId="145C664A" w14:textId="77777777" w:rsidR="002A4491" w:rsidRPr="002A4491" w:rsidRDefault="002A4491" w:rsidP="002A4491"/>
    <w:tbl>
      <w:tblPr>
        <w:tblStyle w:val="PlainTable1"/>
        <w:tblW w:w="5000" w:type="pct"/>
        <w:tblLook w:val="04A0" w:firstRow="1" w:lastRow="0" w:firstColumn="1" w:lastColumn="0" w:noHBand="0" w:noVBand="1"/>
      </w:tblPr>
      <w:tblGrid>
        <w:gridCol w:w="4326"/>
        <w:gridCol w:w="2346"/>
        <w:gridCol w:w="2344"/>
      </w:tblGrid>
      <w:tr w:rsidR="00F271A1" w:rsidRPr="00115D45" w14:paraId="584DF5DA" w14:textId="77777777" w:rsidTr="00115D4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45B267D0" w14:textId="77777777" w:rsidR="00F271A1" w:rsidRPr="00115D45" w:rsidRDefault="00F271A1" w:rsidP="00F271A1">
            <w:pPr>
              <w:spacing w:after="160" w:line="259" w:lineRule="auto"/>
              <w:jc w:val="left"/>
              <w:rPr>
                <w:sz w:val="18"/>
                <w:szCs w:val="18"/>
                <w:lang w:val="en-US"/>
              </w:rPr>
            </w:pPr>
            <w:r w:rsidRPr="00115D45">
              <w:rPr>
                <w:sz w:val="18"/>
                <w:szCs w:val="18"/>
                <w:lang w:val="en-US"/>
              </w:rPr>
              <w:t>Type of ratio</w:t>
            </w:r>
          </w:p>
        </w:tc>
        <w:tc>
          <w:tcPr>
            <w:tcW w:w="1301" w:type="pct"/>
            <w:noWrap/>
            <w:hideMark/>
          </w:tcPr>
          <w:p w14:paraId="68456B87" w14:textId="77777777" w:rsidR="00F271A1" w:rsidRPr="00115D45" w:rsidRDefault="00F271A1" w:rsidP="00F271A1">
            <w:pPr>
              <w:spacing w:after="160" w:line="259" w:lineRule="auto"/>
              <w:jc w:val="center"/>
              <w:cnfStyle w:val="100000000000" w:firstRow="1" w:lastRow="0" w:firstColumn="0" w:lastColumn="0" w:oddVBand="0" w:evenVBand="0" w:oddHBand="0" w:evenHBand="0" w:firstRowFirstColumn="0" w:firstRowLastColumn="0" w:lastRowFirstColumn="0" w:lastRowLastColumn="0"/>
              <w:rPr>
                <w:b w:val="0"/>
                <w:bCs w:val="0"/>
                <w:sz w:val="18"/>
                <w:szCs w:val="18"/>
                <w:lang w:val="en-US"/>
              </w:rPr>
            </w:pPr>
            <w:r w:rsidRPr="00115D45">
              <w:rPr>
                <w:sz w:val="18"/>
                <w:szCs w:val="18"/>
                <w:lang w:val="en-US"/>
              </w:rPr>
              <w:t>2023</w:t>
            </w:r>
          </w:p>
        </w:tc>
        <w:tc>
          <w:tcPr>
            <w:tcW w:w="1301" w:type="pct"/>
            <w:noWrap/>
            <w:hideMark/>
          </w:tcPr>
          <w:p w14:paraId="4A3B197F" w14:textId="77777777" w:rsidR="00F271A1" w:rsidRPr="00115D45" w:rsidRDefault="00F271A1" w:rsidP="00F271A1">
            <w:pPr>
              <w:spacing w:after="160" w:line="259" w:lineRule="auto"/>
              <w:jc w:val="center"/>
              <w:cnfStyle w:val="100000000000" w:firstRow="1" w:lastRow="0" w:firstColumn="0" w:lastColumn="0" w:oddVBand="0" w:evenVBand="0" w:oddHBand="0" w:evenHBand="0" w:firstRowFirstColumn="0" w:firstRowLastColumn="0" w:lastRowFirstColumn="0" w:lastRowLastColumn="0"/>
              <w:rPr>
                <w:b w:val="0"/>
                <w:bCs w:val="0"/>
                <w:sz w:val="18"/>
                <w:szCs w:val="18"/>
                <w:lang w:val="en-US"/>
              </w:rPr>
            </w:pPr>
            <w:r w:rsidRPr="00115D45">
              <w:rPr>
                <w:sz w:val="18"/>
                <w:szCs w:val="18"/>
                <w:lang w:val="en-US"/>
              </w:rPr>
              <w:t>2022</w:t>
            </w:r>
          </w:p>
        </w:tc>
      </w:tr>
      <w:tr w:rsidR="00F271A1" w:rsidRPr="00115D45" w14:paraId="7F2CE856"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41DD886F" w14:textId="77777777" w:rsidR="00F271A1" w:rsidRPr="00115D45" w:rsidRDefault="00F271A1" w:rsidP="00F271A1">
            <w:pPr>
              <w:spacing w:after="160" w:line="259" w:lineRule="auto"/>
              <w:jc w:val="left"/>
              <w:rPr>
                <w:b w:val="0"/>
                <w:bCs w:val="0"/>
                <w:sz w:val="18"/>
                <w:szCs w:val="18"/>
                <w:lang w:val="en-US"/>
              </w:rPr>
            </w:pPr>
            <w:r w:rsidRPr="00115D45">
              <w:rPr>
                <w:sz w:val="18"/>
                <w:szCs w:val="18"/>
                <w:lang w:val="en-US"/>
              </w:rPr>
              <w:t>Profitability ratios</w:t>
            </w:r>
          </w:p>
        </w:tc>
        <w:tc>
          <w:tcPr>
            <w:tcW w:w="1301" w:type="pct"/>
            <w:noWrap/>
            <w:hideMark/>
          </w:tcPr>
          <w:p w14:paraId="6AC7D4CD" w14:textId="77777777" w:rsidR="00F271A1" w:rsidRPr="00115D45" w:rsidRDefault="00F271A1" w:rsidP="00F271A1">
            <w:pPr>
              <w:spacing w:after="160" w:line="259" w:lineRule="auto"/>
              <w:jc w:val="left"/>
              <w:cnfStyle w:val="000000100000" w:firstRow="0" w:lastRow="0" w:firstColumn="0" w:lastColumn="0" w:oddVBand="0" w:evenVBand="0" w:oddHBand="1" w:evenHBand="0" w:firstRowFirstColumn="0" w:firstRowLastColumn="0" w:lastRowFirstColumn="0" w:lastRowLastColumn="0"/>
              <w:rPr>
                <w:sz w:val="18"/>
                <w:szCs w:val="18"/>
                <w:lang w:val="en-US"/>
              </w:rPr>
            </w:pPr>
          </w:p>
        </w:tc>
        <w:tc>
          <w:tcPr>
            <w:tcW w:w="1301" w:type="pct"/>
            <w:noWrap/>
            <w:hideMark/>
          </w:tcPr>
          <w:p w14:paraId="0F3BAB72" w14:textId="77777777" w:rsidR="00F271A1" w:rsidRPr="00115D45" w:rsidRDefault="00F271A1" w:rsidP="00F271A1">
            <w:pPr>
              <w:spacing w:after="160" w:line="259" w:lineRule="auto"/>
              <w:jc w:val="left"/>
              <w:cnfStyle w:val="000000100000" w:firstRow="0" w:lastRow="0" w:firstColumn="0" w:lastColumn="0" w:oddVBand="0" w:evenVBand="0" w:oddHBand="1" w:evenHBand="0" w:firstRowFirstColumn="0" w:firstRowLastColumn="0" w:lastRowFirstColumn="0" w:lastRowLastColumn="0"/>
              <w:rPr>
                <w:sz w:val="18"/>
                <w:szCs w:val="18"/>
                <w:lang w:val="en-US"/>
              </w:rPr>
            </w:pPr>
          </w:p>
        </w:tc>
      </w:tr>
      <w:tr w:rsidR="00F271A1" w:rsidRPr="00115D45" w14:paraId="22DBBEB8"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78DA26B9" w14:textId="77777777" w:rsidR="00F271A1" w:rsidRPr="00115D45" w:rsidRDefault="00F271A1" w:rsidP="00F271A1">
            <w:pPr>
              <w:spacing w:after="160" w:line="259" w:lineRule="auto"/>
              <w:jc w:val="left"/>
              <w:rPr>
                <w:sz w:val="18"/>
                <w:szCs w:val="18"/>
                <w:lang w:val="en-US"/>
              </w:rPr>
            </w:pPr>
            <w:r w:rsidRPr="00115D45">
              <w:rPr>
                <w:sz w:val="18"/>
                <w:szCs w:val="18"/>
                <w:lang w:val="en-US"/>
              </w:rPr>
              <w:t>Gross profit margin</w:t>
            </w:r>
          </w:p>
        </w:tc>
        <w:tc>
          <w:tcPr>
            <w:tcW w:w="1301" w:type="pct"/>
            <w:noWrap/>
            <w:hideMark/>
          </w:tcPr>
          <w:p w14:paraId="640C6E3B"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13298</w:t>
            </w:r>
            <w:r w:rsidR="0072772B" w:rsidRPr="00115D45">
              <w:rPr>
                <w:sz w:val="18"/>
                <w:szCs w:val="18"/>
                <w:lang w:val="en-US"/>
              </w:rPr>
              <w:t>/</w:t>
            </w:r>
            <w:r w:rsidRPr="00115D45">
              <w:rPr>
                <w:sz w:val="18"/>
                <w:szCs w:val="18"/>
                <w:lang w:val="en-US"/>
              </w:rPr>
              <w:t>28051 * 100</w:t>
            </w:r>
          </w:p>
          <w:p w14:paraId="4BEDC458"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47.41%</w:t>
            </w:r>
          </w:p>
        </w:tc>
        <w:tc>
          <w:tcPr>
            <w:tcW w:w="1301" w:type="pct"/>
            <w:noWrap/>
            <w:hideMark/>
          </w:tcPr>
          <w:p w14:paraId="7B9247EB"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12922</w:t>
            </w:r>
            <w:r w:rsidR="0072772B" w:rsidRPr="00115D45">
              <w:rPr>
                <w:sz w:val="18"/>
                <w:szCs w:val="18"/>
                <w:lang w:val="en-US"/>
              </w:rPr>
              <w:t>/</w:t>
            </w:r>
            <w:r w:rsidRPr="00115D45">
              <w:rPr>
                <w:sz w:val="18"/>
                <w:szCs w:val="18"/>
                <w:lang w:val="en-US"/>
              </w:rPr>
              <w:t>17645 * 100</w:t>
            </w:r>
          </w:p>
          <w:p w14:paraId="35DE0E6A"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73.23%</w:t>
            </w:r>
          </w:p>
        </w:tc>
      </w:tr>
      <w:tr w:rsidR="00F271A1" w:rsidRPr="00115D45" w14:paraId="6B361A56"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633053E3" w14:textId="77777777" w:rsidR="00F271A1" w:rsidRPr="00115D45" w:rsidRDefault="00F271A1" w:rsidP="00F271A1">
            <w:pPr>
              <w:spacing w:after="160" w:line="259" w:lineRule="auto"/>
              <w:jc w:val="left"/>
              <w:rPr>
                <w:sz w:val="18"/>
                <w:szCs w:val="18"/>
                <w:lang w:val="en-US"/>
              </w:rPr>
            </w:pPr>
            <w:r w:rsidRPr="00115D45">
              <w:rPr>
                <w:sz w:val="18"/>
                <w:szCs w:val="18"/>
                <w:lang w:val="en-US"/>
              </w:rPr>
              <w:t>Net profit margin</w:t>
            </w:r>
          </w:p>
        </w:tc>
        <w:tc>
          <w:tcPr>
            <w:tcW w:w="1301" w:type="pct"/>
            <w:noWrap/>
            <w:hideMark/>
          </w:tcPr>
          <w:p w14:paraId="500F0A66"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5518</w:t>
            </w:r>
            <w:r w:rsidR="0072772B" w:rsidRPr="00115D45">
              <w:rPr>
                <w:sz w:val="18"/>
                <w:szCs w:val="18"/>
                <w:lang w:val="en-US"/>
              </w:rPr>
              <w:t>/</w:t>
            </w:r>
            <w:r w:rsidRPr="00115D45">
              <w:rPr>
                <w:sz w:val="18"/>
                <w:szCs w:val="18"/>
                <w:lang w:val="en-US"/>
              </w:rPr>
              <w:t>28051 * 100</w:t>
            </w:r>
          </w:p>
          <w:p w14:paraId="6C0ECA36"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0.63%</w:t>
            </w:r>
          </w:p>
        </w:tc>
        <w:tc>
          <w:tcPr>
            <w:tcW w:w="1301" w:type="pct"/>
            <w:noWrap/>
            <w:hideMark/>
          </w:tcPr>
          <w:p w14:paraId="0E706DAF"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3923</w:t>
            </w:r>
            <w:r w:rsidR="0072772B" w:rsidRPr="00115D45">
              <w:rPr>
                <w:sz w:val="18"/>
                <w:szCs w:val="18"/>
                <w:lang w:val="en-US"/>
              </w:rPr>
              <w:t>/</w:t>
            </w:r>
            <w:r w:rsidRPr="00115D45">
              <w:rPr>
                <w:sz w:val="18"/>
                <w:szCs w:val="18"/>
                <w:lang w:val="en-US"/>
              </w:rPr>
              <w:t>17645 * 100</w:t>
            </w:r>
          </w:p>
          <w:p w14:paraId="0A2C93FD"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0.45%</w:t>
            </w:r>
          </w:p>
        </w:tc>
      </w:tr>
      <w:tr w:rsidR="00F271A1" w:rsidRPr="00115D45" w14:paraId="6D6EA187"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159D55BF" w14:textId="77777777" w:rsidR="00F271A1" w:rsidRPr="00115D45" w:rsidRDefault="00F271A1" w:rsidP="00F271A1">
            <w:pPr>
              <w:spacing w:after="160" w:line="259" w:lineRule="auto"/>
              <w:jc w:val="left"/>
              <w:rPr>
                <w:sz w:val="18"/>
                <w:szCs w:val="18"/>
                <w:lang w:val="en-US"/>
              </w:rPr>
            </w:pPr>
          </w:p>
        </w:tc>
        <w:tc>
          <w:tcPr>
            <w:tcW w:w="1301" w:type="pct"/>
            <w:noWrap/>
            <w:hideMark/>
          </w:tcPr>
          <w:p w14:paraId="4FEF47A5"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c>
          <w:tcPr>
            <w:tcW w:w="1301" w:type="pct"/>
            <w:noWrap/>
            <w:hideMark/>
          </w:tcPr>
          <w:p w14:paraId="299C54D1"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r>
      <w:tr w:rsidR="00F271A1" w:rsidRPr="00115D45" w14:paraId="4F89D19B"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48379C72" w14:textId="77777777" w:rsidR="00F271A1" w:rsidRPr="00115D45" w:rsidRDefault="00F271A1" w:rsidP="00F271A1">
            <w:pPr>
              <w:spacing w:after="160" w:line="259" w:lineRule="auto"/>
              <w:jc w:val="left"/>
              <w:rPr>
                <w:b w:val="0"/>
                <w:bCs w:val="0"/>
                <w:sz w:val="18"/>
                <w:szCs w:val="18"/>
                <w:lang w:val="en-US"/>
              </w:rPr>
            </w:pPr>
            <w:r w:rsidRPr="00115D45">
              <w:rPr>
                <w:sz w:val="18"/>
                <w:szCs w:val="18"/>
                <w:lang w:val="en-US"/>
              </w:rPr>
              <w:t>Efficiency ratios</w:t>
            </w:r>
          </w:p>
        </w:tc>
        <w:tc>
          <w:tcPr>
            <w:tcW w:w="1301" w:type="pct"/>
            <w:noWrap/>
            <w:hideMark/>
          </w:tcPr>
          <w:p w14:paraId="1879AA8B"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c>
          <w:tcPr>
            <w:tcW w:w="1301" w:type="pct"/>
            <w:noWrap/>
            <w:hideMark/>
          </w:tcPr>
          <w:p w14:paraId="0E9043E8"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r>
      <w:tr w:rsidR="00F271A1" w:rsidRPr="00115D45" w14:paraId="21B71928"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753AF53B" w14:textId="77777777" w:rsidR="00F271A1" w:rsidRPr="00115D45" w:rsidRDefault="00F271A1" w:rsidP="00F271A1">
            <w:pPr>
              <w:spacing w:after="160" w:line="259" w:lineRule="auto"/>
              <w:jc w:val="left"/>
              <w:rPr>
                <w:sz w:val="18"/>
                <w:szCs w:val="18"/>
                <w:lang w:val="en-US"/>
              </w:rPr>
            </w:pPr>
            <w:r w:rsidRPr="00115D45">
              <w:rPr>
                <w:sz w:val="18"/>
                <w:szCs w:val="18"/>
                <w:lang w:val="en-US"/>
              </w:rPr>
              <w:t>Efficiency ratio</w:t>
            </w:r>
          </w:p>
        </w:tc>
        <w:tc>
          <w:tcPr>
            <w:tcW w:w="1301" w:type="pct"/>
            <w:noWrap/>
            <w:hideMark/>
          </w:tcPr>
          <w:p w14:paraId="71DED509"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10823</w:t>
            </w:r>
            <w:r w:rsidR="0072772B" w:rsidRPr="00115D45">
              <w:rPr>
                <w:sz w:val="18"/>
                <w:szCs w:val="18"/>
                <w:lang w:val="en-US"/>
              </w:rPr>
              <w:t>/</w:t>
            </w:r>
            <w:r w:rsidRPr="00115D45">
              <w:rPr>
                <w:sz w:val="18"/>
                <w:szCs w:val="18"/>
                <w:lang w:val="en-US"/>
              </w:rPr>
              <w:t>28051</w:t>
            </w:r>
          </w:p>
          <w:p w14:paraId="0C9FBD2C"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0.39 times</w:t>
            </w:r>
          </w:p>
        </w:tc>
        <w:tc>
          <w:tcPr>
            <w:tcW w:w="1301" w:type="pct"/>
            <w:noWrap/>
            <w:hideMark/>
          </w:tcPr>
          <w:p w14:paraId="6729010C"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9237</w:t>
            </w:r>
            <w:r w:rsidR="0072772B" w:rsidRPr="00115D45">
              <w:rPr>
                <w:sz w:val="18"/>
                <w:szCs w:val="18"/>
                <w:lang w:val="en-US"/>
              </w:rPr>
              <w:t>/</w:t>
            </w:r>
            <w:r w:rsidRPr="00115D45">
              <w:rPr>
                <w:sz w:val="18"/>
                <w:szCs w:val="18"/>
                <w:lang w:val="en-US"/>
              </w:rPr>
              <w:t>17645</w:t>
            </w:r>
          </w:p>
          <w:p w14:paraId="2B1A0ED0"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0.52 times</w:t>
            </w:r>
          </w:p>
        </w:tc>
      </w:tr>
      <w:tr w:rsidR="00F271A1" w:rsidRPr="00115D45" w14:paraId="210CE0AC"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084CD3F9" w14:textId="77777777" w:rsidR="00F271A1" w:rsidRPr="00115D45" w:rsidRDefault="00F271A1" w:rsidP="00F271A1">
            <w:pPr>
              <w:spacing w:after="160" w:line="259" w:lineRule="auto"/>
              <w:jc w:val="left"/>
              <w:rPr>
                <w:sz w:val="18"/>
                <w:szCs w:val="18"/>
                <w:lang w:val="en-US"/>
              </w:rPr>
            </w:pPr>
            <w:r w:rsidRPr="00115D45">
              <w:rPr>
                <w:sz w:val="18"/>
                <w:szCs w:val="18"/>
                <w:lang w:val="en-US"/>
              </w:rPr>
              <w:t>Asset turnover ratio</w:t>
            </w:r>
          </w:p>
        </w:tc>
        <w:tc>
          <w:tcPr>
            <w:tcW w:w="1301" w:type="pct"/>
            <w:noWrap/>
            <w:hideMark/>
          </w:tcPr>
          <w:p w14:paraId="066CB307"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28051</w:t>
            </w:r>
            <w:r w:rsidR="0072772B" w:rsidRPr="00115D45">
              <w:rPr>
                <w:sz w:val="18"/>
                <w:szCs w:val="18"/>
                <w:lang w:val="en-US"/>
              </w:rPr>
              <w:t>/</w:t>
            </w:r>
            <w:r w:rsidRPr="00115D45">
              <w:rPr>
                <w:sz w:val="18"/>
                <w:szCs w:val="18"/>
                <w:lang w:val="en-US"/>
              </w:rPr>
              <w:t>881453</w:t>
            </w:r>
          </w:p>
          <w:p w14:paraId="131CD688"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0.03 times</w:t>
            </w:r>
          </w:p>
        </w:tc>
        <w:tc>
          <w:tcPr>
            <w:tcW w:w="1301" w:type="pct"/>
            <w:noWrap/>
            <w:hideMark/>
          </w:tcPr>
          <w:p w14:paraId="545EE1B8"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17645</w:t>
            </w:r>
            <w:r w:rsidR="0072772B" w:rsidRPr="00115D45">
              <w:rPr>
                <w:sz w:val="18"/>
                <w:szCs w:val="18"/>
                <w:lang w:val="en-US"/>
              </w:rPr>
              <w:t>/</w:t>
            </w:r>
            <w:r w:rsidRPr="00115D45">
              <w:rPr>
                <w:sz w:val="18"/>
                <w:szCs w:val="18"/>
                <w:lang w:val="en-US"/>
              </w:rPr>
              <w:t>873394</w:t>
            </w:r>
          </w:p>
          <w:p w14:paraId="5706202A"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0.02 times</w:t>
            </w:r>
          </w:p>
        </w:tc>
      </w:tr>
      <w:tr w:rsidR="00F271A1" w:rsidRPr="00115D45" w14:paraId="0607D088"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0613F22A" w14:textId="77777777" w:rsidR="00F271A1" w:rsidRPr="00115D45" w:rsidRDefault="00F271A1" w:rsidP="00F271A1">
            <w:pPr>
              <w:spacing w:after="160" w:line="259" w:lineRule="auto"/>
              <w:jc w:val="left"/>
              <w:rPr>
                <w:sz w:val="18"/>
                <w:szCs w:val="18"/>
                <w:lang w:val="en-US"/>
              </w:rPr>
            </w:pPr>
            <w:r w:rsidRPr="00115D45">
              <w:rPr>
                <w:sz w:val="18"/>
                <w:szCs w:val="18"/>
                <w:lang w:val="en-US"/>
              </w:rPr>
              <w:t>Trade payable days</w:t>
            </w:r>
          </w:p>
        </w:tc>
        <w:tc>
          <w:tcPr>
            <w:tcW w:w="1301" w:type="pct"/>
            <w:noWrap/>
            <w:hideMark/>
          </w:tcPr>
          <w:p w14:paraId="463DFA44"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6153</w:t>
            </w:r>
            <w:r w:rsidR="0072772B" w:rsidRPr="00115D45">
              <w:rPr>
                <w:sz w:val="18"/>
                <w:szCs w:val="18"/>
                <w:lang w:val="en-US"/>
              </w:rPr>
              <w:t>/</w:t>
            </w:r>
            <w:r w:rsidRPr="00115D45">
              <w:rPr>
                <w:sz w:val="18"/>
                <w:szCs w:val="18"/>
                <w:lang w:val="en-US"/>
              </w:rPr>
              <w:t>14753 * 365 days</w:t>
            </w:r>
          </w:p>
          <w:p w14:paraId="52B6E7B5"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152.23 days</w:t>
            </w:r>
          </w:p>
        </w:tc>
        <w:tc>
          <w:tcPr>
            <w:tcW w:w="1301" w:type="pct"/>
            <w:noWrap/>
            <w:hideMark/>
          </w:tcPr>
          <w:p w14:paraId="4DE3DEE6"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7266</w:t>
            </w:r>
            <w:r w:rsidR="0072772B" w:rsidRPr="00115D45">
              <w:rPr>
                <w:sz w:val="18"/>
                <w:szCs w:val="18"/>
                <w:lang w:val="en-US"/>
              </w:rPr>
              <w:t>/</w:t>
            </w:r>
            <w:r w:rsidRPr="00115D45">
              <w:rPr>
                <w:sz w:val="18"/>
                <w:szCs w:val="18"/>
                <w:lang w:val="en-US"/>
              </w:rPr>
              <w:t>17645 * 365 days</w:t>
            </w:r>
          </w:p>
          <w:p w14:paraId="39EAF6B8"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561.53 days</w:t>
            </w:r>
          </w:p>
        </w:tc>
      </w:tr>
      <w:tr w:rsidR="00F271A1" w:rsidRPr="00115D45" w14:paraId="49A1AF39"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74D7A328" w14:textId="77777777" w:rsidR="00F271A1" w:rsidRPr="00115D45" w:rsidRDefault="00F271A1" w:rsidP="00F271A1">
            <w:pPr>
              <w:spacing w:after="160" w:line="259" w:lineRule="auto"/>
              <w:jc w:val="left"/>
              <w:rPr>
                <w:sz w:val="18"/>
                <w:szCs w:val="18"/>
                <w:lang w:val="en-US"/>
              </w:rPr>
            </w:pPr>
          </w:p>
        </w:tc>
        <w:tc>
          <w:tcPr>
            <w:tcW w:w="1301" w:type="pct"/>
            <w:noWrap/>
            <w:hideMark/>
          </w:tcPr>
          <w:p w14:paraId="0F9B26C0"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c>
          <w:tcPr>
            <w:tcW w:w="1301" w:type="pct"/>
            <w:noWrap/>
            <w:hideMark/>
          </w:tcPr>
          <w:p w14:paraId="4E2A58E9"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r>
      <w:tr w:rsidR="00F271A1" w:rsidRPr="00115D45" w14:paraId="28802B9F"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5ACBE99C" w14:textId="77777777" w:rsidR="00F271A1" w:rsidRPr="00115D45" w:rsidRDefault="00F271A1" w:rsidP="00F271A1">
            <w:pPr>
              <w:spacing w:after="160" w:line="259" w:lineRule="auto"/>
              <w:jc w:val="left"/>
              <w:rPr>
                <w:b w:val="0"/>
                <w:bCs w:val="0"/>
                <w:sz w:val="18"/>
                <w:szCs w:val="18"/>
                <w:lang w:val="en-US"/>
              </w:rPr>
            </w:pPr>
            <w:r w:rsidRPr="00115D45">
              <w:rPr>
                <w:sz w:val="18"/>
                <w:szCs w:val="18"/>
                <w:lang w:val="en-US"/>
              </w:rPr>
              <w:t>Liquidity ratios</w:t>
            </w:r>
          </w:p>
        </w:tc>
        <w:tc>
          <w:tcPr>
            <w:tcW w:w="1301" w:type="pct"/>
            <w:noWrap/>
            <w:hideMark/>
          </w:tcPr>
          <w:p w14:paraId="5BCDDF96"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c>
          <w:tcPr>
            <w:tcW w:w="1301" w:type="pct"/>
            <w:noWrap/>
            <w:hideMark/>
          </w:tcPr>
          <w:p w14:paraId="04075623"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r>
      <w:tr w:rsidR="00F271A1" w:rsidRPr="00115D45" w14:paraId="0902CF14"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5816415C" w14:textId="77777777" w:rsidR="00F271A1" w:rsidRPr="00115D45" w:rsidRDefault="00F271A1" w:rsidP="00F271A1">
            <w:pPr>
              <w:spacing w:after="160" w:line="259" w:lineRule="auto"/>
              <w:jc w:val="left"/>
              <w:rPr>
                <w:sz w:val="18"/>
                <w:szCs w:val="18"/>
                <w:lang w:val="en-US"/>
              </w:rPr>
            </w:pPr>
            <w:r w:rsidRPr="00115D45">
              <w:rPr>
                <w:sz w:val="18"/>
                <w:szCs w:val="18"/>
                <w:lang w:val="en-US"/>
              </w:rPr>
              <w:t>Current ratio</w:t>
            </w:r>
          </w:p>
        </w:tc>
        <w:tc>
          <w:tcPr>
            <w:tcW w:w="1301" w:type="pct"/>
            <w:noWrap/>
            <w:hideMark/>
          </w:tcPr>
          <w:p w14:paraId="68D65504"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303784</w:t>
            </w:r>
            <w:r w:rsidR="0072772B" w:rsidRPr="00115D45">
              <w:rPr>
                <w:sz w:val="18"/>
                <w:szCs w:val="18"/>
                <w:lang w:val="en-US"/>
              </w:rPr>
              <w:t>/</w:t>
            </w:r>
            <w:r w:rsidRPr="00115D45">
              <w:rPr>
                <w:sz w:val="18"/>
                <w:szCs w:val="18"/>
                <w:lang w:val="en-US"/>
              </w:rPr>
              <w:t>90311</w:t>
            </w:r>
          </w:p>
          <w:p w14:paraId="01885831"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3.36: 1</w:t>
            </w:r>
          </w:p>
        </w:tc>
        <w:tc>
          <w:tcPr>
            <w:tcW w:w="1301" w:type="pct"/>
            <w:noWrap/>
            <w:hideMark/>
          </w:tcPr>
          <w:p w14:paraId="66AC0C31"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296910</w:t>
            </w:r>
            <w:r w:rsidR="0072772B" w:rsidRPr="00115D45">
              <w:rPr>
                <w:sz w:val="18"/>
                <w:szCs w:val="18"/>
                <w:lang w:val="en-US"/>
              </w:rPr>
              <w:t>/</w:t>
            </w:r>
            <w:r w:rsidRPr="00115D45">
              <w:rPr>
                <w:sz w:val="18"/>
                <w:szCs w:val="18"/>
                <w:lang w:val="en-US"/>
              </w:rPr>
              <w:t>98939</w:t>
            </w:r>
          </w:p>
          <w:p w14:paraId="715C9D13"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3: 1</w:t>
            </w:r>
          </w:p>
        </w:tc>
      </w:tr>
      <w:tr w:rsidR="00F271A1" w:rsidRPr="00115D45" w14:paraId="0AA7A8A3"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4BCED867" w14:textId="77777777" w:rsidR="00F271A1" w:rsidRPr="00115D45" w:rsidRDefault="00F271A1" w:rsidP="00F271A1">
            <w:pPr>
              <w:spacing w:after="160" w:line="259" w:lineRule="auto"/>
              <w:jc w:val="left"/>
              <w:rPr>
                <w:sz w:val="18"/>
                <w:szCs w:val="18"/>
                <w:lang w:val="en-US"/>
              </w:rPr>
            </w:pPr>
            <w:r w:rsidRPr="00115D45">
              <w:rPr>
                <w:sz w:val="18"/>
                <w:szCs w:val="18"/>
                <w:lang w:val="en-US"/>
              </w:rPr>
              <w:t xml:space="preserve">Cash ratio </w:t>
            </w:r>
          </w:p>
        </w:tc>
        <w:tc>
          <w:tcPr>
            <w:tcW w:w="1301" w:type="pct"/>
            <w:noWrap/>
            <w:hideMark/>
          </w:tcPr>
          <w:p w14:paraId="5950D2B7"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78110</w:t>
            </w:r>
            <w:r w:rsidR="0072772B" w:rsidRPr="00115D45">
              <w:rPr>
                <w:sz w:val="18"/>
                <w:szCs w:val="18"/>
                <w:lang w:val="en-US"/>
              </w:rPr>
              <w:t>/</w:t>
            </w:r>
            <w:r w:rsidRPr="00115D45">
              <w:rPr>
                <w:sz w:val="18"/>
                <w:szCs w:val="18"/>
                <w:lang w:val="en-US"/>
              </w:rPr>
              <w:t>90311</w:t>
            </w:r>
          </w:p>
          <w:p w14:paraId="0CB09485"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0.86: 1</w:t>
            </w:r>
          </w:p>
        </w:tc>
        <w:tc>
          <w:tcPr>
            <w:tcW w:w="1301" w:type="pct"/>
            <w:noWrap/>
            <w:hideMark/>
          </w:tcPr>
          <w:p w14:paraId="6D3E6437"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91388</w:t>
            </w:r>
            <w:r w:rsidR="0072772B" w:rsidRPr="00115D45">
              <w:rPr>
                <w:sz w:val="18"/>
                <w:szCs w:val="18"/>
                <w:lang w:val="en-US"/>
              </w:rPr>
              <w:t>/</w:t>
            </w:r>
            <w:r w:rsidRPr="00115D45">
              <w:rPr>
                <w:sz w:val="18"/>
                <w:szCs w:val="18"/>
                <w:lang w:val="en-US"/>
              </w:rPr>
              <w:t>98939</w:t>
            </w:r>
          </w:p>
          <w:p w14:paraId="0D979123"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0.92: 1</w:t>
            </w:r>
          </w:p>
        </w:tc>
      </w:tr>
      <w:tr w:rsidR="00F271A1" w:rsidRPr="00115D45" w14:paraId="1E03FD59"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5CFD1C2D" w14:textId="77777777" w:rsidR="00F271A1" w:rsidRPr="00115D45" w:rsidRDefault="00F271A1" w:rsidP="00F271A1">
            <w:pPr>
              <w:spacing w:after="160" w:line="259" w:lineRule="auto"/>
              <w:jc w:val="left"/>
              <w:rPr>
                <w:sz w:val="18"/>
                <w:szCs w:val="18"/>
                <w:lang w:val="en-US"/>
              </w:rPr>
            </w:pPr>
          </w:p>
        </w:tc>
        <w:tc>
          <w:tcPr>
            <w:tcW w:w="1301" w:type="pct"/>
            <w:noWrap/>
            <w:hideMark/>
          </w:tcPr>
          <w:p w14:paraId="752ED591"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c>
          <w:tcPr>
            <w:tcW w:w="1301" w:type="pct"/>
            <w:noWrap/>
            <w:hideMark/>
          </w:tcPr>
          <w:p w14:paraId="20C4191C"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r>
      <w:tr w:rsidR="00F271A1" w:rsidRPr="00115D45" w14:paraId="61CB0381"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1A1AFF53" w14:textId="77777777" w:rsidR="00F271A1" w:rsidRPr="00115D45" w:rsidRDefault="00F271A1" w:rsidP="00F271A1">
            <w:pPr>
              <w:spacing w:after="160" w:line="259" w:lineRule="auto"/>
              <w:jc w:val="left"/>
              <w:rPr>
                <w:b w:val="0"/>
                <w:bCs w:val="0"/>
                <w:sz w:val="18"/>
                <w:szCs w:val="18"/>
                <w:lang w:val="en-US"/>
              </w:rPr>
            </w:pPr>
            <w:r w:rsidRPr="00115D45">
              <w:rPr>
                <w:sz w:val="18"/>
                <w:szCs w:val="18"/>
                <w:lang w:val="en-US"/>
              </w:rPr>
              <w:t>Gearing ratios</w:t>
            </w:r>
          </w:p>
        </w:tc>
        <w:tc>
          <w:tcPr>
            <w:tcW w:w="1301" w:type="pct"/>
            <w:noWrap/>
            <w:hideMark/>
          </w:tcPr>
          <w:p w14:paraId="18C1CB47"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c>
          <w:tcPr>
            <w:tcW w:w="1301" w:type="pct"/>
            <w:noWrap/>
            <w:hideMark/>
          </w:tcPr>
          <w:p w14:paraId="5DA01824"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r>
      <w:tr w:rsidR="00F271A1" w:rsidRPr="00115D45" w14:paraId="72F94625"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44525151" w14:textId="77777777" w:rsidR="00F271A1" w:rsidRPr="00115D45" w:rsidRDefault="00F271A1" w:rsidP="00F271A1">
            <w:pPr>
              <w:spacing w:after="160" w:line="259" w:lineRule="auto"/>
              <w:jc w:val="left"/>
              <w:rPr>
                <w:sz w:val="18"/>
                <w:szCs w:val="18"/>
                <w:lang w:val="en-US"/>
              </w:rPr>
            </w:pPr>
            <w:r w:rsidRPr="00115D45">
              <w:rPr>
                <w:sz w:val="18"/>
                <w:szCs w:val="18"/>
                <w:lang w:val="en-US"/>
              </w:rPr>
              <w:t>Debt ratio</w:t>
            </w:r>
          </w:p>
        </w:tc>
        <w:tc>
          <w:tcPr>
            <w:tcW w:w="1301" w:type="pct"/>
            <w:noWrap/>
            <w:hideMark/>
          </w:tcPr>
          <w:p w14:paraId="25066805"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834088</w:t>
            </w:r>
            <w:r w:rsidR="0072772B" w:rsidRPr="00115D45">
              <w:rPr>
                <w:sz w:val="18"/>
                <w:szCs w:val="18"/>
                <w:lang w:val="en-US"/>
              </w:rPr>
              <w:t>/</w:t>
            </w:r>
            <w:r w:rsidRPr="00115D45">
              <w:rPr>
                <w:sz w:val="18"/>
                <w:szCs w:val="18"/>
                <w:lang w:val="en-US"/>
              </w:rPr>
              <w:t>881453</w:t>
            </w:r>
          </w:p>
          <w:p w14:paraId="01D14842"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0.95: 1</w:t>
            </w:r>
          </w:p>
        </w:tc>
        <w:tc>
          <w:tcPr>
            <w:tcW w:w="1301" w:type="pct"/>
            <w:noWrap/>
            <w:hideMark/>
          </w:tcPr>
          <w:p w14:paraId="54CDC78B"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829483</w:t>
            </w:r>
            <w:r w:rsidR="0072772B" w:rsidRPr="00115D45">
              <w:rPr>
                <w:sz w:val="18"/>
                <w:szCs w:val="18"/>
                <w:lang w:val="en-US"/>
              </w:rPr>
              <w:t>/</w:t>
            </w:r>
            <w:r w:rsidRPr="00115D45">
              <w:rPr>
                <w:sz w:val="18"/>
                <w:szCs w:val="18"/>
                <w:lang w:val="en-US"/>
              </w:rPr>
              <w:t>873394</w:t>
            </w:r>
          </w:p>
          <w:p w14:paraId="756D08D8"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0.95: 1</w:t>
            </w:r>
          </w:p>
        </w:tc>
      </w:tr>
      <w:tr w:rsidR="00F271A1" w:rsidRPr="00115D45" w14:paraId="60024554"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6004E70F" w14:textId="77777777" w:rsidR="00F271A1" w:rsidRPr="00115D45" w:rsidRDefault="00F271A1" w:rsidP="00F271A1">
            <w:pPr>
              <w:spacing w:after="160" w:line="259" w:lineRule="auto"/>
              <w:jc w:val="left"/>
              <w:rPr>
                <w:sz w:val="18"/>
                <w:szCs w:val="18"/>
                <w:lang w:val="en-US"/>
              </w:rPr>
            </w:pPr>
            <w:r w:rsidRPr="00115D45">
              <w:rPr>
                <w:sz w:val="18"/>
                <w:szCs w:val="18"/>
                <w:lang w:val="en-US"/>
              </w:rPr>
              <w:t>Gearing ratio</w:t>
            </w:r>
          </w:p>
        </w:tc>
        <w:tc>
          <w:tcPr>
            <w:tcW w:w="1301" w:type="pct"/>
            <w:noWrap/>
            <w:hideMark/>
          </w:tcPr>
          <w:p w14:paraId="372120C3"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834088</w:t>
            </w:r>
            <w:r w:rsidR="0072772B" w:rsidRPr="00115D45">
              <w:rPr>
                <w:sz w:val="18"/>
                <w:szCs w:val="18"/>
                <w:lang w:val="en-US"/>
              </w:rPr>
              <w:t>/</w:t>
            </w:r>
            <w:r w:rsidRPr="00115D45">
              <w:rPr>
                <w:sz w:val="18"/>
                <w:szCs w:val="18"/>
                <w:lang w:val="en-US"/>
              </w:rPr>
              <w:t>47365</w:t>
            </w:r>
          </w:p>
          <w:p w14:paraId="0CF2AB6A"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17.61: 1</w:t>
            </w:r>
          </w:p>
        </w:tc>
        <w:tc>
          <w:tcPr>
            <w:tcW w:w="1301" w:type="pct"/>
            <w:noWrap/>
            <w:hideMark/>
          </w:tcPr>
          <w:p w14:paraId="54A6BB6D"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829483</w:t>
            </w:r>
            <w:r w:rsidR="0072772B" w:rsidRPr="00115D45">
              <w:rPr>
                <w:sz w:val="18"/>
                <w:szCs w:val="18"/>
                <w:lang w:val="en-US"/>
              </w:rPr>
              <w:t>/</w:t>
            </w:r>
            <w:r w:rsidRPr="00115D45">
              <w:rPr>
                <w:sz w:val="18"/>
                <w:szCs w:val="18"/>
                <w:lang w:val="en-US"/>
              </w:rPr>
              <w:t>43911</w:t>
            </w:r>
          </w:p>
          <w:p w14:paraId="1B712E19"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18.89: 1</w:t>
            </w:r>
          </w:p>
        </w:tc>
      </w:tr>
      <w:tr w:rsidR="00F271A1" w:rsidRPr="00115D45" w14:paraId="130C0224"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522A95F6" w14:textId="77777777" w:rsidR="00F271A1" w:rsidRPr="00115D45" w:rsidRDefault="00F271A1" w:rsidP="00F271A1">
            <w:pPr>
              <w:spacing w:after="160" w:line="259" w:lineRule="auto"/>
              <w:jc w:val="left"/>
              <w:rPr>
                <w:sz w:val="18"/>
                <w:szCs w:val="18"/>
                <w:lang w:val="en-US"/>
              </w:rPr>
            </w:pPr>
          </w:p>
        </w:tc>
        <w:tc>
          <w:tcPr>
            <w:tcW w:w="1301" w:type="pct"/>
            <w:noWrap/>
            <w:hideMark/>
          </w:tcPr>
          <w:p w14:paraId="46C7CE2A"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c>
          <w:tcPr>
            <w:tcW w:w="1301" w:type="pct"/>
            <w:noWrap/>
            <w:hideMark/>
          </w:tcPr>
          <w:p w14:paraId="7A3D0C41"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p>
        </w:tc>
      </w:tr>
      <w:tr w:rsidR="00F271A1" w:rsidRPr="00115D45" w14:paraId="1AFAF101"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4EBAE18A" w14:textId="77777777" w:rsidR="00F271A1" w:rsidRPr="00115D45" w:rsidRDefault="00F271A1" w:rsidP="00F271A1">
            <w:pPr>
              <w:spacing w:after="160" w:line="259" w:lineRule="auto"/>
              <w:jc w:val="left"/>
              <w:rPr>
                <w:b w:val="0"/>
                <w:bCs w:val="0"/>
                <w:sz w:val="18"/>
                <w:szCs w:val="18"/>
                <w:lang w:val="en-US"/>
              </w:rPr>
            </w:pPr>
            <w:r w:rsidRPr="00115D45">
              <w:rPr>
                <w:sz w:val="18"/>
                <w:szCs w:val="18"/>
                <w:lang w:val="en-US"/>
              </w:rPr>
              <w:t>Investor ratios</w:t>
            </w:r>
          </w:p>
        </w:tc>
        <w:tc>
          <w:tcPr>
            <w:tcW w:w="1301" w:type="pct"/>
            <w:noWrap/>
            <w:hideMark/>
          </w:tcPr>
          <w:p w14:paraId="726B4964"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c>
          <w:tcPr>
            <w:tcW w:w="1301" w:type="pct"/>
            <w:noWrap/>
            <w:hideMark/>
          </w:tcPr>
          <w:p w14:paraId="18EB6E80"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p>
        </w:tc>
      </w:tr>
      <w:tr w:rsidR="00F271A1" w:rsidRPr="00115D45" w14:paraId="1FC1F340" w14:textId="77777777" w:rsidTr="00115D4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27FC784D" w14:textId="77777777" w:rsidR="00F271A1" w:rsidRPr="00115D45" w:rsidRDefault="00F271A1" w:rsidP="00F271A1">
            <w:pPr>
              <w:spacing w:after="160" w:line="259" w:lineRule="auto"/>
              <w:jc w:val="left"/>
              <w:rPr>
                <w:sz w:val="18"/>
                <w:szCs w:val="18"/>
                <w:lang w:val="en-US"/>
              </w:rPr>
            </w:pPr>
            <w:r w:rsidRPr="00115D45">
              <w:rPr>
                <w:sz w:val="18"/>
                <w:szCs w:val="18"/>
                <w:lang w:val="en-US"/>
              </w:rPr>
              <w:t>Earnings per share</w:t>
            </w:r>
          </w:p>
        </w:tc>
        <w:tc>
          <w:tcPr>
            <w:tcW w:w="1301" w:type="pct"/>
            <w:noWrap/>
            <w:hideMark/>
          </w:tcPr>
          <w:p w14:paraId="1B9FD9A6"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5518</w:t>
            </w:r>
            <w:r w:rsidR="0072772B" w:rsidRPr="00115D45">
              <w:rPr>
                <w:sz w:val="18"/>
                <w:szCs w:val="18"/>
                <w:lang w:val="en-US"/>
              </w:rPr>
              <w:t>/</w:t>
            </w:r>
            <w:r w:rsidRPr="00115D45">
              <w:rPr>
                <w:sz w:val="18"/>
                <w:szCs w:val="18"/>
                <w:lang w:val="en-US"/>
              </w:rPr>
              <w:t>64953</w:t>
            </w:r>
          </w:p>
          <w:p w14:paraId="5E6D6735"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0.08 pence per share</w:t>
            </w:r>
          </w:p>
        </w:tc>
        <w:tc>
          <w:tcPr>
            <w:tcW w:w="1301" w:type="pct"/>
            <w:noWrap/>
            <w:hideMark/>
          </w:tcPr>
          <w:p w14:paraId="261D350C"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3923</w:t>
            </w:r>
            <w:r w:rsidR="0072772B" w:rsidRPr="00115D45">
              <w:rPr>
                <w:sz w:val="18"/>
                <w:szCs w:val="18"/>
                <w:lang w:val="en-US"/>
              </w:rPr>
              <w:t>/</w:t>
            </w:r>
            <w:r w:rsidRPr="00115D45">
              <w:rPr>
                <w:sz w:val="18"/>
                <w:szCs w:val="18"/>
                <w:lang w:val="en-US"/>
              </w:rPr>
              <w:t>68847</w:t>
            </w:r>
          </w:p>
          <w:p w14:paraId="4988CA33" w14:textId="77777777" w:rsidR="00F271A1" w:rsidRPr="00115D45" w:rsidRDefault="00F271A1" w:rsidP="00F271A1">
            <w:pPr>
              <w:spacing w:after="160" w:line="259" w:lineRule="auto"/>
              <w:jc w:val="center"/>
              <w:cnfStyle w:val="000000100000" w:firstRow="0" w:lastRow="0" w:firstColumn="0" w:lastColumn="0" w:oddVBand="0" w:evenVBand="0" w:oddHBand="1" w:evenHBand="0" w:firstRowFirstColumn="0" w:firstRowLastColumn="0" w:lastRowFirstColumn="0" w:lastRowLastColumn="0"/>
              <w:rPr>
                <w:sz w:val="18"/>
                <w:szCs w:val="18"/>
                <w:lang w:val="en-US"/>
              </w:rPr>
            </w:pPr>
            <w:r w:rsidRPr="00115D45">
              <w:rPr>
                <w:sz w:val="18"/>
                <w:szCs w:val="18"/>
                <w:lang w:val="en-US"/>
              </w:rPr>
              <w:t>= 0.06 pence per share</w:t>
            </w:r>
          </w:p>
        </w:tc>
      </w:tr>
      <w:tr w:rsidR="00F271A1" w:rsidRPr="00115D45" w14:paraId="709DD40D" w14:textId="77777777" w:rsidTr="00115D45">
        <w:trPr>
          <w:trHeight w:val="300"/>
        </w:trPr>
        <w:tc>
          <w:tcPr>
            <w:cnfStyle w:val="001000000000" w:firstRow="0" w:lastRow="0" w:firstColumn="1" w:lastColumn="0" w:oddVBand="0" w:evenVBand="0" w:oddHBand="0" w:evenHBand="0" w:firstRowFirstColumn="0" w:firstRowLastColumn="0" w:lastRowFirstColumn="0" w:lastRowLastColumn="0"/>
            <w:tcW w:w="2399" w:type="pct"/>
            <w:noWrap/>
            <w:hideMark/>
          </w:tcPr>
          <w:p w14:paraId="6E9DA73A" w14:textId="77777777" w:rsidR="00F271A1" w:rsidRPr="00115D45" w:rsidRDefault="00F271A1" w:rsidP="00F271A1">
            <w:pPr>
              <w:spacing w:after="160" w:line="259" w:lineRule="auto"/>
              <w:jc w:val="left"/>
              <w:rPr>
                <w:sz w:val="18"/>
                <w:szCs w:val="18"/>
                <w:lang w:val="en-US"/>
              </w:rPr>
            </w:pPr>
            <w:r w:rsidRPr="00115D45">
              <w:rPr>
                <w:sz w:val="18"/>
                <w:szCs w:val="18"/>
                <w:lang w:val="en-US"/>
              </w:rPr>
              <w:t>Dividend payout ratio</w:t>
            </w:r>
          </w:p>
        </w:tc>
        <w:tc>
          <w:tcPr>
            <w:tcW w:w="1301" w:type="pct"/>
            <w:noWrap/>
            <w:hideMark/>
          </w:tcPr>
          <w:p w14:paraId="31255920"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1651</w:t>
            </w:r>
            <w:r w:rsidR="0072772B" w:rsidRPr="00115D45">
              <w:rPr>
                <w:sz w:val="18"/>
                <w:szCs w:val="18"/>
                <w:lang w:val="en-US"/>
              </w:rPr>
              <w:t>/</w:t>
            </w:r>
            <w:r w:rsidRPr="00115D45">
              <w:rPr>
                <w:sz w:val="18"/>
                <w:szCs w:val="18"/>
                <w:lang w:val="en-US"/>
              </w:rPr>
              <w:t>5518</w:t>
            </w:r>
          </w:p>
          <w:p w14:paraId="00D9009D"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29.92%</w:t>
            </w:r>
          </w:p>
        </w:tc>
        <w:tc>
          <w:tcPr>
            <w:tcW w:w="1301" w:type="pct"/>
            <w:noWrap/>
            <w:hideMark/>
          </w:tcPr>
          <w:p w14:paraId="1FF92E4D"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1475</w:t>
            </w:r>
            <w:r w:rsidR="0072772B" w:rsidRPr="00115D45">
              <w:rPr>
                <w:sz w:val="18"/>
                <w:szCs w:val="18"/>
                <w:lang w:val="en-US"/>
              </w:rPr>
              <w:t>/</w:t>
            </w:r>
            <w:r w:rsidRPr="00115D45">
              <w:rPr>
                <w:sz w:val="18"/>
                <w:szCs w:val="18"/>
                <w:lang w:val="en-US"/>
              </w:rPr>
              <w:t>3923</w:t>
            </w:r>
          </w:p>
          <w:p w14:paraId="3571FA58" w14:textId="77777777" w:rsidR="00F271A1" w:rsidRPr="00115D45" w:rsidRDefault="00F271A1" w:rsidP="00F271A1">
            <w:pPr>
              <w:spacing w:after="160" w:line="259" w:lineRule="auto"/>
              <w:jc w:val="center"/>
              <w:cnfStyle w:val="000000000000" w:firstRow="0" w:lastRow="0" w:firstColumn="0" w:lastColumn="0" w:oddVBand="0" w:evenVBand="0" w:oddHBand="0" w:evenHBand="0" w:firstRowFirstColumn="0" w:firstRowLastColumn="0" w:lastRowFirstColumn="0" w:lastRowLastColumn="0"/>
              <w:rPr>
                <w:sz w:val="18"/>
                <w:szCs w:val="18"/>
                <w:lang w:val="en-US"/>
              </w:rPr>
            </w:pPr>
            <w:r w:rsidRPr="00115D45">
              <w:rPr>
                <w:sz w:val="18"/>
                <w:szCs w:val="18"/>
                <w:lang w:val="en-US"/>
              </w:rPr>
              <w:t>= 37.6%</w:t>
            </w:r>
          </w:p>
        </w:tc>
      </w:tr>
    </w:tbl>
    <w:p w14:paraId="701B9CC9" w14:textId="317D0965" w:rsidR="00261925" w:rsidRDefault="00261925">
      <w:pPr>
        <w:spacing w:line="259" w:lineRule="auto"/>
        <w:jc w:val="left"/>
        <w:rPr>
          <w:rFonts w:asciiTheme="majorHAnsi" w:eastAsiaTheme="majorEastAsia" w:hAnsiTheme="majorHAnsi" w:cstheme="majorBidi"/>
          <w:color w:val="2E74B5" w:themeColor="accent1" w:themeShade="BF"/>
          <w:sz w:val="32"/>
          <w:szCs w:val="32"/>
        </w:rPr>
      </w:pPr>
    </w:p>
    <w:p w14:paraId="6E5AB0C5" w14:textId="77777777" w:rsidR="00CF0E48" w:rsidRDefault="003F11D7" w:rsidP="00CF0E48">
      <w:pPr>
        <w:pStyle w:val="Heading1"/>
        <w:rPr>
          <w:sz w:val="28"/>
          <w:szCs w:val="28"/>
        </w:rPr>
      </w:pPr>
      <w:bookmarkStart w:id="21" w:name="_Toc186730301"/>
      <w:r w:rsidRPr="00115D45">
        <w:rPr>
          <w:sz w:val="28"/>
          <w:szCs w:val="28"/>
        </w:rPr>
        <w:t>Table of Figures</w:t>
      </w:r>
      <w:bookmarkEnd w:id="21"/>
      <w:r w:rsidRPr="00115D45">
        <w:rPr>
          <w:sz w:val="28"/>
          <w:szCs w:val="28"/>
        </w:rPr>
        <w:t xml:space="preserve"> </w:t>
      </w:r>
    </w:p>
    <w:p w14:paraId="6FFB7A7E" w14:textId="77777777" w:rsidR="00115D45" w:rsidRPr="00115D45" w:rsidRDefault="00115D45" w:rsidP="00115D45"/>
    <w:p w14:paraId="283C692F" w14:textId="035CD82D" w:rsidR="00D132BE" w:rsidRDefault="00B44505">
      <w:pPr>
        <w:pStyle w:val="TableofFigures"/>
        <w:tabs>
          <w:tab w:val="right" w:leader="dot" w:pos="9016"/>
        </w:tabs>
        <w:rPr>
          <w:rFonts w:eastAsiaTheme="minorEastAsia"/>
          <w:noProof/>
          <w:lang w:val="en-US"/>
        </w:rPr>
      </w:pPr>
      <w:r>
        <w:fldChar w:fldCharType="begin"/>
      </w:r>
      <w:r w:rsidR="00B05662">
        <w:instrText xml:space="preserve"> TOC \h \z \t "Caption" \c </w:instrText>
      </w:r>
      <w:r>
        <w:fldChar w:fldCharType="separate"/>
      </w:r>
      <w:hyperlink w:anchor="_Toc186730476" w:history="1">
        <w:r w:rsidR="00D132BE" w:rsidRPr="001B500C">
          <w:rPr>
            <w:rStyle w:val="Hyperlink"/>
            <w:rFonts w:cstheme="minorHAnsi"/>
            <w:noProof/>
          </w:rPr>
          <w:t>Figure 1: Divisions of Lloyds Banking Group Plc</w:t>
        </w:r>
        <w:r w:rsidR="00D132BE">
          <w:rPr>
            <w:noProof/>
            <w:webHidden/>
          </w:rPr>
          <w:tab/>
        </w:r>
        <w:r>
          <w:rPr>
            <w:noProof/>
            <w:webHidden/>
          </w:rPr>
          <w:fldChar w:fldCharType="begin"/>
        </w:r>
        <w:r w:rsidR="00D132BE">
          <w:rPr>
            <w:noProof/>
            <w:webHidden/>
          </w:rPr>
          <w:instrText xml:space="preserve"> PAGEREF _Toc186730476 \h </w:instrText>
        </w:r>
        <w:r>
          <w:rPr>
            <w:noProof/>
            <w:webHidden/>
          </w:rPr>
        </w:r>
        <w:r>
          <w:rPr>
            <w:noProof/>
            <w:webHidden/>
          </w:rPr>
          <w:fldChar w:fldCharType="separate"/>
        </w:r>
        <w:r w:rsidR="00B71885">
          <w:rPr>
            <w:noProof/>
            <w:webHidden/>
          </w:rPr>
          <w:t>4</w:t>
        </w:r>
        <w:r>
          <w:rPr>
            <w:noProof/>
            <w:webHidden/>
          </w:rPr>
          <w:fldChar w:fldCharType="end"/>
        </w:r>
      </w:hyperlink>
    </w:p>
    <w:p w14:paraId="309BEE0B" w14:textId="2D34A03F" w:rsidR="00D132BE" w:rsidRDefault="00D132BE">
      <w:pPr>
        <w:pStyle w:val="TableofFigures"/>
        <w:tabs>
          <w:tab w:val="right" w:leader="dot" w:pos="9016"/>
        </w:tabs>
        <w:rPr>
          <w:rFonts w:eastAsiaTheme="minorEastAsia"/>
          <w:noProof/>
          <w:lang w:val="en-US"/>
        </w:rPr>
      </w:pPr>
      <w:hyperlink w:anchor="_Toc186730477" w:history="1">
        <w:r w:rsidRPr="001B500C">
          <w:rPr>
            <w:rStyle w:val="Hyperlink"/>
            <w:noProof/>
          </w:rPr>
          <w:t>Figure 2: Profitability ratios of Lloyds Banking Group plc</w:t>
        </w:r>
        <w:r>
          <w:rPr>
            <w:noProof/>
            <w:webHidden/>
          </w:rPr>
          <w:tab/>
        </w:r>
        <w:r w:rsidR="00B44505">
          <w:rPr>
            <w:noProof/>
            <w:webHidden/>
          </w:rPr>
          <w:fldChar w:fldCharType="begin"/>
        </w:r>
        <w:r>
          <w:rPr>
            <w:noProof/>
            <w:webHidden/>
          </w:rPr>
          <w:instrText xml:space="preserve"> PAGEREF _Toc186730477 \h </w:instrText>
        </w:r>
        <w:r w:rsidR="00B44505">
          <w:rPr>
            <w:noProof/>
            <w:webHidden/>
          </w:rPr>
        </w:r>
        <w:r w:rsidR="00B44505">
          <w:rPr>
            <w:noProof/>
            <w:webHidden/>
          </w:rPr>
          <w:fldChar w:fldCharType="separate"/>
        </w:r>
        <w:r w:rsidR="00B71885">
          <w:rPr>
            <w:noProof/>
            <w:webHidden/>
          </w:rPr>
          <w:t>7</w:t>
        </w:r>
        <w:r w:rsidR="00B44505">
          <w:rPr>
            <w:noProof/>
            <w:webHidden/>
          </w:rPr>
          <w:fldChar w:fldCharType="end"/>
        </w:r>
      </w:hyperlink>
    </w:p>
    <w:p w14:paraId="6907D7C9" w14:textId="76AFB5C5" w:rsidR="00D132BE" w:rsidRDefault="00D132BE">
      <w:pPr>
        <w:pStyle w:val="TableofFigures"/>
        <w:tabs>
          <w:tab w:val="right" w:leader="dot" w:pos="9016"/>
        </w:tabs>
        <w:rPr>
          <w:rFonts w:eastAsiaTheme="minorEastAsia"/>
          <w:noProof/>
          <w:lang w:val="en-US"/>
        </w:rPr>
      </w:pPr>
      <w:hyperlink w:anchor="_Toc186730478" w:history="1">
        <w:r w:rsidRPr="001B500C">
          <w:rPr>
            <w:rStyle w:val="Hyperlink"/>
            <w:noProof/>
          </w:rPr>
          <w:t>Figure 3: Efficiency ratios of Lloyds Banking Group plc</w:t>
        </w:r>
        <w:r>
          <w:rPr>
            <w:noProof/>
            <w:webHidden/>
          </w:rPr>
          <w:tab/>
        </w:r>
        <w:r w:rsidR="00B44505">
          <w:rPr>
            <w:noProof/>
            <w:webHidden/>
          </w:rPr>
          <w:fldChar w:fldCharType="begin"/>
        </w:r>
        <w:r>
          <w:rPr>
            <w:noProof/>
            <w:webHidden/>
          </w:rPr>
          <w:instrText xml:space="preserve"> PAGEREF _Toc186730478 \h </w:instrText>
        </w:r>
        <w:r w:rsidR="00B44505">
          <w:rPr>
            <w:noProof/>
            <w:webHidden/>
          </w:rPr>
        </w:r>
        <w:r w:rsidR="00B44505">
          <w:rPr>
            <w:noProof/>
            <w:webHidden/>
          </w:rPr>
          <w:fldChar w:fldCharType="separate"/>
        </w:r>
        <w:r w:rsidR="00B71885">
          <w:rPr>
            <w:noProof/>
            <w:webHidden/>
          </w:rPr>
          <w:t>8</w:t>
        </w:r>
        <w:r w:rsidR="00B44505">
          <w:rPr>
            <w:noProof/>
            <w:webHidden/>
          </w:rPr>
          <w:fldChar w:fldCharType="end"/>
        </w:r>
      </w:hyperlink>
    </w:p>
    <w:p w14:paraId="6CEE3845" w14:textId="3B0AFB3F" w:rsidR="00D132BE" w:rsidRDefault="00D132BE">
      <w:pPr>
        <w:pStyle w:val="TableofFigures"/>
        <w:tabs>
          <w:tab w:val="right" w:leader="dot" w:pos="9016"/>
        </w:tabs>
        <w:rPr>
          <w:rFonts w:eastAsiaTheme="minorEastAsia"/>
          <w:noProof/>
          <w:lang w:val="en-US"/>
        </w:rPr>
      </w:pPr>
      <w:hyperlink w:anchor="_Toc186730479" w:history="1">
        <w:r w:rsidRPr="001B500C">
          <w:rPr>
            <w:rStyle w:val="Hyperlink"/>
            <w:noProof/>
          </w:rPr>
          <w:t>Figure 4: Liquidity ratios of Lloyds Banking Group plc</w:t>
        </w:r>
        <w:r>
          <w:rPr>
            <w:noProof/>
            <w:webHidden/>
          </w:rPr>
          <w:tab/>
        </w:r>
        <w:r w:rsidR="00B44505">
          <w:rPr>
            <w:noProof/>
            <w:webHidden/>
          </w:rPr>
          <w:fldChar w:fldCharType="begin"/>
        </w:r>
        <w:r>
          <w:rPr>
            <w:noProof/>
            <w:webHidden/>
          </w:rPr>
          <w:instrText xml:space="preserve"> PAGEREF _Toc186730479 \h </w:instrText>
        </w:r>
        <w:r w:rsidR="00B44505">
          <w:rPr>
            <w:noProof/>
            <w:webHidden/>
          </w:rPr>
        </w:r>
        <w:r w:rsidR="00B44505">
          <w:rPr>
            <w:noProof/>
            <w:webHidden/>
          </w:rPr>
          <w:fldChar w:fldCharType="separate"/>
        </w:r>
        <w:r w:rsidR="00B71885">
          <w:rPr>
            <w:noProof/>
            <w:webHidden/>
          </w:rPr>
          <w:t>9</w:t>
        </w:r>
        <w:r w:rsidR="00B44505">
          <w:rPr>
            <w:noProof/>
            <w:webHidden/>
          </w:rPr>
          <w:fldChar w:fldCharType="end"/>
        </w:r>
      </w:hyperlink>
    </w:p>
    <w:p w14:paraId="09F1B1BF" w14:textId="7A5466F5" w:rsidR="00D132BE" w:rsidRDefault="00D132BE">
      <w:pPr>
        <w:pStyle w:val="TableofFigures"/>
        <w:tabs>
          <w:tab w:val="right" w:leader="dot" w:pos="9016"/>
        </w:tabs>
        <w:rPr>
          <w:rFonts w:eastAsiaTheme="minorEastAsia"/>
          <w:noProof/>
          <w:lang w:val="en-US"/>
        </w:rPr>
      </w:pPr>
      <w:hyperlink w:anchor="_Toc186730480" w:history="1">
        <w:r w:rsidRPr="001B500C">
          <w:rPr>
            <w:rStyle w:val="Hyperlink"/>
            <w:noProof/>
          </w:rPr>
          <w:t>Figure 5: Gearing ratios of Lloyds Banking Group plc</w:t>
        </w:r>
        <w:r>
          <w:rPr>
            <w:noProof/>
            <w:webHidden/>
          </w:rPr>
          <w:tab/>
        </w:r>
        <w:r w:rsidR="00B44505">
          <w:rPr>
            <w:noProof/>
            <w:webHidden/>
          </w:rPr>
          <w:fldChar w:fldCharType="begin"/>
        </w:r>
        <w:r>
          <w:rPr>
            <w:noProof/>
            <w:webHidden/>
          </w:rPr>
          <w:instrText xml:space="preserve"> PAGEREF _Toc186730480 \h </w:instrText>
        </w:r>
        <w:r w:rsidR="00B44505">
          <w:rPr>
            <w:noProof/>
            <w:webHidden/>
          </w:rPr>
        </w:r>
        <w:r w:rsidR="00B44505">
          <w:rPr>
            <w:noProof/>
            <w:webHidden/>
          </w:rPr>
          <w:fldChar w:fldCharType="separate"/>
        </w:r>
        <w:r w:rsidR="00B71885">
          <w:rPr>
            <w:noProof/>
            <w:webHidden/>
          </w:rPr>
          <w:t>10</w:t>
        </w:r>
        <w:r w:rsidR="00B44505">
          <w:rPr>
            <w:noProof/>
            <w:webHidden/>
          </w:rPr>
          <w:fldChar w:fldCharType="end"/>
        </w:r>
      </w:hyperlink>
    </w:p>
    <w:p w14:paraId="183C9779" w14:textId="53D4A8EF" w:rsidR="00D132BE" w:rsidRDefault="00D132BE">
      <w:pPr>
        <w:pStyle w:val="TableofFigures"/>
        <w:tabs>
          <w:tab w:val="right" w:leader="dot" w:pos="9016"/>
        </w:tabs>
        <w:rPr>
          <w:rFonts w:eastAsiaTheme="minorEastAsia"/>
          <w:noProof/>
          <w:lang w:val="en-US"/>
        </w:rPr>
      </w:pPr>
      <w:hyperlink w:anchor="_Toc186730481" w:history="1">
        <w:r w:rsidRPr="001B500C">
          <w:rPr>
            <w:rStyle w:val="Hyperlink"/>
            <w:noProof/>
          </w:rPr>
          <w:t>Figure 6: Investor ratios of Lloyds Banking Group plc</w:t>
        </w:r>
        <w:r>
          <w:rPr>
            <w:noProof/>
            <w:webHidden/>
          </w:rPr>
          <w:tab/>
        </w:r>
        <w:r w:rsidR="00B44505">
          <w:rPr>
            <w:noProof/>
            <w:webHidden/>
          </w:rPr>
          <w:fldChar w:fldCharType="begin"/>
        </w:r>
        <w:r>
          <w:rPr>
            <w:noProof/>
            <w:webHidden/>
          </w:rPr>
          <w:instrText xml:space="preserve"> PAGEREF _Toc186730481 \h </w:instrText>
        </w:r>
        <w:r w:rsidR="00B44505">
          <w:rPr>
            <w:noProof/>
            <w:webHidden/>
          </w:rPr>
        </w:r>
        <w:r w:rsidR="00B44505">
          <w:rPr>
            <w:noProof/>
            <w:webHidden/>
          </w:rPr>
          <w:fldChar w:fldCharType="separate"/>
        </w:r>
        <w:r w:rsidR="00B71885">
          <w:rPr>
            <w:noProof/>
            <w:webHidden/>
          </w:rPr>
          <w:t>11</w:t>
        </w:r>
        <w:r w:rsidR="00B44505">
          <w:rPr>
            <w:noProof/>
            <w:webHidden/>
          </w:rPr>
          <w:fldChar w:fldCharType="end"/>
        </w:r>
      </w:hyperlink>
    </w:p>
    <w:p w14:paraId="678BC170" w14:textId="5E3E1EDE" w:rsidR="00D132BE" w:rsidRDefault="00D132BE">
      <w:pPr>
        <w:pStyle w:val="TableofFigures"/>
        <w:tabs>
          <w:tab w:val="right" w:leader="dot" w:pos="9016"/>
        </w:tabs>
        <w:rPr>
          <w:rFonts w:eastAsiaTheme="minorEastAsia"/>
          <w:noProof/>
          <w:lang w:val="en-US"/>
        </w:rPr>
      </w:pPr>
      <w:hyperlink w:anchor="_Toc186730482" w:history="1">
        <w:r w:rsidRPr="001B500C">
          <w:rPr>
            <w:rStyle w:val="Hyperlink"/>
            <w:noProof/>
          </w:rPr>
          <w:t>Figure 7: Income Statement of Lloyds Banking Group plc</w:t>
        </w:r>
        <w:r>
          <w:rPr>
            <w:noProof/>
            <w:webHidden/>
          </w:rPr>
          <w:tab/>
        </w:r>
        <w:r w:rsidR="00B44505">
          <w:rPr>
            <w:noProof/>
            <w:webHidden/>
          </w:rPr>
          <w:fldChar w:fldCharType="begin"/>
        </w:r>
        <w:r>
          <w:rPr>
            <w:noProof/>
            <w:webHidden/>
          </w:rPr>
          <w:instrText xml:space="preserve"> PAGEREF _Toc186730482 \h </w:instrText>
        </w:r>
        <w:r w:rsidR="00B44505">
          <w:rPr>
            <w:noProof/>
            <w:webHidden/>
          </w:rPr>
        </w:r>
        <w:r w:rsidR="00B44505">
          <w:rPr>
            <w:noProof/>
            <w:webHidden/>
          </w:rPr>
          <w:fldChar w:fldCharType="separate"/>
        </w:r>
        <w:r w:rsidR="00B71885">
          <w:rPr>
            <w:noProof/>
            <w:webHidden/>
          </w:rPr>
          <w:t>17</w:t>
        </w:r>
        <w:r w:rsidR="00B44505">
          <w:rPr>
            <w:noProof/>
            <w:webHidden/>
          </w:rPr>
          <w:fldChar w:fldCharType="end"/>
        </w:r>
      </w:hyperlink>
    </w:p>
    <w:p w14:paraId="7788E6A3" w14:textId="1505AA1F" w:rsidR="00D132BE" w:rsidRDefault="00D132BE">
      <w:pPr>
        <w:pStyle w:val="TableofFigures"/>
        <w:tabs>
          <w:tab w:val="right" w:leader="dot" w:pos="9016"/>
        </w:tabs>
        <w:rPr>
          <w:rFonts w:eastAsiaTheme="minorEastAsia"/>
          <w:noProof/>
          <w:lang w:val="en-US"/>
        </w:rPr>
      </w:pPr>
      <w:hyperlink w:anchor="_Toc186730483" w:history="1">
        <w:r w:rsidRPr="001B500C">
          <w:rPr>
            <w:rStyle w:val="Hyperlink"/>
            <w:noProof/>
          </w:rPr>
          <w:t>Figure 8: Balance Sheet of Lloyds Banking Group plc</w:t>
        </w:r>
        <w:r>
          <w:rPr>
            <w:noProof/>
            <w:webHidden/>
          </w:rPr>
          <w:tab/>
        </w:r>
        <w:r w:rsidR="00B44505">
          <w:rPr>
            <w:noProof/>
            <w:webHidden/>
          </w:rPr>
          <w:fldChar w:fldCharType="begin"/>
        </w:r>
        <w:r>
          <w:rPr>
            <w:noProof/>
            <w:webHidden/>
          </w:rPr>
          <w:instrText xml:space="preserve"> PAGEREF _Toc186730483 \h </w:instrText>
        </w:r>
        <w:r w:rsidR="00B44505">
          <w:rPr>
            <w:noProof/>
            <w:webHidden/>
          </w:rPr>
        </w:r>
        <w:r w:rsidR="00B44505">
          <w:rPr>
            <w:noProof/>
            <w:webHidden/>
          </w:rPr>
          <w:fldChar w:fldCharType="separate"/>
        </w:r>
        <w:r w:rsidR="00B71885">
          <w:rPr>
            <w:noProof/>
            <w:webHidden/>
          </w:rPr>
          <w:t>18</w:t>
        </w:r>
        <w:r w:rsidR="00B44505">
          <w:rPr>
            <w:noProof/>
            <w:webHidden/>
          </w:rPr>
          <w:fldChar w:fldCharType="end"/>
        </w:r>
      </w:hyperlink>
    </w:p>
    <w:p w14:paraId="5A04EC35" w14:textId="77777777" w:rsidR="00261925" w:rsidRDefault="00B44505" w:rsidP="00261925">
      <w:r>
        <w:fldChar w:fldCharType="end"/>
      </w:r>
    </w:p>
    <w:p w14:paraId="41756416" w14:textId="77777777" w:rsidR="009C5C1F" w:rsidRDefault="009C5C1F" w:rsidP="00261925"/>
    <w:p w14:paraId="7F5CEB02" w14:textId="77777777" w:rsidR="009C5C1F" w:rsidRDefault="009C5C1F" w:rsidP="00261925"/>
    <w:p w14:paraId="55258DA0" w14:textId="77777777" w:rsidR="009C5C1F" w:rsidRDefault="009C5C1F" w:rsidP="00261925"/>
    <w:p w14:paraId="377BBA41" w14:textId="77777777" w:rsidR="009C5C1F" w:rsidRDefault="009C5C1F" w:rsidP="00261925"/>
    <w:p w14:paraId="79D288B7" w14:textId="77777777" w:rsidR="009C5C1F" w:rsidRDefault="009C5C1F" w:rsidP="00261925"/>
    <w:p w14:paraId="06BB2214" w14:textId="77777777" w:rsidR="009C5C1F" w:rsidRDefault="009C5C1F" w:rsidP="00261925"/>
    <w:p w14:paraId="14F733B0" w14:textId="77777777" w:rsidR="009C5C1F" w:rsidRDefault="009C5C1F" w:rsidP="00261925"/>
    <w:p w14:paraId="4A00F91E" w14:textId="77777777" w:rsidR="009C5C1F" w:rsidRDefault="009C5C1F" w:rsidP="00261925"/>
    <w:p w14:paraId="1DEAB427" w14:textId="77777777" w:rsidR="009C5C1F" w:rsidRDefault="009C5C1F" w:rsidP="00261925"/>
    <w:p w14:paraId="43C326B0" w14:textId="77777777" w:rsidR="009C5C1F" w:rsidRDefault="009C5C1F" w:rsidP="00261925"/>
    <w:p w14:paraId="6CD0C755" w14:textId="77777777" w:rsidR="009C5C1F" w:rsidRDefault="009C5C1F" w:rsidP="00261925"/>
    <w:p w14:paraId="4F4C5673" w14:textId="77777777" w:rsidR="009C5C1F" w:rsidRDefault="009C5C1F" w:rsidP="00261925"/>
    <w:p w14:paraId="35DCB7B7" w14:textId="77777777" w:rsidR="009C5C1F" w:rsidRDefault="009C5C1F" w:rsidP="00261925"/>
    <w:p w14:paraId="39E41432" w14:textId="77777777" w:rsidR="009C5C1F" w:rsidRDefault="009C5C1F" w:rsidP="00261925"/>
    <w:p w14:paraId="362848C4" w14:textId="77777777" w:rsidR="009C5C1F" w:rsidRDefault="009C5C1F" w:rsidP="00261925"/>
    <w:p w14:paraId="022C84E9" w14:textId="3DF6659A" w:rsidR="009C5C1F" w:rsidRDefault="009C5C1F" w:rsidP="00617E05">
      <w:pPr>
        <w:jc w:val="left"/>
        <w:rPr>
          <w:color w:val="0070C0"/>
          <w:sz w:val="28"/>
          <w:szCs w:val="28"/>
        </w:rPr>
      </w:pPr>
      <w:r w:rsidRPr="009C5C1F">
        <w:rPr>
          <w:color w:val="0070C0"/>
          <w:sz w:val="28"/>
          <w:szCs w:val="28"/>
        </w:rPr>
        <w:lastRenderedPageBreak/>
        <w:t>BUSINESS REPORT OF GREENACRES PLC</w:t>
      </w:r>
    </w:p>
    <w:p w14:paraId="010CD113" w14:textId="77777777" w:rsidR="00A11E13" w:rsidRDefault="00A11E13" w:rsidP="00A11E13">
      <w:pPr>
        <w:pStyle w:val="Heading1"/>
        <w:rPr>
          <w:sz w:val="28"/>
          <w:szCs w:val="28"/>
        </w:rPr>
      </w:pPr>
      <w:bookmarkStart w:id="22" w:name="_Toc187312996"/>
      <w:r w:rsidRPr="00514216">
        <w:rPr>
          <w:sz w:val="28"/>
          <w:szCs w:val="28"/>
        </w:rPr>
        <w:t>Executive Summary</w:t>
      </w:r>
      <w:bookmarkEnd w:id="22"/>
    </w:p>
    <w:p w14:paraId="797B35F6" w14:textId="77777777" w:rsidR="00514216" w:rsidRPr="00514216" w:rsidRDefault="00514216" w:rsidP="00514216"/>
    <w:p w14:paraId="63BD7E65" w14:textId="3151CC68" w:rsidR="00A11E13" w:rsidRPr="00514216" w:rsidRDefault="00A11E13" w:rsidP="00A11E13">
      <w:pPr>
        <w:rPr>
          <w:sz w:val="24"/>
          <w:szCs w:val="24"/>
        </w:rPr>
      </w:pPr>
      <w:r w:rsidRPr="00514216">
        <w:rPr>
          <w:sz w:val="24"/>
          <w:szCs w:val="24"/>
        </w:rPr>
        <w:t xml:space="preserve">The report discusses investment evaluation methods and Greenacres plc's investment decision. It describes how decision-makers make investment </w:t>
      </w:r>
      <w:r w:rsidR="00514216" w:rsidRPr="00514216">
        <w:rPr>
          <w:sz w:val="24"/>
          <w:szCs w:val="24"/>
        </w:rPr>
        <w:t>choices,</w:t>
      </w:r>
      <w:r w:rsidRPr="00514216">
        <w:rPr>
          <w:sz w:val="24"/>
          <w:szCs w:val="24"/>
        </w:rPr>
        <w:t xml:space="preserve"> and the financial calculations required. It also presents a theoretical discussion on various investment evaluation methods and suggestions for Greenacres Plc. on investment finance sourcing.</w:t>
      </w:r>
    </w:p>
    <w:p w14:paraId="77A6E73E" w14:textId="77777777" w:rsidR="00A11E13" w:rsidRPr="00514216" w:rsidRDefault="00A11E13" w:rsidP="00A11E13">
      <w:pPr>
        <w:rPr>
          <w:sz w:val="24"/>
          <w:szCs w:val="24"/>
        </w:rPr>
      </w:pPr>
      <w:r w:rsidRPr="00514216">
        <w:rPr>
          <w:sz w:val="24"/>
          <w:szCs w:val="24"/>
        </w:rPr>
        <w:t xml:space="preserve">To decide on which investment option, Greenacre Plc. should consider the report presented discussion regarding the analysis of the present net value of all given investment paths. As per the value, an appropriate investment suggestion was given to Greenacre Plc. The report also discussed why NPV is most famously used and is regarded as the finest investment evaluation method. </w:t>
      </w:r>
    </w:p>
    <w:p w14:paraId="5902392C" w14:textId="77777777" w:rsidR="00A11E13" w:rsidRPr="00514216" w:rsidRDefault="00A11E13" w:rsidP="00A11E13">
      <w:pPr>
        <w:rPr>
          <w:sz w:val="24"/>
          <w:szCs w:val="24"/>
        </w:rPr>
      </w:pPr>
      <w:r w:rsidRPr="00514216">
        <w:rPr>
          <w:sz w:val="24"/>
          <w:szCs w:val="24"/>
        </w:rPr>
        <w:t xml:space="preserve">The report also discussed another non-discounting method of investment evaluation and presented a critical analysis of why it is becoming popular in measuring investment work by small firms. Further, it presented other agents that companies must consider before making investment decisions, besides the NPV or IRR values. </w:t>
      </w:r>
    </w:p>
    <w:p w14:paraId="45582C5E" w14:textId="77777777" w:rsidR="00A11E13" w:rsidRPr="00514216" w:rsidRDefault="00A11E13" w:rsidP="00A11E13">
      <w:pPr>
        <w:rPr>
          <w:sz w:val="24"/>
          <w:szCs w:val="24"/>
        </w:rPr>
      </w:pPr>
      <w:r w:rsidRPr="00514216">
        <w:rPr>
          <w:sz w:val="24"/>
          <w:szCs w:val="24"/>
        </w:rPr>
        <w:t xml:space="preserve">The final stages of the report covered calculating the total NPV for Greenacre Plc's proposed investment policy. Further, they provided critical analysis and suggestions on how Greenacre Plc. can generate finance for its investment projects. </w:t>
      </w:r>
    </w:p>
    <w:p w14:paraId="62AAF4C1" w14:textId="77777777" w:rsidR="00A11E13" w:rsidRPr="00514216" w:rsidRDefault="00A11E13" w:rsidP="00A11E13">
      <w:pPr>
        <w:rPr>
          <w:sz w:val="24"/>
          <w:szCs w:val="24"/>
        </w:rPr>
      </w:pPr>
      <w:r w:rsidRPr="00514216">
        <w:rPr>
          <w:sz w:val="24"/>
          <w:szCs w:val="24"/>
        </w:rPr>
        <w:br w:type="page"/>
      </w:r>
    </w:p>
    <w:sdt>
      <w:sdtPr>
        <w:rPr>
          <w:rFonts w:ascii="Times New Roman" w:eastAsiaTheme="minorHAnsi" w:hAnsi="Times New Roman" w:cstheme="minorBidi"/>
          <w:color w:val="auto"/>
          <w:kern w:val="2"/>
          <w:sz w:val="24"/>
          <w:szCs w:val="22"/>
          <w:lang w:val="en-GB"/>
        </w:rPr>
        <w:id w:val="1371186129"/>
        <w:docPartObj>
          <w:docPartGallery w:val="Table of Contents"/>
          <w:docPartUnique/>
        </w:docPartObj>
      </w:sdtPr>
      <w:sdtEndPr>
        <w:rPr>
          <w:rFonts w:asciiTheme="minorHAnsi" w:hAnsiTheme="minorHAnsi"/>
          <w:b/>
          <w:bCs/>
          <w:kern w:val="0"/>
          <w:szCs w:val="24"/>
        </w:rPr>
      </w:sdtEndPr>
      <w:sdtContent>
        <w:p w14:paraId="537C6B73" w14:textId="77777777" w:rsidR="00A11E13" w:rsidRDefault="00A11E13" w:rsidP="00A11E13">
          <w:pPr>
            <w:pStyle w:val="TOCHeading"/>
            <w:rPr>
              <w:rFonts w:ascii="Calibri" w:hAnsi="Calibri" w:cs="Calibri"/>
              <w:b/>
              <w:color w:val="0070C0"/>
              <w:sz w:val="28"/>
              <w:szCs w:val="28"/>
              <w:lang w:val="en-GB"/>
            </w:rPr>
          </w:pPr>
          <w:r w:rsidRPr="004B49B6">
            <w:rPr>
              <w:rFonts w:ascii="Calibri" w:hAnsi="Calibri" w:cs="Calibri"/>
              <w:b/>
              <w:color w:val="0070C0"/>
              <w:sz w:val="28"/>
              <w:szCs w:val="28"/>
              <w:lang w:val="en-GB"/>
            </w:rPr>
            <w:t>Table of Contents</w:t>
          </w:r>
        </w:p>
        <w:p w14:paraId="54CA403C" w14:textId="77777777" w:rsidR="004B49B6" w:rsidRPr="004B49B6" w:rsidRDefault="004B49B6" w:rsidP="004B49B6"/>
        <w:p w14:paraId="673304B9" w14:textId="6A517300" w:rsidR="00A11E13" w:rsidRPr="004B49B6" w:rsidRDefault="00A11E13" w:rsidP="00A11E13">
          <w:pPr>
            <w:pStyle w:val="TOC1"/>
            <w:tabs>
              <w:tab w:val="right" w:leader="dot" w:pos="9350"/>
            </w:tabs>
            <w:rPr>
              <w:rFonts w:eastAsiaTheme="minorEastAsia"/>
              <w:noProof/>
              <w:sz w:val="24"/>
              <w:szCs w:val="24"/>
              <w:lang w:val="en-US"/>
            </w:rPr>
          </w:pPr>
          <w:r w:rsidRPr="004B49B6">
            <w:rPr>
              <w:sz w:val="24"/>
              <w:szCs w:val="24"/>
            </w:rPr>
            <w:fldChar w:fldCharType="begin"/>
          </w:r>
          <w:r w:rsidRPr="004B49B6">
            <w:rPr>
              <w:sz w:val="24"/>
              <w:szCs w:val="24"/>
            </w:rPr>
            <w:instrText xml:space="preserve"> TOC \o "1-3" \h \z \u </w:instrText>
          </w:r>
          <w:r w:rsidRPr="004B49B6">
            <w:rPr>
              <w:sz w:val="24"/>
              <w:szCs w:val="24"/>
            </w:rPr>
            <w:fldChar w:fldCharType="separate"/>
          </w:r>
          <w:hyperlink w:anchor="_Toc187312996" w:history="1">
            <w:r w:rsidRPr="004B49B6">
              <w:rPr>
                <w:rStyle w:val="Hyperlink"/>
                <w:noProof/>
                <w:sz w:val="24"/>
                <w:szCs w:val="24"/>
              </w:rPr>
              <w:t>Executive Summary</w:t>
            </w:r>
            <w:r w:rsidRPr="004B49B6">
              <w:rPr>
                <w:noProof/>
                <w:webHidden/>
                <w:sz w:val="24"/>
                <w:szCs w:val="24"/>
              </w:rPr>
              <w:tab/>
            </w:r>
            <w:r w:rsidR="00FA65E4">
              <w:rPr>
                <w:noProof/>
                <w:webHidden/>
                <w:sz w:val="24"/>
                <w:szCs w:val="24"/>
              </w:rPr>
              <w:t>21</w:t>
            </w:r>
          </w:hyperlink>
        </w:p>
        <w:p w14:paraId="2B492744" w14:textId="36234BEF" w:rsidR="00A11E13" w:rsidRPr="004B49B6" w:rsidRDefault="00A11E13" w:rsidP="00A11E13">
          <w:pPr>
            <w:pStyle w:val="TOC1"/>
            <w:tabs>
              <w:tab w:val="right" w:leader="dot" w:pos="9350"/>
            </w:tabs>
            <w:rPr>
              <w:rFonts w:eastAsiaTheme="minorEastAsia"/>
              <w:noProof/>
              <w:sz w:val="24"/>
              <w:szCs w:val="24"/>
              <w:lang w:val="en-US"/>
            </w:rPr>
          </w:pPr>
          <w:hyperlink w:anchor="_Toc187312997" w:history="1">
            <w:r w:rsidRPr="004B49B6">
              <w:rPr>
                <w:rStyle w:val="Hyperlink"/>
                <w:noProof/>
                <w:sz w:val="24"/>
                <w:szCs w:val="24"/>
              </w:rPr>
              <w:t>Introduction</w:t>
            </w:r>
            <w:r w:rsidRPr="004B49B6">
              <w:rPr>
                <w:noProof/>
                <w:webHidden/>
                <w:sz w:val="24"/>
                <w:szCs w:val="24"/>
              </w:rPr>
              <w:tab/>
            </w:r>
            <w:r w:rsidR="00FA65E4">
              <w:rPr>
                <w:noProof/>
                <w:webHidden/>
                <w:sz w:val="24"/>
                <w:szCs w:val="24"/>
              </w:rPr>
              <w:t>22</w:t>
            </w:r>
          </w:hyperlink>
        </w:p>
        <w:p w14:paraId="3074316C" w14:textId="61F1F077" w:rsidR="00A11E13" w:rsidRPr="004B49B6" w:rsidRDefault="00A11E13" w:rsidP="00A11E13">
          <w:pPr>
            <w:pStyle w:val="TOC1"/>
            <w:tabs>
              <w:tab w:val="right" w:leader="dot" w:pos="9350"/>
            </w:tabs>
            <w:rPr>
              <w:rFonts w:eastAsiaTheme="minorEastAsia"/>
              <w:noProof/>
              <w:sz w:val="24"/>
              <w:szCs w:val="24"/>
              <w:lang w:val="en-US"/>
            </w:rPr>
          </w:pPr>
          <w:hyperlink w:anchor="_Toc187312998" w:history="1">
            <w:r w:rsidRPr="004B49B6">
              <w:rPr>
                <w:rStyle w:val="Hyperlink"/>
                <w:noProof/>
                <w:sz w:val="24"/>
                <w:szCs w:val="24"/>
              </w:rPr>
              <w:t>Greenacres Plc Investment Options</w:t>
            </w:r>
            <w:r w:rsidRPr="004B49B6">
              <w:rPr>
                <w:noProof/>
                <w:webHidden/>
                <w:sz w:val="24"/>
                <w:szCs w:val="24"/>
              </w:rPr>
              <w:tab/>
            </w:r>
            <w:r w:rsidR="00FA65E4">
              <w:rPr>
                <w:noProof/>
                <w:webHidden/>
                <w:sz w:val="24"/>
                <w:szCs w:val="24"/>
              </w:rPr>
              <w:t>22</w:t>
            </w:r>
          </w:hyperlink>
        </w:p>
        <w:p w14:paraId="7498CE47" w14:textId="790D4B05" w:rsidR="00A11E13" w:rsidRPr="004B49B6" w:rsidRDefault="00A11E13" w:rsidP="00A11E13">
          <w:pPr>
            <w:pStyle w:val="TOC1"/>
            <w:tabs>
              <w:tab w:val="right" w:leader="dot" w:pos="9350"/>
            </w:tabs>
            <w:rPr>
              <w:rFonts w:eastAsiaTheme="minorEastAsia"/>
              <w:noProof/>
              <w:sz w:val="24"/>
              <w:szCs w:val="24"/>
              <w:lang w:val="en-US"/>
            </w:rPr>
          </w:pPr>
          <w:hyperlink w:anchor="_Toc187312999" w:history="1">
            <w:r w:rsidRPr="004B49B6">
              <w:rPr>
                <w:rStyle w:val="Hyperlink"/>
                <w:noProof/>
                <w:sz w:val="24"/>
                <w:szCs w:val="24"/>
              </w:rPr>
              <w:t>Main Body</w:t>
            </w:r>
            <w:r w:rsidRPr="004B49B6">
              <w:rPr>
                <w:noProof/>
                <w:webHidden/>
                <w:sz w:val="24"/>
                <w:szCs w:val="24"/>
              </w:rPr>
              <w:tab/>
            </w:r>
            <w:r w:rsidR="00FA65E4">
              <w:rPr>
                <w:noProof/>
                <w:webHidden/>
                <w:sz w:val="24"/>
                <w:szCs w:val="24"/>
              </w:rPr>
              <w:t>24</w:t>
            </w:r>
          </w:hyperlink>
        </w:p>
        <w:p w14:paraId="252E7607" w14:textId="00781FC4" w:rsidR="00A11E13" w:rsidRPr="004B49B6" w:rsidRDefault="00A11E13" w:rsidP="00A11E13">
          <w:pPr>
            <w:pStyle w:val="TOC2"/>
            <w:tabs>
              <w:tab w:val="right" w:leader="dot" w:pos="9350"/>
            </w:tabs>
            <w:rPr>
              <w:rFonts w:eastAsiaTheme="minorEastAsia"/>
              <w:noProof/>
              <w:sz w:val="24"/>
              <w:szCs w:val="24"/>
              <w:lang w:val="en-US"/>
            </w:rPr>
          </w:pPr>
          <w:hyperlink w:anchor="_Toc187313000" w:history="1">
            <w:r w:rsidRPr="004B49B6">
              <w:rPr>
                <w:rStyle w:val="Hyperlink"/>
                <w:noProof/>
                <w:sz w:val="24"/>
                <w:szCs w:val="24"/>
              </w:rPr>
              <w:t>Evaluation of Investment Options</w:t>
            </w:r>
            <w:r w:rsidRPr="004B49B6">
              <w:rPr>
                <w:noProof/>
                <w:webHidden/>
                <w:sz w:val="24"/>
                <w:szCs w:val="24"/>
              </w:rPr>
              <w:tab/>
            </w:r>
            <w:r w:rsidR="00E34F0D">
              <w:rPr>
                <w:noProof/>
                <w:webHidden/>
                <w:sz w:val="24"/>
                <w:szCs w:val="24"/>
              </w:rPr>
              <w:t>24</w:t>
            </w:r>
          </w:hyperlink>
        </w:p>
        <w:p w14:paraId="0272A451" w14:textId="7EA5E43F" w:rsidR="00A11E13" w:rsidRPr="004B49B6" w:rsidRDefault="00A11E13" w:rsidP="00A11E13">
          <w:pPr>
            <w:pStyle w:val="TOC2"/>
            <w:tabs>
              <w:tab w:val="right" w:leader="dot" w:pos="9350"/>
            </w:tabs>
            <w:rPr>
              <w:rFonts w:eastAsiaTheme="minorEastAsia"/>
              <w:noProof/>
              <w:sz w:val="24"/>
              <w:szCs w:val="24"/>
              <w:lang w:val="en-US"/>
            </w:rPr>
          </w:pPr>
          <w:hyperlink w:anchor="_Toc187313001" w:history="1">
            <w:r w:rsidRPr="004B49B6">
              <w:rPr>
                <w:rStyle w:val="Hyperlink"/>
                <w:noProof/>
                <w:sz w:val="24"/>
                <w:szCs w:val="24"/>
              </w:rPr>
              <w:t>NPV</w:t>
            </w:r>
            <w:r w:rsidRPr="004B49B6">
              <w:rPr>
                <w:noProof/>
                <w:webHidden/>
                <w:sz w:val="24"/>
                <w:szCs w:val="24"/>
              </w:rPr>
              <w:tab/>
            </w:r>
            <w:r w:rsidR="00E34F0D">
              <w:rPr>
                <w:noProof/>
                <w:webHidden/>
                <w:sz w:val="24"/>
                <w:szCs w:val="24"/>
              </w:rPr>
              <w:t>24</w:t>
            </w:r>
          </w:hyperlink>
        </w:p>
        <w:p w14:paraId="03166CA1" w14:textId="3420FDB0" w:rsidR="00A11E13" w:rsidRPr="004B49B6" w:rsidRDefault="00A11E13" w:rsidP="00A11E13">
          <w:pPr>
            <w:pStyle w:val="TOC2"/>
            <w:tabs>
              <w:tab w:val="right" w:leader="dot" w:pos="9350"/>
            </w:tabs>
            <w:rPr>
              <w:rFonts w:eastAsiaTheme="minorEastAsia"/>
              <w:noProof/>
              <w:sz w:val="24"/>
              <w:szCs w:val="24"/>
              <w:lang w:val="en-US"/>
            </w:rPr>
          </w:pPr>
          <w:hyperlink w:anchor="_Toc187313002" w:history="1">
            <w:r w:rsidRPr="004B49B6">
              <w:rPr>
                <w:rStyle w:val="Hyperlink"/>
                <w:noProof/>
                <w:sz w:val="24"/>
                <w:szCs w:val="24"/>
              </w:rPr>
              <w:t>IRR</w:t>
            </w:r>
            <w:r w:rsidRPr="004B49B6">
              <w:rPr>
                <w:noProof/>
                <w:webHidden/>
                <w:sz w:val="24"/>
                <w:szCs w:val="24"/>
              </w:rPr>
              <w:tab/>
            </w:r>
            <w:r w:rsidR="00E34F0D">
              <w:rPr>
                <w:noProof/>
                <w:webHidden/>
                <w:sz w:val="24"/>
                <w:szCs w:val="24"/>
              </w:rPr>
              <w:t>25</w:t>
            </w:r>
          </w:hyperlink>
        </w:p>
        <w:p w14:paraId="0E520E9F" w14:textId="5B3612E7" w:rsidR="00A11E13" w:rsidRPr="004B49B6" w:rsidRDefault="00A11E13" w:rsidP="00A11E13">
          <w:pPr>
            <w:pStyle w:val="TOC2"/>
            <w:tabs>
              <w:tab w:val="right" w:leader="dot" w:pos="9350"/>
            </w:tabs>
            <w:rPr>
              <w:rFonts w:eastAsiaTheme="minorEastAsia"/>
              <w:noProof/>
              <w:sz w:val="24"/>
              <w:szCs w:val="24"/>
              <w:lang w:val="en-US"/>
            </w:rPr>
          </w:pPr>
          <w:hyperlink w:anchor="_Toc187313003" w:history="1">
            <w:r w:rsidRPr="004B49B6">
              <w:rPr>
                <w:rStyle w:val="Hyperlink"/>
                <w:noProof/>
                <w:sz w:val="24"/>
                <w:szCs w:val="24"/>
              </w:rPr>
              <w:t>The Finest  of Practice Evaluation –NPV</w:t>
            </w:r>
            <w:r w:rsidRPr="004B49B6">
              <w:rPr>
                <w:noProof/>
                <w:webHidden/>
                <w:sz w:val="24"/>
                <w:szCs w:val="24"/>
              </w:rPr>
              <w:tab/>
            </w:r>
            <w:r w:rsidR="00E34F0D">
              <w:rPr>
                <w:noProof/>
                <w:webHidden/>
                <w:sz w:val="24"/>
                <w:szCs w:val="24"/>
              </w:rPr>
              <w:t>25</w:t>
            </w:r>
          </w:hyperlink>
        </w:p>
        <w:p w14:paraId="7D07A1BA" w14:textId="1B828B10" w:rsidR="00A11E13" w:rsidRPr="004B49B6" w:rsidRDefault="00A11E13" w:rsidP="00A11E13">
          <w:pPr>
            <w:pStyle w:val="TOC2"/>
            <w:tabs>
              <w:tab w:val="right" w:leader="dot" w:pos="9350"/>
            </w:tabs>
            <w:rPr>
              <w:rFonts w:eastAsiaTheme="minorEastAsia"/>
              <w:noProof/>
              <w:sz w:val="24"/>
              <w:szCs w:val="24"/>
              <w:lang w:val="en-US"/>
            </w:rPr>
          </w:pPr>
          <w:hyperlink w:anchor="_Toc187313004" w:history="1">
            <w:r w:rsidRPr="004B49B6">
              <w:rPr>
                <w:rStyle w:val="Hyperlink"/>
                <w:noProof/>
                <w:sz w:val="24"/>
                <w:szCs w:val="24"/>
              </w:rPr>
              <w:t>Non – Discounting Methods</w:t>
            </w:r>
            <w:r w:rsidRPr="004B49B6">
              <w:rPr>
                <w:noProof/>
                <w:webHidden/>
                <w:sz w:val="24"/>
                <w:szCs w:val="24"/>
              </w:rPr>
              <w:tab/>
            </w:r>
            <w:r w:rsidR="00E34F0D">
              <w:rPr>
                <w:noProof/>
                <w:webHidden/>
                <w:sz w:val="24"/>
                <w:szCs w:val="24"/>
              </w:rPr>
              <w:t>26</w:t>
            </w:r>
          </w:hyperlink>
        </w:p>
        <w:p w14:paraId="28D44916" w14:textId="3AEBCA62" w:rsidR="00A11E13" w:rsidRPr="004B49B6" w:rsidRDefault="00A11E13" w:rsidP="00A11E13">
          <w:pPr>
            <w:pStyle w:val="TOC2"/>
            <w:tabs>
              <w:tab w:val="right" w:leader="dot" w:pos="9350"/>
            </w:tabs>
            <w:rPr>
              <w:rFonts w:eastAsiaTheme="minorEastAsia"/>
              <w:noProof/>
              <w:sz w:val="24"/>
              <w:szCs w:val="24"/>
              <w:lang w:val="en-US"/>
            </w:rPr>
          </w:pPr>
          <w:hyperlink w:anchor="_Toc187313005" w:history="1">
            <w:r w:rsidRPr="004B49B6">
              <w:rPr>
                <w:rStyle w:val="Hyperlink"/>
                <w:noProof/>
                <w:sz w:val="24"/>
                <w:szCs w:val="24"/>
              </w:rPr>
              <w:t>Agents for investment decision-making</w:t>
            </w:r>
            <w:r w:rsidRPr="004B49B6">
              <w:rPr>
                <w:noProof/>
                <w:webHidden/>
                <w:sz w:val="24"/>
                <w:szCs w:val="24"/>
              </w:rPr>
              <w:tab/>
            </w:r>
            <w:r w:rsidR="00E34F0D">
              <w:rPr>
                <w:noProof/>
                <w:webHidden/>
                <w:sz w:val="24"/>
                <w:szCs w:val="24"/>
              </w:rPr>
              <w:t>27</w:t>
            </w:r>
          </w:hyperlink>
        </w:p>
        <w:p w14:paraId="7304A3A3" w14:textId="6AFCD6D2" w:rsidR="00A11E13" w:rsidRPr="004B49B6" w:rsidRDefault="00A11E13" w:rsidP="00A11E13">
          <w:pPr>
            <w:pStyle w:val="TOC2"/>
            <w:tabs>
              <w:tab w:val="right" w:leader="dot" w:pos="9350"/>
            </w:tabs>
            <w:rPr>
              <w:rFonts w:eastAsiaTheme="minorEastAsia"/>
              <w:noProof/>
              <w:sz w:val="24"/>
              <w:szCs w:val="24"/>
              <w:lang w:val="en-US"/>
            </w:rPr>
          </w:pPr>
          <w:hyperlink w:anchor="_Toc187313006" w:history="1">
            <w:r w:rsidRPr="004B49B6">
              <w:rPr>
                <w:rStyle w:val="Hyperlink"/>
                <w:noProof/>
                <w:sz w:val="24"/>
                <w:szCs w:val="24"/>
              </w:rPr>
              <w:t>Investment Policy</w:t>
            </w:r>
            <w:r w:rsidRPr="004B49B6">
              <w:rPr>
                <w:noProof/>
                <w:webHidden/>
                <w:sz w:val="24"/>
                <w:szCs w:val="24"/>
              </w:rPr>
              <w:tab/>
            </w:r>
            <w:r w:rsidR="00A41FB9">
              <w:rPr>
                <w:noProof/>
                <w:webHidden/>
                <w:sz w:val="24"/>
                <w:szCs w:val="24"/>
              </w:rPr>
              <w:t>27</w:t>
            </w:r>
          </w:hyperlink>
        </w:p>
        <w:p w14:paraId="14068B78" w14:textId="17D9C74E" w:rsidR="00A11E13" w:rsidRPr="004B49B6" w:rsidRDefault="00A11E13" w:rsidP="00A11E13">
          <w:pPr>
            <w:pStyle w:val="TOC2"/>
            <w:tabs>
              <w:tab w:val="right" w:leader="dot" w:pos="9350"/>
            </w:tabs>
            <w:rPr>
              <w:rFonts w:eastAsiaTheme="minorEastAsia"/>
              <w:noProof/>
              <w:sz w:val="24"/>
              <w:szCs w:val="24"/>
              <w:lang w:val="en-US"/>
            </w:rPr>
          </w:pPr>
          <w:hyperlink w:anchor="_Toc187313007" w:history="1">
            <w:r w:rsidRPr="004B49B6">
              <w:rPr>
                <w:rStyle w:val="Hyperlink"/>
                <w:noProof/>
                <w:sz w:val="24"/>
                <w:szCs w:val="24"/>
              </w:rPr>
              <w:t>Suggestion on financing</w:t>
            </w:r>
            <w:r w:rsidRPr="004B49B6">
              <w:rPr>
                <w:noProof/>
                <w:webHidden/>
                <w:sz w:val="24"/>
                <w:szCs w:val="24"/>
              </w:rPr>
              <w:tab/>
            </w:r>
            <w:r w:rsidR="00A41FB9">
              <w:rPr>
                <w:noProof/>
                <w:webHidden/>
                <w:sz w:val="24"/>
                <w:szCs w:val="24"/>
              </w:rPr>
              <w:t>28</w:t>
            </w:r>
          </w:hyperlink>
        </w:p>
        <w:p w14:paraId="5A2139C2" w14:textId="5EE9848D" w:rsidR="00A11E13" w:rsidRPr="004B49B6" w:rsidRDefault="00A11E13" w:rsidP="00A11E13">
          <w:pPr>
            <w:pStyle w:val="TOC1"/>
            <w:tabs>
              <w:tab w:val="right" w:leader="dot" w:pos="9350"/>
            </w:tabs>
            <w:rPr>
              <w:rFonts w:eastAsiaTheme="minorEastAsia"/>
              <w:noProof/>
              <w:sz w:val="24"/>
              <w:szCs w:val="24"/>
              <w:lang w:val="en-US"/>
            </w:rPr>
          </w:pPr>
          <w:hyperlink w:anchor="_Toc187313008" w:history="1">
            <w:r w:rsidRPr="004B49B6">
              <w:rPr>
                <w:rStyle w:val="Hyperlink"/>
                <w:noProof/>
                <w:sz w:val="24"/>
                <w:szCs w:val="24"/>
              </w:rPr>
              <w:t>Conclusion</w:t>
            </w:r>
            <w:r w:rsidRPr="004B49B6">
              <w:rPr>
                <w:noProof/>
                <w:webHidden/>
                <w:sz w:val="24"/>
                <w:szCs w:val="24"/>
              </w:rPr>
              <w:tab/>
            </w:r>
            <w:r w:rsidR="00A41FB9">
              <w:rPr>
                <w:noProof/>
                <w:webHidden/>
                <w:sz w:val="24"/>
                <w:szCs w:val="24"/>
              </w:rPr>
              <w:t>30</w:t>
            </w:r>
          </w:hyperlink>
        </w:p>
        <w:p w14:paraId="47B1A609" w14:textId="4FBE001B" w:rsidR="00A11E13" w:rsidRPr="004B49B6" w:rsidRDefault="00E50F0F" w:rsidP="00A11E13">
          <w:pPr>
            <w:pStyle w:val="TOC1"/>
            <w:tabs>
              <w:tab w:val="right" w:leader="dot" w:pos="9350"/>
            </w:tabs>
            <w:rPr>
              <w:rFonts w:eastAsiaTheme="minorEastAsia"/>
              <w:noProof/>
              <w:sz w:val="24"/>
              <w:szCs w:val="24"/>
              <w:lang w:val="en-US"/>
            </w:rPr>
          </w:pPr>
          <w:hyperlink w:anchor="_Toc187313009" w:history="1">
            <w:r>
              <w:rPr>
                <w:rStyle w:val="Hyperlink"/>
                <w:noProof/>
                <w:sz w:val="24"/>
                <w:szCs w:val="24"/>
              </w:rPr>
              <w:t>Bibliography</w:t>
            </w:r>
            <w:r w:rsidR="00A11E13" w:rsidRPr="004B49B6">
              <w:rPr>
                <w:noProof/>
                <w:webHidden/>
                <w:sz w:val="24"/>
                <w:szCs w:val="24"/>
              </w:rPr>
              <w:tab/>
            </w:r>
            <w:r w:rsidR="00A41FB9">
              <w:rPr>
                <w:noProof/>
                <w:webHidden/>
                <w:sz w:val="24"/>
                <w:szCs w:val="24"/>
              </w:rPr>
              <w:t>31</w:t>
            </w:r>
          </w:hyperlink>
        </w:p>
        <w:p w14:paraId="053B89F4" w14:textId="4C4B9253" w:rsidR="00A11E13" w:rsidRPr="004B49B6" w:rsidRDefault="00A11E13" w:rsidP="00A11E13">
          <w:pPr>
            <w:pStyle w:val="TOC1"/>
            <w:tabs>
              <w:tab w:val="right" w:leader="dot" w:pos="9350"/>
            </w:tabs>
            <w:rPr>
              <w:rFonts w:eastAsiaTheme="minorEastAsia"/>
              <w:noProof/>
              <w:sz w:val="24"/>
              <w:szCs w:val="24"/>
              <w:lang w:val="en-US"/>
            </w:rPr>
          </w:pPr>
          <w:hyperlink w:anchor="_Toc187313010" w:history="1">
            <w:r w:rsidRPr="004B49B6">
              <w:rPr>
                <w:rStyle w:val="Hyperlink"/>
                <w:noProof/>
                <w:sz w:val="24"/>
                <w:szCs w:val="24"/>
              </w:rPr>
              <w:t>Appendix</w:t>
            </w:r>
            <w:r w:rsidRPr="004B49B6">
              <w:rPr>
                <w:noProof/>
                <w:webHidden/>
                <w:sz w:val="24"/>
                <w:szCs w:val="24"/>
              </w:rPr>
              <w:tab/>
            </w:r>
            <w:r w:rsidR="00A41FB9">
              <w:rPr>
                <w:noProof/>
                <w:webHidden/>
                <w:sz w:val="24"/>
                <w:szCs w:val="24"/>
              </w:rPr>
              <w:t>34</w:t>
            </w:r>
          </w:hyperlink>
        </w:p>
        <w:p w14:paraId="58281195" w14:textId="77777777" w:rsidR="00A11E13" w:rsidRPr="004B49B6" w:rsidRDefault="00A11E13" w:rsidP="00A11E13">
          <w:pPr>
            <w:rPr>
              <w:sz w:val="24"/>
              <w:szCs w:val="24"/>
            </w:rPr>
          </w:pPr>
          <w:r w:rsidRPr="004B49B6">
            <w:rPr>
              <w:b/>
              <w:bCs/>
              <w:sz w:val="24"/>
              <w:szCs w:val="24"/>
            </w:rPr>
            <w:fldChar w:fldCharType="end"/>
          </w:r>
        </w:p>
      </w:sdtContent>
    </w:sdt>
    <w:p w14:paraId="143766F6" w14:textId="77777777" w:rsidR="00A11E13" w:rsidRPr="00594A5B" w:rsidRDefault="00A11E13" w:rsidP="00A11E13">
      <w:pPr>
        <w:spacing w:line="259" w:lineRule="auto"/>
        <w:jc w:val="left"/>
        <w:rPr>
          <w:rFonts w:eastAsia="Calibri" w:cstheme="minorHAnsi"/>
          <w:b/>
          <w:sz w:val="28"/>
          <w:szCs w:val="28"/>
        </w:rPr>
      </w:pPr>
      <w:r w:rsidRPr="00594A5B">
        <w:br w:type="page"/>
      </w:r>
    </w:p>
    <w:p w14:paraId="2C759913" w14:textId="77777777" w:rsidR="00A11E13" w:rsidRDefault="00A11E13" w:rsidP="00A11E13">
      <w:pPr>
        <w:pStyle w:val="Heading1"/>
        <w:rPr>
          <w:sz w:val="28"/>
          <w:szCs w:val="28"/>
        </w:rPr>
      </w:pPr>
      <w:bookmarkStart w:id="23" w:name="_Toc187312997"/>
      <w:r w:rsidRPr="004307E8">
        <w:rPr>
          <w:sz w:val="28"/>
          <w:szCs w:val="28"/>
        </w:rPr>
        <w:lastRenderedPageBreak/>
        <w:t>Introduction</w:t>
      </w:r>
      <w:bookmarkEnd w:id="23"/>
    </w:p>
    <w:p w14:paraId="589CBB7B" w14:textId="77777777" w:rsidR="004307E8" w:rsidRPr="004307E8" w:rsidRDefault="004307E8" w:rsidP="004307E8"/>
    <w:p w14:paraId="367E4019" w14:textId="52E0C3C2" w:rsidR="00A11E13" w:rsidRPr="004307E8" w:rsidRDefault="00A11E13" w:rsidP="00A11E13">
      <w:pPr>
        <w:rPr>
          <w:sz w:val="24"/>
          <w:szCs w:val="24"/>
        </w:rPr>
      </w:pPr>
      <w:r w:rsidRPr="004307E8">
        <w:rPr>
          <w:sz w:val="24"/>
          <w:szCs w:val="24"/>
        </w:rPr>
        <w:t xml:space="preserve">According to Drury (2018), businesses worldwide often engage in periodic decision-making sessions for the company’s extension and development. As given by </w:t>
      </w:r>
      <w:proofErr w:type="spellStart"/>
      <w:r w:rsidRPr="004307E8">
        <w:rPr>
          <w:sz w:val="24"/>
          <w:szCs w:val="24"/>
        </w:rPr>
        <w:t>Atrill</w:t>
      </w:r>
      <w:proofErr w:type="spellEnd"/>
      <w:r w:rsidR="006928E9">
        <w:rPr>
          <w:sz w:val="24"/>
          <w:szCs w:val="24"/>
        </w:rPr>
        <w:t xml:space="preserve"> </w:t>
      </w:r>
      <w:r w:rsidRPr="004307E8">
        <w:rPr>
          <w:sz w:val="24"/>
          <w:szCs w:val="24"/>
        </w:rPr>
        <w:t xml:space="preserve">(2020), shareholders must decide on the company’s monetary status and resource usage to make effective decisions about investing in effective opportunities. As per Zutter and Smart (2019), these opportunities help businesses gain capital and use their assets, impacting financial growth. As Walsh (2008) discussed, these decision-making processes are conducted by measuring and </w:t>
      </w:r>
      <w:r w:rsidR="006928E9" w:rsidRPr="004307E8">
        <w:rPr>
          <w:sz w:val="24"/>
          <w:szCs w:val="24"/>
        </w:rPr>
        <w:t>analysing</w:t>
      </w:r>
      <w:r w:rsidRPr="004307E8">
        <w:rPr>
          <w:sz w:val="24"/>
          <w:szCs w:val="24"/>
        </w:rPr>
        <w:t xml:space="preserve"> capital estimation ways such as accounting return percentage, NPV, payback period, IRR, adjusted present value, etc. Analysis of capital evaluation method plays a prominent role in business finance. According to Bhimani (2022), businesses select the most profitable investment options available compared to other opportunities through these financial measures. </w:t>
      </w:r>
    </w:p>
    <w:p w14:paraId="246DE2E3" w14:textId="13C2D467" w:rsidR="00A11E13" w:rsidRPr="004307E8" w:rsidRDefault="00A11E13" w:rsidP="00A11E13">
      <w:pPr>
        <w:rPr>
          <w:sz w:val="24"/>
          <w:szCs w:val="24"/>
        </w:rPr>
      </w:pPr>
      <w:r w:rsidRPr="004307E8">
        <w:rPr>
          <w:sz w:val="24"/>
          <w:szCs w:val="24"/>
        </w:rPr>
        <w:t>This report will assist in the execution and decision framework of Greenacres Plc. It will explain whether they should undertake the investment path or look for other ways. Assessment of investment options using the NPV</w:t>
      </w:r>
      <w:r w:rsidR="006928E9">
        <w:rPr>
          <w:sz w:val="24"/>
          <w:szCs w:val="24"/>
        </w:rPr>
        <w:t xml:space="preserve"> </w:t>
      </w:r>
      <w:r w:rsidRPr="004307E8">
        <w:rPr>
          <w:sz w:val="24"/>
          <w:szCs w:val="24"/>
        </w:rPr>
        <w:t xml:space="preserve">method and appropriate recommendations on one option will be presented. Return estimation of the recommended investment option using the IRR will be provided. It will discuss how NPV is effective and the best method for measuring capital investment appraisal. Along with this, a discussion on other agents that shareholders need to consider prior to an investment decision will also be presented. This report will also present suggestions and advice for Greenacres’s board of directors on the various financial options available to them. </w:t>
      </w:r>
    </w:p>
    <w:p w14:paraId="26A5F635" w14:textId="77777777" w:rsidR="00A11E13" w:rsidRDefault="00A11E13" w:rsidP="00A11E13">
      <w:pPr>
        <w:pStyle w:val="Heading1"/>
        <w:rPr>
          <w:sz w:val="28"/>
          <w:szCs w:val="28"/>
        </w:rPr>
      </w:pPr>
      <w:bookmarkStart w:id="24" w:name="_Toc187312998"/>
      <w:r w:rsidRPr="003C4075">
        <w:rPr>
          <w:sz w:val="28"/>
          <w:szCs w:val="28"/>
        </w:rPr>
        <w:t>Greenacres Plc Investment Options</w:t>
      </w:r>
      <w:bookmarkEnd w:id="24"/>
    </w:p>
    <w:p w14:paraId="767F94F7" w14:textId="77777777" w:rsidR="003C4075" w:rsidRPr="003C4075" w:rsidRDefault="003C4075" w:rsidP="003C4075"/>
    <w:p w14:paraId="47E31DA1" w14:textId="77777777" w:rsidR="00A11E13" w:rsidRPr="003C4075" w:rsidRDefault="00A11E13" w:rsidP="00A11E13">
      <w:pPr>
        <w:rPr>
          <w:sz w:val="24"/>
          <w:szCs w:val="24"/>
        </w:rPr>
      </w:pPr>
      <w:r w:rsidRPr="003C4075">
        <w:rPr>
          <w:sz w:val="24"/>
          <w:szCs w:val="24"/>
        </w:rPr>
        <w:t>Greenacres Plc has been considering expanding its business through investment in three major options for some time. As a company that produces diverse top-grade outdoor rattan furniture and related products, it must make appropriate investment choices to reach a wider audience. For the upcoming four-year plan, the board of directors has identified the following three investment options:</w:t>
      </w:r>
    </w:p>
    <w:p w14:paraId="6EF4832D" w14:textId="00CC0D2F" w:rsidR="00A11E13" w:rsidRPr="003C4075" w:rsidRDefault="00A11E13" w:rsidP="00A11E13">
      <w:pPr>
        <w:rPr>
          <w:sz w:val="24"/>
          <w:szCs w:val="24"/>
        </w:rPr>
      </w:pPr>
      <w:r w:rsidRPr="003C4075">
        <w:rPr>
          <w:sz w:val="24"/>
          <w:szCs w:val="24"/>
        </w:rPr>
        <w:lastRenderedPageBreak/>
        <w:t>A.</w:t>
      </w:r>
      <w:r w:rsidR="003C4075">
        <w:rPr>
          <w:sz w:val="24"/>
          <w:szCs w:val="24"/>
        </w:rPr>
        <w:t xml:space="preserve"> </w:t>
      </w:r>
      <w:r w:rsidR="003C4075" w:rsidRPr="003C4075">
        <w:rPr>
          <w:sz w:val="24"/>
          <w:szCs w:val="24"/>
        </w:rPr>
        <w:t>Store expansion</w:t>
      </w:r>
      <w:r w:rsidRPr="003C4075">
        <w:rPr>
          <w:sz w:val="24"/>
          <w:szCs w:val="24"/>
        </w:rPr>
        <w:t xml:space="preserve"> to include all items, with an initial expenditure of </w:t>
      </w:r>
      <w:r w:rsidRPr="003C4075">
        <w:rPr>
          <w:rFonts w:cs="Times New Roman"/>
          <w:sz w:val="24"/>
          <w:szCs w:val="24"/>
        </w:rPr>
        <w:t>£</w:t>
      </w:r>
      <w:r w:rsidRPr="003C4075">
        <w:rPr>
          <w:sz w:val="24"/>
          <w:szCs w:val="24"/>
        </w:rPr>
        <w:t xml:space="preserve"> 660,000.</w:t>
      </w:r>
    </w:p>
    <w:p w14:paraId="35593F72" w14:textId="77777777" w:rsidR="00A11E13" w:rsidRPr="003C4075" w:rsidRDefault="00A11E13" w:rsidP="00A11E13">
      <w:pPr>
        <w:rPr>
          <w:sz w:val="24"/>
          <w:szCs w:val="24"/>
        </w:rPr>
      </w:pPr>
      <w:r w:rsidRPr="003C4075">
        <w:rPr>
          <w:sz w:val="24"/>
          <w:szCs w:val="24"/>
        </w:rPr>
        <w:t xml:space="preserve">B. Develop and expand online stores and virtual sales with an initial expenditure of </w:t>
      </w:r>
      <w:r w:rsidRPr="003C4075">
        <w:rPr>
          <w:rFonts w:cs="Times New Roman"/>
          <w:sz w:val="24"/>
          <w:szCs w:val="24"/>
        </w:rPr>
        <w:t>£ 1,000,000.</w:t>
      </w:r>
    </w:p>
    <w:p w14:paraId="3BE3DA0C" w14:textId="77777777" w:rsidR="00A11E13" w:rsidRPr="003C4075" w:rsidRDefault="00A11E13" w:rsidP="00A11E13">
      <w:pPr>
        <w:rPr>
          <w:sz w:val="24"/>
          <w:szCs w:val="24"/>
        </w:rPr>
      </w:pPr>
      <w:r w:rsidRPr="003C4075">
        <w:rPr>
          <w:sz w:val="24"/>
          <w:szCs w:val="24"/>
        </w:rPr>
        <w:t xml:space="preserve">C. Produce conservatories and greenhouses with an initial expenditure of </w:t>
      </w:r>
      <w:r w:rsidRPr="003C4075">
        <w:rPr>
          <w:rFonts w:cs="Times New Roman"/>
          <w:sz w:val="24"/>
          <w:szCs w:val="24"/>
        </w:rPr>
        <w:t xml:space="preserve">£1,700,000. </w:t>
      </w:r>
    </w:p>
    <w:p w14:paraId="2F30CBD6" w14:textId="77777777" w:rsidR="00A11E13" w:rsidRPr="0048216B" w:rsidRDefault="00A11E13" w:rsidP="00A11E13">
      <w:pPr>
        <w:pStyle w:val="Heading1"/>
        <w:rPr>
          <w:sz w:val="28"/>
          <w:szCs w:val="28"/>
        </w:rPr>
      </w:pPr>
      <w:bookmarkStart w:id="25" w:name="_Toc187312999"/>
      <w:r w:rsidRPr="0048216B">
        <w:rPr>
          <w:sz w:val="28"/>
          <w:szCs w:val="28"/>
        </w:rPr>
        <w:t>Main Body</w:t>
      </w:r>
      <w:bookmarkEnd w:id="25"/>
    </w:p>
    <w:p w14:paraId="7E08A389" w14:textId="77777777" w:rsidR="00A11E13" w:rsidRPr="0048216B" w:rsidRDefault="00A11E13" w:rsidP="00A11E13">
      <w:pPr>
        <w:pStyle w:val="Heading2"/>
        <w:rPr>
          <w:sz w:val="28"/>
          <w:szCs w:val="28"/>
        </w:rPr>
      </w:pPr>
      <w:bookmarkStart w:id="26" w:name="_Toc187313000"/>
      <w:r w:rsidRPr="0048216B">
        <w:rPr>
          <w:sz w:val="28"/>
          <w:szCs w:val="28"/>
        </w:rPr>
        <w:t>Evaluation of Investment Options</w:t>
      </w:r>
      <w:bookmarkEnd w:id="26"/>
    </w:p>
    <w:p w14:paraId="2C76B3F5" w14:textId="77777777" w:rsidR="00A11E13" w:rsidRPr="0048216B" w:rsidRDefault="00A11E13" w:rsidP="00A11E13">
      <w:pPr>
        <w:pStyle w:val="Heading2"/>
        <w:rPr>
          <w:sz w:val="28"/>
          <w:szCs w:val="28"/>
        </w:rPr>
      </w:pPr>
      <w:r w:rsidRPr="0048216B">
        <w:rPr>
          <w:sz w:val="28"/>
          <w:szCs w:val="28"/>
        </w:rPr>
        <w:t>NPV</w:t>
      </w:r>
    </w:p>
    <w:p w14:paraId="60E29B23" w14:textId="1062F7FA" w:rsidR="00A11E13" w:rsidRPr="00C50D28" w:rsidRDefault="00A11E13" w:rsidP="00A11E13">
      <w:pPr>
        <w:rPr>
          <w:sz w:val="24"/>
          <w:szCs w:val="24"/>
        </w:rPr>
      </w:pPr>
      <w:r w:rsidRPr="00C50D28">
        <w:rPr>
          <w:sz w:val="24"/>
          <w:szCs w:val="24"/>
        </w:rPr>
        <w:t xml:space="preserve">Seal et al. (2018) described the NPV as one of the prominent and famously used capital evaluation approaches. According to </w:t>
      </w:r>
      <w:proofErr w:type="spellStart"/>
      <w:r w:rsidRPr="00C50D28">
        <w:rPr>
          <w:sz w:val="24"/>
          <w:szCs w:val="24"/>
        </w:rPr>
        <w:t>Joannidès</w:t>
      </w:r>
      <w:proofErr w:type="spellEnd"/>
      <w:r w:rsidR="00C50D28">
        <w:rPr>
          <w:sz w:val="24"/>
          <w:szCs w:val="24"/>
        </w:rPr>
        <w:t xml:space="preserve"> </w:t>
      </w:r>
      <w:r w:rsidRPr="00C50D28">
        <w:rPr>
          <w:sz w:val="24"/>
          <w:szCs w:val="24"/>
        </w:rPr>
        <w:t xml:space="preserve">(2018), this measure explains all the future cash proceeds of the business, containing both negative and positive cash proceeds, throughout the whole lifeline of the investment </w:t>
      </w:r>
      <w:r w:rsidR="00C50D28" w:rsidRPr="00C50D28">
        <w:rPr>
          <w:sz w:val="24"/>
          <w:szCs w:val="24"/>
        </w:rPr>
        <w:t>made deducted from</w:t>
      </w:r>
      <w:r w:rsidRPr="00C50D28">
        <w:rPr>
          <w:sz w:val="24"/>
          <w:szCs w:val="24"/>
        </w:rPr>
        <w:t xml:space="preserve"> the present. As informed by </w:t>
      </w:r>
      <w:proofErr w:type="spellStart"/>
      <w:r w:rsidRPr="00C50D28">
        <w:rPr>
          <w:sz w:val="24"/>
          <w:szCs w:val="24"/>
        </w:rPr>
        <w:t>Vernimmen</w:t>
      </w:r>
      <w:proofErr w:type="spellEnd"/>
      <w:r w:rsidRPr="00C50D28">
        <w:rPr>
          <w:sz w:val="24"/>
          <w:szCs w:val="24"/>
        </w:rPr>
        <w:t xml:space="preserve"> and Le Fur (2022), NPV is used by businesses to determine the worth of investments, considering all amounts of revenue, capital cost for investment, and expenses. According to </w:t>
      </w:r>
      <w:proofErr w:type="spellStart"/>
      <w:r w:rsidRPr="00C50D28">
        <w:rPr>
          <w:sz w:val="24"/>
          <w:szCs w:val="24"/>
        </w:rPr>
        <w:t>Pierrakis</w:t>
      </w:r>
      <w:proofErr w:type="spellEnd"/>
      <w:r w:rsidR="00C50D28">
        <w:rPr>
          <w:sz w:val="24"/>
          <w:szCs w:val="24"/>
        </w:rPr>
        <w:t xml:space="preserve"> </w:t>
      </w:r>
      <w:r w:rsidRPr="00C50D28">
        <w:rPr>
          <w:sz w:val="24"/>
          <w:szCs w:val="24"/>
        </w:rPr>
        <w:t xml:space="preserve">(2019), it is computed through the cash proceeds amount, the respective discount rate, and the initial investment purchase price. </w:t>
      </w:r>
    </w:p>
    <w:p w14:paraId="70668573" w14:textId="77777777" w:rsidR="00A11E13" w:rsidRPr="00C50D28" w:rsidRDefault="00A11E13" w:rsidP="00A11E13">
      <w:pPr>
        <w:rPr>
          <w:sz w:val="24"/>
          <w:szCs w:val="24"/>
        </w:rPr>
      </w:pPr>
      <w:r w:rsidRPr="00C50D28">
        <w:rPr>
          <w:sz w:val="24"/>
          <w:szCs w:val="24"/>
        </w:rPr>
        <w:t>For Greenacres Plc, the following amount was calculated as the final NPV for a year plan:</w:t>
      </w:r>
    </w:p>
    <w:p w14:paraId="281A70A9" w14:textId="77777777" w:rsidR="00A11E13" w:rsidRPr="00C50D28" w:rsidRDefault="00A11E13" w:rsidP="00A11E13">
      <w:pPr>
        <w:pStyle w:val="ListParagraph"/>
        <w:numPr>
          <w:ilvl w:val="0"/>
          <w:numId w:val="12"/>
        </w:numPr>
        <w:spacing w:before="120" w:after="120"/>
        <w:rPr>
          <w:sz w:val="24"/>
          <w:szCs w:val="24"/>
        </w:rPr>
      </w:pPr>
      <w:r w:rsidRPr="00C50D28">
        <w:rPr>
          <w:sz w:val="24"/>
          <w:szCs w:val="24"/>
        </w:rPr>
        <w:t xml:space="preserve">NPV for investment in retail store expansion = </w:t>
      </w:r>
      <w:r w:rsidRPr="00C50D28">
        <w:rPr>
          <w:rFonts w:cs="Times New Roman"/>
          <w:sz w:val="24"/>
          <w:szCs w:val="24"/>
        </w:rPr>
        <w:t xml:space="preserve">£ </w:t>
      </w:r>
      <w:r w:rsidRPr="00C50D28">
        <w:rPr>
          <w:sz w:val="24"/>
          <w:szCs w:val="24"/>
        </w:rPr>
        <w:t>752892.953</w:t>
      </w:r>
    </w:p>
    <w:p w14:paraId="1960BBD1" w14:textId="77777777" w:rsidR="00A11E13" w:rsidRPr="00C50D28" w:rsidRDefault="00A11E13" w:rsidP="00A11E13">
      <w:pPr>
        <w:pStyle w:val="ListParagraph"/>
        <w:numPr>
          <w:ilvl w:val="0"/>
          <w:numId w:val="12"/>
        </w:numPr>
        <w:spacing w:before="120" w:after="120"/>
        <w:rPr>
          <w:sz w:val="24"/>
          <w:szCs w:val="24"/>
        </w:rPr>
      </w:pPr>
      <w:r w:rsidRPr="00C50D28">
        <w:rPr>
          <w:sz w:val="24"/>
          <w:szCs w:val="24"/>
        </w:rPr>
        <w:t xml:space="preserve">NPV for investment in online presence = </w:t>
      </w:r>
      <w:r w:rsidRPr="00C50D28">
        <w:rPr>
          <w:rFonts w:cs="Times New Roman"/>
          <w:sz w:val="24"/>
          <w:szCs w:val="24"/>
        </w:rPr>
        <w:t xml:space="preserve">£ </w:t>
      </w:r>
      <w:r w:rsidRPr="00C50D28">
        <w:rPr>
          <w:sz w:val="24"/>
          <w:szCs w:val="24"/>
        </w:rPr>
        <w:t>1301418.633</w:t>
      </w:r>
    </w:p>
    <w:p w14:paraId="2F121226" w14:textId="77777777" w:rsidR="00A11E13" w:rsidRPr="00C50D28" w:rsidRDefault="00A11E13" w:rsidP="00A11E13">
      <w:pPr>
        <w:pStyle w:val="ListParagraph"/>
        <w:numPr>
          <w:ilvl w:val="0"/>
          <w:numId w:val="12"/>
        </w:numPr>
        <w:spacing w:before="120" w:after="120"/>
        <w:rPr>
          <w:sz w:val="24"/>
          <w:szCs w:val="24"/>
        </w:rPr>
      </w:pPr>
      <w:r w:rsidRPr="00C50D28">
        <w:rPr>
          <w:sz w:val="24"/>
          <w:szCs w:val="24"/>
        </w:rPr>
        <w:t>NPV for investment in greenhouses and conservatories =</w:t>
      </w:r>
      <w:r w:rsidRPr="00C50D28">
        <w:rPr>
          <w:rFonts w:cs="Times New Roman"/>
          <w:sz w:val="24"/>
          <w:szCs w:val="24"/>
        </w:rPr>
        <w:t xml:space="preserve">£ </w:t>
      </w:r>
      <w:r w:rsidRPr="00C50D28">
        <w:rPr>
          <w:sz w:val="24"/>
          <w:szCs w:val="24"/>
        </w:rPr>
        <w:t>1315807.908</w:t>
      </w:r>
    </w:p>
    <w:p w14:paraId="634F11BF" w14:textId="77777777" w:rsidR="00A11E13" w:rsidRPr="00C50D28" w:rsidRDefault="00A11E13" w:rsidP="00A11E13">
      <w:pPr>
        <w:rPr>
          <w:rFonts w:cs="Times New Roman"/>
          <w:sz w:val="24"/>
          <w:szCs w:val="24"/>
        </w:rPr>
      </w:pPr>
      <w:r w:rsidRPr="00C50D28">
        <w:rPr>
          <w:sz w:val="24"/>
          <w:szCs w:val="24"/>
        </w:rPr>
        <w:t xml:space="preserve">The above-calculated values show that among the three investment options, option A has the least value while option C has the highest value. According to </w:t>
      </w:r>
      <w:proofErr w:type="spellStart"/>
      <w:r w:rsidRPr="00C50D28">
        <w:rPr>
          <w:sz w:val="24"/>
          <w:szCs w:val="24"/>
        </w:rPr>
        <w:t>Brusov</w:t>
      </w:r>
      <w:proofErr w:type="spellEnd"/>
      <w:r w:rsidRPr="00C50D28">
        <w:rPr>
          <w:sz w:val="24"/>
          <w:szCs w:val="24"/>
        </w:rPr>
        <w:t xml:space="preserve"> et al. (2018), a low NPV value specifies that the investment is not profitable on a desirable level, the investment cost will be more than the generated return amount, and a high NPV value indicates that the investment has the potential for higher returns. All three options are profitable if compared with the initial expenditure cost for each investment option. For Greenacres, there is an amount difference of £</w:t>
      </w:r>
      <w:r w:rsidRPr="00C50D28">
        <w:rPr>
          <w:rFonts w:cs="Times New Roman"/>
          <w:sz w:val="24"/>
          <w:szCs w:val="24"/>
        </w:rPr>
        <w:t xml:space="preserve"> 92892.953 for option A, £ 301418.633 for option B, and £ 384192.092 for option C. However, among the three options, option C has turned out to be the most profitable of them all, with the highest NPV value and the highest difference between the initial amount and generated return.</w:t>
      </w:r>
    </w:p>
    <w:p w14:paraId="6B68B356" w14:textId="77777777" w:rsidR="00A11E13" w:rsidRPr="00C50D28" w:rsidRDefault="00A11E13" w:rsidP="00A11E13">
      <w:pPr>
        <w:rPr>
          <w:sz w:val="24"/>
          <w:szCs w:val="24"/>
        </w:rPr>
      </w:pPr>
      <w:r w:rsidRPr="00C50D28">
        <w:rPr>
          <w:rFonts w:cs="Times New Roman"/>
          <w:sz w:val="24"/>
          <w:szCs w:val="24"/>
        </w:rPr>
        <w:lastRenderedPageBreak/>
        <w:t xml:space="preserve">Hence for Greenacres Plc, Option C would be the most suitable option to invest in as compared to the other two. </w:t>
      </w:r>
    </w:p>
    <w:p w14:paraId="2AB4DA1D" w14:textId="77777777" w:rsidR="00A11E13" w:rsidRPr="006711E4" w:rsidRDefault="00A11E13" w:rsidP="00A11E13">
      <w:pPr>
        <w:pStyle w:val="Heading2"/>
        <w:rPr>
          <w:sz w:val="28"/>
          <w:szCs w:val="28"/>
        </w:rPr>
      </w:pPr>
      <w:r w:rsidRPr="006711E4">
        <w:rPr>
          <w:sz w:val="28"/>
          <w:szCs w:val="28"/>
        </w:rPr>
        <w:t>IRR</w:t>
      </w:r>
    </w:p>
    <w:p w14:paraId="7720455A" w14:textId="77777777" w:rsidR="00A11E13" w:rsidRPr="006711E4" w:rsidRDefault="00A11E13" w:rsidP="00A11E13">
      <w:pPr>
        <w:rPr>
          <w:sz w:val="24"/>
          <w:szCs w:val="24"/>
        </w:rPr>
      </w:pPr>
      <w:r w:rsidRPr="006711E4">
        <w:rPr>
          <w:sz w:val="24"/>
          <w:szCs w:val="24"/>
        </w:rPr>
        <w:t xml:space="preserve">According to the CFA Institute (2022), there is the anticipated yearly rate or compound yearly rate of the return obtained on an investment. For the growth of their business, companies take on different investments and business ventures, such as expansion in retail stores or increasing online presence. While creating the financial budget and deciding on which venture would be profitable for investment, the board members often use the information on the anticipated yield on investment options. As described by Magni (2020), this IRR helps decision-makers in ranking and comparing different investment options as per their estimated yield. The investment with the largest return percentage is then selected by the company. </w:t>
      </w:r>
    </w:p>
    <w:p w14:paraId="2C117E17" w14:textId="77777777" w:rsidR="00A11E13" w:rsidRPr="006711E4" w:rsidRDefault="00A11E13" w:rsidP="00A11E13">
      <w:pPr>
        <w:rPr>
          <w:sz w:val="24"/>
          <w:szCs w:val="24"/>
        </w:rPr>
      </w:pPr>
      <w:r w:rsidRPr="006711E4">
        <w:rPr>
          <w:sz w:val="24"/>
          <w:szCs w:val="24"/>
        </w:rPr>
        <w:t xml:space="preserve">For Greenacres Plc, as per NPV, option C has shown the biggest potential to be a profitable investment. Hence, it is only fair to find out its return percentage. For investment in the greenhouse and conservatory operation, the company will get approximately 31.69% or 32%. This value indicates that the initial investment will turn to zero at the discount rate of 32%. In much simpler words, it can be said that 32% of the return percentage is needed to convert the present value of cash proceeds to the initial investment of £ 1700000. </w:t>
      </w:r>
    </w:p>
    <w:p w14:paraId="361EFD84" w14:textId="14BF00EC" w:rsidR="00A11E13" w:rsidRPr="00D27A74" w:rsidRDefault="00A11E13" w:rsidP="00A11E13">
      <w:pPr>
        <w:pStyle w:val="Heading2"/>
        <w:rPr>
          <w:sz w:val="28"/>
          <w:szCs w:val="28"/>
        </w:rPr>
      </w:pPr>
      <w:bookmarkStart w:id="27" w:name="_Toc187313003"/>
      <w:r w:rsidRPr="00D27A74">
        <w:rPr>
          <w:sz w:val="28"/>
          <w:szCs w:val="28"/>
        </w:rPr>
        <w:t xml:space="preserve">The Finest </w:t>
      </w:r>
      <w:r w:rsidR="00D27A74" w:rsidRPr="00D27A74">
        <w:rPr>
          <w:sz w:val="28"/>
          <w:szCs w:val="28"/>
        </w:rPr>
        <w:t>of Practice Evaluation</w:t>
      </w:r>
      <w:r w:rsidRPr="00D27A74">
        <w:rPr>
          <w:sz w:val="28"/>
          <w:szCs w:val="28"/>
        </w:rPr>
        <w:t>–NPV</w:t>
      </w:r>
      <w:bookmarkEnd w:id="27"/>
    </w:p>
    <w:p w14:paraId="5DF07D87" w14:textId="5EFA4628" w:rsidR="00A11E13" w:rsidRPr="00D27A74" w:rsidRDefault="00A11E13" w:rsidP="00A11E13">
      <w:pPr>
        <w:rPr>
          <w:sz w:val="24"/>
          <w:szCs w:val="24"/>
        </w:rPr>
      </w:pPr>
      <w:r w:rsidRPr="00D27A74">
        <w:rPr>
          <w:sz w:val="24"/>
          <w:szCs w:val="24"/>
        </w:rPr>
        <w:t xml:space="preserve">As per Yan and Zhang (2022), since the NPV or NPV indicates the worth of investment and profitably, it is most famously used for measuring investment capital appraisal. However, there has been some argument regarding the status of NPV as the prime way for capital estimation. According to Dai et al. (2022), NPV recognises the current value of the investment under analysis. According to Magni and Marchioni (2020), it also helps business leaders find out the profit and total revenue generated through the given investment throughout the entire investment period. As per Cotter (2022), in many textbooks, NPV is considered the best method for capital budgeting. According to </w:t>
      </w:r>
      <w:proofErr w:type="spellStart"/>
      <w:r w:rsidRPr="00D27A74">
        <w:rPr>
          <w:sz w:val="24"/>
          <w:szCs w:val="24"/>
        </w:rPr>
        <w:t>Sneps-Sneppe</w:t>
      </w:r>
      <w:proofErr w:type="spellEnd"/>
      <w:r w:rsidRPr="00D27A74">
        <w:rPr>
          <w:sz w:val="24"/>
          <w:szCs w:val="24"/>
        </w:rPr>
        <w:t xml:space="preserve"> (2023), NPV is the preferred approach in principle and is the most theoretically correct method. As per Wang (2023), the main reason why NPV is considered the best approach is due to its property of considering future cash proceeds and TVM. According to</w:t>
      </w:r>
      <w:r w:rsidR="00D27A74" w:rsidRPr="00D27A74">
        <w:rPr>
          <w:sz w:val="24"/>
          <w:szCs w:val="24"/>
        </w:rPr>
        <w:t xml:space="preserve"> </w:t>
      </w:r>
      <w:proofErr w:type="spellStart"/>
      <w:r w:rsidRPr="00D27A74">
        <w:rPr>
          <w:sz w:val="24"/>
          <w:szCs w:val="24"/>
        </w:rPr>
        <w:t>Gaspars</w:t>
      </w:r>
      <w:proofErr w:type="spellEnd"/>
      <w:r w:rsidRPr="00D27A74">
        <w:rPr>
          <w:sz w:val="24"/>
          <w:szCs w:val="24"/>
        </w:rPr>
        <w:t xml:space="preserve"> (2019), NPV is one of the easiest </w:t>
      </w:r>
      <w:r w:rsidRPr="00D27A74">
        <w:rPr>
          <w:sz w:val="24"/>
          <w:szCs w:val="24"/>
        </w:rPr>
        <w:lastRenderedPageBreak/>
        <w:t>techniques that is effortless to learn and facile to compute by business professionals. According to Dai et al. (2022), when measuring the efficiency of investment options, if the decision-makers face the dilemma of choosing between NPV and IRR, NPV is almost always selected. However, as per Huang et al. (2022), sometimes, due to the uncertainty of cash proceeds, financiers find the calculation of NPV tough to use and estimate. There is no warranty that the cash proceeds that are used for the estimation of</w:t>
      </w:r>
      <w:r w:rsidR="000C7623">
        <w:rPr>
          <w:sz w:val="24"/>
          <w:szCs w:val="24"/>
        </w:rPr>
        <w:t xml:space="preserve"> </w:t>
      </w:r>
      <w:r w:rsidRPr="00D27A74">
        <w:rPr>
          <w:sz w:val="24"/>
          <w:szCs w:val="24"/>
        </w:rPr>
        <w:t xml:space="preserve">NPV are completely accurate hence tempering with the final NPV amount. Discount rates have a notable impact on the </w:t>
      </w:r>
      <w:r w:rsidR="000C7623" w:rsidRPr="00D27A74">
        <w:rPr>
          <w:sz w:val="24"/>
          <w:szCs w:val="24"/>
        </w:rPr>
        <w:t>final cash</w:t>
      </w:r>
      <w:r w:rsidRPr="00D27A74">
        <w:rPr>
          <w:sz w:val="24"/>
          <w:szCs w:val="24"/>
        </w:rPr>
        <w:t xml:space="preserve"> proceeds of each year, affecting the NPV value. The IRR method is a convenient method for evaluating the economic return percentage on the capital that is invested. Since IRR is a strictly definable term and reflects the profitability of the investment project with a simple percentage value, hence it becomes easier for business leaders to make profit maximization decisions. </w:t>
      </w:r>
    </w:p>
    <w:p w14:paraId="6E0C964E" w14:textId="77777777" w:rsidR="00A11E13" w:rsidRPr="00704969" w:rsidRDefault="00A11E13" w:rsidP="00A11E13">
      <w:pPr>
        <w:pStyle w:val="Heading2"/>
        <w:rPr>
          <w:sz w:val="28"/>
          <w:szCs w:val="28"/>
        </w:rPr>
      </w:pPr>
      <w:bookmarkStart w:id="28" w:name="_Toc187313004"/>
      <w:r w:rsidRPr="00704969">
        <w:rPr>
          <w:sz w:val="28"/>
          <w:szCs w:val="28"/>
        </w:rPr>
        <w:t>Non – Discounting Methods</w:t>
      </w:r>
      <w:bookmarkEnd w:id="28"/>
    </w:p>
    <w:p w14:paraId="73EF2E9C" w14:textId="77777777" w:rsidR="00A11E13" w:rsidRPr="00704969" w:rsidRDefault="00A11E13" w:rsidP="00A11E13">
      <w:pPr>
        <w:rPr>
          <w:sz w:val="24"/>
          <w:szCs w:val="24"/>
        </w:rPr>
      </w:pPr>
      <w:r w:rsidRPr="00704969">
        <w:rPr>
          <w:sz w:val="24"/>
          <w:szCs w:val="24"/>
        </w:rPr>
        <w:t xml:space="preserve">As described by Baum et al. (2021), as per the name, the procedure of capital evaluation that does not recognize the TVM is termed the anon-discount method. For measuring investment evaluation through non -discounting methods, the amount of succeeding cash proceeds or money </w:t>
      </w:r>
      <w:proofErr w:type="gramStart"/>
      <w:r w:rsidRPr="00704969">
        <w:rPr>
          <w:sz w:val="24"/>
          <w:szCs w:val="24"/>
        </w:rPr>
        <w:t>is considered to be</w:t>
      </w:r>
      <w:proofErr w:type="gramEnd"/>
      <w:r w:rsidRPr="00704969">
        <w:rPr>
          <w:sz w:val="24"/>
          <w:szCs w:val="24"/>
        </w:rPr>
        <w:t xml:space="preserve"> of the same value as present money. In a simpler sense, this method does not contemplate the fact that the value of money changes over time with the economic inflation rate and other agents in the market. According to </w:t>
      </w:r>
      <w:proofErr w:type="spellStart"/>
      <w:r w:rsidRPr="00704969">
        <w:rPr>
          <w:sz w:val="24"/>
          <w:szCs w:val="24"/>
        </w:rPr>
        <w:t>SchwarzBichler</w:t>
      </w:r>
      <w:proofErr w:type="spellEnd"/>
      <w:r w:rsidRPr="00704969">
        <w:rPr>
          <w:sz w:val="24"/>
          <w:szCs w:val="24"/>
        </w:rPr>
        <w:t xml:space="preserve"> et al. (2018), a non-discounted method such as a payback period method and accounting return percentage method focuses only on the cash proceeds that are generated by the overall investment. Due to this property, they are much easier to compute and straightforward to grasp by the decision-makers. Since non-discounting methods do not consider the change and unreduced cash proceeds, their assessment is quick and effective for short-term investments. As given by Sarkar et al. (2018), this practice of not considering the TVM is widely popular in small and new firms and businesses since it is easy to implement and simple to understand for beginners. Another reason for the rise in popularity of non-discounted methods among small firms is that these methods, because of their simple nature, demand less common time and are cost-effective. </w:t>
      </w:r>
    </w:p>
    <w:p w14:paraId="39DC15AD" w14:textId="77777777" w:rsidR="00A11E13" w:rsidRPr="001A4242" w:rsidRDefault="00A11E13" w:rsidP="00A11E13">
      <w:pPr>
        <w:pStyle w:val="Heading2"/>
        <w:rPr>
          <w:sz w:val="28"/>
          <w:szCs w:val="28"/>
        </w:rPr>
      </w:pPr>
      <w:bookmarkStart w:id="29" w:name="_Toc187313005"/>
      <w:r w:rsidRPr="001A4242">
        <w:rPr>
          <w:sz w:val="28"/>
          <w:szCs w:val="28"/>
        </w:rPr>
        <w:lastRenderedPageBreak/>
        <w:t>Agents for investment decision-making</w:t>
      </w:r>
      <w:bookmarkEnd w:id="29"/>
    </w:p>
    <w:p w14:paraId="4B386331" w14:textId="5AE02B49" w:rsidR="00A11E13" w:rsidRPr="001A4242" w:rsidRDefault="00A11E13" w:rsidP="00A11E13">
      <w:pPr>
        <w:rPr>
          <w:sz w:val="24"/>
          <w:szCs w:val="24"/>
        </w:rPr>
      </w:pPr>
      <w:r w:rsidRPr="001A4242">
        <w:rPr>
          <w:sz w:val="24"/>
          <w:szCs w:val="24"/>
        </w:rPr>
        <w:t xml:space="preserve">Although analysing the profitability of investment options through the discounted and non-discounted investment evaluation </w:t>
      </w:r>
      <w:r w:rsidR="001A4242" w:rsidRPr="001A4242">
        <w:rPr>
          <w:sz w:val="24"/>
          <w:szCs w:val="24"/>
        </w:rPr>
        <w:t>methods is</w:t>
      </w:r>
      <w:r w:rsidRPr="001A4242">
        <w:rPr>
          <w:sz w:val="24"/>
          <w:szCs w:val="24"/>
        </w:rPr>
        <w:t xml:space="preserve"> the primal factor that affects the decisions regarding choosing an investment project for the company, the decision makers should consider other agents as well that have a </w:t>
      </w:r>
      <w:r w:rsidR="001A4242" w:rsidRPr="001A4242">
        <w:rPr>
          <w:sz w:val="24"/>
          <w:szCs w:val="24"/>
        </w:rPr>
        <w:t>significant effect</w:t>
      </w:r>
      <w:r w:rsidRPr="001A4242">
        <w:rPr>
          <w:sz w:val="24"/>
          <w:szCs w:val="24"/>
        </w:rPr>
        <w:t xml:space="preserve"> </w:t>
      </w:r>
      <w:r w:rsidR="001A4242" w:rsidRPr="001A4242">
        <w:rPr>
          <w:sz w:val="24"/>
          <w:szCs w:val="24"/>
        </w:rPr>
        <w:t>on the</w:t>
      </w:r>
      <w:r w:rsidRPr="001A4242">
        <w:rPr>
          <w:sz w:val="24"/>
          <w:szCs w:val="24"/>
        </w:rPr>
        <w:t xml:space="preserve"> performance of investments. According to </w:t>
      </w:r>
      <w:proofErr w:type="spellStart"/>
      <w:r w:rsidRPr="001A4242">
        <w:rPr>
          <w:sz w:val="24"/>
          <w:szCs w:val="24"/>
        </w:rPr>
        <w:t>Thavva</w:t>
      </w:r>
      <w:proofErr w:type="spellEnd"/>
      <w:r w:rsidR="001A4242">
        <w:rPr>
          <w:sz w:val="24"/>
          <w:szCs w:val="24"/>
        </w:rPr>
        <w:t xml:space="preserve"> </w:t>
      </w:r>
      <w:r w:rsidRPr="001A4242">
        <w:rPr>
          <w:sz w:val="24"/>
          <w:szCs w:val="24"/>
        </w:rPr>
        <w:t xml:space="preserve">(2021), one of the main agents that decision-makers </w:t>
      </w:r>
      <w:proofErr w:type="gramStart"/>
      <w:r w:rsidRPr="001A4242">
        <w:rPr>
          <w:sz w:val="24"/>
          <w:szCs w:val="24"/>
        </w:rPr>
        <w:t>have to</w:t>
      </w:r>
      <w:proofErr w:type="gramEnd"/>
      <w:r w:rsidRPr="001A4242">
        <w:rPr>
          <w:sz w:val="24"/>
          <w:szCs w:val="24"/>
        </w:rPr>
        <w:t xml:space="preserve"> consider is the liquidity status of investment. They </w:t>
      </w:r>
      <w:r w:rsidR="00BE1FE8" w:rsidRPr="001A4242">
        <w:rPr>
          <w:sz w:val="24"/>
          <w:szCs w:val="24"/>
        </w:rPr>
        <w:t>must</w:t>
      </w:r>
      <w:r w:rsidRPr="001A4242">
        <w:rPr>
          <w:sz w:val="24"/>
          <w:szCs w:val="24"/>
        </w:rPr>
        <w:t xml:space="preserve"> recognise the fact that </w:t>
      </w:r>
      <w:r w:rsidR="001A4242" w:rsidRPr="001A4242">
        <w:rPr>
          <w:sz w:val="24"/>
          <w:szCs w:val="24"/>
        </w:rPr>
        <w:t>shortly</w:t>
      </w:r>
      <w:r w:rsidRPr="001A4242">
        <w:rPr>
          <w:sz w:val="24"/>
          <w:szCs w:val="24"/>
        </w:rPr>
        <w:t xml:space="preserve"> they might need liquid </w:t>
      </w:r>
      <w:r w:rsidR="001A4242" w:rsidRPr="001A4242">
        <w:rPr>
          <w:sz w:val="24"/>
          <w:szCs w:val="24"/>
        </w:rPr>
        <w:t>money</w:t>
      </w:r>
      <w:r w:rsidRPr="001A4242">
        <w:rPr>
          <w:sz w:val="24"/>
          <w:szCs w:val="24"/>
        </w:rPr>
        <w:t xml:space="preserve"> and </w:t>
      </w:r>
      <w:r w:rsidR="001A4242" w:rsidRPr="001A4242">
        <w:rPr>
          <w:sz w:val="24"/>
          <w:szCs w:val="24"/>
        </w:rPr>
        <w:t>hence</w:t>
      </w:r>
      <w:r w:rsidRPr="001A4242">
        <w:rPr>
          <w:sz w:val="24"/>
          <w:szCs w:val="24"/>
        </w:rPr>
        <w:t xml:space="preserve"> they might need to liquidate that particular investment. If an investment option has a long-term profitability potential and a high liquidity rate, the company can leverage it slightly in the future. As given by Magni (2020), the vitality and variability of investment affect its performance and how useful this investment will be for the company in the future. The Volatility of an investment means how much the investment will fluctuate according to economic change and spontaneous market trends. This factor has a high effect on investment behaviour and price pattern. According to Ohrn (2018), one of the prime agents that affect how an investment will assist the company is the taxation rules. Different market asset and operations shave their taxation rules; hence, companies, before deciding on an investment, need to consider the taxation policy that applies to their particular investment options. </w:t>
      </w:r>
    </w:p>
    <w:p w14:paraId="4D42245E" w14:textId="77777777" w:rsidR="00A11E13" w:rsidRPr="001A4242" w:rsidRDefault="00A11E13" w:rsidP="00A11E13">
      <w:pPr>
        <w:pStyle w:val="Heading2"/>
        <w:rPr>
          <w:sz w:val="28"/>
          <w:szCs w:val="28"/>
        </w:rPr>
      </w:pPr>
      <w:bookmarkStart w:id="30" w:name="_Toc187313006"/>
      <w:r w:rsidRPr="001A4242">
        <w:rPr>
          <w:sz w:val="28"/>
          <w:szCs w:val="28"/>
        </w:rPr>
        <w:t>Investment Policy</w:t>
      </w:r>
      <w:bookmarkEnd w:id="30"/>
    </w:p>
    <w:p w14:paraId="7D7A149E" w14:textId="7C6E6321" w:rsidR="00A11E13" w:rsidRPr="007E0255" w:rsidRDefault="00A11E13" w:rsidP="00A11E13">
      <w:pPr>
        <w:rPr>
          <w:sz w:val="24"/>
          <w:szCs w:val="24"/>
        </w:rPr>
      </w:pPr>
      <w:r w:rsidRPr="007E0255">
        <w:rPr>
          <w:sz w:val="24"/>
          <w:szCs w:val="24"/>
        </w:rPr>
        <w:t xml:space="preserve">To maximize company profit, the decision-makers need to opt for optimal investment policies. According to </w:t>
      </w:r>
      <w:proofErr w:type="spellStart"/>
      <w:r w:rsidRPr="007E0255">
        <w:rPr>
          <w:sz w:val="24"/>
          <w:szCs w:val="24"/>
        </w:rPr>
        <w:t>Janekova</w:t>
      </w:r>
      <w:proofErr w:type="spellEnd"/>
      <w:r w:rsidRPr="007E0255">
        <w:rPr>
          <w:sz w:val="24"/>
          <w:szCs w:val="24"/>
        </w:rPr>
        <w:t xml:space="preserve"> et al. (2021), finding an optimal investment policy is to find an investment strategy that will maximize the initial amount taken at the beginning of the investment period, such as liquid assets, considering that the company does not sell out or go bankrupt. As per</w:t>
      </w:r>
      <w:r w:rsidR="00BE311F">
        <w:rPr>
          <w:sz w:val="24"/>
          <w:szCs w:val="24"/>
        </w:rPr>
        <w:t xml:space="preserve"> </w:t>
      </w:r>
      <w:proofErr w:type="spellStart"/>
      <w:r w:rsidRPr="007E0255">
        <w:rPr>
          <w:sz w:val="24"/>
          <w:szCs w:val="24"/>
        </w:rPr>
        <w:t>Oliinyk</w:t>
      </w:r>
      <w:proofErr w:type="spellEnd"/>
      <w:r w:rsidRPr="007E0255">
        <w:rPr>
          <w:sz w:val="24"/>
          <w:szCs w:val="24"/>
        </w:rPr>
        <w:t xml:space="preserve"> and </w:t>
      </w:r>
      <w:proofErr w:type="spellStart"/>
      <w:r w:rsidRPr="007E0255">
        <w:rPr>
          <w:sz w:val="24"/>
          <w:szCs w:val="24"/>
        </w:rPr>
        <w:t>Kozmenko</w:t>
      </w:r>
      <w:proofErr w:type="spellEnd"/>
      <w:r w:rsidRPr="007E0255">
        <w:rPr>
          <w:sz w:val="24"/>
          <w:szCs w:val="24"/>
        </w:rPr>
        <w:t xml:space="preserve"> (2019), commonalities can optimize their investment strategy by creating a diverse investment portfolio and through </w:t>
      </w:r>
      <w:r w:rsidR="00BE311F" w:rsidRPr="007E0255">
        <w:rPr>
          <w:sz w:val="24"/>
          <w:szCs w:val="24"/>
        </w:rPr>
        <w:t>the calculation</w:t>
      </w:r>
      <w:r w:rsidRPr="007E0255">
        <w:rPr>
          <w:sz w:val="24"/>
          <w:szCs w:val="24"/>
        </w:rPr>
        <w:t xml:space="preserve"> of appropriate fund proportions.</w:t>
      </w:r>
    </w:p>
    <w:p w14:paraId="256628B5" w14:textId="77777777" w:rsidR="00E85AB9" w:rsidRDefault="00A11E13" w:rsidP="00A11E13">
      <w:pPr>
        <w:rPr>
          <w:sz w:val="24"/>
          <w:szCs w:val="24"/>
        </w:rPr>
      </w:pPr>
      <w:r w:rsidRPr="007E0255">
        <w:rPr>
          <w:sz w:val="24"/>
          <w:szCs w:val="24"/>
        </w:rPr>
        <w:t xml:space="preserve">The total fund is £ 2500000, and hence, this would be divided into different investment paths to augment the total. </w:t>
      </w:r>
    </w:p>
    <w:p w14:paraId="03FB6855" w14:textId="77777777" w:rsidR="00E85AB9" w:rsidRDefault="00E85AB9" w:rsidP="00A11E13">
      <w:pPr>
        <w:rPr>
          <w:sz w:val="24"/>
          <w:szCs w:val="24"/>
        </w:rPr>
      </w:pPr>
    </w:p>
    <w:p w14:paraId="0D78547E" w14:textId="77777777" w:rsidR="00E85AB9" w:rsidRDefault="00E85AB9" w:rsidP="00A11E13">
      <w:pPr>
        <w:rPr>
          <w:sz w:val="24"/>
          <w:szCs w:val="24"/>
        </w:rPr>
      </w:pPr>
    </w:p>
    <w:p w14:paraId="4F75F5DF" w14:textId="5EDE33DB" w:rsidR="00A11E13" w:rsidRPr="007E0255" w:rsidRDefault="00A11E13" w:rsidP="00A11E13">
      <w:pPr>
        <w:rPr>
          <w:sz w:val="24"/>
          <w:szCs w:val="24"/>
        </w:rPr>
      </w:pPr>
      <w:r w:rsidRPr="007E0255">
        <w:rPr>
          <w:sz w:val="24"/>
          <w:szCs w:val="24"/>
        </w:rPr>
        <w:lastRenderedPageBreak/>
        <w:t>To achieve this, the ratio of NPV to the identical interest cost is to be calculated as follows:</w:t>
      </w:r>
    </w:p>
    <w:p w14:paraId="7B664B3E" w14:textId="77777777" w:rsidR="00A11E13" w:rsidRPr="00EF1125" w:rsidRDefault="00A11E13" w:rsidP="00A11E13">
      <w:pPr>
        <w:pStyle w:val="ListParagraph"/>
        <w:numPr>
          <w:ilvl w:val="0"/>
          <w:numId w:val="14"/>
        </w:numPr>
        <w:spacing w:before="120" w:after="120"/>
        <w:rPr>
          <w:b/>
          <w:bCs/>
          <w:sz w:val="24"/>
          <w:szCs w:val="24"/>
        </w:rPr>
      </w:pPr>
      <w:r w:rsidRPr="00EF1125">
        <w:rPr>
          <w:b/>
          <w:bCs/>
          <w:sz w:val="24"/>
          <w:szCs w:val="24"/>
        </w:rPr>
        <w:t>For investment A:</w:t>
      </w:r>
    </w:p>
    <w:p w14:paraId="1E61848F" w14:textId="5E946CB0" w:rsidR="00A11E13" w:rsidRPr="007E0255" w:rsidRDefault="00A11E13" w:rsidP="00A11E13">
      <w:pPr>
        <w:pStyle w:val="ListParagraph"/>
        <w:rPr>
          <w:sz w:val="24"/>
          <w:szCs w:val="24"/>
        </w:rPr>
      </w:pPr>
      <w:r w:rsidRPr="007E0255">
        <w:rPr>
          <w:sz w:val="24"/>
          <w:szCs w:val="24"/>
        </w:rPr>
        <w:t>Initial cost = 660,000 and calculated NPV = 2072892.953</w:t>
      </w:r>
    </w:p>
    <w:p w14:paraId="1E271F51" w14:textId="77777777" w:rsidR="00A11E13" w:rsidRPr="007E0255" w:rsidRDefault="00A11E13" w:rsidP="00A11E13">
      <w:pPr>
        <w:pStyle w:val="ListParagraph"/>
        <w:rPr>
          <w:sz w:val="24"/>
          <w:szCs w:val="24"/>
        </w:rPr>
      </w:pPr>
      <w:r w:rsidRPr="007E0255">
        <w:rPr>
          <w:sz w:val="24"/>
          <w:szCs w:val="24"/>
        </w:rPr>
        <w:t>Ratio = 3.14</w:t>
      </w:r>
    </w:p>
    <w:p w14:paraId="5DE93732" w14:textId="77777777" w:rsidR="00A11E13" w:rsidRPr="00EF1125" w:rsidRDefault="00A11E13" w:rsidP="00A11E13">
      <w:pPr>
        <w:pStyle w:val="ListParagraph"/>
        <w:numPr>
          <w:ilvl w:val="0"/>
          <w:numId w:val="14"/>
        </w:numPr>
        <w:spacing w:before="120" w:after="120"/>
        <w:rPr>
          <w:b/>
          <w:bCs/>
          <w:sz w:val="24"/>
          <w:szCs w:val="24"/>
        </w:rPr>
      </w:pPr>
      <w:r w:rsidRPr="00EF1125">
        <w:rPr>
          <w:b/>
          <w:bCs/>
          <w:sz w:val="24"/>
          <w:szCs w:val="24"/>
        </w:rPr>
        <w:t>For Investment B:</w:t>
      </w:r>
    </w:p>
    <w:p w14:paraId="56F77206" w14:textId="35E5BC4D" w:rsidR="00A11E13" w:rsidRPr="007E0255" w:rsidRDefault="00A11E13" w:rsidP="00A11E13">
      <w:pPr>
        <w:pStyle w:val="ListParagraph"/>
        <w:rPr>
          <w:sz w:val="24"/>
          <w:szCs w:val="24"/>
        </w:rPr>
      </w:pPr>
      <w:r w:rsidRPr="007E0255">
        <w:rPr>
          <w:sz w:val="24"/>
          <w:szCs w:val="24"/>
        </w:rPr>
        <w:t>Initial cost = 1</w:t>
      </w:r>
      <w:r w:rsidR="00794312">
        <w:rPr>
          <w:sz w:val="24"/>
          <w:szCs w:val="24"/>
        </w:rPr>
        <w:t>,</w:t>
      </w:r>
      <w:r w:rsidRPr="007E0255">
        <w:rPr>
          <w:sz w:val="24"/>
          <w:szCs w:val="24"/>
        </w:rPr>
        <w:t xml:space="preserve">000,000 and calculated NPV = 1301418.633 </w:t>
      </w:r>
    </w:p>
    <w:p w14:paraId="6DDE297E" w14:textId="77777777" w:rsidR="00A11E13" w:rsidRPr="007E0255" w:rsidRDefault="00A11E13" w:rsidP="00A11E13">
      <w:pPr>
        <w:pStyle w:val="ListParagraph"/>
        <w:rPr>
          <w:sz w:val="24"/>
          <w:szCs w:val="24"/>
        </w:rPr>
      </w:pPr>
      <w:r w:rsidRPr="007E0255">
        <w:rPr>
          <w:sz w:val="24"/>
          <w:szCs w:val="24"/>
        </w:rPr>
        <w:t>Ratio = 1.30</w:t>
      </w:r>
    </w:p>
    <w:p w14:paraId="7EEAB464" w14:textId="77777777" w:rsidR="00A11E13" w:rsidRPr="00EF1125" w:rsidRDefault="00A11E13" w:rsidP="00A11E13">
      <w:pPr>
        <w:pStyle w:val="ListParagraph"/>
        <w:numPr>
          <w:ilvl w:val="0"/>
          <w:numId w:val="14"/>
        </w:numPr>
        <w:spacing w:before="120" w:after="120"/>
        <w:rPr>
          <w:b/>
          <w:bCs/>
          <w:sz w:val="24"/>
          <w:szCs w:val="24"/>
        </w:rPr>
      </w:pPr>
      <w:r w:rsidRPr="00EF1125">
        <w:rPr>
          <w:b/>
          <w:bCs/>
          <w:sz w:val="24"/>
          <w:szCs w:val="24"/>
        </w:rPr>
        <w:t>For Investment C:</w:t>
      </w:r>
    </w:p>
    <w:p w14:paraId="0D1756A5" w14:textId="41B5DDF1" w:rsidR="00A11E13" w:rsidRPr="007E0255" w:rsidRDefault="00A11E13" w:rsidP="00A11E13">
      <w:pPr>
        <w:pStyle w:val="ListParagraph"/>
        <w:rPr>
          <w:sz w:val="24"/>
          <w:szCs w:val="24"/>
        </w:rPr>
      </w:pPr>
      <w:r w:rsidRPr="007E0255">
        <w:rPr>
          <w:sz w:val="24"/>
          <w:szCs w:val="24"/>
        </w:rPr>
        <w:t>Initial cost = 1</w:t>
      </w:r>
      <w:r w:rsidR="00794312">
        <w:rPr>
          <w:sz w:val="24"/>
          <w:szCs w:val="24"/>
        </w:rPr>
        <w:t>,</w:t>
      </w:r>
      <w:r w:rsidRPr="007E0255">
        <w:rPr>
          <w:sz w:val="24"/>
          <w:szCs w:val="24"/>
        </w:rPr>
        <w:t>700,000 and calculated NPV = 1315807.908</w:t>
      </w:r>
    </w:p>
    <w:p w14:paraId="5363A439" w14:textId="77777777" w:rsidR="00A11E13" w:rsidRPr="007E0255" w:rsidRDefault="00A11E13" w:rsidP="00A11E13">
      <w:pPr>
        <w:pStyle w:val="ListParagraph"/>
        <w:rPr>
          <w:sz w:val="24"/>
          <w:szCs w:val="24"/>
        </w:rPr>
      </w:pPr>
      <w:r w:rsidRPr="007E0255">
        <w:rPr>
          <w:sz w:val="24"/>
          <w:szCs w:val="24"/>
        </w:rPr>
        <w:t>Ratio = 0.77</w:t>
      </w:r>
    </w:p>
    <w:p w14:paraId="30A005F6" w14:textId="77777777" w:rsidR="00A11E13" w:rsidRPr="007E0255" w:rsidRDefault="00A11E13" w:rsidP="00A11E13">
      <w:pPr>
        <w:rPr>
          <w:sz w:val="24"/>
          <w:szCs w:val="24"/>
        </w:rPr>
      </w:pPr>
      <w:r w:rsidRPr="007E0255">
        <w:rPr>
          <w:sz w:val="24"/>
          <w:szCs w:val="24"/>
        </w:rPr>
        <w:t>As per the ranks of the investment, which is A&gt;B&gt;C, the division of funds is as follows:</w:t>
      </w:r>
    </w:p>
    <w:p w14:paraId="06116D63" w14:textId="158226DA" w:rsidR="00A11E13" w:rsidRPr="007E0255" w:rsidRDefault="00A11E13" w:rsidP="00A11E13">
      <w:pPr>
        <w:rPr>
          <w:sz w:val="24"/>
          <w:szCs w:val="24"/>
        </w:rPr>
      </w:pPr>
      <w:r w:rsidRPr="007E0255">
        <w:rPr>
          <w:sz w:val="24"/>
          <w:szCs w:val="24"/>
        </w:rPr>
        <w:t>For option A: Full funding = 66000</w:t>
      </w:r>
      <w:r w:rsidR="00386359">
        <w:rPr>
          <w:sz w:val="24"/>
          <w:szCs w:val="24"/>
        </w:rPr>
        <w:t>0</w:t>
      </w:r>
    </w:p>
    <w:p w14:paraId="659E1939" w14:textId="77777777" w:rsidR="00A11E13" w:rsidRPr="007E0255" w:rsidRDefault="00A11E13" w:rsidP="00A11E13">
      <w:pPr>
        <w:rPr>
          <w:sz w:val="24"/>
          <w:szCs w:val="24"/>
        </w:rPr>
      </w:pPr>
      <w:r w:rsidRPr="007E0255">
        <w:rPr>
          <w:sz w:val="24"/>
          <w:szCs w:val="24"/>
        </w:rPr>
        <w:t>For option B: Full funding = 1000000</w:t>
      </w:r>
    </w:p>
    <w:p w14:paraId="7D3A8AA0" w14:textId="77777777" w:rsidR="00A11E13" w:rsidRPr="007E0255" w:rsidRDefault="00A11E13" w:rsidP="00A11E13">
      <w:pPr>
        <w:rPr>
          <w:sz w:val="24"/>
          <w:szCs w:val="24"/>
        </w:rPr>
      </w:pPr>
      <w:r w:rsidRPr="007E0255">
        <w:rPr>
          <w:sz w:val="24"/>
          <w:szCs w:val="24"/>
        </w:rPr>
        <w:t>And for option C: the remaining fund = 2500000 – (fund of A + fund of B) = 840000</w:t>
      </w:r>
    </w:p>
    <w:p w14:paraId="49E5240B" w14:textId="77777777" w:rsidR="00A11E13" w:rsidRPr="007E0255" w:rsidRDefault="00A11E13" w:rsidP="00A11E13">
      <w:pPr>
        <w:rPr>
          <w:sz w:val="24"/>
          <w:szCs w:val="24"/>
        </w:rPr>
      </w:pPr>
      <w:r w:rsidRPr="007E0255">
        <w:rPr>
          <w:sz w:val="24"/>
          <w:szCs w:val="24"/>
        </w:rPr>
        <w:t>Hence the NPV for investment option C would be = (840000/1700000) * 1315807.90 = 650,163.90</w:t>
      </w:r>
    </w:p>
    <w:p w14:paraId="76A4A704" w14:textId="77777777" w:rsidR="00A11E13" w:rsidRPr="007E0255" w:rsidRDefault="00A11E13" w:rsidP="00A11E13">
      <w:pPr>
        <w:rPr>
          <w:sz w:val="24"/>
          <w:szCs w:val="24"/>
        </w:rPr>
      </w:pPr>
      <w:r w:rsidRPr="007E0255">
        <w:rPr>
          <w:sz w:val="24"/>
          <w:szCs w:val="24"/>
        </w:rPr>
        <w:t xml:space="preserve">Therefore, the total NPV from the investment policy = 2072892.95 + 1301418.63 +650163.90 </w:t>
      </w:r>
    </w:p>
    <w:p w14:paraId="25A8294F" w14:textId="77777777" w:rsidR="00A11E13" w:rsidRPr="007E0255" w:rsidRDefault="00A11E13" w:rsidP="00A11E13">
      <w:pPr>
        <w:ind w:left="5040" w:firstLine="720"/>
        <w:rPr>
          <w:sz w:val="24"/>
          <w:szCs w:val="24"/>
        </w:rPr>
      </w:pPr>
      <w:r w:rsidRPr="007E0255">
        <w:rPr>
          <w:sz w:val="24"/>
          <w:szCs w:val="24"/>
        </w:rPr>
        <w:t xml:space="preserve">= £ 4024475.48. </w:t>
      </w:r>
    </w:p>
    <w:p w14:paraId="3F45820F" w14:textId="77777777" w:rsidR="00A11E13" w:rsidRDefault="00A11E13" w:rsidP="00A11E13">
      <w:pPr>
        <w:pStyle w:val="Heading2"/>
        <w:rPr>
          <w:sz w:val="28"/>
          <w:szCs w:val="28"/>
        </w:rPr>
      </w:pPr>
      <w:bookmarkStart w:id="31" w:name="_Toc187313007"/>
      <w:r w:rsidRPr="00BE311F">
        <w:rPr>
          <w:sz w:val="28"/>
          <w:szCs w:val="28"/>
        </w:rPr>
        <w:t>Suggestion on financing</w:t>
      </w:r>
      <w:bookmarkEnd w:id="31"/>
    </w:p>
    <w:p w14:paraId="74A0D6D7" w14:textId="77777777" w:rsidR="00D61C6F" w:rsidRPr="00D61C6F" w:rsidRDefault="00D61C6F" w:rsidP="00D61C6F"/>
    <w:p w14:paraId="689B426D" w14:textId="77777777" w:rsidR="00A11E13" w:rsidRPr="00D61C6F" w:rsidRDefault="00A11E13" w:rsidP="00A11E13">
      <w:pPr>
        <w:rPr>
          <w:sz w:val="24"/>
          <w:szCs w:val="24"/>
        </w:rPr>
      </w:pPr>
      <w:r w:rsidRPr="00D61C6F">
        <w:rPr>
          <w:sz w:val="24"/>
          <w:szCs w:val="24"/>
        </w:rPr>
        <w:t>The board of Greenacres Plc can make use of the following financing recommendations on how they can fiancé the investment program and what the main sources available for them are:</w:t>
      </w:r>
    </w:p>
    <w:p w14:paraId="27504CA8" w14:textId="77777777" w:rsidR="00A11E13" w:rsidRPr="003F1D73" w:rsidRDefault="00A11E13" w:rsidP="00A11E13">
      <w:pPr>
        <w:pStyle w:val="ListParagraph"/>
        <w:numPr>
          <w:ilvl w:val="0"/>
          <w:numId w:val="14"/>
        </w:numPr>
        <w:spacing w:before="120" w:after="120"/>
        <w:rPr>
          <w:b/>
          <w:bCs/>
          <w:sz w:val="24"/>
          <w:szCs w:val="24"/>
        </w:rPr>
      </w:pPr>
      <w:r w:rsidRPr="003F1D73">
        <w:rPr>
          <w:b/>
          <w:bCs/>
          <w:sz w:val="24"/>
          <w:szCs w:val="24"/>
        </w:rPr>
        <w:t>Equity Finance Resources</w:t>
      </w:r>
    </w:p>
    <w:p w14:paraId="4E998293" w14:textId="77777777" w:rsidR="00A11E13" w:rsidRPr="00D61C6F" w:rsidRDefault="00A11E13" w:rsidP="00A11E13">
      <w:pPr>
        <w:pStyle w:val="ListParagraph"/>
        <w:rPr>
          <w:sz w:val="24"/>
          <w:szCs w:val="24"/>
        </w:rPr>
      </w:pPr>
      <w:r w:rsidRPr="00D61C6F">
        <w:rPr>
          <w:sz w:val="24"/>
          <w:szCs w:val="24"/>
        </w:rPr>
        <w:t xml:space="preserve">This means generating finance or capital for investment projects through the selling of company shares or assets. In simpler terms, the board members of Greenacres Plc can consider giving away part of their company in return for capital for financing </w:t>
      </w:r>
      <w:r w:rsidRPr="00D61C6F">
        <w:rPr>
          <w:sz w:val="24"/>
          <w:szCs w:val="24"/>
        </w:rPr>
        <w:lastRenderedPageBreak/>
        <w:t xml:space="preserve">investment. The main advantage of getting capital through equity is that there is no burden on the company in terms of loans. With this method, the company can gain new partnerships with other organizations and form valuable relationships. However, the equity investors will expect a higher profit; the company will have to share part of the business control with them. </w:t>
      </w:r>
    </w:p>
    <w:p w14:paraId="72332E6C" w14:textId="77777777" w:rsidR="00A11E13" w:rsidRPr="00EF1125" w:rsidRDefault="00A11E13" w:rsidP="00A11E13">
      <w:pPr>
        <w:pStyle w:val="ListParagraph"/>
        <w:numPr>
          <w:ilvl w:val="0"/>
          <w:numId w:val="14"/>
        </w:numPr>
        <w:spacing w:before="120" w:after="120"/>
        <w:rPr>
          <w:b/>
          <w:bCs/>
          <w:sz w:val="24"/>
          <w:szCs w:val="24"/>
        </w:rPr>
      </w:pPr>
      <w:r w:rsidRPr="00EF1125">
        <w:rPr>
          <w:b/>
          <w:bCs/>
          <w:sz w:val="24"/>
          <w:szCs w:val="24"/>
        </w:rPr>
        <w:t>Debt Finance Resources</w:t>
      </w:r>
    </w:p>
    <w:p w14:paraId="3088CA17" w14:textId="77777777" w:rsidR="00A11E13" w:rsidRPr="00D61C6F" w:rsidRDefault="00A11E13" w:rsidP="00A11E13">
      <w:pPr>
        <w:pStyle w:val="ListParagraph"/>
        <w:rPr>
          <w:sz w:val="24"/>
          <w:szCs w:val="24"/>
        </w:rPr>
      </w:pPr>
      <w:r w:rsidRPr="00D61C6F">
        <w:rPr>
          <w:sz w:val="24"/>
          <w:szCs w:val="24"/>
        </w:rPr>
        <w:t xml:space="preserve">As compared to equity finance resourcing, debt finance resources are more attractive and flexible options to generate essential investment capital. This approach refers to the practice of a company selling debt elements such as loans and bonds to raise money. More simply, Greenacres Plc can borrow money from financial institutions and organizations and pay it back at an interest rate. The main advantage is that the company will not have to share part of its corporate control, and the interest amount tin deducted from taxes. However, this method requires a good credit score and demands timely repayments. </w:t>
      </w:r>
    </w:p>
    <w:p w14:paraId="0ABD9AB7" w14:textId="77777777" w:rsidR="00A11E13" w:rsidRPr="00EF1125" w:rsidRDefault="00A11E13" w:rsidP="00A11E13">
      <w:pPr>
        <w:pStyle w:val="ListParagraph"/>
        <w:numPr>
          <w:ilvl w:val="0"/>
          <w:numId w:val="14"/>
        </w:numPr>
        <w:spacing w:before="120" w:after="120"/>
        <w:rPr>
          <w:b/>
          <w:bCs/>
          <w:sz w:val="24"/>
          <w:szCs w:val="24"/>
        </w:rPr>
      </w:pPr>
      <w:r w:rsidRPr="00EF1125">
        <w:rPr>
          <w:b/>
          <w:bCs/>
          <w:sz w:val="24"/>
          <w:szCs w:val="24"/>
        </w:rPr>
        <w:t>Crowd Funding</w:t>
      </w:r>
    </w:p>
    <w:p w14:paraId="26E52776" w14:textId="77777777" w:rsidR="00A11E13" w:rsidRDefault="00A11E13" w:rsidP="00A11E13">
      <w:pPr>
        <w:pStyle w:val="ListParagraph"/>
        <w:rPr>
          <w:sz w:val="24"/>
          <w:szCs w:val="24"/>
        </w:rPr>
      </w:pPr>
      <w:r w:rsidRPr="00D61C6F">
        <w:rPr>
          <w:sz w:val="24"/>
          <w:szCs w:val="24"/>
        </w:rPr>
        <w:t xml:space="preserve">This refers to the practice of collecting finance for an investment project by borrowing money from several small institutions and organizations. This also includes donations, grants subsidies from public institutes. The process of crowdfunding is mostly done online and usually used by start-up businesses, however, established companies such as Greenacres Plc can also acquire the funds through this method. One of the key advantages of this process of collecting funds is that it can help businesses in borrowing higher value funds with better terms and conditions, and if profitable it attracts small investors towards the company’s operations. However, since it requires a certain number of investors to collect the desirable amount of funds, it might take a long time </w:t>
      </w:r>
      <w:proofErr w:type="gramStart"/>
      <w:r w:rsidRPr="00D61C6F">
        <w:rPr>
          <w:sz w:val="24"/>
          <w:szCs w:val="24"/>
        </w:rPr>
        <w:t>and also</w:t>
      </w:r>
      <w:proofErr w:type="gramEnd"/>
      <w:r w:rsidRPr="00D61C6F">
        <w:rPr>
          <w:sz w:val="24"/>
          <w:szCs w:val="24"/>
        </w:rPr>
        <w:t xml:space="preserve"> puts the company at risk of being open to the public. </w:t>
      </w:r>
    </w:p>
    <w:p w14:paraId="18FE59E1" w14:textId="77777777" w:rsidR="00E37901" w:rsidRDefault="00E37901" w:rsidP="00A11E13">
      <w:pPr>
        <w:pStyle w:val="ListParagraph"/>
        <w:rPr>
          <w:sz w:val="24"/>
          <w:szCs w:val="24"/>
        </w:rPr>
      </w:pPr>
    </w:p>
    <w:p w14:paraId="2C28DC12" w14:textId="77777777" w:rsidR="00E37901" w:rsidRDefault="00E37901" w:rsidP="00A11E13">
      <w:pPr>
        <w:pStyle w:val="ListParagraph"/>
        <w:rPr>
          <w:sz w:val="24"/>
          <w:szCs w:val="24"/>
        </w:rPr>
      </w:pPr>
    </w:p>
    <w:p w14:paraId="350AA0F3" w14:textId="77777777" w:rsidR="00E37901" w:rsidRDefault="00E37901" w:rsidP="00A11E13">
      <w:pPr>
        <w:pStyle w:val="ListParagraph"/>
        <w:rPr>
          <w:sz w:val="24"/>
          <w:szCs w:val="24"/>
        </w:rPr>
      </w:pPr>
    </w:p>
    <w:p w14:paraId="2AD9D550" w14:textId="77777777" w:rsidR="00E37901" w:rsidRDefault="00E37901" w:rsidP="00A11E13">
      <w:pPr>
        <w:pStyle w:val="ListParagraph"/>
        <w:rPr>
          <w:sz w:val="24"/>
          <w:szCs w:val="24"/>
        </w:rPr>
      </w:pPr>
    </w:p>
    <w:p w14:paraId="014E981E" w14:textId="77777777" w:rsidR="00E37901" w:rsidRDefault="00E37901" w:rsidP="00A11E13">
      <w:pPr>
        <w:pStyle w:val="ListParagraph"/>
        <w:rPr>
          <w:sz w:val="24"/>
          <w:szCs w:val="24"/>
        </w:rPr>
      </w:pPr>
    </w:p>
    <w:p w14:paraId="2986B8C2" w14:textId="77777777" w:rsidR="00D61C6F" w:rsidRPr="00B90845" w:rsidRDefault="00D61C6F" w:rsidP="00B90845">
      <w:pPr>
        <w:rPr>
          <w:sz w:val="24"/>
          <w:szCs w:val="24"/>
        </w:rPr>
      </w:pPr>
    </w:p>
    <w:p w14:paraId="4027B08F" w14:textId="77777777" w:rsidR="00A11E13" w:rsidRDefault="00A11E13" w:rsidP="00A11E13">
      <w:pPr>
        <w:pStyle w:val="Heading1"/>
        <w:rPr>
          <w:sz w:val="28"/>
          <w:szCs w:val="28"/>
        </w:rPr>
      </w:pPr>
      <w:bookmarkStart w:id="32" w:name="_Toc187313008"/>
      <w:r w:rsidRPr="00D61C6F">
        <w:rPr>
          <w:sz w:val="28"/>
          <w:szCs w:val="28"/>
        </w:rPr>
        <w:lastRenderedPageBreak/>
        <w:t>Conclusion</w:t>
      </w:r>
      <w:bookmarkEnd w:id="32"/>
    </w:p>
    <w:p w14:paraId="525BB9AC" w14:textId="77777777" w:rsidR="00D61C6F" w:rsidRPr="00D61C6F" w:rsidRDefault="00D61C6F" w:rsidP="00D61C6F"/>
    <w:p w14:paraId="4DAD3DDB" w14:textId="77777777" w:rsidR="00A11E13" w:rsidRPr="00D61C6F" w:rsidRDefault="00A11E13" w:rsidP="00A11E13">
      <w:pPr>
        <w:rPr>
          <w:sz w:val="24"/>
          <w:szCs w:val="24"/>
        </w:rPr>
      </w:pPr>
      <w:r w:rsidRPr="00D61C6F">
        <w:rPr>
          <w:sz w:val="24"/>
          <w:szCs w:val="24"/>
        </w:rPr>
        <w:t xml:space="preserve">This report provided discussions on the decision-making process of Greenacres Plc. It explained that among the three given investment options, it should consider going with option C which is an investment in greenhouse and conservatories. This conclusion was achieved through the estimation and assessment of investment paths using the NPV technique. With the option displaying the highest NPV, a recommendation on that option was given. The report also presented the estimation of the IRR value for all the suggested investment C. </w:t>
      </w:r>
    </w:p>
    <w:p w14:paraId="0A2AE795" w14:textId="55E259C9" w:rsidR="00A11E13" w:rsidRPr="00D61C6F" w:rsidRDefault="00A11E13" w:rsidP="00A11E13">
      <w:pPr>
        <w:rPr>
          <w:sz w:val="24"/>
          <w:szCs w:val="24"/>
        </w:rPr>
      </w:pPr>
      <w:r w:rsidRPr="00D61C6F">
        <w:rPr>
          <w:sz w:val="24"/>
          <w:szCs w:val="24"/>
        </w:rPr>
        <w:t>It was deduced that 32% of the return percentage is requisite to convert the present value of cash proceeds to the initial investment of £ 1700000. Further, with appropriate theoretical implications, the report discussed that NPV is the famously used and best method of investment appraisal. The reason for the popularity of non-discounted methods was discussed along with the agents that companies need to consider when making investment decisions. Moreover, the total NPV for optimal investment policy came out to be</w:t>
      </w:r>
      <w:r w:rsidR="00562CBD">
        <w:rPr>
          <w:sz w:val="24"/>
          <w:szCs w:val="24"/>
        </w:rPr>
        <w:t xml:space="preserve"> </w:t>
      </w:r>
      <w:r w:rsidRPr="00D61C6F">
        <w:rPr>
          <w:sz w:val="24"/>
          <w:szCs w:val="24"/>
        </w:rPr>
        <w:t xml:space="preserve">£ 4,024,475.48. In addition to that, it was suggested that Greenacres Plc can finance their investment projects through equity financing, debt financing, and crowdfunding. </w:t>
      </w:r>
    </w:p>
    <w:p w14:paraId="0C4CF9EC" w14:textId="77777777" w:rsidR="00CA1C79" w:rsidRDefault="00CA1C79" w:rsidP="00A11E13">
      <w:pPr>
        <w:spacing w:line="259" w:lineRule="auto"/>
        <w:jc w:val="left"/>
        <w:rPr>
          <w:sz w:val="24"/>
          <w:szCs w:val="24"/>
        </w:rPr>
      </w:pPr>
    </w:p>
    <w:p w14:paraId="63D3BA94" w14:textId="77777777" w:rsidR="00CA1C79" w:rsidRDefault="00CA1C79" w:rsidP="00A11E13">
      <w:pPr>
        <w:spacing w:line="259" w:lineRule="auto"/>
        <w:jc w:val="left"/>
        <w:rPr>
          <w:sz w:val="24"/>
          <w:szCs w:val="24"/>
        </w:rPr>
      </w:pPr>
    </w:p>
    <w:p w14:paraId="2245A60F" w14:textId="77777777" w:rsidR="00CA1C79" w:rsidRDefault="00CA1C79" w:rsidP="00A11E13">
      <w:pPr>
        <w:spacing w:line="259" w:lineRule="auto"/>
        <w:jc w:val="left"/>
        <w:rPr>
          <w:sz w:val="24"/>
          <w:szCs w:val="24"/>
        </w:rPr>
      </w:pPr>
    </w:p>
    <w:p w14:paraId="56854D3C" w14:textId="77777777" w:rsidR="00CA1C79" w:rsidRDefault="00CA1C79" w:rsidP="00A11E13">
      <w:pPr>
        <w:spacing w:line="259" w:lineRule="auto"/>
        <w:jc w:val="left"/>
        <w:rPr>
          <w:sz w:val="24"/>
          <w:szCs w:val="24"/>
        </w:rPr>
      </w:pPr>
    </w:p>
    <w:p w14:paraId="7AEB559C" w14:textId="77777777" w:rsidR="00CA1C79" w:rsidRDefault="00CA1C79" w:rsidP="00A11E13">
      <w:pPr>
        <w:spacing w:line="259" w:lineRule="auto"/>
        <w:jc w:val="left"/>
        <w:rPr>
          <w:sz w:val="24"/>
          <w:szCs w:val="24"/>
        </w:rPr>
      </w:pPr>
    </w:p>
    <w:p w14:paraId="06B95C52" w14:textId="77777777" w:rsidR="00CA1C79" w:rsidRDefault="00CA1C79" w:rsidP="00A11E13">
      <w:pPr>
        <w:spacing w:line="259" w:lineRule="auto"/>
        <w:jc w:val="left"/>
        <w:rPr>
          <w:sz w:val="24"/>
          <w:szCs w:val="24"/>
        </w:rPr>
      </w:pPr>
    </w:p>
    <w:p w14:paraId="3F8E2B20" w14:textId="3140318B" w:rsidR="00CA1C79" w:rsidRDefault="00CA1C79" w:rsidP="00A11E13">
      <w:pPr>
        <w:spacing w:line="259" w:lineRule="auto"/>
        <w:jc w:val="left"/>
        <w:rPr>
          <w:sz w:val="24"/>
          <w:szCs w:val="24"/>
        </w:rPr>
      </w:pPr>
      <w:r w:rsidRPr="00CA1C79">
        <w:rPr>
          <w:b/>
          <w:bCs/>
          <w:sz w:val="24"/>
          <w:szCs w:val="24"/>
        </w:rPr>
        <w:t>Word count:</w:t>
      </w:r>
      <w:r>
        <w:rPr>
          <w:sz w:val="24"/>
          <w:szCs w:val="24"/>
        </w:rPr>
        <w:t xml:space="preserve"> 5.004</w:t>
      </w:r>
    </w:p>
    <w:p w14:paraId="6ACFA2A9" w14:textId="77777777" w:rsidR="00CA1C79" w:rsidRDefault="00CA1C79" w:rsidP="00A11E13">
      <w:pPr>
        <w:spacing w:line="259" w:lineRule="auto"/>
        <w:jc w:val="left"/>
        <w:rPr>
          <w:sz w:val="24"/>
          <w:szCs w:val="24"/>
        </w:rPr>
      </w:pPr>
    </w:p>
    <w:p w14:paraId="2C054F4C" w14:textId="77777777" w:rsidR="00CA1C79" w:rsidRDefault="00CA1C79" w:rsidP="00A11E13">
      <w:pPr>
        <w:spacing w:line="259" w:lineRule="auto"/>
        <w:jc w:val="left"/>
        <w:rPr>
          <w:sz w:val="24"/>
          <w:szCs w:val="24"/>
        </w:rPr>
      </w:pPr>
    </w:p>
    <w:p w14:paraId="74D2077A" w14:textId="77777777" w:rsidR="00CA1C79" w:rsidRDefault="00CA1C79" w:rsidP="00A11E13">
      <w:pPr>
        <w:spacing w:line="259" w:lineRule="auto"/>
        <w:jc w:val="left"/>
        <w:rPr>
          <w:sz w:val="24"/>
          <w:szCs w:val="24"/>
        </w:rPr>
      </w:pPr>
    </w:p>
    <w:p w14:paraId="1AADF3F3" w14:textId="77777777" w:rsidR="00CA1C79" w:rsidRDefault="00CA1C79" w:rsidP="00A11E13">
      <w:pPr>
        <w:spacing w:line="259" w:lineRule="auto"/>
        <w:jc w:val="left"/>
        <w:rPr>
          <w:sz w:val="24"/>
          <w:szCs w:val="24"/>
        </w:rPr>
      </w:pPr>
    </w:p>
    <w:p w14:paraId="74F912E0" w14:textId="77777777" w:rsidR="00CA1C79" w:rsidRPr="00D61C6F" w:rsidRDefault="00CA1C79" w:rsidP="00A11E13">
      <w:pPr>
        <w:spacing w:line="259" w:lineRule="auto"/>
        <w:jc w:val="left"/>
        <w:rPr>
          <w:sz w:val="24"/>
          <w:szCs w:val="24"/>
        </w:rPr>
      </w:pPr>
    </w:p>
    <w:p w14:paraId="2CC882F9" w14:textId="5D2E979B" w:rsidR="00A11E13" w:rsidRPr="00EF4F64" w:rsidRDefault="001E6FB6" w:rsidP="00A11E13">
      <w:pPr>
        <w:pStyle w:val="Heading1"/>
        <w:rPr>
          <w:sz w:val="28"/>
          <w:szCs w:val="28"/>
        </w:rPr>
      </w:pPr>
      <w:r>
        <w:rPr>
          <w:sz w:val="28"/>
          <w:szCs w:val="28"/>
        </w:rPr>
        <w:lastRenderedPageBreak/>
        <w:t>Bibliography</w:t>
      </w:r>
    </w:p>
    <w:p w14:paraId="07E86454" w14:textId="77777777" w:rsidR="00E37901" w:rsidRPr="00E37901" w:rsidRDefault="00E37901" w:rsidP="00E37901"/>
    <w:p w14:paraId="23554581" w14:textId="77777777" w:rsidR="00A11E13" w:rsidRPr="00EF4F64" w:rsidRDefault="00A11E13" w:rsidP="00A11E13">
      <w:pPr>
        <w:rPr>
          <w:sz w:val="24"/>
          <w:szCs w:val="24"/>
        </w:rPr>
      </w:pPr>
      <w:proofErr w:type="spellStart"/>
      <w:r w:rsidRPr="00EF4F64">
        <w:rPr>
          <w:sz w:val="24"/>
          <w:szCs w:val="24"/>
        </w:rPr>
        <w:t>Atrill</w:t>
      </w:r>
      <w:proofErr w:type="spellEnd"/>
      <w:r w:rsidRPr="00EF4F64">
        <w:rPr>
          <w:sz w:val="24"/>
          <w:szCs w:val="24"/>
        </w:rPr>
        <w:t>, P., 2020. MBA-746 Financial Management for Decision Makers.</w:t>
      </w:r>
    </w:p>
    <w:p w14:paraId="19581E70" w14:textId="77777777" w:rsidR="00A11E13" w:rsidRPr="00EF4F64" w:rsidRDefault="00A11E13" w:rsidP="00A11E13">
      <w:pPr>
        <w:rPr>
          <w:sz w:val="24"/>
          <w:szCs w:val="24"/>
        </w:rPr>
      </w:pPr>
      <w:r w:rsidRPr="00EF4F64">
        <w:rPr>
          <w:sz w:val="24"/>
          <w:szCs w:val="24"/>
        </w:rPr>
        <w:t>Baum, A., Crosby, N., Devaney, S., 2021. Property Investment Appraisal. United Kingdom: Wiley.</w:t>
      </w:r>
    </w:p>
    <w:p w14:paraId="6494677B" w14:textId="77777777" w:rsidR="00A11E13" w:rsidRPr="00EF4F64" w:rsidRDefault="00A11E13" w:rsidP="00A11E13">
      <w:pPr>
        <w:rPr>
          <w:sz w:val="24"/>
          <w:szCs w:val="24"/>
        </w:rPr>
      </w:pPr>
      <w:r w:rsidRPr="00EF4F64">
        <w:rPr>
          <w:sz w:val="24"/>
          <w:szCs w:val="24"/>
        </w:rPr>
        <w:t xml:space="preserve">Bhimani, A., 2022. </w:t>
      </w:r>
      <w:r w:rsidRPr="00EF4F64">
        <w:rPr>
          <w:bCs/>
          <w:sz w:val="24"/>
          <w:szCs w:val="24"/>
        </w:rPr>
        <w:t>Financial management for technology start-ups: how to power growth, track performance and drive innovation</w:t>
      </w:r>
      <w:r w:rsidRPr="00EF4F64">
        <w:rPr>
          <w:sz w:val="24"/>
          <w:szCs w:val="24"/>
        </w:rPr>
        <w:t xml:space="preserve">. Second edition., London; New </w:t>
      </w:r>
      <w:proofErr w:type="spellStart"/>
      <w:proofErr w:type="gramStart"/>
      <w:r w:rsidRPr="00EF4F64">
        <w:rPr>
          <w:sz w:val="24"/>
          <w:szCs w:val="24"/>
        </w:rPr>
        <w:t>York:London</w:t>
      </w:r>
      <w:proofErr w:type="spellEnd"/>
      <w:proofErr w:type="gramEnd"/>
      <w:r w:rsidRPr="00EF4F64">
        <w:rPr>
          <w:sz w:val="24"/>
          <w:szCs w:val="24"/>
        </w:rPr>
        <w:t xml:space="preserve"> ; New York :, </w:t>
      </w:r>
      <w:proofErr w:type="spellStart"/>
      <w:r w:rsidRPr="00EF4F64">
        <w:rPr>
          <w:sz w:val="24"/>
          <w:szCs w:val="24"/>
        </w:rPr>
        <w:t>KoganPage</w:t>
      </w:r>
      <w:proofErr w:type="spellEnd"/>
      <w:r w:rsidRPr="00EF4F64">
        <w:rPr>
          <w:sz w:val="24"/>
          <w:szCs w:val="24"/>
        </w:rPr>
        <w:t xml:space="preserve">, 2022., Total pages xvi, 226 pages </w:t>
      </w:r>
    </w:p>
    <w:p w14:paraId="2C52CDC0" w14:textId="77777777" w:rsidR="00A11E13" w:rsidRPr="00EF4F64" w:rsidRDefault="00A11E13" w:rsidP="00A11E13">
      <w:pPr>
        <w:rPr>
          <w:sz w:val="24"/>
          <w:szCs w:val="24"/>
        </w:rPr>
      </w:pPr>
      <w:proofErr w:type="spellStart"/>
      <w:r w:rsidRPr="00EF4F64">
        <w:rPr>
          <w:sz w:val="24"/>
          <w:szCs w:val="24"/>
        </w:rPr>
        <w:t>Brusov</w:t>
      </w:r>
      <w:proofErr w:type="spellEnd"/>
      <w:r w:rsidRPr="00EF4F64">
        <w:rPr>
          <w:sz w:val="24"/>
          <w:szCs w:val="24"/>
        </w:rPr>
        <w:t>, P., Filatova, T, Orekhova, N, </w:t>
      </w:r>
      <w:proofErr w:type="spellStart"/>
      <w:r w:rsidRPr="00EF4F64">
        <w:rPr>
          <w:sz w:val="24"/>
          <w:szCs w:val="24"/>
        </w:rPr>
        <w:t>Eskindarov</w:t>
      </w:r>
      <w:proofErr w:type="spellEnd"/>
      <w:r w:rsidRPr="00EF4F64">
        <w:rPr>
          <w:sz w:val="24"/>
          <w:szCs w:val="24"/>
        </w:rPr>
        <w:t>, M., 2018. Modern Corporate Finance, Investments, Taxation and Ratings. Germany: Springer International Publishing.</w:t>
      </w:r>
    </w:p>
    <w:p w14:paraId="7FAC0015" w14:textId="77777777" w:rsidR="00A11E13" w:rsidRPr="00EF4F64" w:rsidRDefault="00A11E13" w:rsidP="00A11E13">
      <w:pPr>
        <w:rPr>
          <w:sz w:val="24"/>
          <w:szCs w:val="24"/>
        </w:rPr>
      </w:pPr>
      <w:r w:rsidRPr="00EF4F64">
        <w:rPr>
          <w:sz w:val="24"/>
          <w:szCs w:val="24"/>
        </w:rPr>
        <w:t xml:space="preserve">CFA Institute., 2022 Corporate Finance: Economic Foundations and Financial </w:t>
      </w:r>
      <w:proofErr w:type="spellStart"/>
      <w:r w:rsidRPr="00EF4F64">
        <w:rPr>
          <w:sz w:val="24"/>
          <w:szCs w:val="24"/>
        </w:rPr>
        <w:t>Modeling</w:t>
      </w:r>
      <w:proofErr w:type="spellEnd"/>
      <w:r w:rsidRPr="00EF4F64">
        <w:rPr>
          <w:sz w:val="24"/>
          <w:szCs w:val="24"/>
        </w:rPr>
        <w:t>. United Kingdom: Wiley.</w:t>
      </w:r>
    </w:p>
    <w:p w14:paraId="048C34D2" w14:textId="77777777" w:rsidR="00A11E13" w:rsidRPr="00EF4F64" w:rsidRDefault="00A11E13" w:rsidP="00A11E13">
      <w:pPr>
        <w:rPr>
          <w:sz w:val="24"/>
          <w:szCs w:val="24"/>
        </w:rPr>
      </w:pPr>
      <w:r w:rsidRPr="00EF4F64">
        <w:rPr>
          <w:sz w:val="24"/>
          <w:szCs w:val="24"/>
        </w:rPr>
        <w:t>Cotter, E., 2023. Net Present Value and Payback Period: An Analysis.</w:t>
      </w:r>
    </w:p>
    <w:p w14:paraId="11D31443" w14:textId="77777777" w:rsidR="00A11E13" w:rsidRPr="00EF4F64" w:rsidRDefault="00A11E13" w:rsidP="00A11E13">
      <w:pPr>
        <w:rPr>
          <w:sz w:val="24"/>
          <w:szCs w:val="24"/>
        </w:rPr>
      </w:pPr>
      <w:r w:rsidRPr="00EF4F64">
        <w:rPr>
          <w:sz w:val="24"/>
          <w:szCs w:val="24"/>
        </w:rPr>
        <w:t xml:space="preserve">Dai, H., Li, N., Wang, Y. and Zhao, X., 2022, March. The analysis of three main investment criteria: NPV, IRR, and payback period. In </w:t>
      </w:r>
      <w:r w:rsidRPr="00EF4F64">
        <w:rPr>
          <w:i/>
          <w:iCs/>
          <w:sz w:val="24"/>
          <w:szCs w:val="24"/>
        </w:rPr>
        <w:t>2022 7th International Conference on Financial Innovation and Economic Development (ICFIED 2022)</w:t>
      </w:r>
      <w:r w:rsidRPr="00EF4F64">
        <w:rPr>
          <w:sz w:val="24"/>
          <w:szCs w:val="24"/>
        </w:rPr>
        <w:t xml:space="preserve"> (pp. 185-189). Atlantis Press.</w:t>
      </w:r>
    </w:p>
    <w:p w14:paraId="69BD1C1D" w14:textId="77777777" w:rsidR="00A11E13" w:rsidRPr="00EF4F64" w:rsidRDefault="00A11E13" w:rsidP="00A11E13">
      <w:pPr>
        <w:rPr>
          <w:sz w:val="24"/>
          <w:szCs w:val="24"/>
        </w:rPr>
      </w:pPr>
      <w:r w:rsidRPr="00EF4F64">
        <w:rPr>
          <w:sz w:val="24"/>
          <w:szCs w:val="24"/>
        </w:rPr>
        <w:t>Drury, C., 2018. Cost and management accounting. Belmont, CA, USA: Cengage Learning.</w:t>
      </w:r>
    </w:p>
    <w:p w14:paraId="16EC7335" w14:textId="77777777" w:rsidR="00A11E13" w:rsidRPr="00EF4F64" w:rsidRDefault="00A11E13" w:rsidP="00A11E13">
      <w:pPr>
        <w:rPr>
          <w:sz w:val="24"/>
          <w:szCs w:val="24"/>
        </w:rPr>
      </w:pPr>
      <w:proofErr w:type="spellStart"/>
      <w:r w:rsidRPr="00EF4F64">
        <w:rPr>
          <w:sz w:val="24"/>
          <w:szCs w:val="24"/>
        </w:rPr>
        <w:t>Gaspars</w:t>
      </w:r>
      <w:proofErr w:type="spellEnd"/>
      <w:r w:rsidRPr="00EF4F64">
        <w:rPr>
          <w:sz w:val="24"/>
          <w:szCs w:val="24"/>
        </w:rPr>
        <w:t xml:space="preserve">-Wieloch, H., 2019. Project net present value estimation under uncertainty. </w:t>
      </w:r>
      <w:r w:rsidRPr="00EF4F64">
        <w:rPr>
          <w:i/>
          <w:iCs/>
          <w:sz w:val="24"/>
          <w:szCs w:val="24"/>
        </w:rPr>
        <w:t>Central European Journal of Operations Research</w:t>
      </w:r>
      <w:r w:rsidRPr="00EF4F64">
        <w:rPr>
          <w:sz w:val="24"/>
          <w:szCs w:val="24"/>
        </w:rPr>
        <w:t xml:space="preserve">, </w:t>
      </w:r>
      <w:r w:rsidRPr="00EF4F64">
        <w:rPr>
          <w:i/>
          <w:iCs/>
          <w:sz w:val="24"/>
          <w:szCs w:val="24"/>
        </w:rPr>
        <w:t>27</w:t>
      </w:r>
      <w:r w:rsidRPr="00EF4F64">
        <w:rPr>
          <w:sz w:val="24"/>
          <w:szCs w:val="24"/>
        </w:rPr>
        <w:t>(1), pp.179-197.</w:t>
      </w:r>
    </w:p>
    <w:p w14:paraId="080C7699" w14:textId="77777777" w:rsidR="00A11E13" w:rsidRPr="00EF4F64" w:rsidRDefault="00A11E13" w:rsidP="00A11E13">
      <w:pPr>
        <w:rPr>
          <w:sz w:val="24"/>
          <w:szCs w:val="24"/>
        </w:rPr>
      </w:pPr>
      <w:r w:rsidRPr="00EF4F64">
        <w:rPr>
          <w:sz w:val="24"/>
          <w:szCs w:val="24"/>
        </w:rPr>
        <w:t xml:space="preserve">Huang, J., Tong, J., Wang, P. and Zheng, X., 2022, March. Application and Comparison of NPV and IRR Methods in the Company Investment Decision. In </w:t>
      </w:r>
      <w:r w:rsidRPr="00EF4F64">
        <w:rPr>
          <w:i/>
          <w:iCs/>
          <w:sz w:val="24"/>
          <w:szCs w:val="24"/>
        </w:rPr>
        <w:t>2022 7th International Conference on Financial Innovation and Economic Development (ICFIED 2022)</w:t>
      </w:r>
      <w:r w:rsidRPr="00EF4F64">
        <w:rPr>
          <w:sz w:val="24"/>
          <w:szCs w:val="24"/>
        </w:rPr>
        <w:t xml:space="preserve"> (pp. 71-78). Atlantis Press.</w:t>
      </w:r>
    </w:p>
    <w:p w14:paraId="612E83DA" w14:textId="77777777" w:rsidR="00A11E13" w:rsidRPr="00EF4F64" w:rsidRDefault="00A11E13" w:rsidP="00A11E13">
      <w:pPr>
        <w:rPr>
          <w:sz w:val="24"/>
          <w:szCs w:val="24"/>
        </w:rPr>
      </w:pPr>
      <w:proofErr w:type="spellStart"/>
      <w:r w:rsidRPr="00EF4F64">
        <w:rPr>
          <w:sz w:val="24"/>
          <w:szCs w:val="24"/>
        </w:rPr>
        <w:t>Janekova</w:t>
      </w:r>
      <w:proofErr w:type="spellEnd"/>
      <w:r w:rsidRPr="00EF4F64">
        <w:rPr>
          <w:sz w:val="24"/>
          <w:szCs w:val="24"/>
        </w:rPr>
        <w:t xml:space="preserve">, J., </w:t>
      </w:r>
      <w:proofErr w:type="spellStart"/>
      <w:r w:rsidRPr="00EF4F64">
        <w:rPr>
          <w:sz w:val="24"/>
          <w:szCs w:val="24"/>
        </w:rPr>
        <w:t>Fabianova</w:t>
      </w:r>
      <w:proofErr w:type="spellEnd"/>
      <w:r w:rsidRPr="00EF4F64">
        <w:rPr>
          <w:sz w:val="24"/>
          <w:szCs w:val="24"/>
        </w:rPr>
        <w:t xml:space="preserve">, J. and </w:t>
      </w:r>
      <w:proofErr w:type="spellStart"/>
      <w:r w:rsidRPr="00EF4F64">
        <w:rPr>
          <w:sz w:val="24"/>
          <w:szCs w:val="24"/>
        </w:rPr>
        <w:t>Kadarova</w:t>
      </w:r>
      <w:proofErr w:type="spellEnd"/>
      <w:r w:rsidRPr="00EF4F64">
        <w:rPr>
          <w:sz w:val="24"/>
          <w:szCs w:val="24"/>
        </w:rPr>
        <w:t xml:space="preserve">, J., 2021. Selection of optimal investment variant based on Monte Carlo simulations. </w:t>
      </w:r>
      <w:r w:rsidRPr="00EF4F64">
        <w:rPr>
          <w:i/>
          <w:iCs/>
          <w:sz w:val="24"/>
          <w:szCs w:val="24"/>
        </w:rPr>
        <w:t>International Journal of Simulation Modelling</w:t>
      </w:r>
      <w:r w:rsidRPr="00EF4F64">
        <w:rPr>
          <w:sz w:val="24"/>
          <w:szCs w:val="24"/>
        </w:rPr>
        <w:t xml:space="preserve">, </w:t>
      </w:r>
      <w:r w:rsidRPr="00EF4F64">
        <w:rPr>
          <w:i/>
          <w:iCs/>
          <w:sz w:val="24"/>
          <w:szCs w:val="24"/>
        </w:rPr>
        <w:t>20</w:t>
      </w:r>
      <w:r w:rsidRPr="00EF4F64">
        <w:rPr>
          <w:sz w:val="24"/>
          <w:szCs w:val="24"/>
        </w:rPr>
        <w:t>(2), pp.279-290.</w:t>
      </w:r>
    </w:p>
    <w:p w14:paraId="50852BD8" w14:textId="77777777" w:rsidR="00A11E13" w:rsidRPr="00EF4F64" w:rsidRDefault="00A11E13" w:rsidP="00A11E13">
      <w:pPr>
        <w:rPr>
          <w:sz w:val="24"/>
          <w:szCs w:val="24"/>
        </w:rPr>
      </w:pPr>
      <w:proofErr w:type="spellStart"/>
      <w:r w:rsidRPr="00EF4F64">
        <w:rPr>
          <w:sz w:val="24"/>
          <w:szCs w:val="24"/>
        </w:rPr>
        <w:t>Joannidès</w:t>
      </w:r>
      <w:proofErr w:type="spellEnd"/>
      <w:r w:rsidRPr="00EF4F64">
        <w:rPr>
          <w:sz w:val="24"/>
          <w:szCs w:val="24"/>
        </w:rPr>
        <w:t xml:space="preserve"> L., 2018. Strategic Management Accounting, Volume II: Beyond the Numbers. Germany: Springer International Publishing.</w:t>
      </w:r>
    </w:p>
    <w:p w14:paraId="1FEFDBA8" w14:textId="77777777" w:rsidR="00A11E13" w:rsidRPr="00EF4F64" w:rsidRDefault="00A11E13" w:rsidP="00A11E13">
      <w:pPr>
        <w:rPr>
          <w:sz w:val="24"/>
          <w:szCs w:val="24"/>
        </w:rPr>
      </w:pPr>
      <w:r w:rsidRPr="00EF4F64">
        <w:rPr>
          <w:sz w:val="24"/>
          <w:szCs w:val="24"/>
        </w:rPr>
        <w:lastRenderedPageBreak/>
        <w:t>Kumar S., Nath S., 2018. Investment Behaviour: Towards an Individual-Centred Financial Policy in Developing Economies. United Kingdom: Emerald Publishing Limited.</w:t>
      </w:r>
    </w:p>
    <w:p w14:paraId="4FCA7BDF" w14:textId="77777777" w:rsidR="00A11E13" w:rsidRPr="00EF4F64" w:rsidRDefault="00A11E13" w:rsidP="00A11E13">
      <w:pPr>
        <w:rPr>
          <w:sz w:val="24"/>
          <w:szCs w:val="24"/>
        </w:rPr>
      </w:pPr>
      <w:r w:rsidRPr="00EF4F64">
        <w:rPr>
          <w:sz w:val="24"/>
          <w:szCs w:val="24"/>
        </w:rPr>
        <w:t xml:space="preserve">Magni, C.A. and Marchioni, A., 2020. Average rates of return, working capital, and NPV-consistency in project appraisal: A sensitivity analysis approach. </w:t>
      </w:r>
      <w:r w:rsidRPr="00EF4F64">
        <w:rPr>
          <w:i/>
          <w:iCs/>
          <w:sz w:val="24"/>
          <w:szCs w:val="24"/>
        </w:rPr>
        <w:t>International Journal of Production Economics</w:t>
      </w:r>
      <w:r w:rsidRPr="00EF4F64">
        <w:rPr>
          <w:sz w:val="24"/>
          <w:szCs w:val="24"/>
        </w:rPr>
        <w:t xml:space="preserve">, </w:t>
      </w:r>
      <w:r w:rsidRPr="00EF4F64">
        <w:rPr>
          <w:i/>
          <w:iCs/>
          <w:sz w:val="24"/>
          <w:szCs w:val="24"/>
        </w:rPr>
        <w:t>229</w:t>
      </w:r>
      <w:r w:rsidRPr="00EF4F64">
        <w:rPr>
          <w:sz w:val="24"/>
          <w:szCs w:val="24"/>
        </w:rPr>
        <w:t>, p.107769.</w:t>
      </w:r>
    </w:p>
    <w:p w14:paraId="25FEEA90" w14:textId="77777777" w:rsidR="00A11E13" w:rsidRPr="00EF4F64" w:rsidRDefault="00A11E13" w:rsidP="00A11E13">
      <w:pPr>
        <w:rPr>
          <w:sz w:val="24"/>
          <w:szCs w:val="24"/>
        </w:rPr>
      </w:pPr>
      <w:r w:rsidRPr="00EF4F64">
        <w:rPr>
          <w:sz w:val="24"/>
          <w:szCs w:val="24"/>
        </w:rPr>
        <w:t>Magni, C., 2020. Investment Decisions and the Logic of Valuation: Linking Finance, Accounting, and Engineering. Germany: Springer International Publishing</w:t>
      </w:r>
    </w:p>
    <w:p w14:paraId="3F7953E7" w14:textId="77777777" w:rsidR="00A11E13" w:rsidRPr="00EF4F64" w:rsidRDefault="00A11E13" w:rsidP="00A11E13">
      <w:pPr>
        <w:rPr>
          <w:sz w:val="24"/>
          <w:szCs w:val="24"/>
        </w:rPr>
      </w:pPr>
      <w:r w:rsidRPr="00EF4F64">
        <w:rPr>
          <w:sz w:val="24"/>
          <w:szCs w:val="24"/>
        </w:rPr>
        <w:t>Magni, C., 2020. Investment Decisions and the Logic of Valuation: Linking Finance, Accounting, and Engineering. Germany: Springer International Publishing.</w:t>
      </w:r>
    </w:p>
    <w:p w14:paraId="2C94AA99" w14:textId="77777777" w:rsidR="00A11E13" w:rsidRPr="00EF4F64" w:rsidRDefault="00A11E13" w:rsidP="00A11E13">
      <w:pPr>
        <w:rPr>
          <w:sz w:val="24"/>
          <w:szCs w:val="24"/>
        </w:rPr>
      </w:pPr>
      <w:r w:rsidRPr="00EF4F64">
        <w:rPr>
          <w:sz w:val="24"/>
          <w:szCs w:val="24"/>
        </w:rPr>
        <w:t xml:space="preserve">Marchioni, A. and Magni, C.A., 2018. Investment decisions and sensitivity analysis: NPV-consistency of rates of return. </w:t>
      </w:r>
      <w:r w:rsidRPr="00EF4F64">
        <w:rPr>
          <w:i/>
          <w:iCs/>
          <w:sz w:val="24"/>
          <w:szCs w:val="24"/>
        </w:rPr>
        <w:t>European Journal of Operational Research</w:t>
      </w:r>
      <w:r w:rsidRPr="00EF4F64">
        <w:rPr>
          <w:sz w:val="24"/>
          <w:szCs w:val="24"/>
        </w:rPr>
        <w:t xml:space="preserve">, </w:t>
      </w:r>
      <w:r w:rsidRPr="00EF4F64">
        <w:rPr>
          <w:i/>
          <w:iCs/>
          <w:sz w:val="24"/>
          <w:szCs w:val="24"/>
        </w:rPr>
        <w:t>268</w:t>
      </w:r>
      <w:r w:rsidRPr="00EF4F64">
        <w:rPr>
          <w:sz w:val="24"/>
          <w:szCs w:val="24"/>
        </w:rPr>
        <w:t>(1), pp.361-372.</w:t>
      </w:r>
    </w:p>
    <w:p w14:paraId="5E6175B7" w14:textId="77777777" w:rsidR="00A11E13" w:rsidRPr="00EF4F64" w:rsidRDefault="00A11E13" w:rsidP="00A11E13">
      <w:pPr>
        <w:rPr>
          <w:sz w:val="24"/>
          <w:szCs w:val="24"/>
        </w:rPr>
      </w:pPr>
      <w:r w:rsidRPr="00EF4F64">
        <w:rPr>
          <w:sz w:val="24"/>
          <w:szCs w:val="24"/>
        </w:rPr>
        <w:t xml:space="preserve">Ohrn, E., 2018. The effect of corporate taxation on investment and financial policy: Evidence from the DPAD. </w:t>
      </w:r>
      <w:r w:rsidRPr="00EF4F64">
        <w:rPr>
          <w:i/>
          <w:iCs/>
          <w:sz w:val="24"/>
          <w:szCs w:val="24"/>
        </w:rPr>
        <w:t>American Economic Journal: Economic Policy</w:t>
      </w:r>
      <w:r w:rsidRPr="00EF4F64">
        <w:rPr>
          <w:sz w:val="24"/>
          <w:szCs w:val="24"/>
        </w:rPr>
        <w:t xml:space="preserve">, </w:t>
      </w:r>
      <w:r w:rsidRPr="00EF4F64">
        <w:rPr>
          <w:i/>
          <w:iCs/>
          <w:sz w:val="24"/>
          <w:szCs w:val="24"/>
        </w:rPr>
        <w:t>10</w:t>
      </w:r>
      <w:r w:rsidRPr="00EF4F64">
        <w:rPr>
          <w:sz w:val="24"/>
          <w:szCs w:val="24"/>
        </w:rPr>
        <w:t>(2), pp.272-301.</w:t>
      </w:r>
    </w:p>
    <w:p w14:paraId="5BEDC7EB" w14:textId="77777777" w:rsidR="00A11E13" w:rsidRPr="00EF4F64" w:rsidRDefault="00A11E13" w:rsidP="00A11E13">
      <w:pPr>
        <w:rPr>
          <w:sz w:val="24"/>
          <w:szCs w:val="24"/>
        </w:rPr>
      </w:pPr>
      <w:proofErr w:type="spellStart"/>
      <w:r w:rsidRPr="00EF4F64">
        <w:rPr>
          <w:sz w:val="24"/>
          <w:szCs w:val="24"/>
        </w:rPr>
        <w:t>Oliinyk</w:t>
      </w:r>
      <w:proofErr w:type="spellEnd"/>
      <w:r w:rsidRPr="00EF4F64">
        <w:rPr>
          <w:sz w:val="24"/>
          <w:szCs w:val="24"/>
        </w:rPr>
        <w:t xml:space="preserve">, V. and </w:t>
      </w:r>
      <w:proofErr w:type="spellStart"/>
      <w:r w:rsidRPr="00EF4F64">
        <w:rPr>
          <w:sz w:val="24"/>
          <w:szCs w:val="24"/>
        </w:rPr>
        <w:t>Kozmenko</w:t>
      </w:r>
      <w:proofErr w:type="spellEnd"/>
      <w:r w:rsidRPr="00EF4F64">
        <w:rPr>
          <w:sz w:val="24"/>
          <w:szCs w:val="24"/>
        </w:rPr>
        <w:t xml:space="preserve">, O., 2019. Optimization of investment portfolio management. </w:t>
      </w:r>
      <w:r w:rsidRPr="00EF4F64">
        <w:rPr>
          <w:i/>
          <w:iCs/>
          <w:sz w:val="24"/>
          <w:szCs w:val="24"/>
        </w:rPr>
        <w:t>Serbian Journal of Management</w:t>
      </w:r>
      <w:r w:rsidRPr="00EF4F64">
        <w:rPr>
          <w:sz w:val="24"/>
          <w:szCs w:val="24"/>
        </w:rPr>
        <w:t xml:space="preserve">, </w:t>
      </w:r>
      <w:r w:rsidRPr="00EF4F64">
        <w:rPr>
          <w:i/>
          <w:iCs/>
          <w:sz w:val="24"/>
          <w:szCs w:val="24"/>
        </w:rPr>
        <w:t>14</w:t>
      </w:r>
      <w:r w:rsidRPr="00EF4F64">
        <w:rPr>
          <w:sz w:val="24"/>
          <w:szCs w:val="24"/>
        </w:rPr>
        <w:t>(2), pp.373-387.</w:t>
      </w:r>
    </w:p>
    <w:p w14:paraId="4C1B656D" w14:textId="77777777" w:rsidR="00A11E13" w:rsidRPr="00EF4F64" w:rsidRDefault="00A11E13" w:rsidP="00A11E13">
      <w:pPr>
        <w:rPr>
          <w:sz w:val="24"/>
          <w:szCs w:val="24"/>
        </w:rPr>
      </w:pPr>
      <w:proofErr w:type="spellStart"/>
      <w:r w:rsidRPr="00EF4F64">
        <w:rPr>
          <w:sz w:val="24"/>
          <w:szCs w:val="24"/>
        </w:rPr>
        <w:t>Pierrakis</w:t>
      </w:r>
      <w:proofErr w:type="spellEnd"/>
      <w:r w:rsidRPr="00EF4F64">
        <w:rPr>
          <w:sz w:val="24"/>
          <w:szCs w:val="24"/>
        </w:rPr>
        <w:t xml:space="preserve">, Y., 2019. Peer-to-peer lending to businesses: Investors’ characteristics, investment criteria, and motivation. The International Journal of Entrepreneurship and Innovation, </w:t>
      </w:r>
      <w:r w:rsidRPr="00EF4F64">
        <w:rPr>
          <w:i/>
          <w:iCs/>
          <w:sz w:val="24"/>
          <w:szCs w:val="24"/>
        </w:rPr>
        <w:t>20</w:t>
      </w:r>
      <w:r w:rsidRPr="00EF4F64">
        <w:rPr>
          <w:sz w:val="24"/>
          <w:szCs w:val="24"/>
        </w:rPr>
        <w:t>(4), pp.239-251.</w:t>
      </w:r>
    </w:p>
    <w:p w14:paraId="520EE562" w14:textId="77777777" w:rsidR="00A11E13" w:rsidRPr="00EF4F64" w:rsidRDefault="00A11E13" w:rsidP="00A11E13">
      <w:pPr>
        <w:rPr>
          <w:sz w:val="24"/>
          <w:szCs w:val="24"/>
        </w:rPr>
      </w:pPr>
      <w:proofErr w:type="spellStart"/>
      <w:r w:rsidRPr="00EF4F64">
        <w:rPr>
          <w:sz w:val="24"/>
          <w:szCs w:val="24"/>
        </w:rPr>
        <w:t>Schwarzbichler</w:t>
      </w:r>
      <w:proofErr w:type="spellEnd"/>
      <w:r w:rsidRPr="00EF4F64">
        <w:rPr>
          <w:sz w:val="24"/>
          <w:szCs w:val="24"/>
        </w:rPr>
        <w:t>, M., Steiner, C., </w:t>
      </w:r>
      <w:proofErr w:type="spellStart"/>
      <w:r w:rsidRPr="00EF4F64">
        <w:rPr>
          <w:sz w:val="24"/>
          <w:szCs w:val="24"/>
        </w:rPr>
        <w:t>Turnheim</w:t>
      </w:r>
      <w:proofErr w:type="spellEnd"/>
      <w:r w:rsidRPr="00EF4F64">
        <w:rPr>
          <w:sz w:val="24"/>
          <w:szCs w:val="24"/>
        </w:rPr>
        <w:t>, D., 2018.  Financial Steering: Valuation, KPI Management and the Interaction with IFRS. Germany: Springer International Publishing.</w:t>
      </w:r>
    </w:p>
    <w:p w14:paraId="2082B1D3" w14:textId="77777777" w:rsidR="00A11E13" w:rsidRPr="00EF4F64" w:rsidRDefault="00A11E13" w:rsidP="00A11E13">
      <w:pPr>
        <w:rPr>
          <w:sz w:val="24"/>
          <w:szCs w:val="24"/>
        </w:rPr>
      </w:pPr>
      <w:r w:rsidRPr="00EF4F64">
        <w:rPr>
          <w:sz w:val="24"/>
          <w:szCs w:val="24"/>
        </w:rPr>
        <w:t>Seal, W., Rohde, Ca., Garrison, R., Noreen, E., 2018. ManagementAccounting,6e. Spain: McGraw-Hill Education.</w:t>
      </w:r>
    </w:p>
    <w:p w14:paraId="50ECC198" w14:textId="77777777" w:rsidR="00A11E13" w:rsidRPr="00EF4F64" w:rsidRDefault="00A11E13" w:rsidP="00A11E13">
      <w:pPr>
        <w:rPr>
          <w:sz w:val="24"/>
          <w:szCs w:val="24"/>
        </w:rPr>
      </w:pPr>
      <w:proofErr w:type="spellStart"/>
      <w:r w:rsidRPr="00EF4F64">
        <w:rPr>
          <w:sz w:val="24"/>
          <w:szCs w:val="24"/>
        </w:rPr>
        <w:t>Sneps-Sneppe</w:t>
      </w:r>
      <w:proofErr w:type="spellEnd"/>
      <w:r w:rsidRPr="00EF4F64">
        <w:rPr>
          <w:sz w:val="24"/>
          <w:szCs w:val="24"/>
        </w:rPr>
        <w:t xml:space="preserve">, M., 2023, May. Use of criteria NPV and IRR for choosing among investment projects. In </w:t>
      </w:r>
      <w:r w:rsidRPr="00EF4F64">
        <w:rPr>
          <w:i/>
          <w:iCs/>
          <w:sz w:val="24"/>
          <w:szCs w:val="24"/>
        </w:rPr>
        <w:t>22nd International Scientific Conference Engineering for Rural Development Proceedings</w:t>
      </w:r>
      <w:r w:rsidRPr="00EF4F64">
        <w:rPr>
          <w:sz w:val="24"/>
          <w:szCs w:val="24"/>
        </w:rPr>
        <w:t xml:space="preserve"> (pp. 745-750).</w:t>
      </w:r>
    </w:p>
    <w:p w14:paraId="25CBCB2C" w14:textId="02904F86" w:rsidR="00A11E13" w:rsidRPr="00EF4F64" w:rsidRDefault="00A11E13" w:rsidP="00A11E13">
      <w:pPr>
        <w:rPr>
          <w:sz w:val="24"/>
          <w:szCs w:val="24"/>
        </w:rPr>
      </w:pPr>
      <w:proofErr w:type="spellStart"/>
      <w:r w:rsidRPr="00EF4F64">
        <w:rPr>
          <w:sz w:val="24"/>
          <w:szCs w:val="24"/>
        </w:rPr>
        <w:t>Thavva</w:t>
      </w:r>
      <w:proofErr w:type="spellEnd"/>
      <w:r w:rsidRPr="00EF4F64">
        <w:rPr>
          <w:sz w:val="24"/>
          <w:szCs w:val="24"/>
        </w:rPr>
        <w:t xml:space="preserve">, V., 2021. A Study on Individual Investors' Bias Towards Investment Decision Making Through the Concept of </w:t>
      </w:r>
      <w:proofErr w:type="spellStart"/>
      <w:r w:rsidRPr="00EF4F64">
        <w:rPr>
          <w:sz w:val="24"/>
          <w:szCs w:val="24"/>
        </w:rPr>
        <w:t>Neurofinance</w:t>
      </w:r>
      <w:proofErr w:type="spellEnd"/>
      <w:r w:rsidRPr="00EF4F64">
        <w:rPr>
          <w:sz w:val="24"/>
          <w:szCs w:val="24"/>
        </w:rPr>
        <w:t xml:space="preserve"> in NSIC </w:t>
      </w:r>
      <w:r w:rsidR="00EF4F64" w:rsidRPr="00EF4F64">
        <w:rPr>
          <w:sz w:val="24"/>
          <w:szCs w:val="24"/>
        </w:rPr>
        <w:t>Ltd.</w:t>
      </w:r>
      <w:r w:rsidRPr="00EF4F64">
        <w:rPr>
          <w:sz w:val="24"/>
          <w:szCs w:val="24"/>
        </w:rPr>
        <w:t> Germany: GRIN Verlag.</w:t>
      </w:r>
    </w:p>
    <w:p w14:paraId="163E207E" w14:textId="77777777" w:rsidR="00A11E13" w:rsidRPr="00EF4F64" w:rsidRDefault="00A11E13" w:rsidP="00A11E13">
      <w:pPr>
        <w:rPr>
          <w:sz w:val="24"/>
          <w:szCs w:val="24"/>
        </w:rPr>
      </w:pPr>
      <w:proofErr w:type="spellStart"/>
      <w:r w:rsidRPr="00EF4F64">
        <w:rPr>
          <w:sz w:val="24"/>
          <w:szCs w:val="24"/>
        </w:rPr>
        <w:lastRenderedPageBreak/>
        <w:t>Vernimmen</w:t>
      </w:r>
      <w:proofErr w:type="spellEnd"/>
      <w:r w:rsidRPr="00EF4F64">
        <w:rPr>
          <w:sz w:val="24"/>
          <w:szCs w:val="24"/>
        </w:rPr>
        <w:t xml:space="preserve">, P., </w:t>
      </w:r>
      <w:proofErr w:type="spellStart"/>
      <w:r w:rsidRPr="00EF4F64">
        <w:rPr>
          <w:sz w:val="24"/>
          <w:szCs w:val="24"/>
        </w:rPr>
        <w:t>Quiry</w:t>
      </w:r>
      <w:proofErr w:type="spellEnd"/>
      <w:r w:rsidRPr="00EF4F64">
        <w:rPr>
          <w:sz w:val="24"/>
          <w:szCs w:val="24"/>
        </w:rPr>
        <w:t>, P. and Le Fur, Y., 2022. Corporate finance: theory and practice. John Wiley &amp; Sons.</w:t>
      </w:r>
    </w:p>
    <w:p w14:paraId="68713C84" w14:textId="77777777" w:rsidR="00A11E13" w:rsidRPr="00EF4F64" w:rsidRDefault="00A11E13" w:rsidP="00A11E13">
      <w:pPr>
        <w:rPr>
          <w:sz w:val="24"/>
          <w:szCs w:val="24"/>
        </w:rPr>
      </w:pPr>
      <w:r w:rsidRPr="00EF4F64">
        <w:rPr>
          <w:sz w:val="24"/>
          <w:szCs w:val="24"/>
        </w:rPr>
        <w:t>Walsh, C., 2008.</w:t>
      </w:r>
      <w:r w:rsidRPr="00EF4F64">
        <w:rPr>
          <w:bCs/>
          <w:sz w:val="24"/>
          <w:szCs w:val="24"/>
        </w:rPr>
        <w:t xml:space="preserve">Key management ratios: the 100+ ratios every manager needs to know. </w:t>
      </w:r>
      <w:r w:rsidRPr="00EF4F64">
        <w:rPr>
          <w:sz w:val="24"/>
          <w:szCs w:val="24"/>
        </w:rPr>
        <w:t>Fourth edition., Harlow, England: FT Prentice Hall, [2008], Total pages 1 online resource (xiii, 393 pages)</w:t>
      </w:r>
    </w:p>
    <w:p w14:paraId="5B2B7D60" w14:textId="77777777" w:rsidR="00A11E13" w:rsidRPr="00EF4F64" w:rsidRDefault="00A11E13" w:rsidP="00A11E13">
      <w:pPr>
        <w:rPr>
          <w:sz w:val="24"/>
          <w:szCs w:val="24"/>
        </w:rPr>
      </w:pPr>
      <w:r w:rsidRPr="00EF4F64">
        <w:rPr>
          <w:sz w:val="24"/>
          <w:szCs w:val="24"/>
        </w:rPr>
        <w:t xml:space="preserve">Wang, Y., 2021, December. The development and usage of NPV and IRR and their comparison. In </w:t>
      </w:r>
      <w:r w:rsidRPr="00EF4F64">
        <w:rPr>
          <w:i/>
          <w:iCs/>
          <w:sz w:val="24"/>
          <w:szCs w:val="24"/>
        </w:rPr>
        <w:t>2021, 3rd International Conference on Economic Management and Cultural Industry (ICEMCI 2021)</w:t>
      </w:r>
      <w:r w:rsidRPr="00EF4F64">
        <w:rPr>
          <w:sz w:val="24"/>
          <w:szCs w:val="24"/>
        </w:rPr>
        <w:t xml:space="preserve"> (pp. 2044-2048). Atlantis Press.</w:t>
      </w:r>
    </w:p>
    <w:p w14:paraId="2E75BB85" w14:textId="77777777" w:rsidR="00A11E13" w:rsidRPr="00EF4F64" w:rsidRDefault="00A11E13" w:rsidP="00A11E13">
      <w:pPr>
        <w:rPr>
          <w:sz w:val="24"/>
          <w:szCs w:val="24"/>
        </w:rPr>
      </w:pPr>
      <w:r w:rsidRPr="00EF4F64">
        <w:rPr>
          <w:sz w:val="24"/>
          <w:szCs w:val="24"/>
        </w:rPr>
        <w:t xml:space="preserve"> Yan, R. and Zhang, Y., 2022, March. The Introduction of NPV and IRR. In </w:t>
      </w:r>
      <w:r w:rsidRPr="00EF4F64">
        <w:rPr>
          <w:i/>
          <w:iCs/>
          <w:sz w:val="24"/>
          <w:szCs w:val="24"/>
        </w:rPr>
        <w:t>2022 7th International Conference on Financial Innovation and Economic Development (ICFIED 2022)</w:t>
      </w:r>
      <w:r w:rsidRPr="00EF4F64">
        <w:rPr>
          <w:sz w:val="24"/>
          <w:szCs w:val="24"/>
        </w:rPr>
        <w:t xml:space="preserve"> (pp. 1472-1476). Atlantis Press.</w:t>
      </w:r>
    </w:p>
    <w:p w14:paraId="75A7A984" w14:textId="77777777" w:rsidR="00A11E13" w:rsidRPr="00EF4F64" w:rsidRDefault="00A11E13" w:rsidP="00A11E13">
      <w:pPr>
        <w:rPr>
          <w:sz w:val="24"/>
          <w:szCs w:val="24"/>
        </w:rPr>
      </w:pPr>
      <w:r w:rsidRPr="00EF4F64">
        <w:rPr>
          <w:sz w:val="24"/>
          <w:szCs w:val="24"/>
        </w:rPr>
        <w:t xml:space="preserve">Zutter, C.J. and Smart, S.B., 2019. </w:t>
      </w:r>
      <w:r w:rsidRPr="00EF4F64">
        <w:rPr>
          <w:i/>
          <w:iCs/>
          <w:sz w:val="24"/>
          <w:szCs w:val="24"/>
        </w:rPr>
        <w:t>Principles of managerial finance</w:t>
      </w:r>
      <w:r w:rsidRPr="00EF4F64">
        <w:rPr>
          <w:sz w:val="24"/>
          <w:szCs w:val="24"/>
        </w:rPr>
        <w:t>. London, UK: Pearson.</w:t>
      </w:r>
    </w:p>
    <w:p w14:paraId="3C1F22BE" w14:textId="77777777" w:rsidR="00A11E13" w:rsidRPr="00EF4F64" w:rsidRDefault="00A11E13" w:rsidP="00A11E13">
      <w:pPr>
        <w:rPr>
          <w:sz w:val="24"/>
          <w:szCs w:val="24"/>
          <w:lang w:val="en-US"/>
        </w:rPr>
      </w:pPr>
    </w:p>
    <w:p w14:paraId="11849B2F" w14:textId="77777777" w:rsidR="00A11E13" w:rsidRPr="009F00CA" w:rsidRDefault="00A11E13" w:rsidP="00A11E13">
      <w:pPr>
        <w:rPr>
          <w:lang w:val="en-US"/>
        </w:rPr>
      </w:pPr>
    </w:p>
    <w:p w14:paraId="27420A7B" w14:textId="77777777" w:rsidR="00A11E13" w:rsidRPr="00594A5B" w:rsidRDefault="00A11E13" w:rsidP="00A11E13"/>
    <w:p w14:paraId="2B98D133" w14:textId="77777777" w:rsidR="00A11E13" w:rsidRPr="00594A5B" w:rsidRDefault="00A11E13" w:rsidP="00A11E13">
      <w:pPr>
        <w:spacing w:line="259" w:lineRule="auto"/>
        <w:jc w:val="left"/>
        <w:rPr>
          <w:rFonts w:eastAsia="Calibri" w:cstheme="minorHAnsi"/>
          <w:b/>
          <w:sz w:val="28"/>
          <w:szCs w:val="28"/>
        </w:rPr>
      </w:pPr>
      <w:r w:rsidRPr="00594A5B">
        <w:br w:type="page"/>
      </w:r>
    </w:p>
    <w:p w14:paraId="2F5818D9" w14:textId="14445C93" w:rsidR="008378DD" w:rsidRDefault="00A11E13" w:rsidP="00F826F1">
      <w:pPr>
        <w:pStyle w:val="Heading1"/>
        <w:rPr>
          <w:sz w:val="28"/>
          <w:szCs w:val="28"/>
        </w:rPr>
      </w:pPr>
      <w:bookmarkStart w:id="33" w:name="_Toc187313010"/>
      <w:r w:rsidRPr="008378DD">
        <w:rPr>
          <w:sz w:val="28"/>
          <w:szCs w:val="28"/>
        </w:rPr>
        <w:lastRenderedPageBreak/>
        <w:t>Appendix</w:t>
      </w:r>
      <w:bookmarkEnd w:id="33"/>
    </w:p>
    <w:p w14:paraId="7D810A3A" w14:textId="77777777" w:rsidR="00F826F1" w:rsidRPr="00F826F1" w:rsidRDefault="00F826F1" w:rsidP="00F826F1"/>
    <w:p w14:paraId="750BCF0A" w14:textId="77777777" w:rsidR="00A11E13" w:rsidRDefault="00A11E13" w:rsidP="00A11E13">
      <w:r w:rsidRPr="00594A5B">
        <w:t xml:space="preserve">NPV of Investment Option: A </w:t>
      </w:r>
    </w:p>
    <w:p w14:paraId="6F4D7209" w14:textId="77777777" w:rsidR="00F826F1" w:rsidRPr="00594A5B" w:rsidRDefault="00F826F1" w:rsidP="00A11E13"/>
    <w:p w14:paraId="61129BAE" w14:textId="4F9DFBF7" w:rsidR="00A11E13" w:rsidRPr="00594A5B" w:rsidRDefault="00A11E13" w:rsidP="00A11E13">
      <w:pPr>
        <w:pStyle w:val="Caption"/>
        <w:keepNext/>
        <w:rPr>
          <w:b w:val="0"/>
          <w:bCs w:val="0"/>
          <w:i/>
          <w:iCs/>
          <w:szCs w:val="22"/>
        </w:rPr>
      </w:pPr>
      <w:r w:rsidRPr="00594A5B">
        <w:rPr>
          <w:szCs w:val="22"/>
        </w:rPr>
        <w:t xml:space="preserve">Table </w:t>
      </w:r>
      <w:r w:rsidRPr="00594A5B">
        <w:rPr>
          <w:b w:val="0"/>
          <w:bCs w:val="0"/>
          <w:i/>
          <w:iCs/>
          <w:szCs w:val="22"/>
        </w:rPr>
        <w:fldChar w:fldCharType="begin"/>
      </w:r>
      <w:r w:rsidRPr="00594A5B">
        <w:rPr>
          <w:szCs w:val="22"/>
        </w:rPr>
        <w:instrText xml:space="preserve"> SEQ Table \* ARABIC </w:instrText>
      </w:r>
      <w:r w:rsidRPr="00594A5B">
        <w:rPr>
          <w:b w:val="0"/>
          <w:bCs w:val="0"/>
          <w:i/>
          <w:iCs/>
          <w:szCs w:val="22"/>
        </w:rPr>
        <w:fldChar w:fldCharType="separate"/>
      </w:r>
      <w:r w:rsidR="00B71885">
        <w:rPr>
          <w:noProof/>
          <w:szCs w:val="22"/>
        </w:rPr>
        <w:t>1</w:t>
      </w:r>
      <w:r w:rsidRPr="00594A5B">
        <w:rPr>
          <w:b w:val="0"/>
          <w:bCs w:val="0"/>
          <w:i/>
          <w:iCs/>
          <w:szCs w:val="22"/>
        </w:rPr>
        <w:fldChar w:fldCharType="end"/>
      </w:r>
      <w:r w:rsidRPr="00594A5B">
        <w:rPr>
          <w:szCs w:val="22"/>
        </w:rPr>
        <w:t>: NPV of Investment Option: A.</w:t>
      </w:r>
    </w:p>
    <w:tbl>
      <w:tblPr>
        <w:tblStyle w:val="ListTable1Light-Accent6"/>
        <w:tblW w:w="5000" w:type="pct"/>
        <w:tblLook w:val="04A0" w:firstRow="1" w:lastRow="0" w:firstColumn="1" w:lastColumn="0" w:noHBand="0" w:noVBand="1"/>
      </w:tblPr>
      <w:tblGrid>
        <w:gridCol w:w="1249"/>
        <w:gridCol w:w="2087"/>
        <w:gridCol w:w="3027"/>
        <w:gridCol w:w="2663"/>
      </w:tblGrid>
      <w:tr w:rsidR="00A11E13" w14:paraId="5C3CE46C" w14:textId="77777777" w:rsidTr="00FD79FA">
        <w:trPr>
          <w:cnfStyle w:val="100000000000" w:firstRow="1" w:lastRow="0" w:firstColumn="0" w:lastColumn="0" w:oddVBand="0" w:evenVBand="0" w:oddHBand="0"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21EB5587"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 xml:space="preserve">Net Present Value of the investment A </w:t>
            </w:r>
          </w:p>
        </w:tc>
      </w:tr>
      <w:tr w:rsidR="00A11E13" w14:paraId="22E6AA08" w14:textId="77777777" w:rsidTr="00FD79FA">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2713EEE8"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 xml:space="preserve">Period </w:t>
            </w:r>
          </w:p>
        </w:tc>
        <w:tc>
          <w:tcPr>
            <w:tcW w:w="1156" w:type="pct"/>
            <w:noWrap/>
            <w:hideMark/>
          </w:tcPr>
          <w:p w14:paraId="42C114CB"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925CCA">
              <w:rPr>
                <w:rFonts w:eastAsia="Times New Roman" w:cs="Calibri"/>
                <w:b/>
                <w:bCs/>
                <w:color w:val="000000"/>
              </w:rPr>
              <w:t>Cashflows (£)</w:t>
            </w:r>
          </w:p>
        </w:tc>
        <w:tc>
          <w:tcPr>
            <w:tcW w:w="1677" w:type="pct"/>
            <w:noWrap/>
            <w:hideMark/>
          </w:tcPr>
          <w:p w14:paraId="044799C6"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925CCA">
              <w:rPr>
                <w:rFonts w:eastAsia="Times New Roman" w:cs="Calibri"/>
                <w:b/>
                <w:bCs/>
                <w:color w:val="000000"/>
              </w:rPr>
              <w:t xml:space="preserve">Rate of Discounting </w:t>
            </w:r>
          </w:p>
        </w:tc>
        <w:tc>
          <w:tcPr>
            <w:tcW w:w="1475" w:type="pct"/>
            <w:noWrap/>
            <w:hideMark/>
          </w:tcPr>
          <w:p w14:paraId="49E2F53B"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925CCA">
              <w:rPr>
                <w:rFonts w:eastAsia="Times New Roman" w:cs="Calibri"/>
                <w:b/>
                <w:bCs/>
                <w:color w:val="000000"/>
              </w:rPr>
              <w:t>Present Value (£)</w:t>
            </w:r>
          </w:p>
        </w:tc>
      </w:tr>
      <w:tr w:rsidR="00A11E13" w14:paraId="6D7DA819" w14:textId="77777777" w:rsidTr="00FD79FA">
        <w:trPr>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0615C755"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0</w:t>
            </w:r>
          </w:p>
        </w:tc>
        <w:tc>
          <w:tcPr>
            <w:tcW w:w="1156" w:type="pct"/>
            <w:noWrap/>
            <w:hideMark/>
          </w:tcPr>
          <w:p w14:paraId="0C8CB3DE"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p>
        </w:tc>
        <w:tc>
          <w:tcPr>
            <w:tcW w:w="1677" w:type="pct"/>
            <w:noWrap/>
            <w:hideMark/>
          </w:tcPr>
          <w:p w14:paraId="0CDCF0AB"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1.000</w:t>
            </w:r>
          </w:p>
        </w:tc>
        <w:tc>
          <w:tcPr>
            <w:tcW w:w="1475" w:type="pct"/>
            <w:noWrap/>
            <w:hideMark/>
          </w:tcPr>
          <w:p w14:paraId="13097943"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660000.000</w:t>
            </w:r>
          </w:p>
        </w:tc>
      </w:tr>
      <w:tr w:rsidR="00A11E13" w14:paraId="3746FB73" w14:textId="77777777" w:rsidTr="00FD79FA">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08A6C018"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1</w:t>
            </w:r>
          </w:p>
        </w:tc>
        <w:tc>
          <w:tcPr>
            <w:tcW w:w="1156" w:type="pct"/>
            <w:noWrap/>
            <w:hideMark/>
          </w:tcPr>
          <w:p w14:paraId="002419B0"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300,000</w:t>
            </w:r>
          </w:p>
        </w:tc>
        <w:tc>
          <w:tcPr>
            <w:tcW w:w="1677" w:type="pct"/>
            <w:noWrap/>
            <w:hideMark/>
          </w:tcPr>
          <w:p w14:paraId="03FA1490"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0.943</w:t>
            </w:r>
          </w:p>
        </w:tc>
        <w:tc>
          <w:tcPr>
            <w:tcW w:w="1475" w:type="pct"/>
            <w:noWrap/>
            <w:hideMark/>
          </w:tcPr>
          <w:p w14:paraId="2BF37E74"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283018.868</w:t>
            </w:r>
          </w:p>
        </w:tc>
      </w:tr>
      <w:tr w:rsidR="00A11E13" w14:paraId="38C5DF5B" w14:textId="77777777" w:rsidTr="00FD79FA">
        <w:trPr>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39292D21"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2</w:t>
            </w:r>
          </w:p>
        </w:tc>
        <w:tc>
          <w:tcPr>
            <w:tcW w:w="1156" w:type="pct"/>
            <w:noWrap/>
            <w:hideMark/>
          </w:tcPr>
          <w:p w14:paraId="7BB50B93"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400,000</w:t>
            </w:r>
          </w:p>
        </w:tc>
        <w:tc>
          <w:tcPr>
            <w:tcW w:w="1677" w:type="pct"/>
            <w:noWrap/>
            <w:hideMark/>
          </w:tcPr>
          <w:p w14:paraId="6B89F645"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0.890</w:t>
            </w:r>
          </w:p>
        </w:tc>
        <w:tc>
          <w:tcPr>
            <w:tcW w:w="1475" w:type="pct"/>
            <w:noWrap/>
            <w:hideMark/>
          </w:tcPr>
          <w:p w14:paraId="26B99640"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355998.576</w:t>
            </w:r>
          </w:p>
        </w:tc>
      </w:tr>
      <w:tr w:rsidR="00A11E13" w14:paraId="3CEE4EF2" w14:textId="77777777" w:rsidTr="00FD79FA">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1A167230"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3</w:t>
            </w:r>
          </w:p>
        </w:tc>
        <w:tc>
          <w:tcPr>
            <w:tcW w:w="1156" w:type="pct"/>
            <w:noWrap/>
            <w:hideMark/>
          </w:tcPr>
          <w:p w14:paraId="6A2763E4"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450,000</w:t>
            </w:r>
          </w:p>
        </w:tc>
        <w:tc>
          <w:tcPr>
            <w:tcW w:w="1677" w:type="pct"/>
            <w:noWrap/>
            <w:hideMark/>
          </w:tcPr>
          <w:p w14:paraId="04301479"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0.840</w:t>
            </w:r>
          </w:p>
        </w:tc>
        <w:tc>
          <w:tcPr>
            <w:tcW w:w="1475" w:type="pct"/>
            <w:noWrap/>
            <w:hideMark/>
          </w:tcPr>
          <w:p w14:paraId="438E15FC"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377828.677</w:t>
            </w:r>
          </w:p>
        </w:tc>
      </w:tr>
      <w:tr w:rsidR="00A11E13" w14:paraId="464E2CFB" w14:textId="77777777" w:rsidTr="00FD79FA">
        <w:trPr>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1D57710F"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4</w:t>
            </w:r>
          </w:p>
        </w:tc>
        <w:tc>
          <w:tcPr>
            <w:tcW w:w="1156" w:type="pct"/>
            <w:noWrap/>
            <w:hideMark/>
          </w:tcPr>
          <w:p w14:paraId="3E990971"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500,000</w:t>
            </w:r>
          </w:p>
        </w:tc>
        <w:tc>
          <w:tcPr>
            <w:tcW w:w="1677" w:type="pct"/>
            <w:noWrap/>
            <w:hideMark/>
          </w:tcPr>
          <w:p w14:paraId="100C0859"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0.792</w:t>
            </w:r>
          </w:p>
        </w:tc>
        <w:tc>
          <w:tcPr>
            <w:tcW w:w="1475" w:type="pct"/>
            <w:noWrap/>
            <w:hideMark/>
          </w:tcPr>
          <w:p w14:paraId="38A8FF12"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925CCA">
              <w:rPr>
                <w:rFonts w:eastAsia="Times New Roman" w:cs="Calibri"/>
                <w:color w:val="000000"/>
              </w:rPr>
              <w:t>396046.832</w:t>
            </w:r>
          </w:p>
        </w:tc>
      </w:tr>
      <w:tr w:rsidR="00A11E13" w14:paraId="26AEB0E0" w14:textId="77777777" w:rsidTr="00FD79FA">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692" w:type="pct"/>
            <w:noWrap/>
            <w:hideMark/>
          </w:tcPr>
          <w:p w14:paraId="4020720D"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 </w:t>
            </w:r>
          </w:p>
        </w:tc>
        <w:tc>
          <w:tcPr>
            <w:tcW w:w="1156" w:type="pct"/>
            <w:noWrap/>
            <w:hideMark/>
          </w:tcPr>
          <w:p w14:paraId="37C42089"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 </w:t>
            </w:r>
          </w:p>
        </w:tc>
        <w:tc>
          <w:tcPr>
            <w:tcW w:w="1677" w:type="pct"/>
            <w:noWrap/>
            <w:hideMark/>
          </w:tcPr>
          <w:p w14:paraId="7A20EA01"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 </w:t>
            </w:r>
          </w:p>
        </w:tc>
        <w:tc>
          <w:tcPr>
            <w:tcW w:w="1475" w:type="pct"/>
            <w:noWrap/>
            <w:hideMark/>
          </w:tcPr>
          <w:p w14:paraId="5BBE1814" w14:textId="77777777" w:rsidR="00A11E13" w:rsidRPr="00925CCA"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925CCA">
              <w:rPr>
                <w:rFonts w:eastAsia="Times New Roman" w:cs="Calibri"/>
                <w:color w:val="000000"/>
              </w:rPr>
              <w:t> </w:t>
            </w:r>
          </w:p>
        </w:tc>
      </w:tr>
      <w:tr w:rsidR="00A11E13" w14:paraId="4C98FF1A" w14:textId="77777777" w:rsidTr="00FD79FA">
        <w:trPr>
          <w:trHeight w:val="294"/>
        </w:trPr>
        <w:tc>
          <w:tcPr>
            <w:cnfStyle w:val="001000000000" w:firstRow="0" w:lastRow="0" w:firstColumn="1" w:lastColumn="0" w:oddVBand="0" w:evenVBand="0" w:oddHBand="0" w:evenHBand="0" w:firstRowFirstColumn="0" w:firstRowLastColumn="0" w:lastRowFirstColumn="0" w:lastRowLastColumn="0"/>
            <w:tcW w:w="3525" w:type="pct"/>
            <w:gridSpan w:val="3"/>
            <w:noWrap/>
            <w:hideMark/>
          </w:tcPr>
          <w:p w14:paraId="16C453A6" w14:textId="77777777" w:rsidR="00A11E13" w:rsidRPr="00925CCA" w:rsidRDefault="00A11E13" w:rsidP="00E80374">
            <w:pPr>
              <w:spacing w:line="240" w:lineRule="auto"/>
              <w:jc w:val="center"/>
              <w:rPr>
                <w:rFonts w:eastAsia="Times New Roman" w:cs="Calibri"/>
                <w:color w:val="000000"/>
              </w:rPr>
            </w:pPr>
            <w:r w:rsidRPr="00925CCA">
              <w:rPr>
                <w:rFonts w:eastAsia="Times New Roman" w:cs="Calibri"/>
                <w:color w:val="000000"/>
              </w:rPr>
              <w:t xml:space="preserve">Net Present Value </w:t>
            </w:r>
          </w:p>
        </w:tc>
        <w:tc>
          <w:tcPr>
            <w:tcW w:w="1475" w:type="pct"/>
            <w:noWrap/>
            <w:hideMark/>
          </w:tcPr>
          <w:p w14:paraId="04C9CBB8" w14:textId="77777777" w:rsidR="00A11E13" w:rsidRPr="00925CCA"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b/>
                <w:bCs/>
                <w:color w:val="000000"/>
              </w:rPr>
            </w:pPr>
            <w:r w:rsidRPr="00925CCA">
              <w:rPr>
                <w:rFonts w:eastAsia="Times New Roman" w:cs="Calibri"/>
                <w:b/>
                <w:bCs/>
                <w:color w:val="000000"/>
              </w:rPr>
              <w:t>2072892.953</w:t>
            </w:r>
          </w:p>
        </w:tc>
      </w:tr>
    </w:tbl>
    <w:p w14:paraId="247F5732" w14:textId="77777777" w:rsidR="00A11E13" w:rsidRDefault="00A11E13" w:rsidP="00A11E13"/>
    <w:p w14:paraId="2DF9FC7F" w14:textId="77777777" w:rsidR="00F826F1" w:rsidRPr="00594A5B" w:rsidRDefault="00F826F1" w:rsidP="00A11E13"/>
    <w:p w14:paraId="4440EF55" w14:textId="77777777" w:rsidR="00A11E13" w:rsidRDefault="00A11E13" w:rsidP="00A11E13">
      <w:r w:rsidRPr="00594A5B">
        <w:t>NPV of Investment Option: B</w:t>
      </w:r>
    </w:p>
    <w:p w14:paraId="5DE47CF7" w14:textId="77777777" w:rsidR="00F826F1" w:rsidRPr="00594A5B" w:rsidRDefault="00F826F1" w:rsidP="00A11E13"/>
    <w:p w14:paraId="0A2A6560" w14:textId="4DBA13A1" w:rsidR="00A11E13" w:rsidRPr="00594A5B" w:rsidRDefault="00A11E13" w:rsidP="00A11E13">
      <w:pPr>
        <w:pStyle w:val="Caption"/>
        <w:keepNext/>
        <w:rPr>
          <w:b w:val="0"/>
          <w:bCs w:val="0"/>
          <w:i/>
          <w:iCs/>
          <w:szCs w:val="22"/>
        </w:rPr>
      </w:pPr>
      <w:r w:rsidRPr="00594A5B">
        <w:rPr>
          <w:szCs w:val="22"/>
        </w:rPr>
        <w:t xml:space="preserve">Table </w:t>
      </w:r>
      <w:r w:rsidRPr="00594A5B">
        <w:rPr>
          <w:b w:val="0"/>
          <w:bCs w:val="0"/>
          <w:i/>
          <w:iCs/>
          <w:szCs w:val="22"/>
        </w:rPr>
        <w:fldChar w:fldCharType="begin"/>
      </w:r>
      <w:r w:rsidRPr="00594A5B">
        <w:rPr>
          <w:szCs w:val="22"/>
        </w:rPr>
        <w:instrText xml:space="preserve"> SEQ Table \* ARABIC </w:instrText>
      </w:r>
      <w:r w:rsidRPr="00594A5B">
        <w:rPr>
          <w:b w:val="0"/>
          <w:bCs w:val="0"/>
          <w:i/>
          <w:iCs/>
          <w:szCs w:val="22"/>
        </w:rPr>
        <w:fldChar w:fldCharType="separate"/>
      </w:r>
      <w:r w:rsidR="00B71885">
        <w:rPr>
          <w:noProof/>
          <w:szCs w:val="22"/>
        </w:rPr>
        <w:t>2</w:t>
      </w:r>
      <w:r w:rsidRPr="00594A5B">
        <w:rPr>
          <w:b w:val="0"/>
          <w:bCs w:val="0"/>
          <w:i/>
          <w:iCs/>
          <w:szCs w:val="22"/>
        </w:rPr>
        <w:fldChar w:fldCharType="end"/>
      </w:r>
      <w:r w:rsidRPr="00594A5B">
        <w:rPr>
          <w:szCs w:val="22"/>
        </w:rPr>
        <w:t>: NPV of Investment Option: B.</w:t>
      </w:r>
    </w:p>
    <w:tbl>
      <w:tblPr>
        <w:tblStyle w:val="ListTable1Light-Accent6"/>
        <w:tblW w:w="5000" w:type="pct"/>
        <w:tblLook w:val="04A0" w:firstRow="1" w:lastRow="0" w:firstColumn="1" w:lastColumn="0" w:noHBand="0" w:noVBand="1"/>
      </w:tblPr>
      <w:tblGrid>
        <w:gridCol w:w="1247"/>
        <w:gridCol w:w="2085"/>
        <w:gridCol w:w="3031"/>
        <w:gridCol w:w="2663"/>
      </w:tblGrid>
      <w:tr w:rsidR="00A11E13" w14:paraId="1D8268B0" w14:textId="77777777" w:rsidTr="00FD79FA">
        <w:trPr>
          <w:cnfStyle w:val="100000000000" w:firstRow="1" w:lastRow="0" w:firstColumn="0" w:lastColumn="0" w:oddVBand="0" w:evenVBand="0" w:oddHBand="0"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177FD105" w14:textId="2DAB849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Net Present Value </w:t>
            </w:r>
            <w:r w:rsidR="00F826F1">
              <w:rPr>
                <w:rFonts w:eastAsia="Times New Roman" w:cs="Calibri"/>
                <w:color w:val="000000"/>
              </w:rPr>
              <w:t>of</w:t>
            </w:r>
            <w:r w:rsidRPr="00DB26B8">
              <w:rPr>
                <w:rFonts w:eastAsia="Times New Roman" w:cs="Calibri"/>
                <w:color w:val="000000"/>
              </w:rPr>
              <w:t xml:space="preserve"> the </w:t>
            </w:r>
            <w:proofErr w:type="gramStart"/>
            <w:r w:rsidR="00F826F1">
              <w:rPr>
                <w:rFonts w:eastAsia="Times New Roman" w:cs="Calibri"/>
                <w:color w:val="000000"/>
              </w:rPr>
              <w:t>investment</w:t>
            </w:r>
            <w:proofErr w:type="gramEnd"/>
            <w:r w:rsidRPr="00DB26B8">
              <w:rPr>
                <w:rFonts w:eastAsia="Times New Roman" w:cs="Calibri"/>
                <w:color w:val="000000"/>
              </w:rPr>
              <w:t xml:space="preserve"> B</w:t>
            </w:r>
          </w:p>
        </w:tc>
      </w:tr>
      <w:tr w:rsidR="00A11E13" w14:paraId="187D73F6" w14:textId="77777777" w:rsidTr="00FD79FA">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2EF6E06F"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Period </w:t>
            </w:r>
          </w:p>
        </w:tc>
        <w:tc>
          <w:tcPr>
            <w:tcW w:w="1155" w:type="pct"/>
            <w:noWrap/>
            <w:hideMark/>
          </w:tcPr>
          <w:p w14:paraId="500CDA84"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Cashflows (£)</w:t>
            </w:r>
          </w:p>
        </w:tc>
        <w:tc>
          <w:tcPr>
            <w:tcW w:w="1678" w:type="pct"/>
            <w:noWrap/>
            <w:hideMark/>
          </w:tcPr>
          <w:p w14:paraId="1827CBC7"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 xml:space="preserve">Rate of Discounting </w:t>
            </w:r>
          </w:p>
        </w:tc>
        <w:tc>
          <w:tcPr>
            <w:tcW w:w="1475" w:type="pct"/>
            <w:noWrap/>
            <w:hideMark/>
          </w:tcPr>
          <w:p w14:paraId="49C15241"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Present Value (£)</w:t>
            </w:r>
          </w:p>
        </w:tc>
      </w:tr>
      <w:tr w:rsidR="00A11E13" w14:paraId="2882F6C0" w14:textId="77777777" w:rsidTr="00FD79FA">
        <w:trPr>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1FD670DF"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0</w:t>
            </w:r>
          </w:p>
        </w:tc>
        <w:tc>
          <w:tcPr>
            <w:tcW w:w="1155" w:type="pct"/>
            <w:noWrap/>
            <w:hideMark/>
          </w:tcPr>
          <w:p w14:paraId="00B4DFF3"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-1,000,000</w:t>
            </w:r>
          </w:p>
        </w:tc>
        <w:tc>
          <w:tcPr>
            <w:tcW w:w="1678" w:type="pct"/>
            <w:noWrap/>
            <w:hideMark/>
          </w:tcPr>
          <w:p w14:paraId="360024F3"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1.000</w:t>
            </w:r>
          </w:p>
        </w:tc>
        <w:tc>
          <w:tcPr>
            <w:tcW w:w="1475" w:type="pct"/>
            <w:noWrap/>
            <w:hideMark/>
          </w:tcPr>
          <w:p w14:paraId="3E96568B"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-1000000.000</w:t>
            </w:r>
          </w:p>
        </w:tc>
      </w:tr>
      <w:tr w:rsidR="00A11E13" w14:paraId="4C1A3C9E" w14:textId="77777777" w:rsidTr="00FD79FA">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4340FEF0"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1</w:t>
            </w:r>
          </w:p>
        </w:tc>
        <w:tc>
          <w:tcPr>
            <w:tcW w:w="1155" w:type="pct"/>
            <w:noWrap/>
            <w:hideMark/>
          </w:tcPr>
          <w:p w14:paraId="2F811933"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500,000</w:t>
            </w:r>
          </w:p>
        </w:tc>
        <w:tc>
          <w:tcPr>
            <w:tcW w:w="1678" w:type="pct"/>
            <w:noWrap/>
            <w:hideMark/>
          </w:tcPr>
          <w:p w14:paraId="06B09578"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0.943</w:t>
            </w:r>
          </w:p>
        </w:tc>
        <w:tc>
          <w:tcPr>
            <w:tcW w:w="1475" w:type="pct"/>
            <w:noWrap/>
            <w:hideMark/>
          </w:tcPr>
          <w:p w14:paraId="3F62CB33"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471698.113</w:t>
            </w:r>
          </w:p>
        </w:tc>
      </w:tr>
      <w:tr w:rsidR="00A11E13" w14:paraId="569D2FF6" w14:textId="77777777" w:rsidTr="00FD79FA">
        <w:trPr>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2594521E"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2</w:t>
            </w:r>
          </w:p>
        </w:tc>
        <w:tc>
          <w:tcPr>
            <w:tcW w:w="1155" w:type="pct"/>
            <w:noWrap/>
            <w:hideMark/>
          </w:tcPr>
          <w:p w14:paraId="461EFEC6"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550,000</w:t>
            </w:r>
          </w:p>
        </w:tc>
        <w:tc>
          <w:tcPr>
            <w:tcW w:w="1678" w:type="pct"/>
            <w:noWrap/>
            <w:hideMark/>
          </w:tcPr>
          <w:p w14:paraId="2E20BC69"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0.890</w:t>
            </w:r>
          </w:p>
        </w:tc>
        <w:tc>
          <w:tcPr>
            <w:tcW w:w="1475" w:type="pct"/>
            <w:noWrap/>
            <w:hideMark/>
          </w:tcPr>
          <w:p w14:paraId="38E8D0C0"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489498.042</w:t>
            </w:r>
          </w:p>
        </w:tc>
      </w:tr>
      <w:tr w:rsidR="00A11E13" w14:paraId="15781634" w14:textId="77777777" w:rsidTr="00FD79FA">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6745E4E1"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3</w:t>
            </w:r>
          </w:p>
        </w:tc>
        <w:tc>
          <w:tcPr>
            <w:tcW w:w="1155" w:type="pct"/>
            <w:noWrap/>
            <w:hideMark/>
          </w:tcPr>
          <w:p w14:paraId="7F6A76E2"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700,000</w:t>
            </w:r>
          </w:p>
        </w:tc>
        <w:tc>
          <w:tcPr>
            <w:tcW w:w="1678" w:type="pct"/>
            <w:noWrap/>
            <w:hideMark/>
          </w:tcPr>
          <w:p w14:paraId="325FB290"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0.840</w:t>
            </w:r>
          </w:p>
        </w:tc>
        <w:tc>
          <w:tcPr>
            <w:tcW w:w="1475" w:type="pct"/>
            <w:noWrap/>
            <w:hideMark/>
          </w:tcPr>
          <w:p w14:paraId="1C521EE6"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587733.498</w:t>
            </w:r>
          </w:p>
        </w:tc>
      </w:tr>
      <w:tr w:rsidR="00A11E13" w14:paraId="090881D4" w14:textId="77777777" w:rsidTr="00FD79FA">
        <w:trPr>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3AF888A8"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4</w:t>
            </w:r>
          </w:p>
        </w:tc>
        <w:tc>
          <w:tcPr>
            <w:tcW w:w="1155" w:type="pct"/>
            <w:noWrap/>
            <w:hideMark/>
          </w:tcPr>
          <w:p w14:paraId="6B9F5E9C"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950,000</w:t>
            </w:r>
          </w:p>
        </w:tc>
        <w:tc>
          <w:tcPr>
            <w:tcW w:w="1678" w:type="pct"/>
            <w:noWrap/>
            <w:hideMark/>
          </w:tcPr>
          <w:p w14:paraId="5BFD6EBF"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0.792</w:t>
            </w:r>
          </w:p>
        </w:tc>
        <w:tc>
          <w:tcPr>
            <w:tcW w:w="1475" w:type="pct"/>
            <w:noWrap/>
            <w:hideMark/>
          </w:tcPr>
          <w:p w14:paraId="248E7AC4"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752488.980</w:t>
            </w:r>
          </w:p>
        </w:tc>
      </w:tr>
      <w:tr w:rsidR="00A11E13" w14:paraId="03B89CB3" w14:textId="77777777" w:rsidTr="00FD79FA">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691" w:type="pct"/>
            <w:noWrap/>
            <w:hideMark/>
          </w:tcPr>
          <w:p w14:paraId="26696694"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w:t>
            </w:r>
          </w:p>
        </w:tc>
        <w:tc>
          <w:tcPr>
            <w:tcW w:w="1155" w:type="pct"/>
            <w:noWrap/>
            <w:hideMark/>
          </w:tcPr>
          <w:p w14:paraId="3490F6F6"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c>
          <w:tcPr>
            <w:tcW w:w="1678" w:type="pct"/>
            <w:noWrap/>
            <w:hideMark/>
          </w:tcPr>
          <w:p w14:paraId="385F01E0"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c>
          <w:tcPr>
            <w:tcW w:w="1475" w:type="pct"/>
            <w:noWrap/>
            <w:hideMark/>
          </w:tcPr>
          <w:p w14:paraId="2FD7C54B"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r>
      <w:tr w:rsidR="00A11E13" w14:paraId="48EC1536" w14:textId="77777777" w:rsidTr="00FD79FA">
        <w:trPr>
          <w:trHeight w:val="326"/>
        </w:trPr>
        <w:tc>
          <w:tcPr>
            <w:cnfStyle w:val="001000000000" w:firstRow="0" w:lastRow="0" w:firstColumn="1" w:lastColumn="0" w:oddVBand="0" w:evenVBand="0" w:oddHBand="0" w:evenHBand="0" w:firstRowFirstColumn="0" w:firstRowLastColumn="0" w:lastRowFirstColumn="0" w:lastRowLastColumn="0"/>
            <w:tcW w:w="3525" w:type="pct"/>
            <w:gridSpan w:val="3"/>
            <w:noWrap/>
            <w:hideMark/>
          </w:tcPr>
          <w:p w14:paraId="5C603952"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Net Present Value </w:t>
            </w:r>
          </w:p>
        </w:tc>
        <w:tc>
          <w:tcPr>
            <w:tcW w:w="1475" w:type="pct"/>
            <w:noWrap/>
            <w:hideMark/>
          </w:tcPr>
          <w:p w14:paraId="7283E4C4"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1301418.633</w:t>
            </w:r>
          </w:p>
        </w:tc>
      </w:tr>
    </w:tbl>
    <w:p w14:paraId="23F68293" w14:textId="77777777" w:rsidR="00A11E13" w:rsidRDefault="00A11E13" w:rsidP="00A11E13"/>
    <w:p w14:paraId="3062B593" w14:textId="77777777" w:rsidR="00F826F1" w:rsidRDefault="00F826F1" w:rsidP="00A11E13"/>
    <w:p w14:paraId="09F5F0F8" w14:textId="77777777" w:rsidR="00F826F1" w:rsidRDefault="00F826F1" w:rsidP="00A11E13"/>
    <w:p w14:paraId="58A1FCD6" w14:textId="77777777" w:rsidR="00F826F1" w:rsidRDefault="00F826F1" w:rsidP="00A11E13"/>
    <w:p w14:paraId="10B6D818" w14:textId="77777777" w:rsidR="00672E7D" w:rsidRPr="00594A5B" w:rsidRDefault="00672E7D" w:rsidP="00A11E13"/>
    <w:p w14:paraId="42FBFF98" w14:textId="77777777" w:rsidR="00A11E13" w:rsidRDefault="00A11E13" w:rsidP="00A11E13">
      <w:r w:rsidRPr="00594A5B">
        <w:lastRenderedPageBreak/>
        <w:t>NPV of Investment Option: C</w:t>
      </w:r>
    </w:p>
    <w:p w14:paraId="11A0E66A" w14:textId="77777777" w:rsidR="00F826F1" w:rsidRPr="00594A5B" w:rsidRDefault="00F826F1" w:rsidP="00A11E13"/>
    <w:p w14:paraId="58893AEA" w14:textId="5FF0FB91" w:rsidR="00A11E13" w:rsidRPr="00594A5B" w:rsidRDefault="00A11E13" w:rsidP="00A11E13">
      <w:pPr>
        <w:pStyle w:val="Caption"/>
        <w:keepNext/>
        <w:rPr>
          <w:b w:val="0"/>
          <w:bCs w:val="0"/>
          <w:i/>
          <w:iCs/>
          <w:szCs w:val="22"/>
        </w:rPr>
      </w:pPr>
      <w:r w:rsidRPr="00594A5B">
        <w:rPr>
          <w:szCs w:val="22"/>
        </w:rPr>
        <w:t xml:space="preserve">Table </w:t>
      </w:r>
      <w:r w:rsidRPr="00594A5B">
        <w:rPr>
          <w:b w:val="0"/>
          <w:bCs w:val="0"/>
          <w:i/>
          <w:iCs/>
          <w:szCs w:val="22"/>
        </w:rPr>
        <w:fldChar w:fldCharType="begin"/>
      </w:r>
      <w:r w:rsidRPr="00594A5B">
        <w:rPr>
          <w:szCs w:val="22"/>
        </w:rPr>
        <w:instrText xml:space="preserve"> SEQ Table \* ARABIC </w:instrText>
      </w:r>
      <w:r w:rsidRPr="00594A5B">
        <w:rPr>
          <w:b w:val="0"/>
          <w:bCs w:val="0"/>
          <w:i/>
          <w:iCs/>
          <w:szCs w:val="22"/>
        </w:rPr>
        <w:fldChar w:fldCharType="separate"/>
      </w:r>
      <w:r w:rsidR="00B71885">
        <w:rPr>
          <w:noProof/>
          <w:szCs w:val="22"/>
        </w:rPr>
        <w:t>3</w:t>
      </w:r>
      <w:r w:rsidRPr="00594A5B">
        <w:rPr>
          <w:b w:val="0"/>
          <w:bCs w:val="0"/>
          <w:i/>
          <w:iCs/>
          <w:szCs w:val="22"/>
        </w:rPr>
        <w:fldChar w:fldCharType="end"/>
      </w:r>
      <w:r w:rsidRPr="00594A5B">
        <w:rPr>
          <w:szCs w:val="22"/>
        </w:rPr>
        <w:t>: NPV of Investment Option: C.</w:t>
      </w:r>
    </w:p>
    <w:tbl>
      <w:tblPr>
        <w:tblStyle w:val="ListTable1Light-Accent6"/>
        <w:tblW w:w="5000" w:type="pct"/>
        <w:tblLook w:val="04A0" w:firstRow="1" w:lastRow="0" w:firstColumn="1" w:lastColumn="0" w:noHBand="0" w:noVBand="1"/>
      </w:tblPr>
      <w:tblGrid>
        <w:gridCol w:w="1250"/>
        <w:gridCol w:w="2085"/>
        <w:gridCol w:w="3027"/>
        <w:gridCol w:w="2664"/>
      </w:tblGrid>
      <w:tr w:rsidR="00A11E13" w14:paraId="357C98FE" w14:textId="77777777" w:rsidTr="00672E7D">
        <w:trPr>
          <w:cnfStyle w:val="100000000000" w:firstRow="1" w:lastRow="0" w:firstColumn="0" w:lastColumn="0" w:oddVBand="0" w:evenVBand="0" w:oddHBand="0"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23A614E7"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Net Present Value of the investment C</w:t>
            </w:r>
          </w:p>
        </w:tc>
      </w:tr>
      <w:tr w:rsidR="00A11E13" w14:paraId="223AFB05" w14:textId="77777777" w:rsidTr="00672E7D">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08060F29"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Period </w:t>
            </w:r>
          </w:p>
        </w:tc>
        <w:tc>
          <w:tcPr>
            <w:tcW w:w="1155" w:type="pct"/>
            <w:noWrap/>
            <w:hideMark/>
          </w:tcPr>
          <w:p w14:paraId="6B8044ED"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Cashflows (£)</w:t>
            </w:r>
          </w:p>
        </w:tc>
        <w:tc>
          <w:tcPr>
            <w:tcW w:w="1677" w:type="pct"/>
            <w:noWrap/>
            <w:hideMark/>
          </w:tcPr>
          <w:p w14:paraId="32E1184F"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 xml:space="preserve">Rate of Discounting </w:t>
            </w:r>
          </w:p>
        </w:tc>
        <w:tc>
          <w:tcPr>
            <w:tcW w:w="1476" w:type="pct"/>
            <w:noWrap/>
            <w:hideMark/>
          </w:tcPr>
          <w:p w14:paraId="006E4ADF"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Present Value (£)</w:t>
            </w:r>
          </w:p>
        </w:tc>
      </w:tr>
      <w:tr w:rsidR="00A11E13" w14:paraId="524302D0" w14:textId="77777777" w:rsidTr="00672E7D">
        <w:trPr>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4BBCB686"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0</w:t>
            </w:r>
          </w:p>
        </w:tc>
        <w:tc>
          <w:tcPr>
            <w:tcW w:w="1155" w:type="pct"/>
            <w:noWrap/>
            <w:hideMark/>
          </w:tcPr>
          <w:p w14:paraId="21B31181"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-1,700,000</w:t>
            </w:r>
          </w:p>
        </w:tc>
        <w:tc>
          <w:tcPr>
            <w:tcW w:w="1677" w:type="pct"/>
            <w:noWrap/>
            <w:hideMark/>
          </w:tcPr>
          <w:p w14:paraId="6DB34359"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1.000</w:t>
            </w:r>
          </w:p>
        </w:tc>
        <w:tc>
          <w:tcPr>
            <w:tcW w:w="1476" w:type="pct"/>
            <w:noWrap/>
            <w:hideMark/>
          </w:tcPr>
          <w:p w14:paraId="112BA419"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-1700000.000</w:t>
            </w:r>
          </w:p>
        </w:tc>
      </w:tr>
      <w:tr w:rsidR="00A11E13" w14:paraId="4CB963F6" w14:textId="77777777" w:rsidTr="00672E7D">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6FCFB416"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1</w:t>
            </w:r>
          </w:p>
        </w:tc>
        <w:tc>
          <w:tcPr>
            <w:tcW w:w="1155" w:type="pct"/>
            <w:noWrap/>
            <w:hideMark/>
          </w:tcPr>
          <w:p w14:paraId="0E3C979F"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500,000</w:t>
            </w:r>
          </w:p>
        </w:tc>
        <w:tc>
          <w:tcPr>
            <w:tcW w:w="1677" w:type="pct"/>
            <w:noWrap/>
            <w:hideMark/>
          </w:tcPr>
          <w:p w14:paraId="45916A54"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0.943</w:t>
            </w:r>
          </w:p>
        </w:tc>
        <w:tc>
          <w:tcPr>
            <w:tcW w:w="1476" w:type="pct"/>
            <w:noWrap/>
            <w:hideMark/>
          </w:tcPr>
          <w:p w14:paraId="76A901DD"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471698.113</w:t>
            </w:r>
          </w:p>
        </w:tc>
      </w:tr>
      <w:tr w:rsidR="00A11E13" w14:paraId="00EBDA7A" w14:textId="77777777" w:rsidTr="00672E7D">
        <w:trPr>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7F3CA4C3"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2</w:t>
            </w:r>
          </w:p>
        </w:tc>
        <w:tc>
          <w:tcPr>
            <w:tcW w:w="1155" w:type="pct"/>
            <w:noWrap/>
            <w:hideMark/>
          </w:tcPr>
          <w:p w14:paraId="5489C938"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800,000</w:t>
            </w:r>
          </w:p>
        </w:tc>
        <w:tc>
          <w:tcPr>
            <w:tcW w:w="1677" w:type="pct"/>
            <w:noWrap/>
            <w:hideMark/>
          </w:tcPr>
          <w:p w14:paraId="44F95743"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0.890</w:t>
            </w:r>
          </w:p>
        </w:tc>
        <w:tc>
          <w:tcPr>
            <w:tcW w:w="1476" w:type="pct"/>
            <w:noWrap/>
            <w:hideMark/>
          </w:tcPr>
          <w:p w14:paraId="2C959117"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711997.152</w:t>
            </w:r>
          </w:p>
        </w:tc>
      </w:tr>
      <w:tr w:rsidR="00A11E13" w14:paraId="65A955B4" w14:textId="77777777" w:rsidTr="00672E7D">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732939DB"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3</w:t>
            </w:r>
          </w:p>
        </w:tc>
        <w:tc>
          <w:tcPr>
            <w:tcW w:w="1155" w:type="pct"/>
            <w:noWrap/>
            <w:hideMark/>
          </w:tcPr>
          <w:p w14:paraId="0F9D87F7"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1,050,000</w:t>
            </w:r>
          </w:p>
        </w:tc>
        <w:tc>
          <w:tcPr>
            <w:tcW w:w="1677" w:type="pct"/>
            <w:noWrap/>
            <w:hideMark/>
          </w:tcPr>
          <w:p w14:paraId="2975C20F"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0.840</w:t>
            </w:r>
          </w:p>
        </w:tc>
        <w:tc>
          <w:tcPr>
            <w:tcW w:w="1476" w:type="pct"/>
            <w:noWrap/>
            <w:hideMark/>
          </w:tcPr>
          <w:p w14:paraId="25A27D30"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881600.247</w:t>
            </w:r>
          </w:p>
        </w:tc>
      </w:tr>
      <w:tr w:rsidR="00A11E13" w14:paraId="18E81CE9" w14:textId="77777777" w:rsidTr="00672E7D">
        <w:trPr>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2C49CE3B"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4</w:t>
            </w:r>
          </w:p>
        </w:tc>
        <w:tc>
          <w:tcPr>
            <w:tcW w:w="1155" w:type="pct"/>
            <w:noWrap/>
            <w:hideMark/>
          </w:tcPr>
          <w:p w14:paraId="2679803B"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1,200,000</w:t>
            </w:r>
          </w:p>
        </w:tc>
        <w:tc>
          <w:tcPr>
            <w:tcW w:w="1677" w:type="pct"/>
            <w:noWrap/>
            <w:hideMark/>
          </w:tcPr>
          <w:p w14:paraId="1E392643"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0.792</w:t>
            </w:r>
          </w:p>
        </w:tc>
        <w:tc>
          <w:tcPr>
            <w:tcW w:w="1476" w:type="pct"/>
            <w:noWrap/>
            <w:hideMark/>
          </w:tcPr>
          <w:p w14:paraId="117D8F1E"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950512.396</w:t>
            </w:r>
          </w:p>
        </w:tc>
      </w:tr>
      <w:tr w:rsidR="00A11E13" w14:paraId="39D58674" w14:textId="77777777" w:rsidTr="00672E7D">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692" w:type="pct"/>
            <w:noWrap/>
            <w:hideMark/>
          </w:tcPr>
          <w:p w14:paraId="1BA9D42A"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w:t>
            </w:r>
          </w:p>
        </w:tc>
        <w:tc>
          <w:tcPr>
            <w:tcW w:w="1155" w:type="pct"/>
            <w:noWrap/>
            <w:hideMark/>
          </w:tcPr>
          <w:p w14:paraId="5D3D079A"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c>
          <w:tcPr>
            <w:tcW w:w="1677" w:type="pct"/>
            <w:noWrap/>
            <w:hideMark/>
          </w:tcPr>
          <w:p w14:paraId="09598F91"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c>
          <w:tcPr>
            <w:tcW w:w="1476" w:type="pct"/>
            <w:noWrap/>
            <w:hideMark/>
          </w:tcPr>
          <w:p w14:paraId="4BE56160"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r>
      <w:tr w:rsidR="00A11E13" w14:paraId="54F1D6A5" w14:textId="77777777" w:rsidTr="00672E7D">
        <w:trPr>
          <w:trHeight w:val="336"/>
        </w:trPr>
        <w:tc>
          <w:tcPr>
            <w:cnfStyle w:val="001000000000" w:firstRow="0" w:lastRow="0" w:firstColumn="1" w:lastColumn="0" w:oddVBand="0" w:evenVBand="0" w:oddHBand="0" w:evenHBand="0" w:firstRowFirstColumn="0" w:firstRowLastColumn="0" w:lastRowFirstColumn="0" w:lastRowLastColumn="0"/>
            <w:tcW w:w="3524" w:type="pct"/>
            <w:gridSpan w:val="3"/>
            <w:noWrap/>
            <w:hideMark/>
          </w:tcPr>
          <w:p w14:paraId="4F93DD2B"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Net Present Value </w:t>
            </w:r>
          </w:p>
        </w:tc>
        <w:tc>
          <w:tcPr>
            <w:tcW w:w="1476" w:type="pct"/>
            <w:noWrap/>
            <w:hideMark/>
          </w:tcPr>
          <w:p w14:paraId="769889F8"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1315807.908</w:t>
            </w:r>
          </w:p>
        </w:tc>
      </w:tr>
    </w:tbl>
    <w:p w14:paraId="5CC452FA" w14:textId="77777777" w:rsidR="00A11E13" w:rsidRDefault="00A11E13" w:rsidP="00A11E13"/>
    <w:p w14:paraId="5B3796C5" w14:textId="77777777" w:rsidR="00F826F1" w:rsidRDefault="00F826F1" w:rsidP="00A11E13"/>
    <w:p w14:paraId="566DCB69" w14:textId="77777777" w:rsidR="00F826F1" w:rsidRPr="00594A5B" w:rsidRDefault="00F826F1" w:rsidP="00A11E13"/>
    <w:p w14:paraId="72B03542" w14:textId="77777777" w:rsidR="00A11E13" w:rsidRPr="00594A5B" w:rsidRDefault="00A11E13" w:rsidP="00A11E13">
      <w:r w:rsidRPr="00594A5B">
        <w:t>IRR Table for Investment Option C</w:t>
      </w:r>
    </w:p>
    <w:p w14:paraId="6CF80927" w14:textId="6E76F145" w:rsidR="00A11E13" w:rsidRPr="00594A5B" w:rsidRDefault="00A11E13" w:rsidP="00A11E13">
      <w:pPr>
        <w:pStyle w:val="Caption"/>
        <w:keepNext/>
        <w:rPr>
          <w:b w:val="0"/>
          <w:bCs w:val="0"/>
          <w:i/>
          <w:iCs/>
          <w:szCs w:val="22"/>
        </w:rPr>
      </w:pPr>
      <w:r w:rsidRPr="00594A5B">
        <w:rPr>
          <w:szCs w:val="22"/>
        </w:rPr>
        <w:t xml:space="preserve">Table </w:t>
      </w:r>
      <w:r w:rsidRPr="00594A5B">
        <w:rPr>
          <w:b w:val="0"/>
          <w:bCs w:val="0"/>
          <w:i/>
          <w:iCs/>
          <w:szCs w:val="22"/>
        </w:rPr>
        <w:fldChar w:fldCharType="begin"/>
      </w:r>
      <w:r w:rsidRPr="00594A5B">
        <w:rPr>
          <w:szCs w:val="22"/>
        </w:rPr>
        <w:instrText xml:space="preserve"> SEQ Table \* ARABIC </w:instrText>
      </w:r>
      <w:r w:rsidRPr="00594A5B">
        <w:rPr>
          <w:b w:val="0"/>
          <w:bCs w:val="0"/>
          <w:i/>
          <w:iCs/>
          <w:szCs w:val="22"/>
        </w:rPr>
        <w:fldChar w:fldCharType="separate"/>
      </w:r>
      <w:r w:rsidR="00B71885">
        <w:rPr>
          <w:noProof/>
          <w:szCs w:val="22"/>
        </w:rPr>
        <w:t>4</w:t>
      </w:r>
      <w:r w:rsidRPr="00594A5B">
        <w:rPr>
          <w:b w:val="0"/>
          <w:bCs w:val="0"/>
          <w:i/>
          <w:iCs/>
          <w:szCs w:val="22"/>
        </w:rPr>
        <w:fldChar w:fldCharType="end"/>
      </w:r>
      <w:r w:rsidRPr="00594A5B">
        <w:rPr>
          <w:szCs w:val="22"/>
        </w:rPr>
        <w:t>: IRR Table for Investment Option C.</w:t>
      </w:r>
    </w:p>
    <w:tbl>
      <w:tblPr>
        <w:tblStyle w:val="ListTable1Light-Accent6"/>
        <w:tblW w:w="5000" w:type="pct"/>
        <w:tblLook w:val="04A0" w:firstRow="1" w:lastRow="0" w:firstColumn="1" w:lastColumn="0" w:noHBand="0" w:noVBand="1"/>
      </w:tblPr>
      <w:tblGrid>
        <w:gridCol w:w="5056"/>
        <w:gridCol w:w="3970"/>
      </w:tblGrid>
      <w:tr w:rsidR="00A11E13" w14:paraId="2092E0D5" w14:textId="77777777" w:rsidTr="00672E7D">
        <w:trPr>
          <w:cnfStyle w:val="100000000000" w:firstRow="1" w:lastRow="0" w:firstColumn="0" w:lastColumn="0" w:oddVBand="0" w:evenVBand="0" w:oddHBand="0"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5000" w:type="pct"/>
            <w:gridSpan w:val="2"/>
            <w:noWrap/>
            <w:hideMark/>
          </w:tcPr>
          <w:p w14:paraId="028417D4"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IRR </w:t>
            </w:r>
            <w:r w:rsidRPr="00D2220A">
              <w:rPr>
                <w:rFonts w:eastAsia="Times New Roman" w:cs="Calibri"/>
                <w:color w:val="000000"/>
              </w:rPr>
              <w:t>of investment</w:t>
            </w:r>
            <w:r w:rsidRPr="00DB26B8">
              <w:rPr>
                <w:rFonts w:eastAsia="Times New Roman" w:cs="Calibri"/>
                <w:color w:val="000000"/>
              </w:rPr>
              <w:t xml:space="preserve"> C</w:t>
            </w:r>
          </w:p>
        </w:tc>
      </w:tr>
      <w:tr w:rsidR="00A11E13" w14:paraId="35A20974" w14:textId="77777777" w:rsidTr="00672E7D">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3DC8036E"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Period </w:t>
            </w:r>
          </w:p>
        </w:tc>
        <w:tc>
          <w:tcPr>
            <w:tcW w:w="2199" w:type="pct"/>
            <w:noWrap/>
            <w:hideMark/>
          </w:tcPr>
          <w:p w14:paraId="3D385858"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Cashflows (£)</w:t>
            </w:r>
          </w:p>
        </w:tc>
      </w:tr>
      <w:tr w:rsidR="00A11E13" w14:paraId="75C5F153" w14:textId="77777777" w:rsidTr="00672E7D">
        <w:trPr>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245166AF"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xml:space="preserve">Initial Investment </w:t>
            </w:r>
          </w:p>
        </w:tc>
        <w:tc>
          <w:tcPr>
            <w:tcW w:w="2199" w:type="pct"/>
            <w:noWrap/>
            <w:hideMark/>
          </w:tcPr>
          <w:p w14:paraId="61DCFC3F"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-1,700,000</w:t>
            </w:r>
          </w:p>
        </w:tc>
      </w:tr>
      <w:tr w:rsidR="00A11E13" w14:paraId="78EFD515" w14:textId="77777777" w:rsidTr="00672E7D">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45C7E155"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1</w:t>
            </w:r>
          </w:p>
        </w:tc>
        <w:tc>
          <w:tcPr>
            <w:tcW w:w="2199" w:type="pct"/>
            <w:noWrap/>
            <w:hideMark/>
          </w:tcPr>
          <w:p w14:paraId="201C4E2D"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500,000</w:t>
            </w:r>
          </w:p>
        </w:tc>
      </w:tr>
      <w:tr w:rsidR="00A11E13" w14:paraId="65A84E7B" w14:textId="77777777" w:rsidTr="00672E7D">
        <w:trPr>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23CE8470"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2</w:t>
            </w:r>
          </w:p>
        </w:tc>
        <w:tc>
          <w:tcPr>
            <w:tcW w:w="2199" w:type="pct"/>
            <w:noWrap/>
            <w:hideMark/>
          </w:tcPr>
          <w:p w14:paraId="44BB6F44"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800,000</w:t>
            </w:r>
          </w:p>
        </w:tc>
      </w:tr>
      <w:tr w:rsidR="00A11E13" w14:paraId="6231AE8F" w14:textId="77777777" w:rsidTr="00672E7D">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04D7A92B"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3</w:t>
            </w:r>
          </w:p>
        </w:tc>
        <w:tc>
          <w:tcPr>
            <w:tcW w:w="2199" w:type="pct"/>
            <w:noWrap/>
            <w:hideMark/>
          </w:tcPr>
          <w:p w14:paraId="608179FC" w14:textId="77777777" w:rsidR="00A11E13" w:rsidRPr="00DB26B8" w:rsidRDefault="00A11E13" w:rsidP="00E8037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1,050,000</w:t>
            </w:r>
          </w:p>
        </w:tc>
      </w:tr>
      <w:tr w:rsidR="00A11E13" w14:paraId="1F313BC7" w14:textId="77777777" w:rsidTr="00672E7D">
        <w:trPr>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27028103"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4</w:t>
            </w:r>
          </w:p>
        </w:tc>
        <w:tc>
          <w:tcPr>
            <w:tcW w:w="2199" w:type="pct"/>
            <w:noWrap/>
            <w:hideMark/>
          </w:tcPr>
          <w:p w14:paraId="261C1A7F"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color w:val="000000"/>
              </w:rPr>
            </w:pPr>
            <w:r w:rsidRPr="00DB26B8">
              <w:rPr>
                <w:rFonts w:eastAsia="Times New Roman" w:cs="Calibri"/>
                <w:color w:val="000000"/>
              </w:rPr>
              <w:t>1,200,000</w:t>
            </w:r>
          </w:p>
        </w:tc>
      </w:tr>
      <w:tr w:rsidR="00A11E13" w14:paraId="4183FDFD" w14:textId="77777777" w:rsidTr="00672E7D">
        <w:trPr>
          <w:cnfStyle w:val="000000100000" w:firstRow="0" w:lastRow="0" w:firstColumn="0" w:lastColumn="0" w:oddVBand="0" w:evenVBand="0" w:oddHBand="1"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3ECEF944"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 </w:t>
            </w:r>
          </w:p>
        </w:tc>
        <w:tc>
          <w:tcPr>
            <w:tcW w:w="2199" w:type="pct"/>
            <w:noWrap/>
            <w:hideMark/>
          </w:tcPr>
          <w:p w14:paraId="253D737B" w14:textId="77777777" w:rsidR="00A11E13" w:rsidRPr="00DB26B8" w:rsidRDefault="00A11E13" w:rsidP="00E8037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Calibri"/>
                <w:color w:val="000000"/>
              </w:rPr>
            </w:pPr>
            <w:r w:rsidRPr="00DB26B8">
              <w:rPr>
                <w:rFonts w:eastAsia="Times New Roman" w:cs="Calibri"/>
                <w:color w:val="000000"/>
              </w:rPr>
              <w:t> </w:t>
            </w:r>
          </w:p>
        </w:tc>
      </w:tr>
      <w:tr w:rsidR="00A11E13" w14:paraId="5992E9D8" w14:textId="77777777" w:rsidTr="00672E7D">
        <w:trPr>
          <w:trHeight w:val="333"/>
        </w:trPr>
        <w:tc>
          <w:tcPr>
            <w:cnfStyle w:val="001000000000" w:firstRow="0" w:lastRow="0" w:firstColumn="1" w:lastColumn="0" w:oddVBand="0" w:evenVBand="0" w:oddHBand="0" w:evenHBand="0" w:firstRowFirstColumn="0" w:firstRowLastColumn="0" w:lastRowFirstColumn="0" w:lastRowLastColumn="0"/>
            <w:tcW w:w="2801" w:type="pct"/>
            <w:noWrap/>
            <w:hideMark/>
          </w:tcPr>
          <w:p w14:paraId="7FB3B79C" w14:textId="77777777" w:rsidR="00A11E13" w:rsidRPr="00DB26B8" w:rsidRDefault="00A11E13" w:rsidP="00E80374">
            <w:pPr>
              <w:spacing w:line="240" w:lineRule="auto"/>
              <w:jc w:val="center"/>
              <w:rPr>
                <w:rFonts w:eastAsia="Times New Roman" w:cs="Calibri"/>
                <w:color w:val="000000"/>
              </w:rPr>
            </w:pPr>
            <w:r w:rsidRPr="00DB26B8">
              <w:rPr>
                <w:rFonts w:eastAsia="Times New Roman" w:cs="Calibri"/>
                <w:color w:val="000000"/>
              </w:rPr>
              <w:t>IRR</w:t>
            </w:r>
          </w:p>
        </w:tc>
        <w:tc>
          <w:tcPr>
            <w:tcW w:w="2199" w:type="pct"/>
            <w:noWrap/>
            <w:hideMark/>
          </w:tcPr>
          <w:p w14:paraId="2C97E0AC" w14:textId="77777777" w:rsidR="00A11E13" w:rsidRPr="00DB26B8" w:rsidRDefault="00A11E13" w:rsidP="00E8037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b/>
                <w:bCs/>
                <w:color w:val="000000"/>
              </w:rPr>
            </w:pPr>
            <w:r w:rsidRPr="00DB26B8">
              <w:rPr>
                <w:rFonts w:eastAsia="Times New Roman" w:cs="Calibri"/>
                <w:b/>
                <w:bCs/>
                <w:color w:val="000000"/>
              </w:rPr>
              <w:t>32%</w:t>
            </w:r>
          </w:p>
        </w:tc>
      </w:tr>
    </w:tbl>
    <w:p w14:paraId="7421E89E" w14:textId="77777777" w:rsidR="00A11E13" w:rsidRPr="0082683C" w:rsidRDefault="00A11E13" w:rsidP="00A11E13">
      <w:pPr>
        <w:rPr>
          <w:lang w:val="en-US"/>
        </w:rPr>
      </w:pPr>
    </w:p>
    <w:p w14:paraId="773513EB" w14:textId="77777777" w:rsidR="00364F77" w:rsidRDefault="00364F77" w:rsidP="00261925">
      <w:pPr>
        <w:rPr>
          <w:color w:val="0070C0"/>
          <w:sz w:val="28"/>
          <w:szCs w:val="28"/>
        </w:rPr>
      </w:pPr>
    </w:p>
    <w:p w14:paraId="1083D0E5" w14:textId="77777777" w:rsidR="00EF3271" w:rsidRDefault="00EF3271" w:rsidP="00261925">
      <w:pPr>
        <w:rPr>
          <w:color w:val="0070C0"/>
          <w:sz w:val="28"/>
          <w:szCs w:val="28"/>
        </w:rPr>
      </w:pPr>
    </w:p>
    <w:p w14:paraId="707C17C9" w14:textId="77777777" w:rsidR="00EF3271" w:rsidRDefault="00EF3271" w:rsidP="00261925">
      <w:pPr>
        <w:rPr>
          <w:color w:val="0070C0"/>
          <w:sz w:val="28"/>
          <w:szCs w:val="28"/>
        </w:rPr>
      </w:pPr>
    </w:p>
    <w:p w14:paraId="78246A0E" w14:textId="77777777" w:rsidR="00EF3271" w:rsidRDefault="00EF3271" w:rsidP="00261925">
      <w:pPr>
        <w:rPr>
          <w:color w:val="0070C0"/>
          <w:sz w:val="28"/>
          <w:szCs w:val="28"/>
        </w:rPr>
      </w:pPr>
    </w:p>
    <w:tbl>
      <w:tblPr>
        <w:tblStyle w:val="GridTable6Colorful-Accent61"/>
        <w:tblW w:w="3560" w:type="dxa"/>
        <w:tblLook w:val="04A0" w:firstRow="1" w:lastRow="0" w:firstColumn="1" w:lastColumn="0" w:noHBand="0" w:noVBand="1"/>
      </w:tblPr>
      <w:tblGrid>
        <w:gridCol w:w="1994"/>
        <w:gridCol w:w="1566"/>
      </w:tblGrid>
      <w:tr w:rsidR="00F51770" w:rsidRPr="00F51770" w14:paraId="6DBA7ECD" w14:textId="77777777" w:rsidTr="00CA7EBF">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60" w:type="dxa"/>
            <w:gridSpan w:val="2"/>
            <w:noWrap/>
            <w:hideMark/>
          </w:tcPr>
          <w:p w14:paraId="69F4C1C4" w14:textId="5D30C7E9" w:rsidR="00F51770" w:rsidRPr="00F51770" w:rsidRDefault="00F51770" w:rsidP="00F51770">
            <w:pPr>
              <w:spacing w:line="240" w:lineRule="auto"/>
              <w:jc w:val="center"/>
              <w:rPr>
                <w:rFonts w:ascii="Calibri" w:eastAsia="Times New Roman" w:hAnsi="Calibri" w:cs="Calibri"/>
                <w:b w:val="0"/>
                <w:bCs w:val="0"/>
                <w:color w:val="000000"/>
                <w:lang w:eastAsia="en-GB"/>
              </w:rPr>
            </w:pPr>
            <w:r w:rsidRPr="00F51770">
              <w:rPr>
                <w:rFonts w:ascii="Calibri" w:eastAsia="Times New Roman" w:hAnsi="Calibri" w:cs="Calibri"/>
                <w:color w:val="000000"/>
                <w:lang w:eastAsia="en-GB"/>
              </w:rPr>
              <w:lastRenderedPageBreak/>
              <w:t xml:space="preserve">IRR of investment A </w:t>
            </w:r>
          </w:p>
        </w:tc>
      </w:tr>
      <w:tr w:rsidR="00F51770" w:rsidRPr="00F51770" w14:paraId="7F4AAFDC"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269F6F51" w14:textId="77777777" w:rsidR="00F51770" w:rsidRPr="00F51770" w:rsidRDefault="00F51770" w:rsidP="00F51770">
            <w:pPr>
              <w:spacing w:line="240" w:lineRule="auto"/>
              <w:jc w:val="center"/>
              <w:rPr>
                <w:rFonts w:ascii="Calibri" w:eastAsia="Times New Roman" w:hAnsi="Calibri" w:cs="Calibri"/>
                <w:b w:val="0"/>
                <w:bCs w:val="0"/>
                <w:color w:val="000000"/>
                <w:lang w:eastAsia="en-GB"/>
              </w:rPr>
            </w:pPr>
            <w:r w:rsidRPr="00F51770">
              <w:rPr>
                <w:rFonts w:ascii="Calibri" w:eastAsia="Times New Roman" w:hAnsi="Calibri" w:cs="Calibri"/>
                <w:color w:val="000000"/>
                <w:lang w:eastAsia="en-GB"/>
              </w:rPr>
              <w:t xml:space="preserve">Period </w:t>
            </w:r>
          </w:p>
        </w:tc>
        <w:tc>
          <w:tcPr>
            <w:tcW w:w="1566" w:type="dxa"/>
            <w:noWrap/>
            <w:hideMark/>
          </w:tcPr>
          <w:p w14:paraId="4D7E3F2E" w14:textId="77777777" w:rsidR="00F51770" w:rsidRPr="00F51770" w:rsidRDefault="00F51770" w:rsidP="00F51770">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F51770">
              <w:rPr>
                <w:rFonts w:ascii="Calibri" w:eastAsia="Times New Roman" w:hAnsi="Calibri" w:cs="Calibri"/>
                <w:b/>
                <w:bCs/>
                <w:color w:val="000000"/>
                <w:lang w:eastAsia="en-GB"/>
              </w:rPr>
              <w:t>Cashflows (£)</w:t>
            </w:r>
          </w:p>
        </w:tc>
      </w:tr>
      <w:tr w:rsidR="00F51770" w:rsidRPr="00F51770" w14:paraId="5A024207"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6F497731" w14:textId="77777777" w:rsidR="00F51770" w:rsidRPr="00F51770" w:rsidRDefault="00F51770" w:rsidP="00F51770">
            <w:pPr>
              <w:spacing w:line="240" w:lineRule="auto"/>
              <w:jc w:val="center"/>
              <w:rPr>
                <w:rFonts w:ascii="Calibri" w:eastAsia="Times New Roman" w:hAnsi="Calibri" w:cs="Calibri"/>
                <w:color w:val="000000"/>
                <w:lang w:eastAsia="en-GB"/>
              </w:rPr>
            </w:pPr>
            <w:r w:rsidRPr="00F51770">
              <w:rPr>
                <w:rFonts w:ascii="Calibri" w:eastAsia="Times New Roman" w:hAnsi="Calibri" w:cs="Calibri"/>
                <w:color w:val="000000"/>
                <w:lang w:eastAsia="en-GB"/>
              </w:rPr>
              <w:t xml:space="preserve">Initial Investment </w:t>
            </w:r>
          </w:p>
        </w:tc>
        <w:tc>
          <w:tcPr>
            <w:tcW w:w="1566" w:type="dxa"/>
            <w:noWrap/>
            <w:hideMark/>
          </w:tcPr>
          <w:p w14:paraId="706E7EC5" w14:textId="77777777" w:rsidR="00F51770" w:rsidRPr="00F51770" w:rsidRDefault="00F51770" w:rsidP="00F5177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51770">
              <w:rPr>
                <w:rFonts w:ascii="Calibri" w:eastAsia="Times New Roman" w:hAnsi="Calibri" w:cs="Calibri"/>
                <w:color w:val="000000"/>
                <w:lang w:eastAsia="en-GB"/>
              </w:rPr>
              <w:t>-660,000</w:t>
            </w:r>
          </w:p>
        </w:tc>
      </w:tr>
      <w:tr w:rsidR="00F51770" w:rsidRPr="00F51770" w14:paraId="544F4DFA"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23ABE721" w14:textId="77777777" w:rsidR="00F51770" w:rsidRPr="00F51770" w:rsidRDefault="00F51770" w:rsidP="00F51770">
            <w:pPr>
              <w:spacing w:line="240" w:lineRule="auto"/>
              <w:jc w:val="center"/>
              <w:rPr>
                <w:rFonts w:ascii="Calibri" w:eastAsia="Times New Roman" w:hAnsi="Calibri" w:cs="Calibri"/>
                <w:color w:val="000000"/>
                <w:lang w:eastAsia="en-GB"/>
              </w:rPr>
            </w:pPr>
            <w:r w:rsidRPr="00F51770">
              <w:rPr>
                <w:rFonts w:ascii="Calibri" w:eastAsia="Times New Roman" w:hAnsi="Calibri" w:cs="Calibri"/>
                <w:color w:val="000000"/>
                <w:lang w:eastAsia="en-GB"/>
              </w:rPr>
              <w:t>1</w:t>
            </w:r>
          </w:p>
        </w:tc>
        <w:tc>
          <w:tcPr>
            <w:tcW w:w="1566" w:type="dxa"/>
            <w:noWrap/>
            <w:hideMark/>
          </w:tcPr>
          <w:p w14:paraId="14CE95A3" w14:textId="77777777" w:rsidR="00F51770" w:rsidRPr="00F51770" w:rsidRDefault="00F51770" w:rsidP="00F51770">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51770">
              <w:rPr>
                <w:rFonts w:ascii="Calibri" w:eastAsia="Times New Roman" w:hAnsi="Calibri" w:cs="Calibri"/>
                <w:color w:val="000000"/>
                <w:lang w:eastAsia="en-GB"/>
              </w:rPr>
              <w:t>300,000</w:t>
            </w:r>
          </w:p>
        </w:tc>
      </w:tr>
      <w:tr w:rsidR="00F51770" w:rsidRPr="00F51770" w14:paraId="74D22D4F"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016F5FC4" w14:textId="77777777" w:rsidR="00F51770" w:rsidRPr="00F51770" w:rsidRDefault="00F51770" w:rsidP="00F51770">
            <w:pPr>
              <w:spacing w:line="240" w:lineRule="auto"/>
              <w:jc w:val="center"/>
              <w:rPr>
                <w:rFonts w:ascii="Calibri" w:eastAsia="Times New Roman" w:hAnsi="Calibri" w:cs="Calibri"/>
                <w:color w:val="000000"/>
                <w:lang w:eastAsia="en-GB"/>
              </w:rPr>
            </w:pPr>
            <w:r w:rsidRPr="00F51770">
              <w:rPr>
                <w:rFonts w:ascii="Calibri" w:eastAsia="Times New Roman" w:hAnsi="Calibri" w:cs="Calibri"/>
                <w:color w:val="000000"/>
                <w:lang w:eastAsia="en-GB"/>
              </w:rPr>
              <w:t>2</w:t>
            </w:r>
          </w:p>
        </w:tc>
        <w:tc>
          <w:tcPr>
            <w:tcW w:w="1566" w:type="dxa"/>
            <w:noWrap/>
            <w:hideMark/>
          </w:tcPr>
          <w:p w14:paraId="28B9A3EB" w14:textId="77777777" w:rsidR="00F51770" w:rsidRPr="00F51770" w:rsidRDefault="00F51770" w:rsidP="00F5177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51770">
              <w:rPr>
                <w:rFonts w:ascii="Calibri" w:eastAsia="Times New Roman" w:hAnsi="Calibri" w:cs="Calibri"/>
                <w:color w:val="000000"/>
                <w:lang w:eastAsia="en-GB"/>
              </w:rPr>
              <w:t>400,000</w:t>
            </w:r>
          </w:p>
        </w:tc>
      </w:tr>
      <w:tr w:rsidR="00F51770" w:rsidRPr="00F51770" w14:paraId="726D29E2"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3E212B38" w14:textId="77777777" w:rsidR="00F51770" w:rsidRPr="00F51770" w:rsidRDefault="00F51770" w:rsidP="00F51770">
            <w:pPr>
              <w:spacing w:line="240" w:lineRule="auto"/>
              <w:jc w:val="center"/>
              <w:rPr>
                <w:rFonts w:ascii="Calibri" w:eastAsia="Times New Roman" w:hAnsi="Calibri" w:cs="Calibri"/>
                <w:color w:val="000000"/>
                <w:lang w:eastAsia="en-GB"/>
              </w:rPr>
            </w:pPr>
            <w:r w:rsidRPr="00F51770">
              <w:rPr>
                <w:rFonts w:ascii="Calibri" w:eastAsia="Times New Roman" w:hAnsi="Calibri" w:cs="Calibri"/>
                <w:color w:val="000000"/>
                <w:lang w:eastAsia="en-GB"/>
              </w:rPr>
              <w:t>3</w:t>
            </w:r>
          </w:p>
        </w:tc>
        <w:tc>
          <w:tcPr>
            <w:tcW w:w="1566" w:type="dxa"/>
            <w:noWrap/>
            <w:hideMark/>
          </w:tcPr>
          <w:p w14:paraId="1983DACA" w14:textId="77777777" w:rsidR="00F51770" w:rsidRPr="00F51770" w:rsidRDefault="00F51770" w:rsidP="00F51770">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51770">
              <w:rPr>
                <w:rFonts w:ascii="Calibri" w:eastAsia="Times New Roman" w:hAnsi="Calibri" w:cs="Calibri"/>
                <w:color w:val="000000"/>
                <w:lang w:eastAsia="en-GB"/>
              </w:rPr>
              <w:t>450,000</w:t>
            </w:r>
          </w:p>
        </w:tc>
      </w:tr>
      <w:tr w:rsidR="00F51770" w:rsidRPr="00F51770" w14:paraId="5441BF21"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60ECAD46" w14:textId="77777777" w:rsidR="00F51770" w:rsidRPr="00F51770" w:rsidRDefault="00F51770" w:rsidP="00F51770">
            <w:pPr>
              <w:spacing w:line="240" w:lineRule="auto"/>
              <w:jc w:val="center"/>
              <w:rPr>
                <w:rFonts w:ascii="Calibri" w:eastAsia="Times New Roman" w:hAnsi="Calibri" w:cs="Calibri"/>
                <w:color w:val="000000"/>
                <w:lang w:eastAsia="en-GB"/>
              </w:rPr>
            </w:pPr>
            <w:r w:rsidRPr="00F51770">
              <w:rPr>
                <w:rFonts w:ascii="Calibri" w:eastAsia="Times New Roman" w:hAnsi="Calibri" w:cs="Calibri"/>
                <w:color w:val="000000"/>
                <w:lang w:eastAsia="en-GB"/>
              </w:rPr>
              <w:t>4</w:t>
            </w:r>
          </w:p>
        </w:tc>
        <w:tc>
          <w:tcPr>
            <w:tcW w:w="1566" w:type="dxa"/>
            <w:noWrap/>
            <w:hideMark/>
          </w:tcPr>
          <w:p w14:paraId="72C03F1A" w14:textId="77777777" w:rsidR="00F51770" w:rsidRPr="00F51770" w:rsidRDefault="00F51770" w:rsidP="00F5177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51770">
              <w:rPr>
                <w:rFonts w:ascii="Calibri" w:eastAsia="Times New Roman" w:hAnsi="Calibri" w:cs="Calibri"/>
                <w:color w:val="000000"/>
                <w:lang w:eastAsia="en-GB"/>
              </w:rPr>
              <w:t>500,000</w:t>
            </w:r>
          </w:p>
        </w:tc>
      </w:tr>
      <w:tr w:rsidR="00F51770" w:rsidRPr="00F51770" w14:paraId="662E0D3D"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794E4A66" w14:textId="77777777" w:rsidR="00F51770" w:rsidRPr="00F51770" w:rsidRDefault="00F51770" w:rsidP="00F51770">
            <w:pPr>
              <w:spacing w:line="240" w:lineRule="auto"/>
              <w:jc w:val="center"/>
              <w:rPr>
                <w:rFonts w:ascii="Calibri" w:eastAsia="Times New Roman" w:hAnsi="Calibri" w:cs="Calibri"/>
                <w:color w:val="000000"/>
                <w:lang w:eastAsia="en-GB"/>
              </w:rPr>
            </w:pPr>
            <w:r w:rsidRPr="00F51770">
              <w:rPr>
                <w:rFonts w:ascii="Calibri" w:eastAsia="Times New Roman" w:hAnsi="Calibri" w:cs="Calibri"/>
                <w:color w:val="000000"/>
                <w:lang w:eastAsia="en-GB"/>
              </w:rPr>
              <w:t> </w:t>
            </w:r>
          </w:p>
        </w:tc>
        <w:tc>
          <w:tcPr>
            <w:tcW w:w="1566" w:type="dxa"/>
            <w:noWrap/>
            <w:hideMark/>
          </w:tcPr>
          <w:p w14:paraId="4B891D18" w14:textId="77777777" w:rsidR="00F51770" w:rsidRPr="00F51770" w:rsidRDefault="00F51770" w:rsidP="00F51770">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51770">
              <w:rPr>
                <w:rFonts w:ascii="Calibri" w:eastAsia="Times New Roman" w:hAnsi="Calibri" w:cs="Calibri"/>
                <w:color w:val="000000"/>
                <w:lang w:eastAsia="en-GB"/>
              </w:rPr>
              <w:t> </w:t>
            </w:r>
          </w:p>
        </w:tc>
      </w:tr>
      <w:tr w:rsidR="00F51770" w:rsidRPr="00F51770" w14:paraId="56D1CD3F"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94" w:type="dxa"/>
            <w:noWrap/>
            <w:hideMark/>
          </w:tcPr>
          <w:p w14:paraId="0FBED01A" w14:textId="77777777" w:rsidR="00F51770" w:rsidRPr="00F51770" w:rsidRDefault="00F51770" w:rsidP="00F51770">
            <w:pPr>
              <w:spacing w:line="240" w:lineRule="auto"/>
              <w:jc w:val="center"/>
              <w:rPr>
                <w:rFonts w:ascii="Calibri" w:eastAsia="Times New Roman" w:hAnsi="Calibri" w:cs="Calibri"/>
                <w:b w:val="0"/>
                <w:bCs w:val="0"/>
                <w:color w:val="000000"/>
                <w:lang w:eastAsia="en-GB"/>
              </w:rPr>
            </w:pPr>
            <w:r w:rsidRPr="00F51770">
              <w:rPr>
                <w:rFonts w:ascii="Calibri" w:eastAsia="Times New Roman" w:hAnsi="Calibri" w:cs="Calibri"/>
                <w:color w:val="000000"/>
                <w:lang w:eastAsia="en-GB"/>
              </w:rPr>
              <w:t>IRR</w:t>
            </w:r>
          </w:p>
        </w:tc>
        <w:tc>
          <w:tcPr>
            <w:tcW w:w="1566" w:type="dxa"/>
            <w:noWrap/>
            <w:hideMark/>
          </w:tcPr>
          <w:p w14:paraId="26424159" w14:textId="77777777" w:rsidR="00F51770" w:rsidRPr="00F51770" w:rsidRDefault="00F51770" w:rsidP="00F51770">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F51770">
              <w:rPr>
                <w:rFonts w:ascii="Calibri" w:eastAsia="Times New Roman" w:hAnsi="Calibri" w:cs="Calibri"/>
                <w:b/>
                <w:bCs/>
                <w:color w:val="000000"/>
                <w:lang w:eastAsia="en-GB"/>
              </w:rPr>
              <w:t>45%</w:t>
            </w:r>
          </w:p>
        </w:tc>
      </w:tr>
    </w:tbl>
    <w:p w14:paraId="42A8952E" w14:textId="77777777" w:rsidR="00A77CD2" w:rsidRDefault="00A77CD2" w:rsidP="00261925">
      <w:pPr>
        <w:rPr>
          <w:color w:val="0070C0"/>
          <w:sz w:val="28"/>
          <w:szCs w:val="28"/>
        </w:rPr>
      </w:pPr>
    </w:p>
    <w:tbl>
      <w:tblPr>
        <w:tblStyle w:val="GridTable6Colorful-Accent61"/>
        <w:tblW w:w="3520" w:type="dxa"/>
        <w:tblLook w:val="04A0" w:firstRow="1" w:lastRow="0" w:firstColumn="1" w:lastColumn="0" w:noHBand="0" w:noVBand="1"/>
      </w:tblPr>
      <w:tblGrid>
        <w:gridCol w:w="1972"/>
        <w:gridCol w:w="1548"/>
      </w:tblGrid>
      <w:tr w:rsidR="00EF3271" w:rsidRPr="00EF3271" w14:paraId="3AC98EC7" w14:textId="77777777" w:rsidTr="00CA7EBF">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20" w:type="dxa"/>
            <w:gridSpan w:val="2"/>
            <w:noWrap/>
            <w:hideMark/>
          </w:tcPr>
          <w:p w14:paraId="449C49D7" w14:textId="18BEFBFD" w:rsidR="00EF3271" w:rsidRPr="00EF3271" w:rsidRDefault="00EF3271" w:rsidP="00EF3271">
            <w:pPr>
              <w:spacing w:line="240" w:lineRule="auto"/>
              <w:jc w:val="center"/>
              <w:rPr>
                <w:rFonts w:ascii="Calibri" w:eastAsia="Times New Roman" w:hAnsi="Calibri" w:cs="Calibri"/>
                <w:b w:val="0"/>
                <w:bCs w:val="0"/>
                <w:color w:val="000000"/>
                <w:lang w:eastAsia="en-GB"/>
              </w:rPr>
            </w:pPr>
            <w:r w:rsidRPr="00EF3271">
              <w:rPr>
                <w:rFonts w:ascii="Calibri" w:eastAsia="Times New Roman" w:hAnsi="Calibri" w:cs="Calibri"/>
                <w:color w:val="000000"/>
                <w:lang w:eastAsia="en-GB"/>
              </w:rPr>
              <w:t xml:space="preserve">IRR </w:t>
            </w:r>
            <w:r w:rsidR="00601359" w:rsidRPr="00EF3271">
              <w:rPr>
                <w:rFonts w:ascii="Calibri" w:eastAsia="Times New Roman" w:hAnsi="Calibri" w:cs="Calibri"/>
                <w:color w:val="000000"/>
                <w:lang w:eastAsia="en-GB"/>
              </w:rPr>
              <w:t>of investment</w:t>
            </w:r>
            <w:r w:rsidRPr="00EF3271">
              <w:rPr>
                <w:rFonts w:ascii="Calibri" w:eastAsia="Times New Roman" w:hAnsi="Calibri" w:cs="Calibri"/>
                <w:color w:val="000000"/>
                <w:lang w:eastAsia="en-GB"/>
              </w:rPr>
              <w:t xml:space="preserve"> B</w:t>
            </w:r>
          </w:p>
        </w:tc>
      </w:tr>
      <w:tr w:rsidR="00EF3271" w:rsidRPr="00EF3271" w14:paraId="54021839"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617741AE" w14:textId="77777777" w:rsidR="00EF3271" w:rsidRPr="00EF3271" w:rsidRDefault="00EF3271" w:rsidP="00EF3271">
            <w:pPr>
              <w:spacing w:line="240" w:lineRule="auto"/>
              <w:jc w:val="center"/>
              <w:rPr>
                <w:rFonts w:ascii="Calibri" w:eastAsia="Times New Roman" w:hAnsi="Calibri" w:cs="Calibri"/>
                <w:b w:val="0"/>
                <w:bCs w:val="0"/>
                <w:color w:val="000000"/>
                <w:lang w:eastAsia="en-GB"/>
              </w:rPr>
            </w:pPr>
            <w:r w:rsidRPr="00EF3271">
              <w:rPr>
                <w:rFonts w:ascii="Calibri" w:eastAsia="Times New Roman" w:hAnsi="Calibri" w:cs="Calibri"/>
                <w:color w:val="000000"/>
                <w:lang w:eastAsia="en-GB"/>
              </w:rPr>
              <w:t xml:space="preserve">Period </w:t>
            </w:r>
          </w:p>
        </w:tc>
        <w:tc>
          <w:tcPr>
            <w:tcW w:w="1548" w:type="dxa"/>
            <w:noWrap/>
            <w:hideMark/>
          </w:tcPr>
          <w:p w14:paraId="371FA4CD" w14:textId="77777777" w:rsidR="00EF3271" w:rsidRPr="00EF3271" w:rsidRDefault="00EF3271" w:rsidP="00EF327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EF3271">
              <w:rPr>
                <w:rFonts w:ascii="Calibri" w:eastAsia="Times New Roman" w:hAnsi="Calibri" w:cs="Calibri"/>
                <w:b/>
                <w:bCs/>
                <w:color w:val="000000"/>
                <w:lang w:eastAsia="en-GB"/>
              </w:rPr>
              <w:t>Cashflows (£)</w:t>
            </w:r>
          </w:p>
        </w:tc>
      </w:tr>
      <w:tr w:rsidR="00EF3271" w:rsidRPr="00EF3271" w14:paraId="100B951F"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6F68350C" w14:textId="77777777" w:rsidR="00EF3271" w:rsidRPr="00EF3271" w:rsidRDefault="00EF3271" w:rsidP="00EF3271">
            <w:pPr>
              <w:spacing w:line="240" w:lineRule="auto"/>
              <w:jc w:val="center"/>
              <w:rPr>
                <w:rFonts w:ascii="Calibri" w:eastAsia="Times New Roman" w:hAnsi="Calibri" w:cs="Calibri"/>
                <w:color w:val="000000"/>
                <w:lang w:eastAsia="en-GB"/>
              </w:rPr>
            </w:pPr>
            <w:r w:rsidRPr="00EF3271">
              <w:rPr>
                <w:rFonts w:ascii="Calibri" w:eastAsia="Times New Roman" w:hAnsi="Calibri" w:cs="Calibri"/>
                <w:color w:val="000000"/>
                <w:lang w:eastAsia="en-GB"/>
              </w:rPr>
              <w:t xml:space="preserve">Initial Investment </w:t>
            </w:r>
          </w:p>
        </w:tc>
        <w:tc>
          <w:tcPr>
            <w:tcW w:w="1548" w:type="dxa"/>
            <w:noWrap/>
            <w:hideMark/>
          </w:tcPr>
          <w:p w14:paraId="0BC7EE3F" w14:textId="77777777" w:rsidR="00EF3271" w:rsidRPr="00EF3271" w:rsidRDefault="00EF3271" w:rsidP="00EF327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F3271">
              <w:rPr>
                <w:rFonts w:ascii="Calibri" w:eastAsia="Times New Roman" w:hAnsi="Calibri" w:cs="Calibri"/>
                <w:color w:val="000000"/>
                <w:lang w:eastAsia="en-GB"/>
              </w:rPr>
              <w:t>-1,000,000</w:t>
            </w:r>
          </w:p>
        </w:tc>
      </w:tr>
      <w:tr w:rsidR="00EF3271" w:rsidRPr="00EF3271" w14:paraId="66C8F939"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27647C83" w14:textId="77777777" w:rsidR="00EF3271" w:rsidRPr="00EF3271" w:rsidRDefault="00EF3271" w:rsidP="00EF3271">
            <w:pPr>
              <w:spacing w:line="240" w:lineRule="auto"/>
              <w:jc w:val="center"/>
              <w:rPr>
                <w:rFonts w:ascii="Calibri" w:eastAsia="Times New Roman" w:hAnsi="Calibri" w:cs="Calibri"/>
                <w:color w:val="000000"/>
                <w:lang w:eastAsia="en-GB"/>
              </w:rPr>
            </w:pPr>
            <w:r w:rsidRPr="00EF3271">
              <w:rPr>
                <w:rFonts w:ascii="Calibri" w:eastAsia="Times New Roman" w:hAnsi="Calibri" w:cs="Calibri"/>
                <w:color w:val="000000"/>
                <w:lang w:eastAsia="en-GB"/>
              </w:rPr>
              <w:t>1</w:t>
            </w:r>
          </w:p>
        </w:tc>
        <w:tc>
          <w:tcPr>
            <w:tcW w:w="1548" w:type="dxa"/>
            <w:noWrap/>
            <w:hideMark/>
          </w:tcPr>
          <w:p w14:paraId="5509748C" w14:textId="77777777" w:rsidR="00EF3271" w:rsidRPr="00EF3271" w:rsidRDefault="00EF3271" w:rsidP="00EF327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F3271">
              <w:rPr>
                <w:rFonts w:ascii="Calibri" w:eastAsia="Times New Roman" w:hAnsi="Calibri" w:cs="Calibri"/>
                <w:color w:val="000000"/>
                <w:lang w:eastAsia="en-GB"/>
              </w:rPr>
              <w:t>500,000</w:t>
            </w:r>
          </w:p>
        </w:tc>
      </w:tr>
      <w:tr w:rsidR="00EF3271" w:rsidRPr="00EF3271" w14:paraId="51052084"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470DDBCB" w14:textId="77777777" w:rsidR="00EF3271" w:rsidRPr="00EF3271" w:rsidRDefault="00EF3271" w:rsidP="00EF3271">
            <w:pPr>
              <w:spacing w:line="240" w:lineRule="auto"/>
              <w:jc w:val="center"/>
              <w:rPr>
                <w:rFonts w:ascii="Calibri" w:eastAsia="Times New Roman" w:hAnsi="Calibri" w:cs="Calibri"/>
                <w:color w:val="000000"/>
                <w:lang w:eastAsia="en-GB"/>
              </w:rPr>
            </w:pPr>
            <w:r w:rsidRPr="00EF3271">
              <w:rPr>
                <w:rFonts w:ascii="Calibri" w:eastAsia="Times New Roman" w:hAnsi="Calibri" w:cs="Calibri"/>
                <w:color w:val="000000"/>
                <w:lang w:eastAsia="en-GB"/>
              </w:rPr>
              <w:t>2</w:t>
            </w:r>
          </w:p>
        </w:tc>
        <w:tc>
          <w:tcPr>
            <w:tcW w:w="1548" w:type="dxa"/>
            <w:noWrap/>
            <w:hideMark/>
          </w:tcPr>
          <w:p w14:paraId="79B5DDA6" w14:textId="77777777" w:rsidR="00EF3271" w:rsidRPr="00EF3271" w:rsidRDefault="00EF3271" w:rsidP="00EF327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F3271">
              <w:rPr>
                <w:rFonts w:ascii="Calibri" w:eastAsia="Times New Roman" w:hAnsi="Calibri" w:cs="Calibri"/>
                <w:color w:val="000000"/>
                <w:lang w:eastAsia="en-GB"/>
              </w:rPr>
              <w:t>550,000</w:t>
            </w:r>
          </w:p>
        </w:tc>
      </w:tr>
      <w:tr w:rsidR="00EF3271" w:rsidRPr="00EF3271" w14:paraId="245B6CB3"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4CBD417E" w14:textId="77777777" w:rsidR="00EF3271" w:rsidRPr="00EF3271" w:rsidRDefault="00EF3271" w:rsidP="00EF3271">
            <w:pPr>
              <w:spacing w:line="240" w:lineRule="auto"/>
              <w:jc w:val="center"/>
              <w:rPr>
                <w:rFonts w:ascii="Calibri" w:eastAsia="Times New Roman" w:hAnsi="Calibri" w:cs="Calibri"/>
                <w:color w:val="000000"/>
                <w:lang w:eastAsia="en-GB"/>
              </w:rPr>
            </w:pPr>
            <w:r w:rsidRPr="00EF3271">
              <w:rPr>
                <w:rFonts w:ascii="Calibri" w:eastAsia="Times New Roman" w:hAnsi="Calibri" w:cs="Calibri"/>
                <w:color w:val="000000"/>
                <w:lang w:eastAsia="en-GB"/>
              </w:rPr>
              <w:t>3</w:t>
            </w:r>
          </w:p>
        </w:tc>
        <w:tc>
          <w:tcPr>
            <w:tcW w:w="1548" w:type="dxa"/>
            <w:noWrap/>
            <w:hideMark/>
          </w:tcPr>
          <w:p w14:paraId="13865AF0" w14:textId="77777777" w:rsidR="00EF3271" w:rsidRPr="00EF3271" w:rsidRDefault="00EF3271" w:rsidP="00EF327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F3271">
              <w:rPr>
                <w:rFonts w:ascii="Calibri" w:eastAsia="Times New Roman" w:hAnsi="Calibri" w:cs="Calibri"/>
                <w:color w:val="000000"/>
                <w:lang w:eastAsia="en-GB"/>
              </w:rPr>
              <w:t>700,000</w:t>
            </w:r>
          </w:p>
        </w:tc>
      </w:tr>
      <w:tr w:rsidR="00EF3271" w:rsidRPr="00EF3271" w14:paraId="0643E651"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6265DBC1" w14:textId="77777777" w:rsidR="00EF3271" w:rsidRPr="00EF3271" w:rsidRDefault="00EF3271" w:rsidP="00EF3271">
            <w:pPr>
              <w:spacing w:line="240" w:lineRule="auto"/>
              <w:jc w:val="center"/>
              <w:rPr>
                <w:rFonts w:ascii="Calibri" w:eastAsia="Times New Roman" w:hAnsi="Calibri" w:cs="Calibri"/>
                <w:color w:val="000000"/>
                <w:lang w:eastAsia="en-GB"/>
              </w:rPr>
            </w:pPr>
            <w:r w:rsidRPr="00EF3271">
              <w:rPr>
                <w:rFonts w:ascii="Calibri" w:eastAsia="Times New Roman" w:hAnsi="Calibri" w:cs="Calibri"/>
                <w:color w:val="000000"/>
                <w:lang w:eastAsia="en-GB"/>
              </w:rPr>
              <w:t>4</w:t>
            </w:r>
          </w:p>
        </w:tc>
        <w:tc>
          <w:tcPr>
            <w:tcW w:w="1548" w:type="dxa"/>
            <w:noWrap/>
            <w:hideMark/>
          </w:tcPr>
          <w:p w14:paraId="78AC54F3" w14:textId="77777777" w:rsidR="00EF3271" w:rsidRPr="00EF3271" w:rsidRDefault="00EF3271" w:rsidP="00EF327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F3271">
              <w:rPr>
                <w:rFonts w:ascii="Calibri" w:eastAsia="Times New Roman" w:hAnsi="Calibri" w:cs="Calibri"/>
                <w:color w:val="000000"/>
                <w:lang w:eastAsia="en-GB"/>
              </w:rPr>
              <w:t>950,000</w:t>
            </w:r>
          </w:p>
        </w:tc>
      </w:tr>
      <w:tr w:rsidR="00EF3271" w:rsidRPr="00EF3271" w14:paraId="5040A9D5"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75E76499" w14:textId="77777777" w:rsidR="00EF3271" w:rsidRPr="00EF3271" w:rsidRDefault="00EF3271" w:rsidP="00EF3271">
            <w:pPr>
              <w:spacing w:line="240" w:lineRule="auto"/>
              <w:jc w:val="center"/>
              <w:rPr>
                <w:rFonts w:ascii="Calibri" w:eastAsia="Times New Roman" w:hAnsi="Calibri" w:cs="Calibri"/>
                <w:color w:val="000000"/>
                <w:lang w:eastAsia="en-GB"/>
              </w:rPr>
            </w:pPr>
            <w:r w:rsidRPr="00EF3271">
              <w:rPr>
                <w:rFonts w:ascii="Calibri" w:eastAsia="Times New Roman" w:hAnsi="Calibri" w:cs="Calibri"/>
                <w:color w:val="000000"/>
                <w:lang w:eastAsia="en-GB"/>
              </w:rPr>
              <w:t> </w:t>
            </w:r>
          </w:p>
        </w:tc>
        <w:tc>
          <w:tcPr>
            <w:tcW w:w="1548" w:type="dxa"/>
            <w:noWrap/>
            <w:hideMark/>
          </w:tcPr>
          <w:p w14:paraId="490B441B" w14:textId="77777777" w:rsidR="00EF3271" w:rsidRPr="00EF3271" w:rsidRDefault="00EF3271" w:rsidP="00EF3271">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F3271">
              <w:rPr>
                <w:rFonts w:ascii="Calibri" w:eastAsia="Times New Roman" w:hAnsi="Calibri" w:cs="Calibri"/>
                <w:color w:val="000000"/>
                <w:lang w:eastAsia="en-GB"/>
              </w:rPr>
              <w:t> </w:t>
            </w:r>
          </w:p>
        </w:tc>
      </w:tr>
      <w:tr w:rsidR="00EF3271" w:rsidRPr="00EF3271" w14:paraId="13AF97A5"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972" w:type="dxa"/>
            <w:noWrap/>
            <w:hideMark/>
          </w:tcPr>
          <w:p w14:paraId="5BC02B0A" w14:textId="77777777" w:rsidR="00EF3271" w:rsidRPr="00EF3271" w:rsidRDefault="00EF3271" w:rsidP="00EF3271">
            <w:pPr>
              <w:spacing w:line="240" w:lineRule="auto"/>
              <w:jc w:val="center"/>
              <w:rPr>
                <w:rFonts w:ascii="Calibri" w:eastAsia="Times New Roman" w:hAnsi="Calibri" w:cs="Calibri"/>
                <w:b w:val="0"/>
                <w:bCs w:val="0"/>
                <w:color w:val="000000"/>
                <w:lang w:eastAsia="en-GB"/>
              </w:rPr>
            </w:pPr>
            <w:r w:rsidRPr="00EF3271">
              <w:rPr>
                <w:rFonts w:ascii="Calibri" w:eastAsia="Times New Roman" w:hAnsi="Calibri" w:cs="Calibri"/>
                <w:color w:val="000000"/>
                <w:lang w:eastAsia="en-GB"/>
              </w:rPr>
              <w:t>IRR</w:t>
            </w:r>
          </w:p>
        </w:tc>
        <w:tc>
          <w:tcPr>
            <w:tcW w:w="1548" w:type="dxa"/>
            <w:noWrap/>
            <w:hideMark/>
          </w:tcPr>
          <w:p w14:paraId="76401697" w14:textId="77777777" w:rsidR="00EF3271" w:rsidRPr="00EF3271" w:rsidRDefault="00EF3271" w:rsidP="00EF327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EF3271">
              <w:rPr>
                <w:rFonts w:ascii="Calibri" w:eastAsia="Times New Roman" w:hAnsi="Calibri" w:cs="Calibri"/>
                <w:b/>
                <w:bCs/>
                <w:color w:val="000000"/>
                <w:lang w:eastAsia="en-GB"/>
              </w:rPr>
              <w:t>48%</w:t>
            </w:r>
          </w:p>
        </w:tc>
      </w:tr>
    </w:tbl>
    <w:p w14:paraId="11171E99" w14:textId="77777777" w:rsidR="00582B89" w:rsidRDefault="00582B89" w:rsidP="00261925">
      <w:pPr>
        <w:rPr>
          <w:color w:val="0070C0"/>
          <w:sz w:val="28"/>
          <w:szCs w:val="28"/>
        </w:rPr>
      </w:pPr>
    </w:p>
    <w:tbl>
      <w:tblPr>
        <w:tblStyle w:val="GridTable6Colorful-Accent61"/>
        <w:tblW w:w="3360" w:type="dxa"/>
        <w:tblLook w:val="04A0" w:firstRow="1" w:lastRow="0" w:firstColumn="1" w:lastColumn="0" w:noHBand="0" w:noVBand="1"/>
      </w:tblPr>
      <w:tblGrid>
        <w:gridCol w:w="1882"/>
        <w:gridCol w:w="1478"/>
      </w:tblGrid>
      <w:tr w:rsidR="00582B89" w:rsidRPr="00582B89" w14:paraId="34131B83" w14:textId="77777777" w:rsidTr="00CA7EBF">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60" w:type="dxa"/>
            <w:gridSpan w:val="2"/>
            <w:noWrap/>
            <w:hideMark/>
          </w:tcPr>
          <w:p w14:paraId="54509FE6" w14:textId="3653127E" w:rsidR="00582B89" w:rsidRPr="00582B89" w:rsidRDefault="00582B89" w:rsidP="00582B89">
            <w:pPr>
              <w:spacing w:line="240" w:lineRule="auto"/>
              <w:jc w:val="center"/>
              <w:rPr>
                <w:rFonts w:ascii="Calibri" w:eastAsia="Times New Roman" w:hAnsi="Calibri" w:cs="Calibri"/>
                <w:b w:val="0"/>
                <w:bCs w:val="0"/>
                <w:color w:val="000000"/>
                <w:lang w:eastAsia="en-GB"/>
              </w:rPr>
            </w:pPr>
            <w:r w:rsidRPr="00582B89">
              <w:rPr>
                <w:rFonts w:ascii="Calibri" w:eastAsia="Times New Roman" w:hAnsi="Calibri" w:cs="Calibri"/>
                <w:color w:val="000000"/>
                <w:lang w:eastAsia="en-GB"/>
              </w:rPr>
              <w:t xml:space="preserve">IRR </w:t>
            </w:r>
            <w:r w:rsidR="00601359" w:rsidRPr="00582B89">
              <w:rPr>
                <w:rFonts w:ascii="Calibri" w:eastAsia="Times New Roman" w:hAnsi="Calibri" w:cs="Calibri"/>
                <w:color w:val="000000"/>
                <w:lang w:eastAsia="en-GB"/>
              </w:rPr>
              <w:t>of investment</w:t>
            </w:r>
            <w:r w:rsidRPr="00582B89">
              <w:rPr>
                <w:rFonts w:ascii="Calibri" w:eastAsia="Times New Roman" w:hAnsi="Calibri" w:cs="Calibri"/>
                <w:color w:val="000000"/>
                <w:lang w:eastAsia="en-GB"/>
              </w:rPr>
              <w:t xml:space="preserve"> C</w:t>
            </w:r>
          </w:p>
        </w:tc>
      </w:tr>
      <w:tr w:rsidR="00582B89" w:rsidRPr="00582B89" w14:paraId="070C4CD7"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5C134C13" w14:textId="77777777" w:rsidR="00582B89" w:rsidRPr="00582B89" w:rsidRDefault="00582B89" w:rsidP="00582B89">
            <w:pPr>
              <w:spacing w:line="240" w:lineRule="auto"/>
              <w:jc w:val="center"/>
              <w:rPr>
                <w:rFonts w:ascii="Calibri" w:eastAsia="Times New Roman" w:hAnsi="Calibri" w:cs="Calibri"/>
                <w:b w:val="0"/>
                <w:bCs w:val="0"/>
                <w:color w:val="000000"/>
                <w:lang w:eastAsia="en-GB"/>
              </w:rPr>
            </w:pPr>
            <w:r w:rsidRPr="00582B89">
              <w:rPr>
                <w:rFonts w:ascii="Calibri" w:eastAsia="Times New Roman" w:hAnsi="Calibri" w:cs="Calibri"/>
                <w:color w:val="000000"/>
                <w:lang w:eastAsia="en-GB"/>
              </w:rPr>
              <w:t xml:space="preserve">Period </w:t>
            </w:r>
          </w:p>
        </w:tc>
        <w:tc>
          <w:tcPr>
            <w:tcW w:w="1478" w:type="dxa"/>
            <w:noWrap/>
            <w:hideMark/>
          </w:tcPr>
          <w:p w14:paraId="6B5A6CC9" w14:textId="77777777" w:rsidR="00582B89" w:rsidRPr="00582B89" w:rsidRDefault="00582B89" w:rsidP="00582B89">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582B89">
              <w:rPr>
                <w:rFonts w:ascii="Calibri" w:eastAsia="Times New Roman" w:hAnsi="Calibri" w:cs="Calibri"/>
                <w:b/>
                <w:bCs/>
                <w:color w:val="000000"/>
                <w:lang w:eastAsia="en-GB"/>
              </w:rPr>
              <w:t>Cashflows (£)</w:t>
            </w:r>
          </w:p>
        </w:tc>
      </w:tr>
      <w:tr w:rsidR="00582B89" w:rsidRPr="00582B89" w14:paraId="71B4CED2"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7DEC8448" w14:textId="77777777" w:rsidR="00582B89" w:rsidRPr="00582B89" w:rsidRDefault="00582B89" w:rsidP="00582B89">
            <w:pPr>
              <w:spacing w:line="240" w:lineRule="auto"/>
              <w:jc w:val="center"/>
              <w:rPr>
                <w:rFonts w:ascii="Calibri" w:eastAsia="Times New Roman" w:hAnsi="Calibri" w:cs="Calibri"/>
                <w:color w:val="000000"/>
                <w:lang w:eastAsia="en-GB"/>
              </w:rPr>
            </w:pPr>
            <w:r w:rsidRPr="00582B89">
              <w:rPr>
                <w:rFonts w:ascii="Calibri" w:eastAsia="Times New Roman" w:hAnsi="Calibri" w:cs="Calibri"/>
                <w:color w:val="000000"/>
                <w:lang w:eastAsia="en-GB"/>
              </w:rPr>
              <w:t xml:space="preserve">Initial Investment </w:t>
            </w:r>
          </w:p>
        </w:tc>
        <w:tc>
          <w:tcPr>
            <w:tcW w:w="1478" w:type="dxa"/>
            <w:noWrap/>
            <w:hideMark/>
          </w:tcPr>
          <w:p w14:paraId="759BB67D" w14:textId="77777777" w:rsidR="00582B89" w:rsidRPr="00582B89" w:rsidRDefault="00582B89" w:rsidP="00582B89">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82B89">
              <w:rPr>
                <w:rFonts w:ascii="Calibri" w:eastAsia="Times New Roman" w:hAnsi="Calibri" w:cs="Calibri"/>
                <w:color w:val="000000"/>
                <w:lang w:eastAsia="en-GB"/>
              </w:rPr>
              <w:t>-1,700,000</w:t>
            </w:r>
          </w:p>
        </w:tc>
      </w:tr>
      <w:tr w:rsidR="00582B89" w:rsidRPr="00582B89" w14:paraId="247B503B"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406F4068" w14:textId="77777777" w:rsidR="00582B89" w:rsidRPr="00582B89" w:rsidRDefault="00582B89" w:rsidP="00582B89">
            <w:pPr>
              <w:spacing w:line="240" w:lineRule="auto"/>
              <w:jc w:val="center"/>
              <w:rPr>
                <w:rFonts w:ascii="Calibri" w:eastAsia="Times New Roman" w:hAnsi="Calibri" w:cs="Calibri"/>
                <w:color w:val="000000"/>
                <w:lang w:eastAsia="en-GB"/>
              </w:rPr>
            </w:pPr>
            <w:r w:rsidRPr="00582B89">
              <w:rPr>
                <w:rFonts w:ascii="Calibri" w:eastAsia="Times New Roman" w:hAnsi="Calibri" w:cs="Calibri"/>
                <w:color w:val="000000"/>
                <w:lang w:eastAsia="en-GB"/>
              </w:rPr>
              <w:t>1</w:t>
            </w:r>
          </w:p>
        </w:tc>
        <w:tc>
          <w:tcPr>
            <w:tcW w:w="1478" w:type="dxa"/>
            <w:noWrap/>
            <w:hideMark/>
          </w:tcPr>
          <w:p w14:paraId="0706A1D6" w14:textId="77777777" w:rsidR="00582B89" w:rsidRPr="00582B89" w:rsidRDefault="00582B89" w:rsidP="00582B89">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82B89">
              <w:rPr>
                <w:rFonts w:ascii="Calibri" w:eastAsia="Times New Roman" w:hAnsi="Calibri" w:cs="Calibri"/>
                <w:color w:val="000000"/>
                <w:lang w:eastAsia="en-GB"/>
              </w:rPr>
              <w:t>500,000</w:t>
            </w:r>
          </w:p>
        </w:tc>
      </w:tr>
      <w:tr w:rsidR="00582B89" w:rsidRPr="00582B89" w14:paraId="7537DC9C"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29C1B7D5" w14:textId="77777777" w:rsidR="00582B89" w:rsidRPr="00582B89" w:rsidRDefault="00582B89" w:rsidP="00582B89">
            <w:pPr>
              <w:spacing w:line="240" w:lineRule="auto"/>
              <w:jc w:val="center"/>
              <w:rPr>
                <w:rFonts w:ascii="Calibri" w:eastAsia="Times New Roman" w:hAnsi="Calibri" w:cs="Calibri"/>
                <w:color w:val="000000"/>
                <w:lang w:eastAsia="en-GB"/>
              </w:rPr>
            </w:pPr>
            <w:r w:rsidRPr="00582B89">
              <w:rPr>
                <w:rFonts w:ascii="Calibri" w:eastAsia="Times New Roman" w:hAnsi="Calibri" w:cs="Calibri"/>
                <w:color w:val="000000"/>
                <w:lang w:eastAsia="en-GB"/>
              </w:rPr>
              <w:t>2</w:t>
            </w:r>
          </w:p>
        </w:tc>
        <w:tc>
          <w:tcPr>
            <w:tcW w:w="1478" w:type="dxa"/>
            <w:noWrap/>
            <w:hideMark/>
          </w:tcPr>
          <w:p w14:paraId="07B63C66" w14:textId="77777777" w:rsidR="00582B89" w:rsidRPr="00582B89" w:rsidRDefault="00582B89" w:rsidP="00582B89">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82B89">
              <w:rPr>
                <w:rFonts w:ascii="Calibri" w:eastAsia="Times New Roman" w:hAnsi="Calibri" w:cs="Calibri"/>
                <w:color w:val="000000"/>
                <w:lang w:eastAsia="en-GB"/>
              </w:rPr>
              <w:t>800,000</w:t>
            </w:r>
          </w:p>
        </w:tc>
      </w:tr>
      <w:tr w:rsidR="00582B89" w:rsidRPr="00582B89" w14:paraId="50F01C6A"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7B17386A" w14:textId="77777777" w:rsidR="00582B89" w:rsidRPr="00582B89" w:rsidRDefault="00582B89" w:rsidP="00582B89">
            <w:pPr>
              <w:spacing w:line="240" w:lineRule="auto"/>
              <w:jc w:val="center"/>
              <w:rPr>
                <w:rFonts w:ascii="Calibri" w:eastAsia="Times New Roman" w:hAnsi="Calibri" w:cs="Calibri"/>
                <w:color w:val="000000"/>
                <w:lang w:eastAsia="en-GB"/>
              </w:rPr>
            </w:pPr>
            <w:r w:rsidRPr="00582B89">
              <w:rPr>
                <w:rFonts w:ascii="Calibri" w:eastAsia="Times New Roman" w:hAnsi="Calibri" w:cs="Calibri"/>
                <w:color w:val="000000"/>
                <w:lang w:eastAsia="en-GB"/>
              </w:rPr>
              <w:t>3</w:t>
            </w:r>
          </w:p>
        </w:tc>
        <w:tc>
          <w:tcPr>
            <w:tcW w:w="1478" w:type="dxa"/>
            <w:noWrap/>
            <w:hideMark/>
          </w:tcPr>
          <w:p w14:paraId="44DC4281" w14:textId="77777777" w:rsidR="00582B89" w:rsidRPr="00582B89" w:rsidRDefault="00582B89" w:rsidP="00582B89">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82B89">
              <w:rPr>
                <w:rFonts w:ascii="Calibri" w:eastAsia="Times New Roman" w:hAnsi="Calibri" w:cs="Calibri"/>
                <w:color w:val="000000"/>
                <w:lang w:eastAsia="en-GB"/>
              </w:rPr>
              <w:t>1,050,000</w:t>
            </w:r>
          </w:p>
        </w:tc>
      </w:tr>
      <w:tr w:rsidR="00582B89" w:rsidRPr="00582B89" w14:paraId="6A2345DC"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267EE846" w14:textId="77777777" w:rsidR="00582B89" w:rsidRPr="00582B89" w:rsidRDefault="00582B89" w:rsidP="00582B89">
            <w:pPr>
              <w:spacing w:line="240" w:lineRule="auto"/>
              <w:jc w:val="center"/>
              <w:rPr>
                <w:rFonts w:ascii="Calibri" w:eastAsia="Times New Roman" w:hAnsi="Calibri" w:cs="Calibri"/>
                <w:color w:val="000000"/>
                <w:lang w:eastAsia="en-GB"/>
              </w:rPr>
            </w:pPr>
            <w:r w:rsidRPr="00582B89">
              <w:rPr>
                <w:rFonts w:ascii="Calibri" w:eastAsia="Times New Roman" w:hAnsi="Calibri" w:cs="Calibri"/>
                <w:color w:val="000000"/>
                <w:lang w:eastAsia="en-GB"/>
              </w:rPr>
              <w:t>4</w:t>
            </w:r>
          </w:p>
        </w:tc>
        <w:tc>
          <w:tcPr>
            <w:tcW w:w="1478" w:type="dxa"/>
            <w:noWrap/>
            <w:hideMark/>
          </w:tcPr>
          <w:p w14:paraId="6DA19021" w14:textId="77777777" w:rsidR="00582B89" w:rsidRPr="00582B89" w:rsidRDefault="00582B89" w:rsidP="00582B89">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82B89">
              <w:rPr>
                <w:rFonts w:ascii="Calibri" w:eastAsia="Times New Roman" w:hAnsi="Calibri" w:cs="Calibri"/>
                <w:color w:val="000000"/>
                <w:lang w:eastAsia="en-GB"/>
              </w:rPr>
              <w:t>1,200,000</w:t>
            </w:r>
          </w:p>
        </w:tc>
      </w:tr>
      <w:tr w:rsidR="00582B89" w:rsidRPr="00582B89" w14:paraId="7092287D"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663BFD22" w14:textId="77777777" w:rsidR="00582B89" w:rsidRPr="00582B89" w:rsidRDefault="00582B89" w:rsidP="00582B89">
            <w:pPr>
              <w:spacing w:line="240" w:lineRule="auto"/>
              <w:jc w:val="center"/>
              <w:rPr>
                <w:rFonts w:ascii="Calibri" w:eastAsia="Times New Roman" w:hAnsi="Calibri" w:cs="Calibri"/>
                <w:color w:val="000000"/>
                <w:lang w:eastAsia="en-GB"/>
              </w:rPr>
            </w:pPr>
            <w:r w:rsidRPr="00582B89">
              <w:rPr>
                <w:rFonts w:ascii="Calibri" w:eastAsia="Times New Roman" w:hAnsi="Calibri" w:cs="Calibri"/>
                <w:color w:val="000000"/>
                <w:lang w:eastAsia="en-GB"/>
              </w:rPr>
              <w:t> </w:t>
            </w:r>
          </w:p>
        </w:tc>
        <w:tc>
          <w:tcPr>
            <w:tcW w:w="1478" w:type="dxa"/>
            <w:noWrap/>
            <w:hideMark/>
          </w:tcPr>
          <w:p w14:paraId="266AF6FE" w14:textId="77777777" w:rsidR="00582B89" w:rsidRPr="00582B89" w:rsidRDefault="00582B89" w:rsidP="00582B89">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82B89">
              <w:rPr>
                <w:rFonts w:ascii="Calibri" w:eastAsia="Times New Roman" w:hAnsi="Calibri" w:cs="Calibri"/>
                <w:color w:val="000000"/>
                <w:lang w:eastAsia="en-GB"/>
              </w:rPr>
              <w:t> </w:t>
            </w:r>
          </w:p>
        </w:tc>
      </w:tr>
      <w:tr w:rsidR="00582B89" w:rsidRPr="00582B89" w14:paraId="2D7A169A"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882" w:type="dxa"/>
            <w:noWrap/>
            <w:hideMark/>
          </w:tcPr>
          <w:p w14:paraId="322848C9" w14:textId="77777777" w:rsidR="00582B89" w:rsidRPr="00582B89" w:rsidRDefault="00582B89" w:rsidP="00582B89">
            <w:pPr>
              <w:spacing w:line="240" w:lineRule="auto"/>
              <w:jc w:val="center"/>
              <w:rPr>
                <w:rFonts w:ascii="Calibri" w:eastAsia="Times New Roman" w:hAnsi="Calibri" w:cs="Calibri"/>
                <w:b w:val="0"/>
                <w:bCs w:val="0"/>
                <w:color w:val="000000"/>
                <w:lang w:eastAsia="en-GB"/>
              </w:rPr>
            </w:pPr>
            <w:r w:rsidRPr="00582B89">
              <w:rPr>
                <w:rFonts w:ascii="Calibri" w:eastAsia="Times New Roman" w:hAnsi="Calibri" w:cs="Calibri"/>
                <w:color w:val="000000"/>
                <w:lang w:eastAsia="en-GB"/>
              </w:rPr>
              <w:t>IRR</w:t>
            </w:r>
          </w:p>
        </w:tc>
        <w:tc>
          <w:tcPr>
            <w:tcW w:w="1478" w:type="dxa"/>
            <w:noWrap/>
            <w:hideMark/>
          </w:tcPr>
          <w:p w14:paraId="4E7D06C8" w14:textId="77777777" w:rsidR="00582B89" w:rsidRPr="00582B89" w:rsidRDefault="00582B89" w:rsidP="00582B89">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582B89">
              <w:rPr>
                <w:rFonts w:ascii="Calibri" w:eastAsia="Times New Roman" w:hAnsi="Calibri" w:cs="Calibri"/>
                <w:b/>
                <w:bCs/>
                <w:color w:val="000000"/>
                <w:lang w:eastAsia="en-GB"/>
              </w:rPr>
              <w:t>32%</w:t>
            </w:r>
          </w:p>
        </w:tc>
      </w:tr>
    </w:tbl>
    <w:p w14:paraId="20A30B92" w14:textId="77777777" w:rsidR="00582B89" w:rsidRDefault="00582B89" w:rsidP="00261925">
      <w:pPr>
        <w:rPr>
          <w:color w:val="0070C0"/>
          <w:sz w:val="28"/>
          <w:szCs w:val="28"/>
        </w:rPr>
      </w:pPr>
    </w:p>
    <w:p w14:paraId="160DEE22" w14:textId="77777777" w:rsidR="008323A7" w:rsidRDefault="008323A7" w:rsidP="00261925">
      <w:pPr>
        <w:rPr>
          <w:color w:val="0070C0"/>
          <w:sz w:val="28"/>
          <w:szCs w:val="28"/>
        </w:rPr>
      </w:pPr>
    </w:p>
    <w:tbl>
      <w:tblPr>
        <w:tblStyle w:val="GridTable6Colorful-Accent61"/>
        <w:tblW w:w="6200" w:type="dxa"/>
        <w:tblLook w:val="04A0" w:firstRow="1" w:lastRow="0" w:firstColumn="1" w:lastColumn="0" w:noHBand="0" w:noVBand="1"/>
      </w:tblPr>
      <w:tblGrid>
        <w:gridCol w:w="1300"/>
        <w:gridCol w:w="1460"/>
        <w:gridCol w:w="1440"/>
        <w:gridCol w:w="2000"/>
      </w:tblGrid>
      <w:tr w:rsidR="008323A7" w:rsidRPr="008323A7" w14:paraId="7637A098" w14:textId="77777777" w:rsidTr="00CA7EBF">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47C44BCC" w14:textId="77777777" w:rsidR="008323A7" w:rsidRPr="008323A7" w:rsidRDefault="008323A7" w:rsidP="008323A7">
            <w:pPr>
              <w:spacing w:line="240" w:lineRule="auto"/>
              <w:jc w:val="center"/>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 xml:space="preserve">Investment </w:t>
            </w:r>
          </w:p>
        </w:tc>
        <w:tc>
          <w:tcPr>
            <w:tcW w:w="1460" w:type="dxa"/>
            <w:noWrap/>
            <w:hideMark/>
          </w:tcPr>
          <w:p w14:paraId="509CA16F" w14:textId="77777777" w:rsidR="008323A7" w:rsidRPr="008323A7" w:rsidRDefault="008323A7" w:rsidP="008323A7">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 xml:space="preserve">Initial Cost (£) </w:t>
            </w:r>
          </w:p>
        </w:tc>
        <w:tc>
          <w:tcPr>
            <w:tcW w:w="1440" w:type="dxa"/>
            <w:noWrap/>
            <w:hideMark/>
          </w:tcPr>
          <w:p w14:paraId="23E9EE60" w14:textId="77777777" w:rsidR="008323A7" w:rsidRPr="008323A7" w:rsidRDefault="008323A7" w:rsidP="008323A7">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NPV (£)</w:t>
            </w:r>
          </w:p>
        </w:tc>
        <w:tc>
          <w:tcPr>
            <w:tcW w:w="2000" w:type="dxa"/>
            <w:noWrap/>
            <w:hideMark/>
          </w:tcPr>
          <w:p w14:paraId="606AA48D" w14:textId="77777777" w:rsidR="008323A7" w:rsidRPr="008323A7" w:rsidRDefault="008323A7" w:rsidP="008323A7">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 xml:space="preserve">NPV to cost ratio </w:t>
            </w:r>
          </w:p>
        </w:tc>
      </w:tr>
      <w:tr w:rsidR="008323A7" w:rsidRPr="008323A7" w14:paraId="16344EED"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4F18CC39" w14:textId="77777777" w:rsidR="008323A7" w:rsidRPr="008323A7" w:rsidRDefault="008323A7" w:rsidP="008323A7">
            <w:pPr>
              <w:spacing w:line="240" w:lineRule="auto"/>
              <w:jc w:val="center"/>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A</w:t>
            </w:r>
          </w:p>
        </w:tc>
        <w:tc>
          <w:tcPr>
            <w:tcW w:w="1460" w:type="dxa"/>
            <w:noWrap/>
            <w:hideMark/>
          </w:tcPr>
          <w:p w14:paraId="055F7ADB" w14:textId="77777777" w:rsidR="008323A7" w:rsidRPr="008323A7" w:rsidRDefault="008323A7" w:rsidP="008323A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660,000</w:t>
            </w:r>
          </w:p>
        </w:tc>
        <w:tc>
          <w:tcPr>
            <w:tcW w:w="1440" w:type="dxa"/>
            <w:noWrap/>
            <w:hideMark/>
          </w:tcPr>
          <w:p w14:paraId="3AF8D65C" w14:textId="77777777" w:rsidR="008323A7" w:rsidRPr="008323A7" w:rsidRDefault="008323A7" w:rsidP="008323A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2072892.953</w:t>
            </w:r>
          </w:p>
        </w:tc>
        <w:tc>
          <w:tcPr>
            <w:tcW w:w="2000" w:type="dxa"/>
            <w:noWrap/>
            <w:hideMark/>
          </w:tcPr>
          <w:p w14:paraId="7744671A" w14:textId="77777777" w:rsidR="008323A7" w:rsidRPr="008323A7" w:rsidRDefault="008323A7" w:rsidP="008323A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3.14</w:t>
            </w:r>
          </w:p>
        </w:tc>
      </w:tr>
      <w:tr w:rsidR="008323A7" w:rsidRPr="008323A7" w14:paraId="2935579F" w14:textId="77777777" w:rsidTr="00CA7EBF">
        <w:trPr>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6FC4A4F3" w14:textId="77777777" w:rsidR="008323A7" w:rsidRPr="008323A7" w:rsidRDefault="008323A7" w:rsidP="008323A7">
            <w:pPr>
              <w:spacing w:line="240" w:lineRule="auto"/>
              <w:jc w:val="center"/>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B</w:t>
            </w:r>
          </w:p>
        </w:tc>
        <w:tc>
          <w:tcPr>
            <w:tcW w:w="1460" w:type="dxa"/>
            <w:noWrap/>
            <w:hideMark/>
          </w:tcPr>
          <w:p w14:paraId="65F8E9B9" w14:textId="77777777" w:rsidR="008323A7" w:rsidRPr="008323A7" w:rsidRDefault="008323A7" w:rsidP="008323A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1,000,000</w:t>
            </w:r>
          </w:p>
        </w:tc>
        <w:tc>
          <w:tcPr>
            <w:tcW w:w="1440" w:type="dxa"/>
            <w:noWrap/>
            <w:hideMark/>
          </w:tcPr>
          <w:p w14:paraId="192B4A55" w14:textId="77777777" w:rsidR="008323A7" w:rsidRPr="008323A7" w:rsidRDefault="008323A7" w:rsidP="008323A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1301418.633</w:t>
            </w:r>
          </w:p>
        </w:tc>
        <w:tc>
          <w:tcPr>
            <w:tcW w:w="2000" w:type="dxa"/>
            <w:noWrap/>
            <w:hideMark/>
          </w:tcPr>
          <w:p w14:paraId="2CCF567A" w14:textId="77777777" w:rsidR="008323A7" w:rsidRPr="008323A7" w:rsidRDefault="008323A7" w:rsidP="008323A7">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1.30</w:t>
            </w:r>
          </w:p>
        </w:tc>
      </w:tr>
      <w:tr w:rsidR="008323A7" w:rsidRPr="008323A7" w14:paraId="2BFEB585" w14:textId="77777777" w:rsidTr="00CA7EBF">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7E6F254E" w14:textId="77777777" w:rsidR="008323A7" w:rsidRPr="008323A7" w:rsidRDefault="008323A7" w:rsidP="008323A7">
            <w:pPr>
              <w:spacing w:line="240" w:lineRule="auto"/>
              <w:jc w:val="center"/>
              <w:rPr>
                <w:rFonts w:ascii="Calibri" w:eastAsia="Times New Roman" w:hAnsi="Calibri" w:cs="Calibri"/>
                <w:b w:val="0"/>
                <w:bCs w:val="0"/>
                <w:color w:val="000000"/>
                <w:lang w:eastAsia="en-GB"/>
              </w:rPr>
            </w:pPr>
            <w:r w:rsidRPr="008323A7">
              <w:rPr>
                <w:rFonts w:ascii="Calibri" w:eastAsia="Times New Roman" w:hAnsi="Calibri" w:cs="Calibri"/>
                <w:color w:val="000000"/>
                <w:lang w:eastAsia="en-GB"/>
              </w:rPr>
              <w:t>C</w:t>
            </w:r>
          </w:p>
        </w:tc>
        <w:tc>
          <w:tcPr>
            <w:tcW w:w="1460" w:type="dxa"/>
            <w:noWrap/>
            <w:hideMark/>
          </w:tcPr>
          <w:p w14:paraId="08F72A89" w14:textId="77777777" w:rsidR="008323A7" w:rsidRPr="008323A7" w:rsidRDefault="008323A7" w:rsidP="008323A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1,700,000</w:t>
            </w:r>
          </w:p>
        </w:tc>
        <w:tc>
          <w:tcPr>
            <w:tcW w:w="1440" w:type="dxa"/>
            <w:noWrap/>
            <w:hideMark/>
          </w:tcPr>
          <w:p w14:paraId="0D276D5D" w14:textId="77777777" w:rsidR="008323A7" w:rsidRPr="008323A7" w:rsidRDefault="008323A7" w:rsidP="008323A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1315807.908</w:t>
            </w:r>
          </w:p>
        </w:tc>
        <w:tc>
          <w:tcPr>
            <w:tcW w:w="2000" w:type="dxa"/>
            <w:noWrap/>
            <w:hideMark/>
          </w:tcPr>
          <w:p w14:paraId="3C9B46FA" w14:textId="77777777" w:rsidR="008323A7" w:rsidRPr="008323A7" w:rsidRDefault="008323A7" w:rsidP="008323A7">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8323A7">
              <w:rPr>
                <w:rFonts w:ascii="Calibri" w:eastAsia="Times New Roman" w:hAnsi="Calibri" w:cs="Calibri"/>
                <w:color w:val="000000"/>
                <w:lang w:eastAsia="en-GB"/>
              </w:rPr>
              <w:t>0.77</w:t>
            </w:r>
          </w:p>
        </w:tc>
      </w:tr>
    </w:tbl>
    <w:p w14:paraId="40A4B11A" w14:textId="77777777" w:rsidR="008323A7" w:rsidRPr="009C5C1F" w:rsidRDefault="008323A7" w:rsidP="00261925">
      <w:pPr>
        <w:rPr>
          <w:color w:val="0070C0"/>
          <w:sz w:val="28"/>
          <w:szCs w:val="28"/>
        </w:rPr>
      </w:pPr>
    </w:p>
    <w:sectPr w:rsidR="008323A7" w:rsidRPr="009C5C1F"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B745AC" w14:textId="77777777" w:rsidR="000237B0" w:rsidRDefault="000237B0" w:rsidP="00F33B24">
      <w:pPr>
        <w:spacing w:after="0" w:line="240" w:lineRule="auto"/>
      </w:pPr>
      <w:r>
        <w:separator/>
      </w:r>
    </w:p>
  </w:endnote>
  <w:endnote w:type="continuationSeparator" w:id="0">
    <w:p w14:paraId="270A119A" w14:textId="77777777" w:rsidR="000237B0" w:rsidRDefault="000237B0"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5088306"/>
      <w:docPartObj>
        <w:docPartGallery w:val="Page Numbers (Bottom of Page)"/>
        <w:docPartUnique/>
      </w:docPartObj>
    </w:sdtPr>
    <w:sdtEndPr>
      <w:rPr>
        <w:noProof/>
      </w:rPr>
    </w:sdtEndPr>
    <w:sdtContent>
      <w:p w14:paraId="62DD7FD0" w14:textId="77777777" w:rsidR="00FA5C71" w:rsidRDefault="00BA568E">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667D4985" w14:textId="77777777" w:rsidR="00FA5C71" w:rsidRDefault="00FA5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07B8BE" w14:textId="77777777" w:rsidR="000237B0" w:rsidRDefault="000237B0" w:rsidP="00F33B24">
      <w:pPr>
        <w:spacing w:after="0" w:line="240" w:lineRule="auto"/>
      </w:pPr>
      <w:r>
        <w:separator/>
      </w:r>
    </w:p>
  </w:footnote>
  <w:footnote w:type="continuationSeparator" w:id="0">
    <w:p w14:paraId="11D7FBEF" w14:textId="77777777" w:rsidR="000237B0" w:rsidRDefault="000237B0"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5044FB"/>
    <w:multiLevelType w:val="hybridMultilevel"/>
    <w:tmpl w:val="6FD2663A"/>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15:restartNumberingAfterBreak="0">
    <w:nsid w:val="150F1825"/>
    <w:multiLevelType w:val="hybridMultilevel"/>
    <w:tmpl w:val="D44ACC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502D10"/>
    <w:multiLevelType w:val="hybridMultilevel"/>
    <w:tmpl w:val="1E7E477C"/>
    <w:lvl w:ilvl="0" w:tplc="753E34CA">
      <w:start w:val="1"/>
      <w:numFmt w:val="bullet"/>
      <w:lvlText w:val=""/>
      <w:lvlJc w:val="left"/>
      <w:pPr>
        <w:ind w:left="720" w:hanging="360"/>
      </w:pPr>
      <w:rPr>
        <w:rFonts w:ascii="Symbol" w:hAnsi="Symbol" w:hint="default"/>
      </w:rPr>
    </w:lvl>
    <w:lvl w:ilvl="1" w:tplc="AA144558" w:tentative="1">
      <w:start w:val="1"/>
      <w:numFmt w:val="bullet"/>
      <w:lvlText w:val="o"/>
      <w:lvlJc w:val="left"/>
      <w:pPr>
        <w:ind w:left="1440" w:hanging="360"/>
      </w:pPr>
      <w:rPr>
        <w:rFonts w:ascii="Courier New" w:hAnsi="Courier New" w:cs="Courier New" w:hint="default"/>
      </w:rPr>
    </w:lvl>
    <w:lvl w:ilvl="2" w:tplc="B4DAB3AA" w:tentative="1">
      <w:start w:val="1"/>
      <w:numFmt w:val="bullet"/>
      <w:lvlText w:val=""/>
      <w:lvlJc w:val="left"/>
      <w:pPr>
        <w:ind w:left="2160" w:hanging="360"/>
      </w:pPr>
      <w:rPr>
        <w:rFonts w:ascii="Wingdings" w:hAnsi="Wingdings" w:hint="default"/>
      </w:rPr>
    </w:lvl>
    <w:lvl w:ilvl="3" w:tplc="26CA9CA6" w:tentative="1">
      <w:start w:val="1"/>
      <w:numFmt w:val="bullet"/>
      <w:lvlText w:val=""/>
      <w:lvlJc w:val="left"/>
      <w:pPr>
        <w:ind w:left="2880" w:hanging="360"/>
      </w:pPr>
      <w:rPr>
        <w:rFonts w:ascii="Symbol" w:hAnsi="Symbol" w:hint="default"/>
      </w:rPr>
    </w:lvl>
    <w:lvl w:ilvl="4" w:tplc="F4D05CA4" w:tentative="1">
      <w:start w:val="1"/>
      <w:numFmt w:val="bullet"/>
      <w:lvlText w:val="o"/>
      <w:lvlJc w:val="left"/>
      <w:pPr>
        <w:ind w:left="3600" w:hanging="360"/>
      </w:pPr>
      <w:rPr>
        <w:rFonts w:ascii="Courier New" w:hAnsi="Courier New" w:cs="Courier New" w:hint="default"/>
      </w:rPr>
    </w:lvl>
    <w:lvl w:ilvl="5" w:tplc="5EAEAD78" w:tentative="1">
      <w:start w:val="1"/>
      <w:numFmt w:val="bullet"/>
      <w:lvlText w:val=""/>
      <w:lvlJc w:val="left"/>
      <w:pPr>
        <w:ind w:left="4320" w:hanging="360"/>
      </w:pPr>
      <w:rPr>
        <w:rFonts w:ascii="Wingdings" w:hAnsi="Wingdings" w:hint="default"/>
      </w:rPr>
    </w:lvl>
    <w:lvl w:ilvl="6" w:tplc="3FB8D450" w:tentative="1">
      <w:start w:val="1"/>
      <w:numFmt w:val="bullet"/>
      <w:lvlText w:val=""/>
      <w:lvlJc w:val="left"/>
      <w:pPr>
        <w:ind w:left="5040" w:hanging="360"/>
      </w:pPr>
      <w:rPr>
        <w:rFonts w:ascii="Symbol" w:hAnsi="Symbol" w:hint="default"/>
      </w:rPr>
    </w:lvl>
    <w:lvl w:ilvl="7" w:tplc="B3C8A646" w:tentative="1">
      <w:start w:val="1"/>
      <w:numFmt w:val="bullet"/>
      <w:lvlText w:val="o"/>
      <w:lvlJc w:val="left"/>
      <w:pPr>
        <w:ind w:left="5760" w:hanging="360"/>
      </w:pPr>
      <w:rPr>
        <w:rFonts w:ascii="Courier New" w:hAnsi="Courier New" w:cs="Courier New" w:hint="default"/>
      </w:rPr>
    </w:lvl>
    <w:lvl w:ilvl="8" w:tplc="3990DAEA" w:tentative="1">
      <w:start w:val="1"/>
      <w:numFmt w:val="bullet"/>
      <w:lvlText w:val=""/>
      <w:lvlJc w:val="left"/>
      <w:pPr>
        <w:ind w:left="6480" w:hanging="360"/>
      </w:pPr>
      <w:rPr>
        <w:rFonts w:ascii="Wingdings" w:hAnsi="Wingdings" w:hint="default"/>
      </w:rPr>
    </w:lvl>
  </w:abstractNum>
  <w:abstractNum w:abstractNumId="3" w15:restartNumberingAfterBreak="0">
    <w:nsid w:val="348C1F8C"/>
    <w:multiLevelType w:val="hybridMultilevel"/>
    <w:tmpl w:val="CF06C050"/>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4" w15:restartNumberingAfterBreak="0">
    <w:nsid w:val="3F1B3885"/>
    <w:multiLevelType w:val="hybridMultilevel"/>
    <w:tmpl w:val="23A835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753106"/>
    <w:multiLevelType w:val="hybridMultilevel"/>
    <w:tmpl w:val="A0324F8A"/>
    <w:lvl w:ilvl="0" w:tplc="49BAC6BC">
      <w:start w:val="1"/>
      <w:numFmt w:val="upperLetter"/>
      <w:lvlText w:val="%1&gt;"/>
      <w:lvlJc w:val="left"/>
      <w:pPr>
        <w:ind w:left="720" w:hanging="360"/>
      </w:pPr>
      <w:rPr>
        <w:rFonts w:hint="default"/>
      </w:rPr>
    </w:lvl>
    <w:lvl w:ilvl="1" w:tplc="CC2A042A" w:tentative="1">
      <w:start w:val="1"/>
      <w:numFmt w:val="lowerLetter"/>
      <w:lvlText w:val="%2."/>
      <w:lvlJc w:val="left"/>
      <w:pPr>
        <w:ind w:left="1440" w:hanging="360"/>
      </w:pPr>
    </w:lvl>
    <w:lvl w:ilvl="2" w:tplc="0EDC6D96" w:tentative="1">
      <w:start w:val="1"/>
      <w:numFmt w:val="lowerRoman"/>
      <w:lvlText w:val="%3."/>
      <w:lvlJc w:val="right"/>
      <w:pPr>
        <w:ind w:left="2160" w:hanging="180"/>
      </w:pPr>
    </w:lvl>
    <w:lvl w:ilvl="3" w:tplc="988A7CA2" w:tentative="1">
      <w:start w:val="1"/>
      <w:numFmt w:val="decimal"/>
      <w:lvlText w:val="%4."/>
      <w:lvlJc w:val="left"/>
      <w:pPr>
        <w:ind w:left="2880" w:hanging="360"/>
      </w:pPr>
    </w:lvl>
    <w:lvl w:ilvl="4" w:tplc="EAECFD9A" w:tentative="1">
      <w:start w:val="1"/>
      <w:numFmt w:val="lowerLetter"/>
      <w:lvlText w:val="%5."/>
      <w:lvlJc w:val="left"/>
      <w:pPr>
        <w:ind w:left="3600" w:hanging="360"/>
      </w:pPr>
    </w:lvl>
    <w:lvl w:ilvl="5" w:tplc="C68208E6" w:tentative="1">
      <w:start w:val="1"/>
      <w:numFmt w:val="lowerRoman"/>
      <w:lvlText w:val="%6."/>
      <w:lvlJc w:val="right"/>
      <w:pPr>
        <w:ind w:left="4320" w:hanging="180"/>
      </w:pPr>
    </w:lvl>
    <w:lvl w:ilvl="6" w:tplc="AEB61F80" w:tentative="1">
      <w:start w:val="1"/>
      <w:numFmt w:val="decimal"/>
      <w:lvlText w:val="%7."/>
      <w:lvlJc w:val="left"/>
      <w:pPr>
        <w:ind w:left="5040" w:hanging="360"/>
      </w:pPr>
    </w:lvl>
    <w:lvl w:ilvl="7" w:tplc="BBBCBFAA" w:tentative="1">
      <w:start w:val="1"/>
      <w:numFmt w:val="lowerLetter"/>
      <w:lvlText w:val="%8."/>
      <w:lvlJc w:val="left"/>
      <w:pPr>
        <w:ind w:left="5760" w:hanging="360"/>
      </w:pPr>
    </w:lvl>
    <w:lvl w:ilvl="8" w:tplc="7BC23558" w:tentative="1">
      <w:start w:val="1"/>
      <w:numFmt w:val="lowerRoman"/>
      <w:lvlText w:val="%9."/>
      <w:lvlJc w:val="right"/>
      <w:pPr>
        <w:ind w:left="6480" w:hanging="180"/>
      </w:pPr>
    </w:lvl>
  </w:abstractNum>
  <w:abstractNum w:abstractNumId="6" w15:restartNumberingAfterBreak="0">
    <w:nsid w:val="45CD1B91"/>
    <w:multiLevelType w:val="hybridMultilevel"/>
    <w:tmpl w:val="80C80E20"/>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7" w15:restartNumberingAfterBreak="0">
    <w:nsid w:val="47984424"/>
    <w:multiLevelType w:val="hybridMultilevel"/>
    <w:tmpl w:val="CF06C050"/>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8" w15:restartNumberingAfterBreak="0">
    <w:nsid w:val="486B755D"/>
    <w:multiLevelType w:val="hybridMultilevel"/>
    <w:tmpl w:val="872C4DB6"/>
    <w:lvl w:ilvl="0" w:tplc="0400E2C2">
      <w:start w:val="1"/>
      <w:numFmt w:val="bullet"/>
      <w:lvlText w:val=""/>
      <w:lvlJc w:val="left"/>
      <w:pPr>
        <w:ind w:left="720" w:hanging="360"/>
      </w:pPr>
      <w:rPr>
        <w:rFonts w:ascii="Symbol" w:hAnsi="Symbol" w:hint="default"/>
      </w:rPr>
    </w:lvl>
    <w:lvl w:ilvl="1" w:tplc="C3285A0C" w:tentative="1">
      <w:start w:val="1"/>
      <w:numFmt w:val="bullet"/>
      <w:lvlText w:val="o"/>
      <w:lvlJc w:val="left"/>
      <w:pPr>
        <w:ind w:left="1440" w:hanging="360"/>
      </w:pPr>
      <w:rPr>
        <w:rFonts w:ascii="Courier New" w:hAnsi="Courier New" w:cs="Courier New" w:hint="default"/>
      </w:rPr>
    </w:lvl>
    <w:lvl w:ilvl="2" w:tplc="18F494C6" w:tentative="1">
      <w:start w:val="1"/>
      <w:numFmt w:val="bullet"/>
      <w:lvlText w:val=""/>
      <w:lvlJc w:val="left"/>
      <w:pPr>
        <w:ind w:left="2160" w:hanging="360"/>
      </w:pPr>
      <w:rPr>
        <w:rFonts w:ascii="Wingdings" w:hAnsi="Wingdings" w:hint="default"/>
      </w:rPr>
    </w:lvl>
    <w:lvl w:ilvl="3" w:tplc="F3DA7942" w:tentative="1">
      <w:start w:val="1"/>
      <w:numFmt w:val="bullet"/>
      <w:lvlText w:val=""/>
      <w:lvlJc w:val="left"/>
      <w:pPr>
        <w:ind w:left="2880" w:hanging="360"/>
      </w:pPr>
      <w:rPr>
        <w:rFonts w:ascii="Symbol" w:hAnsi="Symbol" w:hint="default"/>
      </w:rPr>
    </w:lvl>
    <w:lvl w:ilvl="4" w:tplc="710EB5E8" w:tentative="1">
      <w:start w:val="1"/>
      <w:numFmt w:val="bullet"/>
      <w:lvlText w:val="o"/>
      <w:lvlJc w:val="left"/>
      <w:pPr>
        <w:ind w:left="3600" w:hanging="360"/>
      </w:pPr>
      <w:rPr>
        <w:rFonts w:ascii="Courier New" w:hAnsi="Courier New" w:cs="Courier New" w:hint="default"/>
      </w:rPr>
    </w:lvl>
    <w:lvl w:ilvl="5" w:tplc="38FC917C" w:tentative="1">
      <w:start w:val="1"/>
      <w:numFmt w:val="bullet"/>
      <w:lvlText w:val=""/>
      <w:lvlJc w:val="left"/>
      <w:pPr>
        <w:ind w:left="4320" w:hanging="360"/>
      </w:pPr>
      <w:rPr>
        <w:rFonts w:ascii="Wingdings" w:hAnsi="Wingdings" w:hint="default"/>
      </w:rPr>
    </w:lvl>
    <w:lvl w:ilvl="6" w:tplc="B95C8DC0" w:tentative="1">
      <w:start w:val="1"/>
      <w:numFmt w:val="bullet"/>
      <w:lvlText w:val=""/>
      <w:lvlJc w:val="left"/>
      <w:pPr>
        <w:ind w:left="5040" w:hanging="360"/>
      </w:pPr>
      <w:rPr>
        <w:rFonts w:ascii="Symbol" w:hAnsi="Symbol" w:hint="default"/>
      </w:rPr>
    </w:lvl>
    <w:lvl w:ilvl="7" w:tplc="7F78B208" w:tentative="1">
      <w:start w:val="1"/>
      <w:numFmt w:val="bullet"/>
      <w:lvlText w:val="o"/>
      <w:lvlJc w:val="left"/>
      <w:pPr>
        <w:ind w:left="5760" w:hanging="360"/>
      </w:pPr>
      <w:rPr>
        <w:rFonts w:ascii="Courier New" w:hAnsi="Courier New" w:cs="Courier New" w:hint="default"/>
      </w:rPr>
    </w:lvl>
    <w:lvl w:ilvl="8" w:tplc="88860954" w:tentative="1">
      <w:start w:val="1"/>
      <w:numFmt w:val="bullet"/>
      <w:lvlText w:val=""/>
      <w:lvlJc w:val="left"/>
      <w:pPr>
        <w:ind w:left="6480" w:hanging="360"/>
      </w:pPr>
      <w:rPr>
        <w:rFonts w:ascii="Wingdings" w:hAnsi="Wingdings" w:hint="default"/>
      </w:rPr>
    </w:lvl>
  </w:abstractNum>
  <w:abstractNum w:abstractNumId="9" w15:restartNumberingAfterBreak="0">
    <w:nsid w:val="4CFE72FF"/>
    <w:multiLevelType w:val="hybridMultilevel"/>
    <w:tmpl w:val="D10E9004"/>
    <w:lvl w:ilvl="0" w:tplc="FB8CBE60">
      <w:start w:val="1"/>
      <w:numFmt w:val="bullet"/>
      <w:lvlText w:val=""/>
      <w:lvlJc w:val="left"/>
      <w:pPr>
        <w:ind w:left="720" w:hanging="360"/>
      </w:pPr>
      <w:rPr>
        <w:rFonts w:ascii="Symbol" w:hAnsi="Symbol" w:hint="default"/>
      </w:rPr>
    </w:lvl>
    <w:lvl w:ilvl="1" w:tplc="FE48C7F0" w:tentative="1">
      <w:start w:val="1"/>
      <w:numFmt w:val="bullet"/>
      <w:lvlText w:val="o"/>
      <w:lvlJc w:val="left"/>
      <w:pPr>
        <w:ind w:left="1440" w:hanging="360"/>
      </w:pPr>
      <w:rPr>
        <w:rFonts w:ascii="Courier New" w:hAnsi="Courier New" w:cs="Courier New" w:hint="default"/>
      </w:rPr>
    </w:lvl>
    <w:lvl w:ilvl="2" w:tplc="DA62767A" w:tentative="1">
      <w:start w:val="1"/>
      <w:numFmt w:val="bullet"/>
      <w:lvlText w:val=""/>
      <w:lvlJc w:val="left"/>
      <w:pPr>
        <w:ind w:left="2160" w:hanging="360"/>
      </w:pPr>
      <w:rPr>
        <w:rFonts w:ascii="Wingdings" w:hAnsi="Wingdings" w:hint="default"/>
      </w:rPr>
    </w:lvl>
    <w:lvl w:ilvl="3" w:tplc="C6901C42" w:tentative="1">
      <w:start w:val="1"/>
      <w:numFmt w:val="bullet"/>
      <w:lvlText w:val=""/>
      <w:lvlJc w:val="left"/>
      <w:pPr>
        <w:ind w:left="2880" w:hanging="360"/>
      </w:pPr>
      <w:rPr>
        <w:rFonts w:ascii="Symbol" w:hAnsi="Symbol" w:hint="default"/>
      </w:rPr>
    </w:lvl>
    <w:lvl w:ilvl="4" w:tplc="925C6D62" w:tentative="1">
      <w:start w:val="1"/>
      <w:numFmt w:val="bullet"/>
      <w:lvlText w:val="o"/>
      <w:lvlJc w:val="left"/>
      <w:pPr>
        <w:ind w:left="3600" w:hanging="360"/>
      </w:pPr>
      <w:rPr>
        <w:rFonts w:ascii="Courier New" w:hAnsi="Courier New" w:cs="Courier New" w:hint="default"/>
      </w:rPr>
    </w:lvl>
    <w:lvl w:ilvl="5" w:tplc="A4EA4AD0" w:tentative="1">
      <w:start w:val="1"/>
      <w:numFmt w:val="bullet"/>
      <w:lvlText w:val=""/>
      <w:lvlJc w:val="left"/>
      <w:pPr>
        <w:ind w:left="4320" w:hanging="360"/>
      </w:pPr>
      <w:rPr>
        <w:rFonts w:ascii="Wingdings" w:hAnsi="Wingdings" w:hint="default"/>
      </w:rPr>
    </w:lvl>
    <w:lvl w:ilvl="6" w:tplc="7DBAD6F0" w:tentative="1">
      <w:start w:val="1"/>
      <w:numFmt w:val="bullet"/>
      <w:lvlText w:val=""/>
      <w:lvlJc w:val="left"/>
      <w:pPr>
        <w:ind w:left="5040" w:hanging="360"/>
      </w:pPr>
      <w:rPr>
        <w:rFonts w:ascii="Symbol" w:hAnsi="Symbol" w:hint="default"/>
      </w:rPr>
    </w:lvl>
    <w:lvl w:ilvl="7" w:tplc="4D7C0F9E" w:tentative="1">
      <w:start w:val="1"/>
      <w:numFmt w:val="bullet"/>
      <w:lvlText w:val="o"/>
      <w:lvlJc w:val="left"/>
      <w:pPr>
        <w:ind w:left="5760" w:hanging="360"/>
      </w:pPr>
      <w:rPr>
        <w:rFonts w:ascii="Courier New" w:hAnsi="Courier New" w:cs="Courier New" w:hint="default"/>
      </w:rPr>
    </w:lvl>
    <w:lvl w:ilvl="8" w:tplc="9A067FBE" w:tentative="1">
      <w:start w:val="1"/>
      <w:numFmt w:val="bullet"/>
      <w:lvlText w:val=""/>
      <w:lvlJc w:val="left"/>
      <w:pPr>
        <w:ind w:left="6480" w:hanging="360"/>
      </w:pPr>
      <w:rPr>
        <w:rFonts w:ascii="Wingdings" w:hAnsi="Wingdings" w:hint="default"/>
      </w:rPr>
    </w:lvl>
  </w:abstractNum>
  <w:abstractNum w:abstractNumId="10" w15:restartNumberingAfterBreak="0">
    <w:nsid w:val="65216F2B"/>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66CD23D8"/>
    <w:multiLevelType w:val="hybridMultilevel"/>
    <w:tmpl w:val="AA980C42"/>
    <w:lvl w:ilvl="0" w:tplc="833E7C72">
      <w:start w:val="1"/>
      <w:numFmt w:val="bullet"/>
      <w:lvlText w:val=""/>
      <w:lvlJc w:val="left"/>
      <w:pPr>
        <w:ind w:left="720" w:hanging="360"/>
      </w:pPr>
      <w:rPr>
        <w:rFonts w:ascii="Symbol" w:hAnsi="Symbol" w:hint="default"/>
      </w:rPr>
    </w:lvl>
    <w:lvl w:ilvl="1" w:tplc="B5DA03D0" w:tentative="1">
      <w:start w:val="1"/>
      <w:numFmt w:val="bullet"/>
      <w:lvlText w:val="o"/>
      <w:lvlJc w:val="left"/>
      <w:pPr>
        <w:ind w:left="1440" w:hanging="360"/>
      </w:pPr>
      <w:rPr>
        <w:rFonts w:ascii="Courier New" w:hAnsi="Courier New" w:cs="Courier New" w:hint="default"/>
      </w:rPr>
    </w:lvl>
    <w:lvl w:ilvl="2" w:tplc="9766D0E6" w:tentative="1">
      <w:start w:val="1"/>
      <w:numFmt w:val="bullet"/>
      <w:lvlText w:val=""/>
      <w:lvlJc w:val="left"/>
      <w:pPr>
        <w:ind w:left="2160" w:hanging="360"/>
      </w:pPr>
      <w:rPr>
        <w:rFonts w:ascii="Wingdings" w:hAnsi="Wingdings" w:hint="default"/>
      </w:rPr>
    </w:lvl>
    <w:lvl w:ilvl="3" w:tplc="8A74F952" w:tentative="1">
      <w:start w:val="1"/>
      <w:numFmt w:val="bullet"/>
      <w:lvlText w:val=""/>
      <w:lvlJc w:val="left"/>
      <w:pPr>
        <w:ind w:left="2880" w:hanging="360"/>
      </w:pPr>
      <w:rPr>
        <w:rFonts w:ascii="Symbol" w:hAnsi="Symbol" w:hint="default"/>
      </w:rPr>
    </w:lvl>
    <w:lvl w:ilvl="4" w:tplc="4DDEC44C" w:tentative="1">
      <w:start w:val="1"/>
      <w:numFmt w:val="bullet"/>
      <w:lvlText w:val="o"/>
      <w:lvlJc w:val="left"/>
      <w:pPr>
        <w:ind w:left="3600" w:hanging="360"/>
      </w:pPr>
      <w:rPr>
        <w:rFonts w:ascii="Courier New" w:hAnsi="Courier New" w:cs="Courier New" w:hint="default"/>
      </w:rPr>
    </w:lvl>
    <w:lvl w:ilvl="5" w:tplc="4F66536E" w:tentative="1">
      <w:start w:val="1"/>
      <w:numFmt w:val="bullet"/>
      <w:lvlText w:val=""/>
      <w:lvlJc w:val="left"/>
      <w:pPr>
        <w:ind w:left="4320" w:hanging="360"/>
      </w:pPr>
      <w:rPr>
        <w:rFonts w:ascii="Wingdings" w:hAnsi="Wingdings" w:hint="default"/>
      </w:rPr>
    </w:lvl>
    <w:lvl w:ilvl="6" w:tplc="1012FAB6" w:tentative="1">
      <w:start w:val="1"/>
      <w:numFmt w:val="bullet"/>
      <w:lvlText w:val=""/>
      <w:lvlJc w:val="left"/>
      <w:pPr>
        <w:ind w:left="5040" w:hanging="360"/>
      </w:pPr>
      <w:rPr>
        <w:rFonts w:ascii="Symbol" w:hAnsi="Symbol" w:hint="default"/>
      </w:rPr>
    </w:lvl>
    <w:lvl w:ilvl="7" w:tplc="C2B41C92" w:tentative="1">
      <w:start w:val="1"/>
      <w:numFmt w:val="bullet"/>
      <w:lvlText w:val="o"/>
      <w:lvlJc w:val="left"/>
      <w:pPr>
        <w:ind w:left="5760" w:hanging="360"/>
      </w:pPr>
      <w:rPr>
        <w:rFonts w:ascii="Courier New" w:hAnsi="Courier New" w:cs="Courier New" w:hint="default"/>
      </w:rPr>
    </w:lvl>
    <w:lvl w:ilvl="8" w:tplc="5AD65380" w:tentative="1">
      <w:start w:val="1"/>
      <w:numFmt w:val="bullet"/>
      <w:lvlText w:val=""/>
      <w:lvlJc w:val="left"/>
      <w:pPr>
        <w:ind w:left="6480" w:hanging="360"/>
      </w:pPr>
      <w:rPr>
        <w:rFonts w:ascii="Wingdings" w:hAnsi="Wingdings" w:hint="default"/>
      </w:rPr>
    </w:lvl>
  </w:abstractNum>
  <w:abstractNum w:abstractNumId="12" w15:restartNumberingAfterBreak="0">
    <w:nsid w:val="6AEB1549"/>
    <w:multiLevelType w:val="hybridMultilevel"/>
    <w:tmpl w:val="A9525A68"/>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3" w15:restartNumberingAfterBreak="0">
    <w:nsid w:val="6C105DCC"/>
    <w:multiLevelType w:val="hybridMultilevel"/>
    <w:tmpl w:val="459A8858"/>
    <w:lvl w:ilvl="0" w:tplc="1674C472">
      <w:start w:val="1"/>
      <w:numFmt w:val="upperLetter"/>
      <w:lvlText w:val="%1."/>
      <w:lvlJc w:val="left"/>
      <w:pPr>
        <w:ind w:left="720" w:hanging="360"/>
      </w:pPr>
      <w:rPr>
        <w:rFonts w:hint="default"/>
      </w:rPr>
    </w:lvl>
    <w:lvl w:ilvl="1" w:tplc="DD164594" w:tentative="1">
      <w:start w:val="1"/>
      <w:numFmt w:val="lowerLetter"/>
      <w:lvlText w:val="%2."/>
      <w:lvlJc w:val="left"/>
      <w:pPr>
        <w:ind w:left="1440" w:hanging="360"/>
      </w:pPr>
    </w:lvl>
    <w:lvl w:ilvl="2" w:tplc="909AF6D0" w:tentative="1">
      <w:start w:val="1"/>
      <w:numFmt w:val="lowerRoman"/>
      <w:lvlText w:val="%3."/>
      <w:lvlJc w:val="right"/>
      <w:pPr>
        <w:ind w:left="2160" w:hanging="180"/>
      </w:pPr>
    </w:lvl>
    <w:lvl w:ilvl="3" w:tplc="4558D7E6" w:tentative="1">
      <w:start w:val="1"/>
      <w:numFmt w:val="decimal"/>
      <w:lvlText w:val="%4."/>
      <w:lvlJc w:val="left"/>
      <w:pPr>
        <w:ind w:left="2880" w:hanging="360"/>
      </w:pPr>
    </w:lvl>
    <w:lvl w:ilvl="4" w:tplc="231C3984" w:tentative="1">
      <w:start w:val="1"/>
      <w:numFmt w:val="lowerLetter"/>
      <w:lvlText w:val="%5."/>
      <w:lvlJc w:val="left"/>
      <w:pPr>
        <w:ind w:left="3600" w:hanging="360"/>
      </w:pPr>
    </w:lvl>
    <w:lvl w:ilvl="5" w:tplc="F23EBCF2" w:tentative="1">
      <w:start w:val="1"/>
      <w:numFmt w:val="lowerRoman"/>
      <w:lvlText w:val="%6."/>
      <w:lvlJc w:val="right"/>
      <w:pPr>
        <w:ind w:left="4320" w:hanging="180"/>
      </w:pPr>
    </w:lvl>
    <w:lvl w:ilvl="6" w:tplc="157C804E" w:tentative="1">
      <w:start w:val="1"/>
      <w:numFmt w:val="decimal"/>
      <w:lvlText w:val="%7."/>
      <w:lvlJc w:val="left"/>
      <w:pPr>
        <w:ind w:left="5040" w:hanging="360"/>
      </w:pPr>
    </w:lvl>
    <w:lvl w:ilvl="7" w:tplc="B9AC81F2" w:tentative="1">
      <w:start w:val="1"/>
      <w:numFmt w:val="lowerLetter"/>
      <w:lvlText w:val="%8."/>
      <w:lvlJc w:val="left"/>
      <w:pPr>
        <w:ind w:left="5760" w:hanging="360"/>
      </w:pPr>
    </w:lvl>
    <w:lvl w:ilvl="8" w:tplc="81483940" w:tentative="1">
      <w:start w:val="1"/>
      <w:numFmt w:val="lowerRoman"/>
      <w:lvlText w:val="%9."/>
      <w:lvlJc w:val="right"/>
      <w:pPr>
        <w:ind w:left="6480" w:hanging="180"/>
      </w:pPr>
    </w:lvl>
  </w:abstractNum>
  <w:num w:numId="1" w16cid:durableId="974989185">
    <w:abstractNumId w:val="1"/>
  </w:num>
  <w:num w:numId="2" w16cid:durableId="1543328554">
    <w:abstractNumId w:val="4"/>
  </w:num>
  <w:num w:numId="3" w16cid:durableId="79839634">
    <w:abstractNumId w:val="0"/>
  </w:num>
  <w:num w:numId="4" w16cid:durableId="1363825176">
    <w:abstractNumId w:val="6"/>
  </w:num>
  <w:num w:numId="5" w16cid:durableId="1304002344">
    <w:abstractNumId w:val="12"/>
  </w:num>
  <w:num w:numId="6" w16cid:durableId="561915009">
    <w:abstractNumId w:val="7"/>
  </w:num>
  <w:num w:numId="7" w16cid:durableId="437604432">
    <w:abstractNumId w:val="3"/>
  </w:num>
  <w:num w:numId="8" w16cid:durableId="1208957175">
    <w:abstractNumId w:val="8"/>
  </w:num>
  <w:num w:numId="9" w16cid:durableId="22097739">
    <w:abstractNumId w:val="2"/>
  </w:num>
  <w:num w:numId="10" w16cid:durableId="953512381">
    <w:abstractNumId w:val="10"/>
  </w:num>
  <w:num w:numId="11" w16cid:durableId="1617832545">
    <w:abstractNumId w:val="5"/>
  </w:num>
  <w:num w:numId="12" w16cid:durableId="428544535">
    <w:abstractNumId w:val="13"/>
  </w:num>
  <w:num w:numId="13" w16cid:durableId="149098932">
    <w:abstractNumId w:val="9"/>
  </w:num>
  <w:num w:numId="14" w16cid:durableId="17668761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US" w:vendorID="64" w:dllVersion="6" w:nlCheck="1" w:checkStyle="0"/>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AxMzeyNDI1MrCwMDNU0lEKTi0uzszPAykwrAUAquqPICwAAAA="/>
  </w:docVars>
  <w:rsids>
    <w:rsidRoot w:val="007D1947"/>
    <w:rsid w:val="00005D11"/>
    <w:rsid w:val="00017BB7"/>
    <w:rsid w:val="000237B0"/>
    <w:rsid w:val="0004104F"/>
    <w:rsid w:val="00044320"/>
    <w:rsid w:val="0005388B"/>
    <w:rsid w:val="0005781E"/>
    <w:rsid w:val="00073F7E"/>
    <w:rsid w:val="00084E65"/>
    <w:rsid w:val="00085759"/>
    <w:rsid w:val="00087A05"/>
    <w:rsid w:val="000A25D6"/>
    <w:rsid w:val="000A42E6"/>
    <w:rsid w:val="000A616C"/>
    <w:rsid w:val="000B179E"/>
    <w:rsid w:val="000B1EC5"/>
    <w:rsid w:val="000B37CE"/>
    <w:rsid w:val="000C690A"/>
    <w:rsid w:val="000C7623"/>
    <w:rsid w:val="000E7F04"/>
    <w:rsid w:val="00107936"/>
    <w:rsid w:val="00115B96"/>
    <w:rsid w:val="00115D45"/>
    <w:rsid w:val="00120166"/>
    <w:rsid w:val="00120EE1"/>
    <w:rsid w:val="00123C28"/>
    <w:rsid w:val="00123FBA"/>
    <w:rsid w:val="00174A66"/>
    <w:rsid w:val="0019318F"/>
    <w:rsid w:val="001A4242"/>
    <w:rsid w:val="001D4F68"/>
    <w:rsid w:val="001E4199"/>
    <w:rsid w:val="001E6FB6"/>
    <w:rsid w:val="00212762"/>
    <w:rsid w:val="0022786F"/>
    <w:rsid w:val="00231D04"/>
    <w:rsid w:val="00241356"/>
    <w:rsid w:val="00241C84"/>
    <w:rsid w:val="00250C64"/>
    <w:rsid w:val="00251F46"/>
    <w:rsid w:val="00261925"/>
    <w:rsid w:val="002673C4"/>
    <w:rsid w:val="00280A8B"/>
    <w:rsid w:val="002902CA"/>
    <w:rsid w:val="00291C25"/>
    <w:rsid w:val="00297F81"/>
    <w:rsid w:val="002A4491"/>
    <w:rsid w:val="002A7D57"/>
    <w:rsid w:val="002D1D33"/>
    <w:rsid w:val="00322315"/>
    <w:rsid w:val="00324CCD"/>
    <w:rsid w:val="003341D5"/>
    <w:rsid w:val="00356B5C"/>
    <w:rsid w:val="00364F77"/>
    <w:rsid w:val="00386359"/>
    <w:rsid w:val="0039352B"/>
    <w:rsid w:val="00393B76"/>
    <w:rsid w:val="003C11E7"/>
    <w:rsid w:val="003C4075"/>
    <w:rsid w:val="003C6DF3"/>
    <w:rsid w:val="003D339E"/>
    <w:rsid w:val="003D3B3D"/>
    <w:rsid w:val="003D6702"/>
    <w:rsid w:val="003E1C8E"/>
    <w:rsid w:val="003F11D7"/>
    <w:rsid w:val="003F1D73"/>
    <w:rsid w:val="003F3716"/>
    <w:rsid w:val="003F66F2"/>
    <w:rsid w:val="00401CC3"/>
    <w:rsid w:val="004024C8"/>
    <w:rsid w:val="00415A68"/>
    <w:rsid w:val="004307E8"/>
    <w:rsid w:val="00447F50"/>
    <w:rsid w:val="00456859"/>
    <w:rsid w:val="0046053F"/>
    <w:rsid w:val="00480872"/>
    <w:rsid w:val="0048216B"/>
    <w:rsid w:val="004A11F6"/>
    <w:rsid w:val="004A3622"/>
    <w:rsid w:val="004A428E"/>
    <w:rsid w:val="004B49B6"/>
    <w:rsid w:val="004C5FC1"/>
    <w:rsid w:val="004D519C"/>
    <w:rsid w:val="004E18FF"/>
    <w:rsid w:val="004E4607"/>
    <w:rsid w:val="004E5666"/>
    <w:rsid w:val="00505B05"/>
    <w:rsid w:val="00514216"/>
    <w:rsid w:val="00527C4A"/>
    <w:rsid w:val="00534AFD"/>
    <w:rsid w:val="00544F74"/>
    <w:rsid w:val="00562CBD"/>
    <w:rsid w:val="00582B89"/>
    <w:rsid w:val="005967A9"/>
    <w:rsid w:val="005A1B76"/>
    <w:rsid w:val="005A53D7"/>
    <w:rsid w:val="005A7E64"/>
    <w:rsid w:val="005B05E0"/>
    <w:rsid w:val="005B1DBD"/>
    <w:rsid w:val="005C5CD0"/>
    <w:rsid w:val="005D658A"/>
    <w:rsid w:val="005E5068"/>
    <w:rsid w:val="005E5121"/>
    <w:rsid w:val="005F2691"/>
    <w:rsid w:val="005F7C28"/>
    <w:rsid w:val="00601359"/>
    <w:rsid w:val="0061251D"/>
    <w:rsid w:val="006178A4"/>
    <w:rsid w:val="00617E05"/>
    <w:rsid w:val="00630E1F"/>
    <w:rsid w:val="00633B89"/>
    <w:rsid w:val="00657C07"/>
    <w:rsid w:val="00665CCE"/>
    <w:rsid w:val="006711E4"/>
    <w:rsid w:val="00672E7D"/>
    <w:rsid w:val="00681B39"/>
    <w:rsid w:val="006865FE"/>
    <w:rsid w:val="006928E9"/>
    <w:rsid w:val="00697FCA"/>
    <w:rsid w:val="006A1D5A"/>
    <w:rsid w:val="006B74FC"/>
    <w:rsid w:val="006C7E83"/>
    <w:rsid w:val="006E0BB3"/>
    <w:rsid w:val="006F6A3A"/>
    <w:rsid w:val="00704969"/>
    <w:rsid w:val="00705E50"/>
    <w:rsid w:val="0070629B"/>
    <w:rsid w:val="00707E33"/>
    <w:rsid w:val="00713BBD"/>
    <w:rsid w:val="007140D6"/>
    <w:rsid w:val="007214E9"/>
    <w:rsid w:val="007243A4"/>
    <w:rsid w:val="0072772B"/>
    <w:rsid w:val="00740FD1"/>
    <w:rsid w:val="00765A38"/>
    <w:rsid w:val="00794312"/>
    <w:rsid w:val="007962AC"/>
    <w:rsid w:val="007B3670"/>
    <w:rsid w:val="007C4C3F"/>
    <w:rsid w:val="007D1947"/>
    <w:rsid w:val="007D1DBC"/>
    <w:rsid w:val="007E0255"/>
    <w:rsid w:val="007F0A9E"/>
    <w:rsid w:val="00810ECE"/>
    <w:rsid w:val="0082515F"/>
    <w:rsid w:val="00826845"/>
    <w:rsid w:val="008323A7"/>
    <w:rsid w:val="008378DD"/>
    <w:rsid w:val="00846473"/>
    <w:rsid w:val="00850A2A"/>
    <w:rsid w:val="008545AA"/>
    <w:rsid w:val="00870F28"/>
    <w:rsid w:val="008931CC"/>
    <w:rsid w:val="008A4B07"/>
    <w:rsid w:val="008A5340"/>
    <w:rsid w:val="008B7A71"/>
    <w:rsid w:val="008C1956"/>
    <w:rsid w:val="008E5F94"/>
    <w:rsid w:val="008F3441"/>
    <w:rsid w:val="00917632"/>
    <w:rsid w:val="00917ADD"/>
    <w:rsid w:val="00931CAA"/>
    <w:rsid w:val="009705C1"/>
    <w:rsid w:val="009A5761"/>
    <w:rsid w:val="009A5914"/>
    <w:rsid w:val="009C4275"/>
    <w:rsid w:val="009C5C1F"/>
    <w:rsid w:val="009C742D"/>
    <w:rsid w:val="009C7DDC"/>
    <w:rsid w:val="009D4780"/>
    <w:rsid w:val="009E40F6"/>
    <w:rsid w:val="009E5527"/>
    <w:rsid w:val="00A026C8"/>
    <w:rsid w:val="00A11633"/>
    <w:rsid w:val="00A11E13"/>
    <w:rsid w:val="00A12B58"/>
    <w:rsid w:val="00A257BF"/>
    <w:rsid w:val="00A31B45"/>
    <w:rsid w:val="00A328A7"/>
    <w:rsid w:val="00A33D79"/>
    <w:rsid w:val="00A350C7"/>
    <w:rsid w:val="00A41FB9"/>
    <w:rsid w:val="00A51A68"/>
    <w:rsid w:val="00A52D3A"/>
    <w:rsid w:val="00A60498"/>
    <w:rsid w:val="00A77CD2"/>
    <w:rsid w:val="00A9752F"/>
    <w:rsid w:val="00AA2A91"/>
    <w:rsid w:val="00AB2CEC"/>
    <w:rsid w:val="00AB329C"/>
    <w:rsid w:val="00AE3018"/>
    <w:rsid w:val="00B05662"/>
    <w:rsid w:val="00B17790"/>
    <w:rsid w:val="00B44505"/>
    <w:rsid w:val="00B6203D"/>
    <w:rsid w:val="00B63234"/>
    <w:rsid w:val="00B71885"/>
    <w:rsid w:val="00B72775"/>
    <w:rsid w:val="00B83072"/>
    <w:rsid w:val="00B90845"/>
    <w:rsid w:val="00B93241"/>
    <w:rsid w:val="00BA568E"/>
    <w:rsid w:val="00BB47B8"/>
    <w:rsid w:val="00BC0B6D"/>
    <w:rsid w:val="00BC57E5"/>
    <w:rsid w:val="00BE11B7"/>
    <w:rsid w:val="00BE1FE8"/>
    <w:rsid w:val="00BE311F"/>
    <w:rsid w:val="00BE5322"/>
    <w:rsid w:val="00BE73B2"/>
    <w:rsid w:val="00BF357C"/>
    <w:rsid w:val="00BF4ED1"/>
    <w:rsid w:val="00C06376"/>
    <w:rsid w:val="00C07460"/>
    <w:rsid w:val="00C22BED"/>
    <w:rsid w:val="00C321F2"/>
    <w:rsid w:val="00C35E54"/>
    <w:rsid w:val="00C4255D"/>
    <w:rsid w:val="00C50D28"/>
    <w:rsid w:val="00C63D42"/>
    <w:rsid w:val="00C66204"/>
    <w:rsid w:val="00C866BF"/>
    <w:rsid w:val="00C93B11"/>
    <w:rsid w:val="00CA09F3"/>
    <w:rsid w:val="00CA1C79"/>
    <w:rsid w:val="00CA7EBF"/>
    <w:rsid w:val="00CC0A94"/>
    <w:rsid w:val="00CC4B4C"/>
    <w:rsid w:val="00CD06F6"/>
    <w:rsid w:val="00CE583E"/>
    <w:rsid w:val="00CF08C1"/>
    <w:rsid w:val="00CF0E48"/>
    <w:rsid w:val="00D01005"/>
    <w:rsid w:val="00D132BE"/>
    <w:rsid w:val="00D14C31"/>
    <w:rsid w:val="00D2124B"/>
    <w:rsid w:val="00D2220A"/>
    <w:rsid w:val="00D27A74"/>
    <w:rsid w:val="00D47E58"/>
    <w:rsid w:val="00D613EB"/>
    <w:rsid w:val="00D61C6F"/>
    <w:rsid w:val="00D64549"/>
    <w:rsid w:val="00D854A5"/>
    <w:rsid w:val="00D90F39"/>
    <w:rsid w:val="00DA69D0"/>
    <w:rsid w:val="00DC67AA"/>
    <w:rsid w:val="00DD1D7A"/>
    <w:rsid w:val="00DF3A17"/>
    <w:rsid w:val="00DF4DB5"/>
    <w:rsid w:val="00E12DDD"/>
    <w:rsid w:val="00E26483"/>
    <w:rsid w:val="00E30E76"/>
    <w:rsid w:val="00E31208"/>
    <w:rsid w:val="00E34F0D"/>
    <w:rsid w:val="00E37901"/>
    <w:rsid w:val="00E4059D"/>
    <w:rsid w:val="00E42CF3"/>
    <w:rsid w:val="00E505F6"/>
    <w:rsid w:val="00E50F0F"/>
    <w:rsid w:val="00E513D2"/>
    <w:rsid w:val="00E6298A"/>
    <w:rsid w:val="00E85AB9"/>
    <w:rsid w:val="00EA29BA"/>
    <w:rsid w:val="00EC4748"/>
    <w:rsid w:val="00EE4E1C"/>
    <w:rsid w:val="00EF1125"/>
    <w:rsid w:val="00EF3271"/>
    <w:rsid w:val="00EF4306"/>
    <w:rsid w:val="00EF4F64"/>
    <w:rsid w:val="00F00026"/>
    <w:rsid w:val="00F03833"/>
    <w:rsid w:val="00F13A82"/>
    <w:rsid w:val="00F271A1"/>
    <w:rsid w:val="00F3059D"/>
    <w:rsid w:val="00F33B24"/>
    <w:rsid w:val="00F402CD"/>
    <w:rsid w:val="00F4237F"/>
    <w:rsid w:val="00F450B2"/>
    <w:rsid w:val="00F51770"/>
    <w:rsid w:val="00F601E5"/>
    <w:rsid w:val="00F75186"/>
    <w:rsid w:val="00F826F1"/>
    <w:rsid w:val="00F8534C"/>
    <w:rsid w:val="00F95CA6"/>
    <w:rsid w:val="00FA0A89"/>
    <w:rsid w:val="00FA5C71"/>
    <w:rsid w:val="00FA65E4"/>
    <w:rsid w:val="00FB7915"/>
    <w:rsid w:val="00FD2BA8"/>
    <w:rsid w:val="00FD79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BAC6D"/>
  <w15:docId w15:val="{F889366F-BBE9-48BA-BB20-20E292627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662"/>
    <w:pPr>
      <w:spacing w:line="360" w:lineRule="auto"/>
      <w:jc w:val="both"/>
    </w:pPr>
  </w:style>
  <w:style w:type="paragraph" w:styleId="Heading1">
    <w:name w:val="heading 1"/>
    <w:basedOn w:val="Normal"/>
    <w:next w:val="Normal"/>
    <w:link w:val="Heading1Char"/>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1E13"/>
    <w:pPr>
      <w:keepNext/>
      <w:keepLines/>
      <w:spacing w:before="40" w:after="0"/>
      <w:outlineLvl w:val="2"/>
    </w:pPr>
    <w:rPr>
      <w:rFonts w:ascii="Calibri" w:eastAsiaTheme="majorEastAsia" w:hAnsi="Calibri" w:cstheme="majorBidi"/>
      <w:b/>
      <w:color w:val="000000" w:themeColor="text1"/>
      <w:kern w:val="2"/>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61251D"/>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C07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7460"/>
    <w:rPr>
      <w:rFonts w:ascii="Tahoma" w:hAnsi="Tahoma" w:cs="Tahoma"/>
      <w:sz w:val="16"/>
      <w:szCs w:val="16"/>
    </w:rPr>
  </w:style>
  <w:style w:type="table" w:styleId="TableGrid">
    <w:name w:val="Table Grid"/>
    <w:basedOn w:val="TableNormal"/>
    <w:uiPriority w:val="39"/>
    <w:rsid w:val="00F271A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BB47B8"/>
    <w:pPr>
      <w:spacing w:after="200"/>
      <w:jc w:val="center"/>
    </w:pPr>
    <w:rPr>
      <w:b/>
      <w:bCs/>
      <w:szCs w:val="18"/>
    </w:rPr>
  </w:style>
  <w:style w:type="paragraph" w:styleId="ListParagraph">
    <w:name w:val="List Paragraph"/>
    <w:basedOn w:val="Normal"/>
    <w:uiPriority w:val="34"/>
    <w:qFormat/>
    <w:rsid w:val="00527C4A"/>
    <w:pPr>
      <w:ind w:left="720"/>
      <w:contextualSpacing/>
    </w:pPr>
  </w:style>
  <w:style w:type="paragraph" w:styleId="TableofFigures">
    <w:name w:val="table of figures"/>
    <w:basedOn w:val="Normal"/>
    <w:next w:val="Normal"/>
    <w:uiPriority w:val="99"/>
    <w:unhideWhenUsed/>
    <w:rsid w:val="00B05662"/>
    <w:pPr>
      <w:spacing w:after="0"/>
    </w:pPr>
  </w:style>
  <w:style w:type="table" w:styleId="PlainTable5">
    <w:name w:val="Plain Table 5"/>
    <w:basedOn w:val="TableNormal"/>
    <w:uiPriority w:val="45"/>
    <w:rsid w:val="00F402C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115D4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A11E13"/>
    <w:rPr>
      <w:rFonts w:ascii="Calibri" w:eastAsiaTheme="majorEastAsia" w:hAnsi="Calibri" w:cstheme="majorBidi"/>
      <w:b/>
      <w:color w:val="000000" w:themeColor="text1"/>
      <w:kern w:val="2"/>
      <w:sz w:val="24"/>
      <w:szCs w:val="24"/>
    </w:rPr>
  </w:style>
  <w:style w:type="paragraph" w:styleId="Title">
    <w:name w:val="Title"/>
    <w:basedOn w:val="Normal"/>
    <w:next w:val="Normal"/>
    <w:link w:val="TitleChar"/>
    <w:uiPriority w:val="10"/>
    <w:qFormat/>
    <w:rsid w:val="00A11E13"/>
    <w:pPr>
      <w:spacing w:before="120" w:after="0" w:line="240" w:lineRule="auto"/>
      <w:contextualSpacing/>
      <w:jc w:val="center"/>
    </w:pPr>
    <w:rPr>
      <w:rFonts w:ascii="Calibri" w:eastAsiaTheme="majorEastAsia" w:hAnsi="Calibri" w:cstheme="majorBidi"/>
      <w:b/>
      <w:spacing w:val="-10"/>
      <w:kern w:val="28"/>
      <w:sz w:val="56"/>
      <w:szCs w:val="56"/>
      <w:u w:val="single"/>
    </w:rPr>
  </w:style>
  <w:style w:type="character" w:customStyle="1" w:styleId="TitleChar">
    <w:name w:val="Title Char"/>
    <w:basedOn w:val="DefaultParagraphFont"/>
    <w:link w:val="Title"/>
    <w:uiPriority w:val="10"/>
    <w:rsid w:val="00A11E13"/>
    <w:rPr>
      <w:rFonts w:ascii="Calibri" w:eastAsiaTheme="majorEastAsia" w:hAnsi="Calibri" w:cstheme="majorBidi"/>
      <w:b/>
      <w:spacing w:val="-10"/>
      <w:kern w:val="28"/>
      <w:sz w:val="56"/>
      <w:szCs w:val="56"/>
      <w:u w:val="single"/>
    </w:rPr>
  </w:style>
  <w:style w:type="character" w:styleId="PlaceholderText">
    <w:name w:val="Placeholder Text"/>
    <w:basedOn w:val="DefaultParagraphFont"/>
    <w:uiPriority w:val="99"/>
    <w:semiHidden/>
    <w:rsid w:val="00A11E13"/>
    <w:rPr>
      <w:color w:val="666666"/>
    </w:rPr>
  </w:style>
  <w:style w:type="table" w:customStyle="1" w:styleId="GridTable6Colorful-Accent61">
    <w:name w:val="Grid Table 6 Colorful - Accent 61"/>
    <w:basedOn w:val="TableNormal"/>
    <w:uiPriority w:val="51"/>
    <w:rsid w:val="00A11E13"/>
    <w:pPr>
      <w:spacing w:after="0" w:line="240" w:lineRule="auto"/>
    </w:pPr>
    <w:rPr>
      <w:color w:val="538135" w:themeColor="accent6" w:themeShade="BF"/>
      <w:kern w:val="2"/>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1Light-Accent6">
    <w:name w:val="List Table 1 Light Accent 6"/>
    <w:basedOn w:val="TableNormal"/>
    <w:uiPriority w:val="46"/>
    <w:rsid w:val="00FD79FA"/>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6Colorful-Accent6">
    <w:name w:val="List Table 6 Colorful Accent 6"/>
    <w:basedOn w:val="TableNormal"/>
    <w:uiPriority w:val="51"/>
    <w:rsid w:val="00672E7D"/>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9495167">
      <w:bodyDiv w:val="1"/>
      <w:marLeft w:val="0"/>
      <w:marRight w:val="0"/>
      <w:marTop w:val="0"/>
      <w:marBottom w:val="0"/>
      <w:divBdr>
        <w:top w:val="none" w:sz="0" w:space="0" w:color="auto"/>
        <w:left w:val="none" w:sz="0" w:space="0" w:color="auto"/>
        <w:bottom w:val="none" w:sz="0" w:space="0" w:color="auto"/>
        <w:right w:val="none" w:sz="0" w:space="0" w:color="auto"/>
      </w:divBdr>
    </w:div>
    <w:div w:id="910773910">
      <w:bodyDiv w:val="1"/>
      <w:marLeft w:val="0"/>
      <w:marRight w:val="0"/>
      <w:marTop w:val="0"/>
      <w:marBottom w:val="0"/>
      <w:divBdr>
        <w:top w:val="none" w:sz="0" w:space="0" w:color="auto"/>
        <w:left w:val="none" w:sz="0" w:space="0" w:color="auto"/>
        <w:bottom w:val="none" w:sz="0" w:space="0" w:color="auto"/>
        <w:right w:val="none" w:sz="0" w:space="0" w:color="auto"/>
      </w:divBdr>
    </w:div>
    <w:div w:id="1265454751">
      <w:bodyDiv w:val="1"/>
      <w:marLeft w:val="0"/>
      <w:marRight w:val="0"/>
      <w:marTop w:val="0"/>
      <w:marBottom w:val="0"/>
      <w:divBdr>
        <w:top w:val="none" w:sz="0" w:space="0" w:color="auto"/>
        <w:left w:val="none" w:sz="0" w:space="0" w:color="auto"/>
        <w:bottom w:val="none" w:sz="0" w:space="0" w:color="auto"/>
        <w:right w:val="none" w:sz="0" w:space="0" w:color="auto"/>
      </w:divBdr>
    </w:div>
    <w:div w:id="1338382098">
      <w:bodyDiv w:val="1"/>
      <w:marLeft w:val="0"/>
      <w:marRight w:val="0"/>
      <w:marTop w:val="0"/>
      <w:marBottom w:val="0"/>
      <w:divBdr>
        <w:top w:val="none" w:sz="0" w:space="0" w:color="auto"/>
        <w:left w:val="none" w:sz="0" w:space="0" w:color="auto"/>
        <w:bottom w:val="none" w:sz="0" w:space="0" w:color="auto"/>
        <w:right w:val="none" w:sz="0" w:space="0" w:color="auto"/>
      </w:divBdr>
    </w:div>
    <w:div w:id="1347054645">
      <w:bodyDiv w:val="1"/>
      <w:marLeft w:val="0"/>
      <w:marRight w:val="0"/>
      <w:marTop w:val="0"/>
      <w:marBottom w:val="0"/>
      <w:divBdr>
        <w:top w:val="none" w:sz="0" w:space="0" w:color="auto"/>
        <w:left w:val="none" w:sz="0" w:space="0" w:color="auto"/>
        <w:bottom w:val="none" w:sz="0" w:space="0" w:color="auto"/>
        <w:right w:val="none" w:sz="0" w:space="0" w:color="auto"/>
      </w:divBdr>
    </w:div>
    <w:div w:id="169256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3.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Users\mm081\Desktop\locus%20rags-%20work%20from%20home\Permanent%20work%20from%20home\2025\2nd%20Jan\usiness_Report_for_Lloyds_Banking__Group_Plc\Calculations%20Business%20Report%20Llyods%20Banking%20Group.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Users\mm081\Desktop\locus%20rags-%20work%20from%20home\Permanent%20work%20from%20home\2025\2nd%20Jan\usiness_Report_for_Lloyds_Banking__Group_Plc\Calculations%20Business%20Report%20Llyods%20Banking%20Group.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Users\mm081\Desktop\locus%20rags-%20work%20from%20home\Permanent%20work%20from%20home\2025\2nd%20Jan\usiness_Report_for_Lloyds_Banking__Group_Plc\Calculations%20Business%20Report%20Llyods%20Banking%20Group.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Users\mm081\Desktop\locus%20rags-%20work%20from%20home\Permanent%20work%20from%20home\2025\2nd%20Jan\usiness_Report_for_Lloyds_Banking__Group_Plc\Calculations%20Business%20Report%20Llyods%20Banking%20Group.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Users\mm081\Desktop\locus%20rags-%20work%20from%20home\Permanent%20work%20from%20home\2025\2nd%20Jan\usiness_Report_for_Lloyds_Banking__Group_Plc\Calculations%20Business%20Report%20Llyods%20Banking%20Grou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Sheet1!$E$4</c:f>
              <c:strCache>
                <c:ptCount val="1"/>
                <c:pt idx="0">
                  <c:v>Gross profit margin</c:v>
                </c:pt>
              </c:strCache>
            </c:strRef>
          </c:tx>
          <c:invertIfNegative val="0"/>
          <c:cat>
            <c:numRef>
              <c:f>Sheet1!$F$3:$G$3</c:f>
              <c:numCache>
                <c:formatCode>General</c:formatCode>
                <c:ptCount val="2"/>
                <c:pt idx="0">
                  <c:v>2023</c:v>
                </c:pt>
                <c:pt idx="1">
                  <c:v>2022</c:v>
                </c:pt>
              </c:numCache>
            </c:numRef>
          </c:cat>
          <c:val>
            <c:numRef>
              <c:f>Sheet1!$F$4:$G$4</c:f>
              <c:numCache>
                <c:formatCode>0.00</c:formatCode>
                <c:ptCount val="2"/>
                <c:pt idx="0">
                  <c:v>47.406509571851245</c:v>
                </c:pt>
                <c:pt idx="1">
                  <c:v>73.233210541229823</c:v>
                </c:pt>
              </c:numCache>
            </c:numRef>
          </c:val>
          <c:extLst>
            <c:ext xmlns:c16="http://schemas.microsoft.com/office/drawing/2014/chart" uri="{C3380CC4-5D6E-409C-BE32-E72D297353CC}">
              <c16:uniqueId val="{00000000-C4CC-4B12-813A-C7913483D631}"/>
            </c:ext>
          </c:extLst>
        </c:ser>
        <c:ser>
          <c:idx val="1"/>
          <c:order val="1"/>
          <c:tx>
            <c:strRef>
              <c:f>Sheet1!$E$5</c:f>
              <c:strCache>
                <c:ptCount val="1"/>
                <c:pt idx="0">
                  <c:v>Net profit margin</c:v>
                </c:pt>
              </c:strCache>
            </c:strRef>
          </c:tx>
          <c:invertIfNegative val="0"/>
          <c:cat>
            <c:numRef>
              <c:f>Sheet1!$F$3:$G$3</c:f>
              <c:numCache>
                <c:formatCode>General</c:formatCode>
                <c:ptCount val="2"/>
                <c:pt idx="0">
                  <c:v>2023</c:v>
                </c:pt>
                <c:pt idx="1">
                  <c:v>2022</c:v>
                </c:pt>
              </c:numCache>
            </c:numRef>
          </c:cat>
          <c:val>
            <c:numRef>
              <c:f>Sheet1!$F$5:$G$5</c:f>
              <c:numCache>
                <c:formatCode>0.00</c:formatCode>
                <c:ptCount val="2"/>
                <c:pt idx="0">
                  <c:v>0.62601182365934482</c:v>
                </c:pt>
                <c:pt idx="1">
                  <c:v>0.44916727158647762</c:v>
                </c:pt>
              </c:numCache>
            </c:numRef>
          </c:val>
          <c:extLst>
            <c:ext xmlns:c16="http://schemas.microsoft.com/office/drawing/2014/chart" uri="{C3380CC4-5D6E-409C-BE32-E72D297353CC}">
              <c16:uniqueId val="{00000001-C4CC-4B12-813A-C7913483D631}"/>
            </c:ext>
          </c:extLst>
        </c:ser>
        <c:dLbls>
          <c:showLegendKey val="0"/>
          <c:showVal val="0"/>
          <c:showCatName val="0"/>
          <c:showSerName val="0"/>
          <c:showPercent val="0"/>
          <c:showBubbleSize val="0"/>
        </c:dLbls>
        <c:gapWidth val="150"/>
        <c:shape val="box"/>
        <c:axId val="118842496"/>
        <c:axId val="118844032"/>
        <c:axId val="0"/>
      </c:bar3DChart>
      <c:catAx>
        <c:axId val="118842496"/>
        <c:scaling>
          <c:orientation val="minMax"/>
        </c:scaling>
        <c:delete val="0"/>
        <c:axPos val="b"/>
        <c:numFmt formatCode="General" sourceLinked="1"/>
        <c:majorTickMark val="out"/>
        <c:minorTickMark val="none"/>
        <c:tickLblPos val="nextTo"/>
        <c:crossAx val="118844032"/>
        <c:crosses val="autoZero"/>
        <c:auto val="1"/>
        <c:lblAlgn val="ctr"/>
        <c:lblOffset val="100"/>
        <c:noMultiLvlLbl val="0"/>
      </c:catAx>
      <c:valAx>
        <c:axId val="118844032"/>
        <c:scaling>
          <c:orientation val="minMax"/>
        </c:scaling>
        <c:delete val="0"/>
        <c:axPos val="l"/>
        <c:numFmt formatCode="0.00" sourceLinked="1"/>
        <c:majorTickMark val="out"/>
        <c:minorTickMark val="none"/>
        <c:tickLblPos val="nextTo"/>
        <c:crossAx val="11884249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Sheet1!$F$7</c:f>
              <c:strCache>
                <c:ptCount val="1"/>
                <c:pt idx="0">
                  <c:v>2023</c:v>
                </c:pt>
              </c:strCache>
            </c:strRef>
          </c:tx>
          <c:invertIfNegative val="0"/>
          <c:cat>
            <c:strRef>
              <c:f>Sheet1!$E$8:$E$10</c:f>
              <c:strCache>
                <c:ptCount val="3"/>
                <c:pt idx="0">
                  <c:v>Efficiency ratio</c:v>
                </c:pt>
                <c:pt idx="1">
                  <c:v>Asset turnover ratio</c:v>
                </c:pt>
                <c:pt idx="2">
                  <c:v>Trade payable days</c:v>
                </c:pt>
              </c:strCache>
            </c:strRef>
          </c:cat>
          <c:val>
            <c:numRef>
              <c:f>Sheet1!$F$8:$F$10</c:f>
              <c:numCache>
                <c:formatCode>0.00</c:formatCode>
                <c:ptCount val="3"/>
                <c:pt idx="0">
                  <c:v>0.38583294713200988</c:v>
                </c:pt>
                <c:pt idx="1">
                  <c:v>3.1823591274860952E-2</c:v>
                </c:pt>
                <c:pt idx="2">
                  <c:v>152.22971598996801</c:v>
                </c:pt>
              </c:numCache>
            </c:numRef>
          </c:val>
          <c:extLst>
            <c:ext xmlns:c16="http://schemas.microsoft.com/office/drawing/2014/chart" uri="{C3380CC4-5D6E-409C-BE32-E72D297353CC}">
              <c16:uniqueId val="{00000000-8947-405A-8878-829BE3AC611A}"/>
            </c:ext>
          </c:extLst>
        </c:ser>
        <c:ser>
          <c:idx val="1"/>
          <c:order val="1"/>
          <c:tx>
            <c:strRef>
              <c:f>Sheet1!$G$7</c:f>
              <c:strCache>
                <c:ptCount val="1"/>
                <c:pt idx="0">
                  <c:v>2022</c:v>
                </c:pt>
              </c:strCache>
            </c:strRef>
          </c:tx>
          <c:invertIfNegative val="0"/>
          <c:cat>
            <c:strRef>
              <c:f>Sheet1!$E$8:$E$10</c:f>
              <c:strCache>
                <c:ptCount val="3"/>
                <c:pt idx="0">
                  <c:v>Efficiency ratio</c:v>
                </c:pt>
                <c:pt idx="1">
                  <c:v>Asset turnover ratio</c:v>
                </c:pt>
                <c:pt idx="2">
                  <c:v>Trade payable days</c:v>
                </c:pt>
              </c:strCache>
            </c:strRef>
          </c:cat>
          <c:val>
            <c:numRef>
              <c:f>Sheet1!$G$8:$G$10</c:f>
              <c:numCache>
                <c:formatCode>0.00</c:formatCode>
                <c:ptCount val="3"/>
                <c:pt idx="0">
                  <c:v>0.52349107395862871</c:v>
                </c:pt>
                <c:pt idx="1">
                  <c:v>2.0202795073014028E-2</c:v>
                </c:pt>
                <c:pt idx="2">
                  <c:v>561.52657209400797</c:v>
                </c:pt>
              </c:numCache>
            </c:numRef>
          </c:val>
          <c:extLst>
            <c:ext xmlns:c16="http://schemas.microsoft.com/office/drawing/2014/chart" uri="{C3380CC4-5D6E-409C-BE32-E72D297353CC}">
              <c16:uniqueId val="{00000001-8947-405A-8878-829BE3AC611A}"/>
            </c:ext>
          </c:extLst>
        </c:ser>
        <c:dLbls>
          <c:showLegendKey val="0"/>
          <c:showVal val="0"/>
          <c:showCatName val="0"/>
          <c:showSerName val="0"/>
          <c:showPercent val="0"/>
          <c:showBubbleSize val="0"/>
        </c:dLbls>
        <c:gapWidth val="150"/>
        <c:shape val="box"/>
        <c:axId val="120836864"/>
        <c:axId val="120838400"/>
        <c:axId val="0"/>
      </c:bar3DChart>
      <c:catAx>
        <c:axId val="120836864"/>
        <c:scaling>
          <c:orientation val="minMax"/>
        </c:scaling>
        <c:delete val="0"/>
        <c:axPos val="b"/>
        <c:numFmt formatCode="General" sourceLinked="0"/>
        <c:majorTickMark val="out"/>
        <c:minorTickMark val="none"/>
        <c:tickLblPos val="nextTo"/>
        <c:crossAx val="120838400"/>
        <c:crosses val="autoZero"/>
        <c:auto val="1"/>
        <c:lblAlgn val="ctr"/>
        <c:lblOffset val="100"/>
        <c:noMultiLvlLbl val="0"/>
      </c:catAx>
      <c:valAx>
        <c:axId val="120838400"/>
        <c:scaling>
          <c:orientation val="minMax"/>
        </c:scaling>
        <c:delete val="0"/>
        <c:axPos val="l"/>
        <c:numFmt formatCode="0.00" sourceLinked="1"/>
        <c:majorTickMark val="out"/>
        <c:minorTickMark val="none"/>
        <c:tickLblPos val="nextTo"/>
        <c:crossAx val="12083686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Sheet1!$E$13</c:f>
              <c:strCache>
                <c:ptCount val="1"/>
                <c:pt idx="0">
                  <c:v>Current ratio</c:v>
                </c:pt>
              </c:strCache>
            </c:strRef>
          </c:tx>
          <c:invertIfNegative val="0"/>
          <c:cat>
            <c:numRef>
              <c:f>Sheet1!$F$12:$G$12</c:f>
              <c:numCache>
                <c:formatCode>General</c:formatCode>
                <c:ptCount val="2"/>
                <c:pt idx="0">
                  <c:v>2023</c:v>
                </c:pt>
                <c:pt idx="1">
                  <c:v>2022</c:v>
                </c:pt>
              </c:numCache>
            </c:numRef>
          </c:cat>
          <c:val>
            <c:numRef>
              <c:f>Sheet1!$F$13:$G$13</c:f>
              <c:numCache>
                <c:formatCode>0.00</c:formatCode>
                <c:ptCount val="2"/>
                <c:pt idx="0">
                  <c:v>3.3637541384770406</c:v>
                </c:pt>
                <c:pt idx="1">
                  <c:v>3.0009399731147473</c:v>
                </c:pt>
              </c:numCache>
            </c:numRef>
          </c:val>
          <c:extLst>
            <c:ext xmlns:c16="http://schemas.microsoft.com/office/drawing/2014/chart" uri="{C3380CC4-5D6E-409C-BE32-E72D297353CC}">
              <c16:uniqueId val="{00000000-C783-476C-8146-1D4B40B97337}"/>
            </c:ext>
          </c:extLst>
        </c:ser>
        <c:ser>
          <c:idx val="1"/>
          <c:order val="1"/>
          <c:tx>
            <c:strRef>
              <c:f>Sheet1!$E$14</c:f>
              <c:strCache>
                <c:ptCount val="1"/>
                <c:pt idx="0">
                  <c:v>Cash ratio </c:v>
                </c:pt>
              </c:strCache>
            </c:strRef>
          </c:tx>
          <c:invertIfNegative val="0"/>
          <c:cat>
            <c:numRef>
              <c:f>Sheet1!$F$12:$G$12</c:f>
              <c:numCache>
                <c:formatCode>General</c:formatCode>
                <c:ptCount val="2"/>
                <c:pt idx="0">
                  <c:v>2023</c:v>
                </c:pt>
                <c:pt idx="1">
                  <c:v>2022</c:v>
                </c:pt>
              </c:numCache>
            </c:numRef>
          </c:cat>
          <c:val>
            <c:numRef>
              <c:f>Sheet1!$F$14:$G$14</c:f>
              <c:numCache>
                <c:formatCode>0.00</c:formatCode>
                <c:ptCount val="2"/>
                <c:pt idx="0">
                  <c:v>0.86490017827285715</c:v>
                </c:pt>
                <c:pt idx="1">
                  <c:v>0.92368024742518173</c:v>
                </c:pt>
              </c:numCache>
            </c:numRef>
          </c:val>
          <c:extLst>
            <c:ext xmlns:c16="http://schemas.microsoft.com/office/drawing/2014/chart" uri="{C3380CC4-5D6E-409C-BE32-E72D297353CC}">
              <c16:uniqueId val="{00000001-C783-476C-8146-1D4B40B97337}"/>
            </c:ext>
          </c:extLst>
        </c:ser>
        <c:dLbls>
          <c:showLegendKey val="0"/>
          <c:showVal val="0"/>
          <c:showCatName val="0"/>
          <c:showSerName val="0"/>
          <c:showPercent val="0"/>
          <c:showBubbleSize val="0"/>
        </c:dLbls>
        <c:gapWidth val="150"/>
        <c:shape val="box"/>
        <c:axId val="122701312"/>
        <c:axId val="122703232"/>
        <c:axId val="0"/>
      </c:bar3DChart>
      <c:catAx>
        <c:axId val="122701312"/>
        <c:scaling>
          <c:orientation val="minMax"/>
        </c:scaling>
        <c:delete val="0"/>
        <c:axPos val="b"/>
        <c:numFmt formatCode="General" sourceLinked="1"/>
        <c:majorTickMark val="out"/>
        <c:minorTickMark val="none"/>
        <c:tickLblPos val="nextTo"/>
        <c:crossAx val="122703232"/>
        <c:crosses val="autoZero"/>
        <c:auto val="1"/>
        <c:lblAlgn val="ctr"/>
        <c:lblOffset val="100"/>
        <c:noMultiLvlLbl val="0"/>
      </c:catAx>
      <c:valAx>
        <c:axId val="122703232"/>
        <c:scaling>
          <c:orientation val="minMax"/>
        </c:scaling>
        <c:delete val="0"/>
        <c:axPos val="l"/>
        <c:numFmt formatCode="0.00" sourceLinked="1"/>
        <c:majorTickMark val="out"/>
        <c:minorTickMark val="none"/>
        <c:tickLblPos val="nextTo"/>
        <c:crossAx val="12270131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Sheet1!$E$17</c:f>
              <c:strCache>
                <c:ptCount val="1"/>
                <c:pt idx="0">
                  <c:v>Debt ratio</c:v>
                </c:pt>
              </c:strCache>
            </c:strRef>
          </c:tx>
          <c:invertIfNegative val="0"/>
          <c:cat>
            <c:numRef>
              <c:f>Sheet1!$F$16:$G$16</c:f>
              <c:numCache>
                <c:formatCode>General</c:formatCode>
                <c:ptCount val="2"/>
                <c:pt idx="0">
                  <c:v>2023</c:v>
                </c:pt>
                <c:pt idx="1">
                  <c:v>2022</c:v>
                </c:pt>
              </c:numCache>
            </c:numRef>
          </c:cat>
          <c:val>
            <c:numRef>
              <c:f>Sheet1!$F$17:$G$17</c:f>
              <c:numCache>
                <c:formatCode>0.00</c:formatCode>
                <c:ptCount val="2"/>
                <c:pt idx="0">
                  <c:v>0.94626486040662372</c:v>
                </c:pt>
                <c:pt idx="1">
                  <c:v>0.94972372148194251</c:v>
                </c:pt>
              </c:numCache>
            </c:numRef>
          </c:val>
          <c:extLst>
            <c:ext xmlns:c16="http://schemas.microsoft.com/office/drawing/2014/chart" uri="{C3380CC4-5D6E-409C-BE32-E72D297353CC}">
              <c16:uniqueId val="{00000000-DF83-4BA3-AEB3-70F4BC0ACF24}"/>
            </c:ext>
          </c:extLst>
        </c:ser>
        <c:ser>
          <c:idx val="1"/>
          <c:order val="1"/>
          <c:tx>
            <c:strRef>
              <c:f>Sheet1!$E$18</c:f>
              <c:strCache>
                <c:ptCount val="1"/>
                <c:pt idx="0">
                  <c:v>Gearing ratio</c:v>
                </c:pt>
              </c:strCache>
            </c:strRef>
          </c:tx>
          <c:invertIfNegative val="0"/>
          <c:cat>
            <c:numRef>
              <c:f>Sheet1!$F$16:$G$16</c:f>
              <c:numCache>
                <c:formatCode>General</c:formatCode>
                <c:ptCount val="2"/>
                <c:pt idx="0">
                  <c:v>2023</c:v>
                </c:pt>
                <c:pt idx="1">
                  <c:v>2022</c:v>
                </c:pt>
              </c:numCache>
            </c:numRef>
          </c:cat>
          <c:val>
            <c:numRef>
              <c:f>Sheet1!$F$18:$G$18</c:f>
              <c:numCache>
                <c:formatCode>0.00</c:formatCode>
                <c:ptCount val="2"/>
                <c:pt idx="0">
                  <c:v>17.609796263063433</c:v>
                </c:pt>
                <c:pt idx="1">
                  <c:v>18.890095875748674</c:v>
                </c:pt>
              </c:numCache>
            </c:numRef>
          </c:val>
          <c:extLst>
            <c:ext xmlns:c16="http://schemas.microsoft.com/office/drawing/2014/chart" uri="{C3380CC4-5D6E-409C-BE32-E72D297353CC}">
              <c16:uniqueId val="{00000001-DF83-4BA3-AEB3-70F4BC0ACF24}"/>
            </c:ext>
          </c:extLst>
        </c:ser>
        <c:dLbls>
          <c:showLegendKey val="0"/>
          <c:showVal val="0"/>
          <c:showCatName val="0"/>
          <c:showSerName val="0"/>
          <c:showPercent val="0"/>
          <c:showBubbleSize val="0"/>
        </c:dLbls>
        <c:gapWidth val="150"/>
        <c:shape val="box"/>
        <c:axId val="118965376"/>
        <c:axId val="118966912"/>
        <c:axId val="0"/>
      </c:bar3DChart>
      <c:catAx>
        <c:axId val="118965376"/>
        <c:scaling>
          <c:orientation val="minMax"/>
        </c:scaling>
        <c:delete val="0"/>
        <c:axPos val="b"/>
        <c:numFmt formatCode="General" sourceLinked="1"/>
        <c:majorTickMark val="out"/>
        <c:minorTickMark val="none"/>
        <c:tickLblPos val="nextTo"/>
        <c:crossAx val="118966912"/>
        <c:crosses val="autoZero"/>
        <c:auto val="1"/>
        <c:lblAlgn val="ctr"/>
        <c:lblOffset val="100"/>
        <c:noMultiLvlLbl val="0"/>
      </c:catAx>
      <c:valAx>
        <c:axId val="118966912"/>
        <c:scaling>
          <c:orientation val="minMax"/>
        </c:scaling>
        <c:delete val="0"/>
        <c:axPos val="l"/>
        <c:numFmt formatCode="0.00" sourceLinked="1"/>
        <c:majorTickMark val="out"/>
        <c:minorTickMark val="none"/>
        <c:tickLblPos val="nextTo"/>
        <c:crossAx val="118965376"/>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Sheet1!$E$21</c:f>
              <c:strCache>
                <c:ptCount val="1"/>
                <c:pt idx="0">
                  <c:v>Earnings per share</c:v>
                </c:pt>
              </c:strCache>
            </c:strRef>
          </c:tx>
          <c:invertIfNegative val="0"/>
          <c:cat>
            <c:numRef>
              <c:f>Sheet1!$F$20:$G$20</c:f>
              <c:numCache>
                <c:formatCode>General</c:formatCode>
                <c:ptCount val="2"/>
                <c:pt idx="0">
                  <c:v>2023</c:v>
                </c:pt>
                <c:pt idx="1">
                  <c:v>2022</c:v>
                </c:pt>
              </c:numCache>
            </c:numRef>
          </c:cat>
          <c:val>
            <c:numRef>
              <c:f>Sheet1!$F$21:$G$21</c:f>
              <c:numCache>
                <c:formatCode>0.00</c:formatCode>
                <c:ptCount val="2"/>
                <c:pt idx="0">
                  <c:v>8.4953735778178066E-2</c:v>
                </c:pt>
                <c:pt idx="1">
                  <c:v>5.6981422574694615E-2</c:v>
                </c:pt>
              </c:numCache>
            </c:numRef>
          </c:val>
          <c:extLst>
            <c:ext xmlns:c16="http://schemas.microsoft.com/office/drawing/2014/chart" uri="{C3380CC4-5D6E-409C-BE32-E72D297353CC}">
              <c16:uniqueId val="{00000000-E8CD-462F-9164-2E43BE3DDE1F}"/>
            </c:ext>
          </c:extLst>
        </c:ser>
        <c:ser>
          <c:idx val="1"/>
          <c:order val="1"/>
          <c:tx>
            <c:strRef>
              <c:f>Sheet1!$E$22</c:f>
              <c:strCache>
                <c:ptCount val="1"/>
                <c:pt idx="0">
                  <c:v>Dividend payout ratio</c:v>
                </c:pt>
              </c:strCache>
            </c:strRef>
          </c:tx>
          <c:invertIfNegative val="0"/>
          <c:cat>
            <c:numRef>
              <c:f>Sheet1!$F$20:$G$20</c:f>
              <c:numCache>
                <c:formatCode>General</c:formatCode>
                <c:ptCount val="2"/>
                <c:pt idx="0">
                  <c:v>2023</c:v>
                </c:pt>
                <c:pt idx="1">
                  <c:v>2022</c:v>
                </c:pt>
              </c:numCache>
            </c:numRef>
          </c:cat>
          <c:val>
            <c:numRef>
              <c:f>Sheet1!$F$22:$G$22</c:f>
              <c:numCache>
                <c:formatCode>0.00</c:formatCode>
                <c:ptCount val="2"/>
                <c:pt idx="0">
                  <c:v>29.920260964117436</c:v>
                </c:pt>
                <c:pt idx="1">
                  <c:v>37.598776446597014</c:v>
                </c:pt>
              </c:numCache>
            </c:numRef>
          </c:val>
          <c:extLst>
            <c:ext xmlns:c16="http://schemas.microsoft.com/office/drawing/2014/chart" uri="{C3380CC4-5D6E-409C-BE32-E72D297353CC}">
              <c16:uniqueId val="{00000001-E8CD-462F-9164-2E43BE3DDE1F}"/>
            </c:ext>
          </c:extLst>
        </c:ser>
        <c:dLbls>
          <c:showLegendKey val="0"/>
          <c:showVal val="0"/>
          <c:showCatName val="0"/>
          <c:showSerName val="0"/>
          <c:showPercent val="0"/>
          <c:showBubbleSize val="0"/>
        </c:dLbls>
        <c:gapWidth val="150"/>
        <c:shape val="box"/>
        <c:axId val="118996352"/>
        <c:axId val="120329344"/>
        <c:axId val="0"/>
      </c:bar3DChart>
      <c:catAx>
        <c:axId val="118996352"/>
        <c:scaling>
          <c:orientation val="minMax"/>
        </c:scaling>
        <c:delete val="0"/>
        <c:axPos val="b"/>
        <c:numFmt formatCode="General" sourceLinked="1"/>
        <c:majorTickMark val="out"/>
        <c:minorTickMark val="none"/>
        <c:tickLblPos val="nextTo"/>
        <c:crossAx val="120329344"/>
        <c:crosses val="autoZero"/>
        <c:auto val="1"/>
        <c:lblAlgn val="ctr"/>
        <c:lblOffset val="100"/>
        <c:noMultiLvlLbl val="0"/>
      </c:catAx>
      <c:valAx>
        <c:axId val="120329344"/>
        <c:scaling>
          <c:orientation val="minMax"/>
        </c:scaling>
        <c:delete val="0"/>
        <c:axPos val="l"/>
        <c:numFmt formatCode="0.00" sourceLinked="1"/>
        <c:majorTickMark val="out"/>
        <c:minorTickMark val="none"/>
        <c:tickLblPos val="nextTo"/>
        <c:crossAx val="11899635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AD02BE-25B0-4445-9CC4-FE36E5425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37</Pages>
  <Words>7851</Words>
  <Characters>44757</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FINANCE FOR BUSINESS MANAGERS</vt:lpstr>
    </vt:vector>
  </TitlesOfParts>
  <Company>university of wales trinity saint daviD</Company>
  <LinksUpToDate>false</LinksUpToDate>
  <CharactersWithSpaces>52503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LLOYDS BANKING GROUP PLC and GREENACRES PLC</dc:subject>
  <dc:creator>Marie Pitson</dc:creator>
  <cp:lastModifiedBy>Madalina Nagy</cp:lastModifiedBy>
  <cp:revision>144</cp:revision>
  <dcterms:created xsi:type="dcterms:W3CDTF">2025-01-10T12:43:00Z</dcterms:created>
  <dcterms:modified xsi:type="dcterms:W3CDTF">2025-01-10T19:40:00Z</dcterms:modified>
</cp:coreProperties>
</file>