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D040E4" w14:textId="77777777" w:rsidR="00BA2AD1" w:rsidRDefault="004220D5">
      <w:pPr>
        <w:pStyle w:val="Normal1"/>
        <w:spacing w:after="4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8CDA31A" wp14:editId="73F6E0DA">
            <wp:extent cx="5334000" cy="2800350"/>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5334000" cy="2800350"/>
                    </a:xfrm>
                    <a:prstGeom prst="rect">
                      <a:avLst/>
                    </a:prstGeom>
                    <a:ln/>
                  </pic:spPr>
                </pic:pic>
              </a:graphicData>
            </a:graphic>
          </wp:inline>
        </w:drawing>
      </w:r>
    </w:p>
    <w:p w14:paraId="7B56439D" w14:textId="77777777" w:rsidR="00BA2AD1" w:rsidRDefault="004220D5">
      <w:pPr>
        <w:pStyle w:val="Normal1"/>
        <w:spacing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BA (Hons) Leadership and Management Skills for the Workplace</w:t>
      </w:r>
    </w:p>
    <w:p w14:paraId="376CE79B" w14:textId="77777777" w:rsidR="00BA2AD1" w:rsidRDefault="004220D5">
      <w:pPr>
        <w:pStyle w:val="Normal1"/>
        <w:spacing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Research</w:t>
      </w:r>
      <w:r w:rsidR="0044424C">
        <w:rPr>
          <w:rFonts w:ascii="Times New Roman" w:eastAsia="Times New Roman" w:hAnsi="Times New Roman" w:cs="Times New Roman"/>
          <w:sz w:val="24"/>
          <w:szCs w:val="24"/>
        </w:rPr>
        <w:t xml:space="preserve"> Methods for Business </w:t>
      </w:r>
    </w:p>
    <w:p w14:paraId="67FDEBAA" w14:textId="77777777" w:rsidR="00BA2AD1" w:rsidRDefault="004220D5">
      <w:pPr>
        <w:pStyle w:val="Normal1"/>
        <w:spacing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Assignment Title: Component 1 – Business Research Proposal</w:t>
      </w:r>
    </w:p>
    <w:p w14:paraId="1346C81B" w14:textId="77777777" w:rsidR="00BA2AD1" w:rsidRDefault="004220D5">
      <w:pPr>
        <w:pStyle w:val="Normal1"/>
        <w:spacing w:before="300" w:after="300" w:line="360" w:lineRule="auto"/>
        <w:jc w:val="cente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Managing the Cost of Product Returns in UK Online Fashion Retail: A Case Study of ASOS</w:t>
      </w:r>
    </w:p>
    <w:p w14:paraId="1D776424" w14:textId="77777777" w:rsidR="0044424C" w:rsidRDefault="0044424C" w:rsidP="0044424C">
      <w:pPr>
        <w:pStyle w:val="Normal1"/>
        <w:spacing w:before="300" w:after="300" w:line="36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Student Name: Guy Masssamba</w:t>
      </w:r>
    </w:p>
    <w:p w14:paraId="084972A0" w14:textId="77777777" w:rsidR="00A80959" w:rsidRDefault="00A80959" w:rsidP="0044424C">
      <w:pPr>
        <w:pStyle w:val="Normal1"/>
        <w:spacing w:before="300" w:after="300" w:line="36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Student Number: 2325805</w:t>
      </w:r>
    </w:p>
    <w:p w14:paraId="04BF2AC9" w14:textId="77777777" w:rsidR="0044424C" w:rsidRDefault="0044424C" w:rsidP="0044424C">
      <w:pPr>
        <w:pStyle w:val="Normal1"/>
        <w:spacing w:before="300" w:after="300" w:line="36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Module Code: LCLM6004</w:t>
      </w:r>
    </w:p>
    <w:p w14:paraId="34D91F83" w14:textId="77777777" w:rsidR="0044424C" w:rsidRDefault="0044424C" w:rsidP="0044424C">
      <w:pPr>
        <w:pStyle w:val="Normal1"/>
        <w:spacing w:before="300" w:after="300" w:line="36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Lecture Name</w:t>
      </w:r>
      <w:r w:rsidR="00E80FE8">
        <w:rPr>
          <w:rFonts w:ascii="Times New Roman" w:eastAsia="Times New Roman" w:hAnsi="Times New Roman" w:cs="Times New Roman"/>
          <w:b/>
          <w:bCs/>
          <w:i/>
          <w:iCs/>
          <w:sz w:val="24"/>
          <w:szCs w:val="24"/>
        </w:rPr>
        <w:t>: Dr Rajeev Nath</w:t>
      </w:r>
    </w:p>
    <w:p w14:paraId="089AAACD" w14:textId="77777777" w:rsidR="0044424C" w:rsidRDefault="0044424C" w:rsidP="0044424C">
      <w:pPr>
        <w:pStyle w:val="Normal1"/>
        <w:spacing w:before="300" w:after="300" w:line="36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Submission deadline: 12/08/2026</w:t>
      </w:r>
    </w:p>
    <w:p w14:paraId="30973584" w14:textId="77777777" w:rsidR="0044424C" w:rsidRDefault="0044424C" w:rsidP="0044424C">
      <w:pPr>
        <w:pStyle w:val="Normal1"/>
        <w:spacing w:before="300" w:after="300" w:line="360" w:lineRule="auto"/>
        <w:rPr>
          <w:rFonts w:ascii="Times New Roman" w:eastAsia="Times New Roman" w:hAnsi="Times New Roman" w:cs="Times New Roman"/>
          <w:b/>
          <w:bCs/>
          <w:i/>
          <w:iCs/>
          <w:sz w:val="24"/>
          <w:szCs w:val="24"/>
        </w:rPr>
      </w:pPr>
    </w:p>
    <w:p w14:paraId="33ECE7E3" w14:textId="77777777" w:rsidR="0044424C" w:rsidRDefault="0044424C" w:rsidP="0044424C">
      <w:pPr>
        <w:pStyle w:val="Normal1"/>
        <w:spacing w:before="300" w:after="300" w:line="360" w:lineRule="auto"/>
        <w:rPr>
          <w:rFonts w:ascii="Times New Roman" w:eastAsia="Times New Roman" w:hAnsi="Times New Roman" w:cs="Times New Roman"/>
          <w:sz w:val="24"/>
          <w:szCs w:val="24"/>
        </w:rPr>
      </w:pPr>
    </w:p>
    <w:p w14:paraId="2288CEA0" w14:textId="77777777" w:rsidR="00BA2AD1" w:rsidRDefault="00BA2AD1">
      <w:pPr>
        <w:pStyle w:val="Normal1"/>
        <w:spacing w:after="80" w:line="360" w:lineRule="auto"/>
        <w:jc w:val="center"/>
        <w:rPr>
          <w:rFonts w:ascii="Times New Roman" w:eastAsia="Times New Roman" w:hAnsi="Times New Roman" w:cs="Times New Roman"/>
          <w:sz w:val="24"/>
          <w:szCs w:val="24"/>
        </w:rPr>
      </w:pPr>
    </w:p>
    <w:p w14:paraId="756B9DD3" w14:textId="77777777" w:rsidR="00BA2AD1" w:rsidRDefault="004220D5">
      <w:pPr>
        <w:pStyle w:val="Normal1"/>
        <w:spacing w:line="360" w:lineRule="auto"/>
        <w:rPr>
          <w:rFonts w:ascii="Times New Roman" w:eastAsia="Times New Roman" w:hAnsi="Times New Roman" w:cs="Times New Roman"/>
          <w:sz w:val="24"/>
          <w:szCs w:val="24"/>
        </w:rPr>
      </w:pPr>
      <w:r>
        <w:br w:type="page"/>
      </w:r>
    </w:p>
    <w:p w14:paraId="3C928F5B" w14:textId="77777777" w:rsidR="00BA2AD1" w:rsidRDefault="00BA2AD1">
      <w:pPr>
        <w:pStyle w:val="Normal1"/>
        <w:spacing w:before="120" w:after="300" w:line="360" w:lineRule="auto"/>
        <w:rPr>
          <w:rFonts w:ascii="Times New Roman" w:eastAsia="Times New Roman" w:hAnsi="Times New Roman" w:cs="Times New Roman"/>
          <w:sz w:val="24"/>
          <w:szCs w:val="24"/>
        </w:rPr>
      </w:pPr>
    </w:p>
    <w:p w14:paraId="5D925885" w14:textId="77777777" w:rsidR="00BA2AD1" w:rsidRDefault="004220D5">
      <w:pPr>
        <w:pStyle w:val="Normal1"/>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of Contents</w:t>
      </w:r>
    </w:p>
    <w:sdt>
      <w:sdtPr>
        <w:id w:val="784628530"/>
        <w:docPartObj>
          <w:docPartGallery w:val="Table of Contents"/>
          <w:docPartUnique/>
        </w:docPartObj>
      </w:sdtPr>
      <w:sdtEndPr/>
      <w:sdtContent>
        <w:p w14:paraId="525AC493" w14:textId="77777777" w:rsidR="00E80FE8" w:rsidRDefault="00BA2AD1">
          <w:pPr>
            <w:pStyle w:val="TOC1"/>
            <w:tabs>
              <w:tab w:val="right" w:pos="9016"/>
            </w:tabs>
            <w:rPr>
              <w:noProof/>
            </w:rPr>
          </w:pPr>
          <w:r>
            <w:fldChar w:fldCharType="begin"/>
          </w:r>
          <w:r w:rsidR="004220D5">
            <w:instrText xml:space="preserve"> TOC \h \u \z \t "Heading 1,1,Heading 2,2,Heading 3,3,Heading 4,4,Heading 5,5,Heading 6,6,"</w:instrText>
          </w:r>
          <w:r>
            <w:fldChar w:fldCharType="separate"/>
          </w:r>
          <w:hyperlink w:anchor="_Toc236998842" w:history="1">
            <w:r w:rsidR="00E80FE8">
              <w:rPr>
                <w:rStyle w:val="Hyperlink"/>
                <w:rFonts w:ascii="Times New Roman" w:eastAsia="Times New Roman" w:hAnsi="Times New Roman" w:cs="Times New Roman"/>
                <w:noProof/>
              </w:rPr>
              <w:t>1. Introduction,Identification of business Problem</w:t>
            </w:r>
            <w:r w:rsidR="00E80FE8">
              <w:rPr>
                <w:noProof/>
                <w:webHidden/>
              </w:rPr>
              <w:tab/>
            </w:r>
            <w:r w:rsidR="00E80FE8">
              <w:rPr>
                <w:noProof/>
                <w:webHidden/>
              </w:rPr>
              <w:fldChar w:fldCharType="begin"/>
            </w:r>
            <w:r w:rsidR="00E80FE8">
              <w:rPr>
                <w:noProof/>
                <w:webHidden/>
              </w:rPr>
              <w:instrText xml:space="preserve"> PAGEREF _Toc236998842 \h </w:instrText>
            </w:r>
            <w:r w:rsidR="00E80FE8">
              <w:rPr>
                <w:noProof/>
                <w:webHidden/>
              </w:rPr>
            </w:r>
            <w:r w:rsidR="00E80FE8">
              <w:rPr>
                <w:noProof/>
                <w:webHidden/>
              </w:rPr>
              <w:fldChar w:fldCharType="separate"/>
            </w:r>
            <w:r w:rsidR="00E80FE8">
              <w:rPr>
                <w:noProof/>
                <w:webHidden/>
              </w:rPr>
              <w:t>3</w:t>
            </w:r>
            <w:r w:rsidR="00E80FE8">
              <w:rPr>
                <w:noProof/>
                <w:webHidden/>
              </w:rPr>
              <w:fldChar w:fldCharType="end"/>
            </w:r>
          </w:hyperlink>
        </w:p>
        <w:p w14:paraId="7F342892" w14:textId="77777777" w:rsidR="00E80FE8" w:rsidRDefault="00E80FE8">
          <w:pPr>
            <w:pStyle w:val="TOC1"/>
            <w:tabs>
              <w:tab w:val="right" w:pos="9016"/>
            </w:tabs>
            <w:rPr>
              <w:noProof/>
            </w:rPr>
          </w:pPr>
          <w:hyperlink w:anchor="_Toc236998843" w:history="1">
            <w:r w:rsidRPr="00930F93">
              <w:rPr>
                <w:rStyle w:val="Hyperlink"/>
                <w:rFonts w:ascii="Times New Roman" w:eastAsia="Times New Roman" w:hAnsi="Times New Roman" w:cs="Times New Roman"/>
                <w:noProof/>
              </w:rPr>
              <w:t>3. Research Aim, Objectives and Questions</w:t>
            </w:r>
            <w:r>
              <w:rPr>
                <w:noProof/>
                <w:webHidden/>
              </w:rPr>
              <w:tab/>
            </w:r>
            <w:r>
              <w:rPr>
                <w:noProof/>
                <w:webHidden/>
              </w:rPr>
              <w:fldChar w:fldCharType="begin"/>
            </w:r>
            <w:r>
              <w:rPr>
                <w:noProof/>
                <w:webHidden/>
              </w:rPr>
              <w:instrText xml:space="preserve"> PAGEREF _Toc236998843 \h </w:instrText>
            </w:r>
            <w:r>
              <w:rPr>
                <w:noProof/>
                <w:webHidden/>
              </w:rPr>
            </w:r>
            <w:r>
              <w:rPr>
                <w:noProof/>
                <w:webHidden/>
              </w:rPr>
              <w:fldChar w:fldCharType="separate"/>
            </w:r>
            <w:r>
              <w:rPr>
                <w:noProof/>
                <w:webHidden/>
              </w:rPr>
              <w:t>4</w:t>
            </w:r>
            <w:r>
              <w:rPr>
                <w:noProof/>
                <w:webHidden/>
              </w:rPr>
              <w:fldChar w:fldCharType="end"/>
            </w:r>
          </w:hyperlink>
        </w:p>
        <w:p w14:paraId="0F055BD5" w14:textId="77777777" w:rsidR="00E80FE8" w:rsidRDefault="00E80FE8">
          <w:pPr>
            <w:pStyle w:val="TOC1"/>
            <w:tabs>
              <w:tab w:val="right" w:pos="9016"/>
            </w:tabs>
            <w:rPr>
              <w:noProof/>
            </w:rPr>
          </w:pPr>
          <w:hyperlink w:anchor="_Toc236998844" w:history="1">
            <w:r w:rsidRPr="00930F93">
              <w:rPr>
                <w:rStyle w:val="Hyperlink"/>
                <w:rFonts w:ascii="Times New Roman" w:eastAsia="Times New Roman" w:hAnsi="Times New Roman" w:cs="Times New Roman"/>
                <w:noProof/>
              </w:rPr>
              <w:t>4. Critical Literature Review</w:t>
            </w:r>
            <w:r>
              <w:rPr>
                <w:noProof/>
                <w:webHidden/>
              </w:rPr>
              <w:tab/>
            </w:r>
            <w:r>
              <w:rPr>
                <w:noProof/>
                <w:webHidden/>
              </w:rPr>
              <w:fldChar w:fldCharType="begin"/>
            </w:r>
            <w:r>
              <w:rPr>
                <w:noProof/>
                <w:webHidden/>
              </w:rPr>
              <w:instrText xml:space="preserve"> PAGEREF _Toc236998844 \h </w:instrText>
            </w:r>
            <w:r>
              <w:rPr>
                <w:noProof/>
                <w:webHidden/>
              </w:rPr>
            </w:r>
            <w:r>
              <w:rPr>
                <w:noProof/>
                <w:webHidden/>
              </w:rPr>
              <w:fldChar w:fldCharType="separate"/>
            </w:r>
            <w:r>
              <w:rPr>
                <w:noProof/>
                <w:webHidden/>
              </w:rPr>
              <w:t>5</w:t>
            </w:r>
            <w:r>
              <w:rPr>
                <w:noProof/>
                <w:webHidden/>
              </w:rPr>
              <w:fldChar w:fldCharType="end"/>
            </w:r>
          </w:hyperlink>
        </w:p>
        <w:p w14:paraId="5BA0B858" w14:textId="77777777" w:rsidR="00E80FE8" w:rsidRDefault="00E80FE8">
          <w:pPr>
            <w:pStyle w:val="TOC2"/>
            <w:tabs>
              <w:tab w:val="right" w:pos="9016"/>
            </w:tabs>
            <w:rPr>
              <w:noProof/>
            </w:rPr>
          </w:pPr>
          <w:hyperlink w:anchor="_Toc236998845" w:history="1">
            <w:r w:rsidRPr="00930F93">
              <w:rPr>
                <w:rStyle w:val="Hyperlink"/>
                <w:rFonts w:ascii="Times New Roman" w:eastAsia="Times New Roman" w:hAnsi="Times New Roman" w:cs="Times New Roman"/>
                <w:noProof/>
              </w:rPr>
              <w:t>4.1 Consumer Return Behaviour in Fashion E-Commerce</w:t>
            </w:r>
            <w:r>
              <w:rPr>
                <w:noProof/>
                <w:webHidden/>
              </w:rPr>
              <w:tab/>
            </w:r>
            <w:r>
              <w:rPr>
                <w:noProof/>
                <w:webHidden/>
              </w:rPr>
              <w:fldChar w:fldCharType="begin"/>
            </w:r>
            <w:r>
              <w:rPr>
                <w:noProof/>
                <w:webHidden/>
              </w:rPr>
              <w:instrText xml:space="preserve"> PAGEREF _Toc236998845 \h </w:instrText>
            </w:r>
            <w:r>
              <w:rPr>
                <w:noProof/>
                <w:webHidden/>
              </w:rPr>
            </w:r>
            <w:r>
              <w:rPr>
                <w:noProof/>
                <w:webHidden/>
              </w:rPr>
              <w:fldChar w:fldCharType="separate"/>
            </w:r>
            <w:r>
              <w:rPr>
                <w:noProof/>
                <w:webHidden/>
              </w:rPr>
              <w:t>5</w:t>
            </w:r>
            <w:r>
              <w:rPr>
                <w:noProof/>
                <w:webHidden/>
              </w:rPr>
              <w:fldChar w:fldCharType="end"/>
            </w:r>
          </w:hyperlink>
        </w:p>
        <w:p w14:paraId="3FCCEA20" w14:textId="77777777" w:rsidR="00E80FE8" w:rsidRDefault="00E80FE8">
          <w:pPr>
            <w:pStyle w:val="TOC2"/>
            <w:tabs>
              <w:tab w:val="right" w:pos="9016"/>
            </w:tabs>
            <w:rPr>
              <w:noProof/>
            </w:rPr>
          </w:pPr>
          <w:hyperlink w:anchor="_Toc236998846" w:history="1">
            <w:r w:rsidRPr="00930F93">
              <w:rPr>
                <w:rStyle w:val="Hyperlink"/>
                <w:rFonts w:ascii="Times New Roman" w:eastAsia="Times New Roman" w:hAnsi="Times New Roman" w:cs="Times New Roman"/>
                <w:noProof/>
              </w:rPr>
              <w:t>4.2 The Circular Reverse Logistics Framework</w:t>
            </w:r>
            <w:r>
              <w:rPr>
                <w:noProof/>
                <w:webHidden/>
              </w:rPr>
              <w:tab/>
            </w:r>
            <w:r>
              <w:rPr>
                <w:noProof/>
                <w:webHidden/>
              </w:rPr>
              <w:fldChar w:fldCharType="begin"/>
            </w:r>
            <w:r>
              <w:rPr>
                <w:noProof/>
                <w:webHidden/>
              </w:rPr>
              <w:instrText xml:space="preserve"> PAGEREF _Toc236998846 \h </w:instrText>
            </w:r>
            <w:r>
              <w:rPr>
                <w:noProof/>
                <w:webHidden/>
              </w:rPr>
            </w:r>
            <w:r>
              <w:rPr>
                <w:noProof/>
                <w:webHidden/>
              </w:rPr>
              <w:fldChar w:fldCharType="separate"/>
            </w:r>
            <w:r>
              <w:rPr>
                <w:noProof/>
                <w:webHidden/>
              </w:rPr>
              <w:t>6</w:t>
            </w:r>
            <w:r>
              <w:rPr>
                <w:noProof/>
                <w:webHidden/>
              </w:rPr>
              <w:fldChar w:fldCharType="end"/>
            </w:r>
          </w:hyperlink>
        </w:p>
        <w:p w14:paraId="333EA584" w14:textId="77777777" w:rsidR="00E80FE8" w:rsidRDefault="00E80FE8">
          <w:pPr>
            <w:pStyle w:val="TOC2"/>
            <w:tabs>
              <w:tab w:val="right" w:pos="9016"/>
            </w:tabs>
            <w:rPr>
              <w:noProof/>
            </w:rPr>
          </w:pPr>
          <w:hyperlink w:anchor="_Toc236998847" w:history="1">
            <w:r w:rsidRPr="00930F93">
              <w:rPr>
                <w:rStyle w:val="Hyperlink"/>
                <w:rFonts w:ascii="Times New Roman" w:eastAsia="Times New Roman" w:hAnsi="Times New Roman" w:cs="Times New Roman"/>
                <w:noProof/>
              </w:rPr>
              <w:t>4.3 The Triple Bottom Line as an Evaluative Lens</w:t>
            </w:r>
            <w:r>
              <w:rPr>
                <w:noProof/>
                <w:webHidden/>
              </w:rPr>
              <w:tab/>
            </w:r>
            <w:r>
              <w:rPr>
                <w:noProof/>
                <w:webHidden/>
              </w:rPr>
              <w:fldChar w:fldCharType="begin"/>
            </w:r>
            <w:r>
              <w:rPr>
                <w:noProof/>
                <w:webHidden/>
              </w:rPr>
              <w:instrText xml:space="preserve"> PAGEREF _Toc236998847 \h </w:instrText>
            </w:r>
            <w:r>
              <w:rPr>
                <w:noProof/>
                <w:webHidden/>
              </w:rPr>
            </w:r>
            <w:r>
              <w:rPr>
                <w:noProof/>
                <w:webHidden/>
              </w:rPr>
              <w:fldChar w:fldCharType="separate"/>
            </w:r>
            <w:r>
              <w:rPr>
                <w:noProof/>
                <w:webHidden/>
              </w:rPr>
              <w:t>7</w:t>
            </w:r>
            <w:r>
              <w:rPr>
                <w:noProof/>
                <w:webHidden/>
              </w:rPr>
              <w:fldChar w:fldCharType="end"/>
            </w:r>
          </w:hyperlink>
        </w:p>
        <w:p w14:paraId="05609545" w14:textId="77777777" w:rsidR="00E80FE8" w:rsidRDefault="00E80FE8">
          <w:pPr>
            <w:pStyle w:val="TOC1"/>
            <w:tabs>
              <w:tab w:val="right" w:pos="9016"/>
            </w:tabs>
            <w:rPr>
              <w:noProof/>
            </w:rPr>
          </w:pPr>
          <w:hyperlink w:anchor="_Toc236998848" w:history="1">
            <w:r w:rsidRPr="00930F93">
              <w:rPr>
                <w:rStyle w:val="Hyperlink"/>
                <w:rFonts w:ascii="Times New Roman" w:eastAsia="Times New Roman" w:hAnsi="Times New Roman" w:cs="Times New Roman"/>
                <w:noProof/>
              </w:rPr>
              <w:t>5. Research Methodology and Design</w:t>
            </w:r>
            <w:r>
              <w:rPr>
                <w:noProof/>
                <w:webHidden/>
              </w:rPr>
              <w:tab/>
            </w:r>
            <w:r>
              <w:rPr>
                <w:noProof/>
                <w:webHidden/>
              </w:rPr>
              <w:fldChar w:fldCharType="begin"/>
            </w:r>
            <w:r>
              <w:rPr>
                <w:noProof/>
                <w:webHidden/>
              </w:rPr>
              <w:instrText xml:space="preserve"> PAGEREF _Toc236998848 \h </w:instrText>
            </w:r>
            <w:r>
              <w:rPr>
                <w:noProof/>
                <w:webHidden/>
              </w:rPr>
            </w:r>
            <w:r>
              <w:rPr>
                <w:noProof/>
                <w:webHidden/>
              </w:rPr>
              <w:fldChar w:fldCharType="separate"/>
            </w:r>
            <w:r>
              <w:rPr>
                <w:noProof/>
                <w:webHidden/>
              </w:rPr>
              <w:t>7</w:t>
            </w:r>
            <w:r>
              <w:rPr>
                <w:noProof/>
                <w:webHidden/>
              </w:rPr>
              <w:fldChar w:fldCharType="end"/>
            </w:r>
          </w:hyperlink>
        </w:p>
        <w:p w14:paraId="654B2326" w14:textId="77777777" w:rsidR="00E80FE8" w:rsidRDefault="00E80FE8">
          <w:pPr>
            <w:pStyle w:val="TOC1"/>
            <w:tabs>
              <w:tab w:val="right" w:pos="9016"/>
            </w:tabs>
            <w:rPr>
              <w:noProof/>
            </w:rPr>
          </w:pPr>
          <w:hyperlink w:anchor="_Toc236998849" w:history="1">
            <w:r w:rsidRPr="00930F93">
              <w:rPr>
                <w:rStyle w:val="Hyperlink"/>
                <w:rFonts w:ascii="Times New Roman" w:eastAsia="Times New Roman" w:hAnsi="Times New Roman" w:cs="Times New Roman"/>
                <w:noProof/>
              </w:rPr>
              <w:t>6. Business Relevance and Practical Implications</w:t>
            </w:r>
            <w:r>
              <w:rPr>
                <w:noProof/>
                <w:webHidden/>
              </w:rPr>
              <w:tab/>
            </w:r>
            <w:r>
              <w:rPr>
                <w:noProof/>
                <w:webHidden/>
              </w:rPr>
              <w:fldChar w:fldCharType="begin"/>
            </w:r>
            <w:r>
              <w:rPr>
                <w:noProof/>
                <w:webHidden/>
              </w:rPr>
              <w:instrText xml:space="preserve"> PAGEREF _Toc236998849 \h </w:instrText>
            </w:r>
            <w:r>
              <w:rPr>
                <w:noProof/>
                <w:webHidden/>
              </w:rPr>
            </w:r>
            <w:r>
              <w:rPr>
                <w:noProof/>
                <w:webHidden/>
              </w:rPr>
              <w:fldChar w:fldCharType="separate"/>
            </w:r>
            <w:r>
              <w:rPr>
                <w:noProof/>
                <w:webHidden/>
              </w:rPr>
              <w:t>9</w:t>
            </w:r>
            <w:r>
              <w:rPr>
                <w:noProof/>
                <w:webHidden/>
              </w:rPr>
              <w:fldChar w:fldCharType="end"/>
            </w:r>
          </w:hyperlink>
        </w:p>
        <w:p w14:paraId="0E9053A8" w14:textId="77777777" w:rsidR="00E80FE8" w:rsidRDefault="00E80FE8">
          <w:pPr>
            <w:pStyle w:val="TOC1"/>
            <w:tabs>
              <w:tab w:val="right" w:pos="9016"/>
            </w:tabs>
            <w:rPr>
              <w:noProof/>
            </w:rPr>
          </w:pPr>
          <w:hyperlink w:anchor="_Toc236998850" w:history="1">
            <w:r w:rsidRPr="00930F93">
              <w:rPr>
                <w:rStyle w:val="Hyperlink"/>
                <w:rFonts w:ascii="Times New Roman" w:eastAsia="Times New Roman" w:hAnsi="Times New Roman" w:cs="Times New Roman"/>
                <w:noProof/>
              </w:rPr>
              <w:t>References</w:t>
            </w:r>
            <w:r>
              <w:rPr>
                <w:noProof/>
                <w:webHidden/>
              </w:rPr>
              <w:tab/>
            </w:r>
            <w:r>
              <w:rPr>
                <w:noProof/>
                <w:webHidden/>
              </w:rPr>
              <w:fldChar w:fldCharType="begin"/>
            </w:r>
            <w:r>
              <w:rPr>
                <w:noProof/>
                <w:webHidden/>
              </w:rPr>
              <w:instrText xml:space="preserve"> PAGEREF _Toc236998850 \h </w:instrText>
            </w:r>
            <w:r>
              <w:rPr>
                <w:noProof/>
                <w:webHidden/>
              </w:rPr>
            </w:r>
            <w:r>
              <w:rPr>
                <w:noProof/>
                <w:webHidden/>
              </w:rPr>
              <w:fldChar w:fldCharType="separate"/>
            </w:r>
            <w:r>
              <w:rPr>
                <w:noProof/>
                <w:webHidden/>
              </w:rPr>
              <w:t>11</w:t>
            </w:r>
            <w:r>
              <w:rPr>
                <w:noProof/>
                <w:webHidden/>
              </w:rPr>
              <w:fldChar w:fldCharType="end"/>
            </w:r>
          </w:hyperlink>
        </w:p>
        <w:p w14:paraId="51E60841" w14:textId="77777777" w:rsidR="00BA2AD1" w:rsidRDefault="00BA2AD1">
          <w:pPr>
            <w:pStyle w:val="Normal1"/>
            <w:widowControl w:val="0"/>
            <w:tabs>
              <w:tab w:val="right" w:pos="12000"/>
            </w:tabs>
            <w:spacing w:before="60"/>
            <w:rPr>
              <w:rFonts w:ascii="Arial" w:eastAsia="Arial" w:hAnsi="Arial" w:cs="Arial"/>
              <w:b/>
              <w:bCs/>
              <w:color w:val="000000"/>
            </w:rPr>
          </w:pPr>
          <w:r>
            <w:fldChar w:fldCharType="end"/>
          </w:r>
        </w:p>
      </w:sdtContent>
    </w:sdt>
    <w:p w14:paraId="00D7969C" w14:textId="77777777" w:rsidR="00BA2AD1" w:rsidRDefault="00BA2AD1">
      <w:pPr>
        <w:pStyle w:val="Normal1"/>
        <w:spacing w:line="360" w:lineRule="auto"/>
        <w:rPr>
          <w:rFonts w:ascii="Times New Roman" w:eastAsia="Times New Roman" w:hAnsi="Times New Roman" w:cs="Times New Roman"/>
          <w:b/>
          <w:bCs/>
          <w:sz w:val="24"/>
          <w:szCs w:val="24"/>
        </w:rPr>
      </w:pPr>
    </w:p>
    <w:p w14:paraId="69B98ED9" w14:textId="77777777" w:rsidR="00BA2AD1" w:rsidRDefault="004220D5">
      <w:pPr>
        <w:pStyle w:val="Heading1"/>
        <w:spacing w:line="360" w:lineRule="auto"/>
        <w:rPr>
          <w:rFonts w:ascii="Times New Roman" w:eastAsia="Times New Roman" w:hAnsi="Times New Roman" w:cs="Times New Roman"/>
          <w:color w:val="000000"/>
          <w:sz w:val="24"/>
          <w:szCs w:val="24"/>
        </w:rPr>
      </w:pPr>
      <w:r>
        <w:br w:type="page"/>
      </w:r>
    </w:p>
    <w:p w14:paraId="0EAA132C" w14:textId="77777777" w:rsidR="00BA2AD1" w:rsidRDefault="004220D5">
      <w:pPr>
        <w:pStyle w:val="Heading1"/>
        <w:spacing w:line="360" w:lineRule="auto"/>
        <w:rPr>
          <w:rFonts w:ascii="Times New Roman" w:eastAsia="Times New Roman" w:hAnsi="Times New Roman" w:cs="Times New Roman"/>
          <w:color w:val="000000"/>
          <w:sz w:val="24"/>
          <w:szCs w:val="24"/>
        </w:rPr>
      </w:pPr>
      <w:bookmarkStart w:id="0" w:name="_Toc236998842"/>
      <w:r>
        <w:rPr>
          <w:rFonts w:ascii="Times New Roman" w:eastAsia="Times New Roman" w:hAnsi="Times New Roman" w:cs="Times New Roman"/>
          <w:color w:val="000000"/>
          <w:sz w:val="24"/>
          <w:szCs w:val="24"/>
        </w:rPr>
        <w:t>1. Introduction</w:t>
      </w:r>
      <w:bookmarkEnd w:id="0"/>
      <w:r w:rsidR="00641C62">
        <w:rPr>
          <w:rFonts w:ascii="Times New Roman" w:eastAsia="Times New Roman" w:hAnsi="Times New Roman" w:cs="Times New Roman"/>
          <w:color w:val="000000"/>
          <w:sz w:val="24"/>
          <w:szCs w:val="24"/>
        </w:rPr>
        <w:t>, Idenfication</w:t>
      </w:r>
      <w:r w:rsidR="00E80FE8">
        <w:rPr>
          <w:rFonts w:ascii="Times New Roman" w:eastAsia="Times New Roman" w:hAnsi="Times New Roman" w:cs="Times New Roman"/>
          <w:color w:val="000000"/>
          <w:sz w:val="24"/>
          <w:szCs w:val="24"/>
        </w:rPr>
        <w:t xml:space="preserve"> of a business Problem</w:t>
      </w:r>
    </w:p>
    <w:p w14:paraId="2DAE32FC" w14:textId="77777777" w:rsidR="00BA2AD1" w:rsidRDefault="004220D5">
      <w:pPr>
        <w:pStyle w:val="Normal1"/>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Online fashion retail has revolutionised consumer shopping in the UK with the convenience, choice and ease of returns but has created a significant challenge for retailers' profitability due to the volume of returns. The proposal focuses on product-return cost management using the case of ASOS plc, which has recently undergone financial performance and return policy changes and is thus an appropriate case study. It presents the research problem, purpose, objectives, and research questions, summarizes the background literature and frameworks, explains the need for a mixed-methods approach with secondary data and the study's strategic importance to ASOS and the industry (</w:t>
      </w:r>
      <w:r w:rsidR="00F02B12">
        <w:rPr>
          <w:rFonts w:ascii="Times New Roman" w:eastAsia="Times New Roman" w:hAnsi="Times New Roman" w:cs="Times New Roman"/>
          <w:sz w:val="24"/>
          <w:szCs w:val="24"/>
        </w:rPr>
        <w:t>Zigzag</w:t>
      </w:r>
      <w:r>
        <w:rPr>
          <w:rFonts w:ascii="Times New Roman" w:eastAsia="Times New Roman" w:hAnsi="Times New Roman" w:cs="Times New Roman"/>
          <w:sz w:val="24"/>
          <w:szCs w:val="24"/>
        </w:rPr>
        <w:t xml:space="preserve"> Global, 2025).</w:t>
      </w:r>
    </w:p>
    <w:p w14:paraId="0EE6C9A3" w14:textId="77777777" w:rsidR="00BA2AD1" w:rsidRDefault="004220D5">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hidden costs in the UK online retail industry is the return of products. In 2024, non-food online returns were valued at £26.7 billion, slightly declining to £25.1 billion in 2025 due to stricter return policies by retailers (Retail Economics, 2025). Fashion records the highest return rates (23.6–30%), with each return costing £10–£25 (Eightx, 2026). </w:t>
      </w:r>
    </w:p>
    <w:p w14:paraId="46D22EC2" w14:textId="77777777" w:rsidR="00BA2AD1" w:rsidRDefault="004220D5">
      <w:pPr>
        <w:pStyle w:val="Normal1"/>
        <w:spacing w:before="240" w:after="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Table 1: ASOS Key Financial Performance Indicators, FY2024 vs FY2025</w:t>
      </w:r>
    </w:p>
    <w:tbl>
      <w:tblPr>
        <w:tblStyle w:val="a"/>
        <w:tblW w:w="9026" w:type="dxa"/>
        <w:tblInd w:w="5" w:type="dxa"/>
        <w:tblBorders>
          <w:top w:val="single" w:sz="4" w:space="0" w:color="AAAAAA"/>
          <w:left w:val="single" w:sz="4" w:space="0" w:color="AAAAAA"/>
          <w:bottom w:val="single" w:sz="4" w:space="0" w:color="AAAAAA"/>
          <w:right w:val="single" w:sz="4" w:space="0" w:color="AAAAAA"/>
          <w:insideH w:val="single" w:sz="4" w:space="0" w:color="CCCCCC"/>
          <w:insideV w:val="single" w:sz="4" w:space="0" w:color="CCCCCC"/>
        </w:tblBorders>
        <w:tblLayout w:type="fixed"/>
        <w:tblLook w:val="0000" w:firstRow="0" w:lastRow="0" w:firstColumn="0" w:lastColumn="0" w:noHBand="0" w:noVBand="0"/>
      </w:tblPr>
      <w:tblGrid>
        <w:gridCol w:w="3400"/>
        <w:gridCol w:w="2813"/>
        <w:gridCol w:w="2813"/>
      </w:tblGrid>
      <w:tr w:rsidR="00BA2AD1" w14:paraId="47B516DA" w14:textId="77777777">
        <w:trPr>
          <w:cantSplit/>
          <w:tblHeader/>
        </w:trPr>
        <w:tc>
          <w:tcPr>
            <w:tcW w:w="3400" w:type="dxa"/>
            <w:shd w:val="clear" w:color="auto" w:fill="1F3864"/>
            <w:tcMar>
              <w:top w:w="100" w:type="dxa"/>
              <w:left w:w="120" w:type="dxa"/>
              <w:bottom w:w="100" w:type="dxa"/>
              <w:right w:w="120" w:type="dxa"/>
            </w:tcMar>
            <w:vAlign w:val="center"/>
          </w:tcPr>
          <w:p w14:paraId="08589954" w14:textId="77777777" w:rsidR="00BA2AD1" w:rsidRDefault="004220D5">
            <w:pPr>
              <w:pStyle w:val="Normal1"/>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Metric</w:t>
            </w:r>
          </w:p>
        </w:tc>
        <w:tc>
          <w:tcPr>
            <w:tcW w:w="2813" w:type="dxa"/>
            <w:shd w:val="clear" w:color="auto" w:fill="1F3864"/>
            <w:tcMar>
              <w:top w:w="100" w:type="dxa"/>
              <w:left w:w="120" w:type="dxa"/>
              <w:bottom w:w="100" w:type="dxa"/>
              <w:right w:w="120" w:type="dxa"/>
            </w:tcMar>
            <w:vAlign w:val="center"/>
          </w:tcPr>
          <w:p w14:paraId="49FEDE9E" w14:textId="77777777" w:rsidR="00BA2AD1" w:rsidRDefault="004220D5">
            <w:pPr>
              <w:pStyle w:val="Normal1"/>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FY2024</w:t>
            </w:r>
          </w:p>
        </w:tc>
        <w:tc>
          <w:tcPr>
            <w:tcW w:w="2813" w:type="dxa"/>
            <w:shd w:val="clear" w:color="auto" w:fill="1F3864"/>
            <w:tcMar>
              <w:top w:w="100" w:type="dxa"/>
              <w:left w:w="120" w:type="dxa"/>
              <w:bottom w:w="100" w:type="dxa"/>
              <w:right w:w="120" w:type="dxa"/>
            </w:tcMar>
            <w:vAlign w:val="center"/>
          </w:tcPr>
          <w:p w14:paraId="51AF2897" w14:textId="77777777" w:rsidR="00BA2AD1" w:rsidRDefault="004220D5">
            <w:pPr>
              <w:pStyle w:val="Normal1"/>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FY2025</w:t>
            </w:r>
          </w:p>
        </w:tc>
      </w:tr>
      <w:tr w:rsidR="00BA2AD1" w14:paraId="55736E47" w14:textId="77777777">
        <w:trPr>
          <w:cantSplit/>
          <w:tblHeader/>
        </w:trPr>
        <w:tc>
          <w:tcPr>
            <w:tcW w:w="3400" w:type="dxa"/>
            <w:tcMar>
              <w:top w:w="90" w:type="dxa"/>
              <w:left w:w="120" w:type="dxa"/>
              <w:bottom w:w="90" w:type="dxa"/>
              <w:right w:w="120" w:type="dxa"/>
            </w:tcMar>
            <w:vAlign w:val="center"/>
          </w:tcPr>
          <w:p w14:paraId="093A758D"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Group revenue</w:t>
            </w:r>
          </w:p>
        </w:tc>
        <w:tc>
          <w:tcPr>
            <w:tcW w:w="2813" w:type="dxa"/>
            <w:tcMar>
              <w:top w:w="90" w:type="dxa"/>
              <w:left w:w="120" w:type="dxa"/>
              <w:bottom w:w="90" w:type="dxa"/>
              <w:right w:w="120" w:type="dxa"/>
            </w:tcMar>
            <w:vAlign w:val="center"/>
          </w:tcPr>
          <w:p w14:paraId="22BC5939"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£2,905.8m</w:t>
            </w:r>
          </w:p>
        </w:tc>
        <w:tc>
          <w:tcPr>
            <w:tcW w:w="2813" w:type="dxa"/>
            <w:tcMar>
              <w:top w:w="90" w:type="dxa"/>
              <w:left w:w="120" w:type="dxa"/>
              <w:bottom w:w="90" w:type="dxa"/>
              <w:right w:w="120" w:type="dxa"/>
            </w:tcMar>
            <w:vAlign w:val="center"/>
          </w:tcPr>
          <w:p w14:paraId="2EB79F9F"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£2,477.8m</w:t>
            </w:r>
          </w:p>
        </w:tc>
      </w:tr>
      <w:tr w:rsidR="00BA2AD1" w14:paraId="58A71DFC" w14:textId="77777777">
        <w:trPr>
          <w:cantSplit/>
          <w:tblHeader/>
        </w:trPr>
        <w:tc>
          <w:tcPr>
            <w:tcW w:w="3400" w:type="dxa"/>
            <w:tcMar>
              <w:top w:w="90" w:type="dxa"/>
              <w:left w:w="120" w:type="dxa"/>
              <w:bottom w:w="90" w:type="dxa"/>
              <w:right w:w="120" w:type="dxa"/>
            </w:tcMar>
            <w:vAlign w:val="center"/>
          </w:tcPr>
          <w:p w14:paraId="485A79A0"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Retail sales (% of revenue)</w:t>
            </w:r>
          </w:p>
        </w:tc>
        <w:tc>
          <w:tcPr>
            <w:tcW w:w="2813" w:type="dxa"/>
            <w:tcMar>
              <w:top w:w="90" w:type="dxa"/>
              <w:left w:w="120" w:type="dxa"/>
              <w:bottom w:w="90" w:type="dxa"/>
              <w:right w:w="120" w:type="dxa"/>
            </w:tcMar>
            <w:vAlign w:val="center"/>
          </w:tcPr>
          <w:p w14:paraId="51F8D52D"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tc>
        <w:tc>
          <w:tcPr>
            <w:tcW w:w="2813" w:type="dxa"/>
            <w:tcMar>
              <w:top w:w="90" w:type="dxa"/>
              <w:left w:w="120" w:type="dxa"/>
              <w:bottom w:w="90" w:type="dxa"/>
              <w:right w:w="120" w:type="dxa"/>
            </w:tcMar>
            <w:vAlign w:val="center"/>
          </w:tcPr>
          <w:p w14:paraId="52170852"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£2,339.5m (~94%)</w:t>
            </w:r>
          </w:p>
        </w:tc>
      </w:tr>
      <w:tr w:rsidR="00BA2AD1" w14:paraId="6AF0B18A" w14:textId="77777777">
        <w:trPr>
          <w:cantSplit/>
          <w:tblHeader/>
        </w:trPr>
        <w:tc>
          <w:tcPr>
            <w:tcW w:w="3400" w:type="dxa"/>
            <w:tcMar>
              <w:top w:w="90" w:type="dxa"/>
              <w:left w:w="120" w:type="dxa"/>
              <w:bottom w:w="90" w:type="dxa"/>
              <w:right w:w="120" w:type="dxa"/>
            </w:tcMar>
            <w:vAlign w:val="center"/>
          </w:tcPr>
          <w:p w14:paraId="1E36317A"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Adjusted EBIT loss</w:t>
            </w:r>
          </w:p>
        </w:tc>
        <w:tc>
          <w:tcPr>
            <w:tcW w:w="2813" w:type="dxa"/>
            <w:tcMar>
              <w:top w:w="90" w:type="dxa"/>
              <w:left w:w="120" w:type="dxa"/>
              <w:bottom w:w="90" w:type="dxa"/>
              <w:right w:w="120" w:type="dxa"/>
            </w:tcMar>
            <w:vAlign w:val="center"/>
          </w:tcPr>
          <w:p w14:paraId="2014E280"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£81.5m</w:t>
            </w:r>
          </w:p>
        </w:tc>
        <w:tc>
          <w:tcPr>
            <w:tcW w:w="2813" w:type="dxa"/>
            <w:tcMar>
              <w:top w:w="90" w:type="dxa"/>
              <w:left w:w="120" w:type="dxa"/>
              <w:bottom w:w="90" w:type="dxa"/>
              <w:right w:w="120" w:type="dxa"/>
            </w:tcMar>
            <w:vAlign w:val="center"/>
          </w:tcPr>
          <w:p w14:paraId="5C41FF6C"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£32.2m (-60% YoY)</w:t>
            </w:r>
          </w:p>
        </w:tc>
      </w:tr>
      <w:tr w:rsidR="00BA2AD1" w14:paraId="6A104309" w14:textId="77777777">
        <w:trPr>
          <w:cantSplit/>
          <w:tblHeader/>
        </w:trPr>
        <w:tc>
          <w:tcPr>
            <w:tcW w:w="3400" w:type="dxa"/>
            <w:tcMar>
              <w:top w:w="90" w:type="dxa"/>
              <w:left w:w="120" w:type="dxa"/>
              <w:bottom w:w="90" w:type="dxa"/>
              <w:right w:w="120" w:type="dxa"/>
            </w:tcMar>
            <w:vAlign w:val="center"/>
          </w:tcPr>
          <w:p w14:paraId="2ED7FD23"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Annual net loss</w:t>
            </w:r>
          </w:p>
        </w:tc>
        <w:tc>
          <w:tcPr>
            <w:tcW w:w="2813" w:type="dxa"/>
            <w:tcMar>
              <w:top w:w="90" w:type="dxa"/>
              <w:left w:w="120" w:type="dxa"/>
              <w:bottom w:w="90" w:type="dxa"/>
              <w:right w:w="120" w:type="dxa"/>
            </w:tcMar>
            <w:vAlign w:val="center"/>
          </w:tcPr>
          <w:p w14:paraId="2F16E0E3"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£338.7m</w:t>
            </w:r>
          </w:p>
        </w:tc>
        <w:tc>
          <w:tcPr>
            <w:tcW w:w="2813" w:type="dxa"/>
            <w:tcMar>
              <w:top w:w="90" w:type="dxa"/>
              <w:left w:w="120" w:type="dxa"/>
              <w:bottom w:w="90" w:type="dxa"/>
              <w:right w:w="120" w:type="dxa"/>
            </w:tcMar>
            <w:vAlign w:val="center"/>
          </w:tcPr>
          <w:p w14:paraId="1BBE2EA5"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£298.4m</w:t>
            </w:r>
          </w:p>
        </w:tc>
      </w:tr>
      <w:tr w:rsidR="00BA2AD1" w14:paraId="4DC44BC5" w14:textId="77777777">
        <w:trPr>
          <w:cantSplit/>
          <w:tblHeader/>
        </w:trPr>
        <w:tc>
          <w:tcPr>
            <w:tcW w:w="3400" w:type="dxa"/>
            <w:tcMar>
              <w:top w:w="90" w:type="dxa"/>
              <w:left w:w="120" w:type="dxa"/>
              <w:bottom w:w="90" w:type="dxa"/>
              <w:right w:w="120" w:type="dxa"/>
            </w:tcMar>
            <w:vAlign w:val="center"/>
          </w:tcPr>
          <w:p w14:paraId="0CE89AF9"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Basic/diluted loss per share</w:t>
            </w:r>
          </w:p>
        </w:tc>
        <w:tc>
          <w:tcPr>
            <w:tcW w:w="2813" w:type="dxa"/>
            <w:tcMar>
              <w:top w:w="90" w:type="dxa"/>
              <w:left w:w="120" w:type="dxa"/>
              <w:bottom w:w="90" w:type="dxa"/>
              <w:right w:w="120" w:type="dxa"/>
            </w:tcMar>
            <w:vAlign w:val="center"/>
          </w:tcPr>
          <w:p w14:paraId="528DE8BF"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284.4p</w:t>
            </w:r>
          </w:p>
        </w:tc>
        <w:tc>
          <w:tcPr>
            <w:tcW w:w="2813" w:type="dxa"/>
            <w:tcMar>
              <w:top w:w="90" w:type="dxa"/>
              <w:left w:w="120" w:type="dxa"/>
              <w:bottom w:w="90" w:type="dxa"/>
              <w:right w:w="120" w:type="dxa"/>
            </w:tcMar>
            <w:vAlign w:val="center"/>
          </w:tcPr>
          <w:p w14:paraId="2926BA42"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250.1p</w:t>
            </w:r>
          </w:p>
        </w:tc>
      </w:tr>
      <w:tr w:rsidR="00BA2AD1" w14:paraId="2E6C0146" w14:textId="77777777">
        <w:trPr>
          <w:cantSplit/>
          <w:tblHeader/>
        </w:trPr>
        <w:tc>
          <w:tcPr>
            <w:tcW w:w="3400" w:type="dxa"/>
            <w:tcMar>
              <w:top w:w="90" w:type="dxa"/>
              <w:left w:w="120" w:type="dxa"/>
              <w:bottom w:w="90" w:type="dxa"/>
              <w:right w:w="120" w:type="dxa"/>
            </w:tcMar>
            <w:vAlign w:val="center"/>
          </w:tcPr>
          <w:p w14:paraId="7E9B9D94"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Underlying returns rate (YoY change)</w:t>
            </w:r>
          </w:p>
        </w:tc>
        <w:tc>
          <w:tcPr>
            <w:tcW w:w="2813" w:type="dxa"/>
            <w:tcMar>
              <w:top w:w="90" w:type="dxa"/>
              <w:left w:w="120" w:type="dxa"/>
              <w:bottom w:w="90" w:type="dxa"/>
              <w:right w:w="120" w:type="dxa"/>
            </w:tcMar>
            <w:vAlign w:val="center"/>
          </w:tcPr>
          <w:p w14:paraId="32F92EE0"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Baseline</w:t>
            </w:r>
          </w:p>
        </w:tc>
        <w:tc>
          <w:tcPr>
            <w:tcW w:w="2813" w:type="dxa"/>
            <w:tcMar>
              <w:top w:w="90" w:type="dxa"/>
              <w:left w:w="120" w:type="dxa"/>
              <w:bottom w:w="90" w:type="dxa"/>
              <w:right w:w="120" w:type="dxa"/>
            </w:tcMar>
            <w:vAlign w:val="center"/>
          </w:tcPr>
          <w:p w14:paraId="1C8827CF"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Cardo" w:eastAsia="Cardo" w:hAnsi="Cardo" w:cs="Cardo"/>
                <w:sz w:val="24"/>
                <w:szCs w:val="24"/>
              </w:rPr>
              <w:t>↓ c.150 bps</w:t>
            </w:r>
          </w:p>
        </w:tc>
      </w:tr>
    </w:tbl>
    <w:p w14:paraId="0079A271" w14:textId="77777777" w:rsidR="00BA2AD1" w:rsidRDefault="004220D5">
      <w:pPr>
        <w:pStyle w:val="Normal1"/>
        <w:spacing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i/>
          <w:iCs/>
          <w:sz w:val="24"/>
          <w:szCs w:val="24"/>
        </w:rPr>
        <w:t>Source: ASOS plc (2025); ElectroIQ (2026).</w:t>
      </w:r>
    </w:p>
    <w:p w14:paraId="55596B84" w14:textId="77777777" w:rsidR="00BA2AD1" w:rsidRDefault="00BA2AD1">
      <w:pPr>
        <w:pStyle w:val="Normal1"/>
        <w:spacing w:before="200" w:after="60" w:line="360" w:lineRule="auto"/>
        <w:jc w:val="center"/>
        <w:rPr>
          <w:rFonts w:ascii="Times New Roman" w:eastAsia="Times New Roman" w:hAnsi="Times New Roman" w:cs="Times New Roman"/>
          <w:sz w:val="24"/>
          <w:szCs w:val="24"/>
        </w:rPr>
      </w:pPr>
    </w:p>
    <w:p w14:paraId="627E9612" w14:textId="77777777" w:rsidR="00BA2AD1" w:rsidRDefault="004220D5">
      <w:pPr>
        <w:pStyle w:val="Normal1"/>
        <w:spacing w:after="1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11D052D" wp14:editId="315C8476">
            <wp:extent cx="5731200" cy="32639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5731200" cy="3263900"/>
                    </a:xfrm>
                    <a:prstGeom prst="rect">
                      <a:avLst/>
                    </a:prstGeom>
                    <a:ln/>
                  </pic:spPr>
                </pic:pic>
              </a:graphicData>
            </a:graphic>
          </wp:inline>
        </w:drawing>
      </w:r>
      <w:r>
        <w:rPr>
          <w:rFonts w:ascii="Times New Roman" w:eastAsia="Times New Roman" w:hAnsi="Times New Roman" w:cs="Times New Roman"/>
          <w:b/>
          <w:bCs/>
          <w:sz w:val="24"/>
          <w:szCs w:val="24"/>
        </w:rPr>
        <w:t>Figure 1: UK E-commerce Return Rates by Product Category (2025-26)</w:t>
      </w:r>
    </w:p>
    <w:p w14:paraId="2D502428" w14:textId="77777777" w:rsidR="00BA2AD1" w:rsidRDefault="004220D5">
      <w:pPr>
        <w:pStyle w:val="Normal1"/>
        <w:spacing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i/>
          <w:iCs/>
          <w:sz w:val="24"/>
          <w:szCs w:val="24"/>
        </w:rPr>
        <w:t>Source: Eightx (2026); Richpanel (2026), based on NRF (2025) Retail Returns Landscape data.</w:t>
      </w:r>
    </w:p>
    <w:p w14:paraId="7687D06B" w14:textId="77777777" w:rsidR="00BA2AD1" w:rsidRDefault="004220D5">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ASOS shows the financial and strategic impact of the increase in online fashion returns. The company reported a loss of £298.4 million in FY2025, even though the company's revenue fell to £2,477.8 million, due to stricter return policies (ASOS plc, 2025). The move to charge £3.95 for high-return customers and a return-rate tracking tool to combat over-returning was meant to curb excessive returns. But these actions have been met with customer outrage and possible loss of customer loyalty (TheIndustry.fashion, 2026). So, it is very important for ASOS and the entire fashion industry online to understand how customers react and what strategies are successful in reducing </w:t>
      </w:r>
      <w:r w:rsidR="00F02B12">
        <w:rPr>
          <w:rFonts w:ascii="Times New Roman" w:eastAsia="Times New Roman" w:hAnsi="Times New Roman" w:cs="Times New Roman"/>
          <w:sz w:val="24"/>
          <w:szCs w:val="24"/>
        </w:rPr>
        <w:t>returns (</w:t>
      </w:r>
      <w:r>
        <w:rPr>
          <w:rFonts w:ascii="Times New Roman" w:eastAsia="Times New Roman" w:hAnsi="Times New Roman" w:cs="Times New Roman"/>
          <w:sz w:val="24"/>
          <w:szCs w:val="24"/>
        </w:rPr>
        <w:t xml:space="preserve">RetailTimes, 2026). </w:t>
      </w:r>
    </w:p>
    <w:p w14:paraId="53539A6C" w14:textId="77777777" w:rsidR="00BA2AD1" w:rsidRDefault="004220D5">
      <w:pPr>
        <w:pStyle w:val="Heading1"/>
        <w:spacing w:line="360" w:lineRule="auto"/>
        <w:rPr>
          <w:rFonts w:ascii="Times New Roman" w:eastAsia="Times New Roman" w:hAnsi="Times New Roman" w:cs="Times New Roman"/>
          <w:color w:val="000000"/>
          <w:sz w:val="24"/>
          <w:szCs w:val="24"/>
        </w:rPr>
      </w:pPr>
      <w:bookmarkStart w:id="1" w:name="_Toc236998843"/>
      <w:r>
        <w:rPr>
          <w:rFonts w:ascii="Times New Roman" w:eastAsia="Times New Roman" w:hAnsi="Times New Roman" w:cs="Times New Roman"/>
          <w:color w:val="000000"/>
          <w:sz w:val="24"/>
          <w:szCs w:val="24"/>
        </w:rPr>
        <w:t>3. Research Aim, Objectives and Questions</w:t>
      </w:r>
      <w:bookmarkEnd w:id="1"/>
    </w:p>
    <w:p w14:paraId="4957FD52" w14:textId="77777777" w:rsidR="00BA2AD1" w:rsidRDefault="004220D5">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Aim: </w:t>
      </w:r>
      <w:r>
        <w:rPr>
          <w:rFonts w:ascii="Times New Roman" w:eastAsia="Times New Roman" w:hAnsi="Times New Roman" w:cs="Times New Roman"/>
          <w:sz w:val="24"/>
          <w:szCs w:val="24"/>
        </w:rPr>
        <w:t xml:space="preserve">To explore ASOS' strategic options for minimizing product return expenses in the UK online fashion industry whilst maintaining customer satisfaction and competitiveness. </w:t>
      </w:r>
    </w:p>
    <w:p w14:paraId="4F9E15B2" w14:textId="77777777" w:rsidR="00BA2AD1" w:rsidRDefault="004220D5">
      <w:pPr>
        <w:pStyle w:val="Normal1"/>
        <w:spacing w:before="240" w:after="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Table 2: Alignment of Research Objectives and Research Questions</w:t>
      </w:r>
    </w:p>
    <w:tbl>
      <w:tblPr>
        <w:tblStyle w:val="a0"/>
        <w:tblW w:w="9026" w:type="dxa"/>
        <w:tblInd w:w="5" w:type="dxa"/>
        <w:tblBorders>
          <w:top w:val="single" w:sz="4" w:space="0" w:color="AAAAAA"/>
          <w:left w:val="single" w:sz="4" w:space="0" w:color="AAAAAA"/>
          <w:bottom w:val="single" w:sz="4" w:space="0" w:color="AAAAAA"/>
          <w:right w:val="single" w:sz="4" w:space="0" w:color="AAAAAA"/>
          <w:insideH w:val="single" w:sz="4" w:space="0" w:color="CCCCCC"/>
          <w:insideV w:val="single" w:sz="4" w:space="0" w:color="CCCCCC"/>
        </w:tblBorders>
        <w:tblLayout w:type="fixed"/>
        <w:tblLook w:val="0000" w:firstRow="0" w:lastRow="0" w:firstColumn="0" w:lastColumn="0" w:noHBand="0" w:noVBand="0"/>
      </w:tblPr>
      <w:tblGrid>
        <w:gridCol w:w="4513"/>
        <w:gridCol w:w="4513"/>
      </w:tblGrid>
      <w:tr w:rsidR="00BA2AD1" w14:paraId="61E62B47" w14:textId="77777777">
        <w:trPr>
          <w:cantSplit/>
          <w:tblHeader/>
        </w:trPr>
        <w:tc>
          <w:tcPr>
            <w:tcW w:w="4513" w:type="dxa"/>
            <w:shd w:val="clear" w:color="auto" w:fill="1F3864"/>
            <w:tcMar>
              <w:top w:w="100" w:type="dxa"/>
              <w:left w:w="120" w:type="dxa"/>
              <w:bottom w:w="100" w:type="dxa"/>
              <w:right w:w="120" w:type="dxa"/>
            </w:tcMar>
            <w:vAlign w:val="center"/>
          </w:tcPr>
          <w:p w14:paraId="7EB31E82" w14:textId="77777777" w:rsidR="00BA2AD1" w:rsidRDefault="004220D5">
            <w:pPr>
              <w:pStyle w:val="Normal1"/>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Research Objective</w:t>
            </w:r>
          </w:p>
        </w:tc>
        <w:tc>
          <w:tcPr>
            <w:tcW w:w="4513" w:type="dxa"/>
            <w:shd w:val="clear" w:color="auto" w:fill="1F3864"/>
            <w:tcMar>
              <w:top w:w="100" w:type="dxa"/>
              <w:left w:w="120" w:type="dxa"/>
              <w:bottom w:w="100" w:type="dxa"/>
              <w:right w:w="120" w:type="dxa"/>
            </w:tcMar>
            <w:vAlign w:val="center"/>
          </w:tcPr>
          <w:p w14:paraId="38A6610E" w14:textId="77777777" w:rsidR="00BA2AD1" w:rsidRDefault="004220D5">
            <w:pPr>
              <w:pStyle w:val="Normal1"/>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Corresponding Research Question</w:t>
            </w:r>
          </w:p>
        </w:tc>
      </w:tr>
      <w:tr w:rsidR="00BA2AD1" w14:paraId="64F8E6A8" w14:textId="77777777">
        <w:trPr>
          <w:cantSplit/>
          <w:tblHeader/>
        </w:trPr>
        <w:tc>
          <w:tcPr>
            <w:tcW w:w="4513" w:type="dxa"/>
            <w:tcMar>
              <w:top w:w="90" w:type="dxa"/>
              <w:left w:w="120" w:type="dxa"/>
              <w:bottom w:w="90" w:type="dxa"/>
              <w:right w:w="120" w:type="dxa"/>
            </w:tcMar>
            <w:vAlign w:val="center"/>
          </w:tcPr>
          <w:p w14:paraId="561730C9"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O1: To quantify the direct and indirect financial cost of product returns to ASOS's UK online operations.</w:t>
            </w:r>
          </w:p>
        </w:tc>
        <w:tc>
          <w:tcPr>
            <w:tcW w:w="4513" w:type="dxa"/>
            <w:tcMar>
              <w:top w:w="90" w:type="dxa"/>
              <w:left w:w="120" w:type="dxa"/>
              <w:bottom w:w="90" w:type="dxa"/>
              <w:right w:w="120" w:type="dxa"/>
            </w:tcMar>
            <w:vAlign w:val="center"/>
          </w:tcPr>
          <w:p w14:paraId="52B781BC"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RQ1: What is the estimated cost of product returns to ASOS, and how has this changed following recent policy adjustments?</w:t>
            </w:r>
          </w:p>
        </w:tc>
      </w:tr>
      <w:tr w:rsidR="00BA2AD1" w14:paraId="3558BCD1" w14:textId="77777777">
        <w:trPr>
          <w:cantSplit/>
          <w:tblHeader/>
        </w:trPr>
        <w:tc>
          <w:tcPr>
            <w:tcW w:w="4513" w:type="dxa"/>
            <w:tcMar>
              <w:top w:w="90" w:type="dxa"/>
              <w:left w:w="120" w:type="dxa"/>
              <w:bottom w:w="90" w:type="dxa"/>
              <w:right w:w="120" w:type="dxa"/>
            </w:tcMar>
            <w:vAlign w:val="center"/>
          </w:tcPr>
          <w:p w14:paraId="3BB5A14F"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O2: To identify the key behavioural and product-related drivers of returns among ASOS's UK customers.</w:t>
            </w:r>
          </w:p>
        </w:tc>
        <w:tc>
          <w:tcPr>
            <w:tcW w:w="4513" w:type="dxa"/>
            <w:tcMar>
              <w:top w:w="90" w:type="dxa"/>
              <w:left w:w="120" w:type="dxa"/>
              <w:bottom w:w="90" w:type="dxa"/>
              <w:right w:w="120" w:type="dxa"/>
            </w:tcMar>
            <w:vAlign w:val="center"/>
          </w:tcPr>
          <w:p w14:paraId="41FA2B37"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RQ2: Which behavioural and product-related factors (e.g., bracketing, fit uncertainty) most strongly predict the likelihood of a customer returning an order?</w:t>
            </w:r>
          </w:p>
        </w:tc>
      </w:tr>
      <w:tr w:rsidR="00BA2AD1" w14:paraId="3EABEDEC" w14:textId="77777777">
        <w:trPr>
          <w:cantSplit/>
          <w:tblHeader/>
        </w:trPr>
        <w:tc>
          <w:tcPr>
            <w:tcW w:w="4513" w:type="dxa"/>
            <w:tcMar>
              <w:top w:w="90" w:type="dxa"/>
              <w:left w:w="120" w:type="dxa"/>
              <w:bottom w:w="90" w:type="dxa"/>
              <w:right w:w="120" w:type="dxa"/>
            </w:tcMar>
            <w:vAlign w:val="center"/>
          </w:tcPr>
          <w:p w14:paraId="28505D9E"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O3: To evaluate customer and industry perceptions of ASOS's current fee-based and transparency return interventions, as reported in existing coverage and commentary.</w:t>
            </w:r>
          </w:p>
        </w:tc>
        <w:tc>
          <w:tcPr>
            <w:tcW w:w="4513" w:type="dxa"/>
            <w:tcMar>
              <w:top w:w="90" w:type="dxa"/>
              <w:left w:w="120" w:type="dxa"/>
              <w:bottom w:w="90" w:type="dxa"/>
              <w:right w:w="120" w:type="dxa"/>
            </w:tcMar>
            <w:vAlign w:val="center"/>
          </w:tcPr>
          <w:p w14:paraId="2E243903"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RQ3: How do publicly reported customer and industry reactions reflect perceptions of the fairness and effectiveness of the 70% return-rate fee threshold and transparency tool?</w:t>
            </w:r>
          </w:p>
        </w:tc>
      </w:tr>
      <w:tr w:rsidR="00BA2AD1" w14:paraId="3F9D8F1C" w14:textId="77777777">
        <w:trPr>
          <w:cantSplit/>
          <w:tblHeader/>
        </w:trPr>
        <w:tc>
          <w:tcPr>
            <w:tcW w:w="4513" w:type="dxa"/>
            <w:tcMar>
              <w:top w:w="90" w:type="dxa"/>
              <w:left w:w="120" w:type="dxa"/>
              <w:bottom w:w="90" w:type="dxa"/>
              <w:right w:w="120" w:type="dxa"/>
            </w:tcMar>
            <w:vAlign w:val="center"/>
          </w:tcPr>
          <w:p w14:paraId="64D35BA9"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O4: TO recommend a cost-efficient and sustainable returns-management strategy for ASOS.</w:t>
            </w:r>
          </w:p>
        </w:tc>
        <w:tc>
          <w:tcPr>
            <w:tcW w:w="4513" w:type="dxa"/>
            <w:tcMar>
              <w:top w:w="90" w:type="dxa"/>
              <w:left w:w="120" w:type="dxa"/>
              <w:bottom w:w="90" w:type="dxa"/>
              <w:right w:w="120" w:type="dxa"/>
            </w:tcMar>
            <w:vAlign w:val="center"/>
          </w:tcPr>
          <w:p w14:paraId="1B7055F0"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RQ4: How can reverse logistics and Triple Bottom Line principles inform a more effective returns strategy for ASOS?</w:t>
            </w:r>
          </w:p>
        </w:tc>
      </w:tr>
    </w:tbl>
    <w:p w14:paraId="1A88047C" w14:textId="77777777" w:rsidR="00BA2AD1" w:rsidRDefault="004220D5">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seeks to answer the aim with four measurable objectives that are associated with the respective research questions (Table 2). They move from calculating return costs and identifying behavioural drivers to assessing ASOS' existing policies and formulating evidence-based strategic recommendations that go beyond just descriptive insights. </w:t>
      </w:r>
    </w:p>
    <w:p w14:paraId="6F20BE51" w14:textId="77777777" w:rsidR="00BA2AD1" w:rsidRDefault="004220D5">
      <w:pPr>
        <w:pStyle w:val="Heading1"/>
        <w:spacing w:line="360" w:lineRule="auto"/>
        <w:rPr>
          <w:rFonts w:ascii="Times New Roman" w:eastAsia="Times New Roman" w:hAnsi="Times New Roman" w:cs="Times New Roman"/>
          <w:color w:val="000000"/>
          <w:sz w:val="24"/>
          <w:szCs w:val="24"/>
        </w:rPr>
      </w:pPr>
      <w:bookmarkStart w:id="2" w:name="_Toc236998844"/>
      <w:r>
        <w:rPr>
          <w:rFonts w:ascii="Times New Roman" w:eastAsia="Times New Roman" w:hAnsi="Times New Roman" w:cs="Times New Roman"/>
          <w:color w:val="000000"/>
          <w:sz w:val="24"/>
          <w:szCs w:val="24"/>
        </w:rPr>
        <w:t>4. Critical Literature Review</w:t>
      </w:r>
      <w:bookmarkEnd w:id="2"/>
    </w:p>
    <w:p w14:paraId="56322F3F" w14:textId="77777777" w:rsidR="00BA2AD1" w:rsidRDefault="004220D5">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academic interest in fashion e-commerce has been rapidly increasing, yet it has not been consolidated and it can be found in three loosely connected strands: consumer return behaviour, reverse logistics design, and sustainability accounting. They all provide a partial view of the ASOS problem, and each has its own analytic value and limitations (Niinimäki, 2020). </w:t>
      </w:r>
    </w:p>
    <w:p w14:paraId="5E4B6D76" w14:textId="77777777" w:rsidR="00BA2AD1" w:rsidRDefault="004220D5">
      <w:pPr>
        <w:pStyle w:val="Heading2"/>
        <w:spacing w:line="360" w:lineRule="auto"/>
        <w:rPr>
          <w:rFonts w:ascii="Times New Roman" w:eastAsia="Times New Roman" w:hAnsi="Times New Roman" w:cs="Times New Roman"/>
          <w:color w:val="000000"/>
        </w:rPr>
      </w:pPr>
      <w:bookmarkStart w:id="3" w:name="_Toc236998845"/>
      <w:r>
        <w:rPr>
          <w:rFonts w:ascii="Times New Roman" w:eastAsia="Times New Roman" w:hAnsi="Times New Roman" w:cs="Times New Roman"/>
          <w:color w:val="000000"/>
        </w:rPr>
        <w:t>4.1 Consumer Return Behaviour in Fashion E-Commerce</w:t>
      </w:r>
      <w:bookmarkEnd w:id="3"/>
    </w:p>
    <w:p w14:paraId="0EB31F16" w14:textId="77777777" w:rsidR="00BA2AD1" w:rsidRDefault="004220D5">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robust studies on the UK specifically on the cost of online fashion returns is provided by Marriott et al. (2025), which estimated that the industry incurred £7 billion in costs and 750,000 tonnes of CO₂ emissions in 2022. The study confirms that the primary reasons for returns are poor fit and bracketing, with evidence showing that approximately 30% of UK fashion returns are due to fit and convenience (Just-Style, 2025). It is a single retailer, cross sectional design, but it is based on real transactional data which is highly relevant and useful to analyse ASOS's return management strategies (Marriott et al., 2025). </w:t>
      </w:r>
    </w:p>
    <w:p w14:paraId="08BC52F5" w14:textId="77777777" w:rsidR="00BA2AD1" w:rsidRDefault="004220D5">
      <w:pPr>
        <w:pStyle w:val="Heading2"/>
        <w:spacing w:line="360" w:lineRule="auto"/>
        <w:rPr>
          <w:rFonts w:ascii="Times New Roman" w:eastAsia="Times New Roman" w:hAnsi="Times New Roman" w:cs="Times New Roman"/>
          <w:color w:val="000000"/>
        </w:rPr>
      </w:pPr>
      <w:bookmarkStart w:id="4" w:name="_Toc236998846"/>
      <w:r>
        <w:rPr>
          <w:rFonts w:ascii="Times New Roman" w:eastAsia="Times New Roman" w:hAnsi="Times New Roman" w:cs="Times New Roman"/>
          <w:color w:val="000000"/>
        </w:rPr>
        <w:t>4.2 The Circular Reverse Logistics Framework</w:t>
      </w:r>
      <w:bookmarkEnd w:id="4"/>
    </w:p>
    <w:p w14:paraId="3BC72AD1" w14:textId="77777777" w:rsidR="00BA2AD1" w:rsidRDefault="004220D5">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Nanayakkara et al. (2022) suggest a circular reverse logistics model that includes return clustering, circular routing and final disposition decisions, which allows retailers to recover value by resale, repair, recycling, or donation. The framework (Figure 2) is aligned with ASOS' return tracking tool and existing restocking processes, and will help to achieve more sustainable return management. It was created based on general ecommerce data, though, and it's about downstream operations, not the behavioural causes of returns. Therefore, it should be used in conjunction with the customer behaviour insights of Marriott et al. (2025) which offers a more holistic foundation for assessing ASOS's return management and the potential for improvements. </w:t>
      </w:r>
    </w:p>
    <w:p w14:paraId="62C25509" w14:textId="77777777" w:rsidR="00BA2AD1" w:rsidRDefault="00BA2AD1">
      <w:pPr>
        <w:pStyle w:val="Normal1"/>
        <w:spacing w:before="200" w:after="60" w:line="360" w:lineRule="auto"/>
        <w:jc w:val="center"/>
        <w:rPr>
          <w:rFonts w:ascii="Times New Roman" w:eastAsia="Times New Roman" w:hAnsi="Times New Roman" w:cs="Times New Roman"/>
          <w:sz w:val="24"/>
          <w:szCs w:val="24"/>
        </w:rPr>
      </w:pPr>
    </w:p>
    <w:p w14:paraId="5445348D" w14:textId="77777777" w:rsidR="00BA2AD1" w:rsidRDefault="004220D5">
      <w:pPr>
        <w:pStyle w:val="Normal1"/>
        <w:spacing w:after="280" w:line="360" w:lineRule="auto"/>
        <w:rPr>
          <w:rFonts w:ascii="Times New Roman" w:eastAsia="Times New Roman" w:hAnsi="Times New Roman" w:cs="Times New Roman"/>
          <w:i/>
          <w:iCs/>
          <w:sz w:val="24"/>
          <w:szCs w:val="24"/>
        </w:rPr>
      </w:pPr>
      <w:r>
        <w:rPr>
          <w:rFonts w:ascii="Times New Roman" w:eastAsia="Times New Roman" w:hAnsi="Times New Roman" w:cs="Times New Roman"/>
          <w:i/>
          <w:iCs/>
          <w:noProof/>
          <w:sz w:val="24"/>
          <w:szCs w:val="24"/>
        </w:rPr>
        <w:drawing>
          <wp:inline distT="114300" distB="114300" distL="114300" distR="114300" wp14:anchorId="45527909" wp14:editId="07FA23C4">
            <wp:extent cx="5731200" cy="4203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4203700"/>
                    </a:xfrm>
                    <a:prstGeom prst="rect">
                      <a:avLst/>
                    </a:prstGeom>
                    <a:ln/>
                  </pic:spPr>
                </pic:pic>
              </a:graphicData>
            </a:graphic>
          </wp:inline>
        </w:drawing>
      </w:r>
    </w:p>
    <w:p w14:paraId="7DFDEFD8" w14:textId="77777777" w:rsidR="00BA2AD1" w:rsidRDefault="004220D5">
      <w:pPr>
        <w:pStyle w:val="Normal1"/>
        <w:spacing w:before="200" w:after="60" w:line="360" w:lineRule="auto"/>
        <w:jc w:val="center"/>
        <w:rPr>
          <w:rFonts w:ascii="Times New Roman" w:eastAsia="Times New Roman" w:hAnsi="Times New Roman" w:cs="Times New Roman"/>
          <w:i/>
          <w:iCs/>
          <w:sz w:val="24"/>
          <w:szCs w:val="24"/>
        </w:rPr>
      </w:pPr>
      <w:r>
        <w:rPr>
          <w:rFonts w:ascii="Times New Roman" w:eastAsia="Times New Roman" w:hAnsi="Times New Roman" w:cs="Times New Roman"/>
          <w:b/>
          <w:bCs/>
          <w:sz w:val="24"/>
          <w:szCs w:val="24"/>
        </w:rPr>
        <w:t>Figure 2: Adapted Circular Reverse Logistics Framework for ASOS Returns Management (adapted from Nanayakkara et al., 2022)</w:t>
      </w:r>
    </w:p>
    <w:p w14:paraId="11E71D85" w14:textId="77777777" w:rsidR="00BA2AD1" w:rsidRDefault="004220D5">
      <w:pPr>
        <w:pStyle w:val="Heading2"/>
        <w:spacing w:line="360" w:lineRule="auto"/>
        <w:rPr>
          <w:rFonts w:ascii="Times New Roman" w:eastAsia="Times New Roman" w:hAnsi="Times New Roman" w:cs="Times New Roman"/>
          <w:color w:val="000000"/>
        </w:rPr>
      </w:pPr>
      <w:bookmarkStart w:id="5" w:name="_Toc236998847"/>
      <w:r>
        <w:rPr>
          <w:rFonts w:ascii="Times New Roman" w:eastAsia="Times New Roman" w:hAnsi="Times New Roman" w:cs="Times New Roman"/>
          <w:color w:val="000000"/>
        </w:rPr>
        <w:t>4.3 The Triple Bottom Line as an Evaluative Lens</w:t>
      </w:r>
      <w:bookmarkEnd w:id="5"/>
    </w:p>
    <w:p w14:paraId="6A6427F1" w14:textId="77777777" w:rsidR="00BA2AD1" w:rsidRDefault="004220D5">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Triple Bottom Line (TBL) is a tool that assesses a business's performance in economic, social and environmental aspects, not just economic (</w:t>
      </w:r>
      <w:r w:rsidR="00F02B12">
        <w:rPr>
          <w:rFonts w:ascii="Times New Roman" w:eastAsia="Times New Roman" w:hAnsi="Times New Roman" w:cs="Times New Roman"/>
          <w:sz w:val="24"/>
          <w:szCs w:val="24"/>
        </w:rPr>
        <w:t>Mok</w:t>
      </w:r>
      <w:r>
        <w:rPr>
          <w:rFonts w:ascii="Times New Roman" w:eastAsia="Times New Roman" w:hAnsi="Times New Roman" w:cs="Times New Roman"/>
          <w:sz w:val="24"/>
          <w:szCs w:val="24"/>
        </w:rPr>
        <w:t xml:space="preserve">, 2022). Applied to ASOS, it shows how the 2024 return-fee policy had a positive effect on the company's finances but led to customer dissatisfaction (TheIndustry.fashion, 2026). On the environmental side, returned apparel can result in much greater emissions than return transport and handling, further underscoring the importance of sustainable return strategies (Roichman et al., 2024). The Fashion with Integrity strategy of ASOS is another example of TBL principles, as the strategy incorporates the objectives of Planet, Product and People (ASOS plc, 2024). TBL does not, however, have a way of balancing competing priorities and economic benefits may be at the expense of poorer social and/or environmental outcomes (Mok, 2022). Overall, the existing literature provides explanations of the drivers of returns and management strategies, but there is less UK evidence that links customer attitudes towards return-fee policies with the financial consequences for the retailer, which this study aims to fill. </w:t>
      </w:r>
    </w:p>
    <w:p w14:paraId="1F5D4456" w14:textId="77777777" w:rsidR="00BA2AD1" w:rsidRDefault="004220D5">
      <w:pPr>
        <w:pStyle w:val="Heading1"/>
        <w:spacing w:line="360" w:lineRule="auto"/>
        <w:rPr>
          <w:rFonts w:ascii="Times New Roman" w:eastAsia="Times New Roman" w:hAnsi="Times New Roman" w:cs="Times New Roman"/>
          <w:color w:val="000000"/>
          <w:sz w:val="24"/>
          <w:szCs w:val="24"/>
        </w:rPr>
      </w:pPr>
      <w:bookmarkStart w:id="6" w:name="_Toc236998848"/>
      <w:r>
        <w:rPr>
          <w:rFonts w:ascii="Times New Roman" w:eastAsia="Times New Roman" w:hAnsi="Times New Roman" w:cs="Times New Roman"/>
          <w:color w:val="000000"/>
          <w:sz w:val="24"/>
          <w:szCs w:val="24"/>
        </w:rPr>
        <w:t>5. Research Methodology and Design</w:t>
      </w:r>
      <w:bookmarkEnd w:id="6"/>
    </w:p>
    <w:p w14:paraId="58134D6A" w14:textId="77777777" w:rsidR="00BA2AD1" w:rsidRDefault="004220D5">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philosophy of this study is pragmatist and post-positivist, as it is needed to provide numerical and contextual evidence in order to make practical recommendations for the research problem (Saunders, 2003). A mixed-methods approach use quantitative secondary data to determine the magnitude and monetary consequences of product returns, while qualitative secondary data is used to understand the reasons behind customer behaviour and perceptions (ASOS plc, 2025). A concept-based deductive approach is used to guide the research, while new themes are discovered inductively. The quantitative data are derived from the Annual Reports of ASOS plc, RNS statements and other industry sources such as Retail Economics/ZigZag, Eightx and Richpanel/NRF to assess the return costs and policy outcomes of ASOS plc (ASOS plc, 2025). Qualitative evidence consists of Fashion with Integrity reports, industry publications like TheIndustry.fashion, </w:t>
      </w:r>
      <w:r w:rsidR="00F02B12">
        <w:rPr>
          <w:rFonts w:ascii="Times New Roman" w:eastAsia="Times New Roman" w:hAnsi="Times New Roman" w:cs="Times New Roman"/>
          <w:sz w:val="24"/>
          <w:szCs w:val="24"/>
        </w:rPr>
        <w:t>Retail Times</w:t>
      </w:r>
      <w:r>
        <w:rPr>
          <w:rFonts w:ascii="Times New Roman" w:eastAsia="Times New Roman" w:hAnsi="Times New Roman" w:cs="Times New Roman"/>
          <w:sz w:val="24"/>
          <w:szCs w:val="24"/>
        </w:rPr>
        <w:t xml:space="preserve"> and Just-Style, as well as peer-reviewed studies like Marriott et al. (2025). Purposive sampling involves using recent, credible company disclosures, academic research and recognised industry sources, and omitting unverified commentary, to provide reliable and relevant evidence to analyse ASOS return management strategies. </w:t>
      </w:r>
    </w:p>
    <w:p w14:paraId="778DC1DB" w14:textId="77777777" w:rsidR="00BA2AD1" w:rsidRDefault="004220D5">
      <w:pPr>
        <w:pStyle w:val="Normal1"/>
        <w:spacing w:before="240" w:after="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Table 3: Summary of Research Design</w:t>
      </w:r>
    </w:p>
    <w:tbl>
      <w:tblPr>
        <w:tblStyle w:val="a1"/>
        <w:tblW w:w="9026" w:type="dxa"/>
        <w:tblInd w:w="5" w:type="dxa"/>
        <w:tblBorders>
          <w:top w:val="single" w:sz="4" w:space="0" w:color="AAAAAA"/>
          <w:left w:val="single" w:sz="4" w:space="0" w:color="AAAAAA"/>
          <w:bottom w:val="single" w:sz="4" w:space="0" w:color="AAAAAA"/>
          <w:right w:val="single" w:sz="4" w:space="0" w:color="AAAAAA"/>
          <w:insideH w:val="single" w:sz="4" w:space="0" w:color="CCCCCC"/>
          <w:insideV w:val="single" w:sz="4" w:space="0" w:color="CCCCCC"/>
        </w:tblBorders>
        <w:tblLayout w:type="fixed"/>
        <w:tblLook w:val="0000" w:firstRow="0" w:lastRow="0" w:firstColumn="0" w:lastColumn="0" w:noHBand="0" w:noVBand="0"/>
      </w:tblPr>
      <w:tblGrid>
        <w:gridCol w:w="3200"/>
        <w:gridCol w:w="5826"/>
      </w:tblGrid>
      <w:tr w:rsidR="00BA2AD1" w14:paraId="2CC58013" w14:textId="77777777">
        <w:trPr>
          <w:cantSplit/>
          <w:tblHeader/>
        </w:trPr>
        <w:tc>
          <w:tcPr>
            <w:tcW w:w="3200" w:type="dxa"/>
            <w:shd w:val="clear" w:color="auto" w:fill="1F3864"/>
            <w:tcMar>
              <w:top w:w="100" w:type="dxa"/>
              <w:left w:w="120" w:type="dxa"/>
              <w:bottom w:w="100" w:type="dxa"/>
              <w:right w:w="120" w:type="dxa"/>
            </w:tcMar>
            <w:vAlign w:val="center"/>
          </w:tcPr>
          <w:p w14:paraId="1452F369" w14:textId="77777777" w:rsidR="00BA2AD1" w:rsidRDefault="004220D5">
            <w:pPr>
              <w:pStyle w:val="Normal1"/>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Design Element</w:t>
            </w:r>
          </w:p>
        </w:tc>
        <w:tc>
          <w:tcPr>
            <w:tcW w:w="5826" w:type="dxa"/>
            <w:shd w:val="clear" w:color="auto" w:fill="1F3864"/>
            <w:tcMar>
              <w:top w:w="100" w:type="dxa"/>
              <w:left w:w="120" w:type="dxa"/>
              <w:bottom w:w="100" w:type="dxa"/>
              <w:right w:w="120" w:type="dxa"/>
            </w:tcMar>
            <w:vAlign w:val="center"/>
          </w:tcPr>
          <w:p w14:paraId="4D50B891" w14:textId="77777777" w:rsidR="00BA2AD1" w:rsidRDefault="004220D5">
            <w:pPr>
              <w:pStyle w:val="Normal1"/>
              <w:spacing w:line="360" w:lineRule="auto"/>
              <w:jc w:val="both"/>
              <w:rPr>
                <w:rFonts w:ascii="Times New Roman" w:eastAsia="Times New Roman" w:hAnsi="Times New Roman" w:cs="Times New Roman"/>
                <w:color w:val="FFFFFF"/>
                <w:sz w:val="24"/>
                <w:szCs w:val="24"/>
              </w:rPr>
            </w:pPr>
            <w:r>
              <w:rPr>
                <w:rFonts w:ascii="Times New Roman" w:eastAsia="Times New Roman" w:hAnsi="Times New Roman" w:cs="Times New Roman"/>
                <w:b/>
                <w:bCs/>
                <w:color w:val="FFFFFF"/>
                <w:sz w:val="24"/>
                <w:szCs w:val="24"/>
              </w:rPr>
              <w:t>Detail</w:t>
            </w:r>
          </w:p>
        </w:tc>
      </w:tr>
      <w:tr w:rsidR="00BA2AD1" w14:paraId="70693F19" w14:textId="77777777">
        <w:trPr>
          <w:cantSplit/>
          <w:tblHeader/>
        </w:trPr>
        <w:tc>
          <w:tcPr>
            <w:tcW w:w="3200" w:type="dxa"/>
            <w:tcMar>
              <w:top w:w="90" w:type="dxa"/>
              <w:left w:w="120" w:type="dxa"/>
              <w:bottom w:w="90" w:type="dxa"/>
              <w:right w:w="120" w:type="dxa"/>
            </w:tcMar>
            <w:vAlign w:val="center"/>
          </w:tcPr>
          <w:p w14:paraId="2FCF13DF"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Philosophy</w:t>
            </w:r>
          </w:p>
        </w:tc>
        <w:tc>
          <w:tcPr>
            <w:tcW w:w="5826" w:type="dxa"/>
            <w:tcMar>
              <w:top w:w="90" w:type="dxa"/>
              <w:left w:w="120" w:type="dxa"/>
              <w:bottom w:w="90" w:type="dxa"/>
              <w:right w:w="120" w:type="dxa"/>
            </w:tcMar>
            <w:vAlign w:val="center"/>
          </w:tcPr>
          <w:p w14:paraId="363A29FA"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Pragmatism / post-positivism (Saunders, 2003)</w:t>
            </w:r>
          </w:p>
        </w:tc>
      </w:tr>
      <w:tr w:rsidR="00BA2AD1" w14:paraId="0001C974" w14:textId="77777777">
        <w:trPr>
          <w:cantSplit/>
          <w:tblHeader/>
        </w:trPr>
        <w:tc>
          <w:tcPr>
            <w:tcW w:w="3200" w:type="dxa"/>
            <w:tcMar>
              <w:top w:w="90" w:type="dxa"/>
              <w:left w:w="120" w:type="dxa"/>
              <w:bottom w:w="90" w:type="dxa"/>
              <w:right w:w="120" w:type="dxa"/>
            </w:tcMar>
            <w:vAlign w:val="center"/>
          </w:tcPr>
          <w:p w14:paraId="10A695C6"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Approach</w:t>
            </w:r>
          </w:p>
        </w:tc>
        <w:tc>
          <w:tcPr>
            <w:tcW w:w="5826" w:type="dxa"/>
            <w:tcMar>
              <w:top w:w="90" w:type="dxa"/>
              <w:left w:w="120" w:type="dxa"/>
              <w:bottom w:w="90" w:type="dxa"/>
              <w:right w:w="120" w:type="dxa"/>
            </w:tcMar>
            <w:vAlign w:val="center"/>
          </w:tcPr>
          <w:p w14:paraId="61CC91C9"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Deductive, with scope for inductive insight from qualitative documentary material</w:t>
            </w:r>
          </w:p>
        </w:tc>
      </w:tr>
      <w:tr w:rsidR="00BA2AD1" w14:paraId="42B63713" w14:textId="77777777">
        <w:trPr>
          <w:cantSplit/>
          <w:tblHeader/>
        </w:trPr>
        <w:tc>
          <w:tcPr>
            <w:tcW w:w="3200" w:type="dxa"/>
            <w:tcMar>
              <w:top w:w="90" w:type="dxa"/>
              <w:left w:w="120" w:type="dxa"/>
              <w:bottom w:w="90" w:type="dxa"/>
              <w:right w:w="120" w:type="dxa"/>
            </w:tcMar>
            <w:vAlign w:val="center"/>
          </w:tcPr>
          <w:p w14:paraId="5F9A1D2A"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Methodological choice</w:t>
            </w:r>
          </w:p>
        </w:tc>
        <w:tc>
          <w:tcPr>
            <w:tcW w:w="5826" w:type="dxa"/>
            <w:tcMar>
              <w:top w:w="90" w:type="dxa"/>
              <w:left w:w="120" w:type="dxa"/>
              <w:bottom w:w="90" w:type="dxa"/>
              <w:right w:w="120" w:type="dxa"/>
            </w:tcMar>
            <w:vAlign w:val="center"/>
          </w:tcPr>
          <w:p w14:paraId="365DACAD"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Mixed methods, secondary data only (quantitative + qualitative secondary data)</w:t>
            </w:r>
          </w:p>
        </w:tc>
      </w:tr>
      <w:tr w:rsidR="00BA2AD1" w14:paraId="3FB1799C" w14:textId="77777777">
        <w:trPr>
          <w:cantSplit/>
          <w:tblHeader/>
        </w:trPr>
        <w:tc>
          <w:tcPr>
            <w:tcW w:w="3200" w:type="dxa"/>
            <w:tcMar>
              <w:top w:w="90" w:type="dxa"/>
              <w:left w:w="120" w:type="dxa"/>
              <w:bottom w:w="90" w:type="dxa"/>
              <w:right w:w="120" w:type="dxa"/>
            </w:tcMar>
            <w:vAlign w:val="center"/>
          </w:tcPr>
          <w:p w14:paraId="636B9FA7"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Strategy</w:t>
            </w:r>
          </w:p>
        </w:tc>
        <w:tc>
          <w:tcPr>
            <w:tcW w:w="5826" w:type="dxa"/>
            <w:tcMar>
              <w:top w:w="90" w:type="dxa"/>
              <w:left w:w="120" w:type="dxa"/>
              <w:bottom w:w="90" w:type="dxa"/>
              <w:right w:w="120" w:type="dxa"/>
            </w:tcMar>
            <w:vAlign w:val="center"/>
          </w:tcPr>
          <w:p w14:paraId="32D8BC02"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Desk-based documentary/archival research; cross-sectional</w:t>
            </w:r>
          </w:p>
        </w:tc>
      </w:tr>
      <w:tr w:rsidR="00BA2AD1" w14:paraId="25AE337F" w14:textId="77777777">
        <w:trPr>
          <w:cantSplit/>
          <w:tblHeader/>
        </w:trPr>
        <w:tc>
          <w:tcPr>
            <w:tcW w:w="3200" w:type="dxa"/>
            <w:tcMar>
              <w:top w:w="90" w:type="dxa"/>
              <w:left w:w="120" w:type="dxa"/>
              <w:bottom w:w="90" w:type="dxa"/>
              <w:right w:w="120" w:type="dxa"/>
            </w:tcMar>
            <w:vAlign w:val="center"/>
          </w:tcPr>
          <w:p w14:paraId="16932A32"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Quantitative secondary data</w:t>
            </w:r>
          </w:p>
        </w:tc>
        <w:tc>
          <w:tcPr>
            <w:tcW w:w="5826" w:type="dxa"/>
            <w:tcMar>
              <w:top w:w="90" w:type="dxa"/>
              <w:left w:w="120" w:type="dxa"/>
              <w:bottom w:w="90" w:type="dxa"/>
              <w:right w:w="120" w:type="dxa"/>
            </w:tcMar>
            <w:vAlign w:val="center"/>
          </w:tcPr>
          <w:p w14:paraId="26C66F72"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ASOS Annual Report/RNS statements; Retail Economics/</w:t>
            </w:r>
            <w:r w:rsidR="00F02B12">
              <w:rPr>
                <w:rFonts w:ascii="Times New Roman" w:eastAsia="Times New Roman" w:hAnsi="Times New Roman" w:cs="Times New Roman"/>
                <w:sz w:val="24"/>
                <w:szCs w:val="24"/>
              </w:rPr>
              <w:t>Zigzag</w:t>
            </w:r>
            <w:r>
              <w:rPr>
                <w:rFonts w:ascii="Times New Roman" w:eastAsia="Times New Roman" w:hAnsi="Times New Roman" w:cs="Times New Roman"/>
                <w:sz w:val="24"/>
                <w:szCs w:val="24"/>
              </w:rPr>
              <w:t xml:space="preserve">, Eightx and </w:t>
            </w:r>
            <w:r w:rsidR="00F02B12">
              <w:rPr>
                <w:rFonts w:ascii="Times New Roman" w:eastAsia="Times New Roman" w:hAnsi="Times New Roman" w:cs="Times New Roman"/>
                <w:sz w:val="24"/>
                <w:szCs w:val="24"/>
              </w:rPr>
              <w:t>Richpanel</w:t>
            </w:r>
            <w:r>
              <w:rPr>
                <w:rFonts w:ascii="Times New Roman" w:eastAsia="Times New Roman" w:hAnsi="Times New Roman" w:cs="Times New Roman"/>
                <w:sz w:val="24"/>
                <w:szCs w:val="24"/>
              </w:rPr>
              <w:t>/NRF benchmarking data</w:t>
            </w:r>
          </w:p>
        </w:tc>
      </w:tr>
      <w:tr w:rsidR="00BA2AD1" w14:paraId="543096EC" w14:textId="77777777">
        <w:trPr>
          <w:cantSplit/>
          <w:tblHeader/>
        </w:trPr>
        <w:tc>
          <w:tcPr>
            <w:tcW w:w="3200" w:type="dxa"/>
            <w:tcMar>
              <w:top w:w="90" w:type="dxa"/>
              <w:left w:w="120" w:type="dxa"/>
              <w:bottom w:w="90" w:type="dxa"/>
              <w:right w:w="120" w:type="dxa"/>
            </w:tcMar>
            <w:vAlign w:val="center"/>
          </w:tcPr>
          <w:p w14:paraId="26FA42C4"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 secondary data</w:t>
            </w:r>
          </w:p>
        </w:tc>
        <w:tc>
          <w:tcPr>
            <w:tcW w:w="5826" w:type="dxa"/>
            <w:tcMar>
              <w:top w:w="90" w:type="dxa"/>
              <w:left w:w="120" w:type="dxa"/>
              <w:bottom w:w="90" w:type="dxa"/>
              <w:right w:w="120" w:type="dxa"/>
            </w:tcMar>
            <w:vAlign w:val="center"/>
          </w:tcPr>
          <w:p w14:paraId="69E01272"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ASOS Fashion with Integrity publications; trade/business press coverage; peer-reviewed academic literature</w:t>
            </w:r>
          </w:p>
        </w:tc>
      </w:tr>
      <w:tr w:rsidR="00BA2AD1" w14:paraId="7079722A" w14:textId="77777777">
        <w:trPr>
          <w:cantSplit/>
          <w:tblHeader/>
        </w:trPr>
        <w:tc>
          <w:tcPr>
            <w:tcW w:w="3200" w:type="dxa"/>
            <w:tcMar>
              <w:top w:w="90" w:type="dxa"/>
              <w:left w:w="120" w:type="dxa"/>
              <w:bottom w:w="90" w:type="dxa"/>
              <w:right w:w="120" w:type="dxa"/>
            </w:tcMar>
            <w:vAlign w:val="center"/>
          </w:tcPr>
          <w:p w14:paraId="671AD112"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Sampling technique</w:t>
            </w:r>
          </w:p>
        </w:tc>
        <w:tc>
          <w:tcPr>
            <w:tcW w:w="5826" w:type="dxa"/>
            <w:tcMar>
              <w:top w:w="90" w:type="dxa"/>
              <w:left w:w="120" w:type="dxa"/>
              <w:bottom w:w="90" w:type="dxa"/>
              <w:right w:w="120" w:type="dxa"/>
            </w:tcMar>
            <w:vAlign w:val="center"/>
          </w:tcPr>
          <w:p w14:paraId="0AD38A9D"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Purposive sampling of sources; published within c.2 years; primary disclosures, peer-reviewed or established outlets prioritised</w:t>
            </w:r>
          </w:p>
        </w:tc>
      </w:tr>
      <w:tr w:rsidR="00BA2AD1" w14:paraId="75F4CCB3" w14:textId="77777777">
        <w:trPr>
          <w:cantSplit/>
          <w:tblHeader/>
        </w:trPr>
        <w:tc>
          <w:tcPr>
            <w:tcW w:w="3200" w:type="dxa"/>
            <w:tcMar>
              <w:top w:w="90" w:type="dxa"/>
              <w:left w:w="120" w:type="dxa"/>
              <w:bottom w:w="90" w:type="dxa"/>
              <w:right w:w="120" w:type="dxa"/>
            </w:tcMar>
            <w:vAlign w:val="center"/>
          </w:tcPr>
          <w:p w14:paraId="7E1D99E2"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analysis</w:t>
            </w:r>
          </w:p>
        </w:tc>
        <w:tc>
          <w:tcPr>
            <w:tcW w:w="5826" w:type="dxa"/>
            <w:tcMar>
              <w:top w:w="90" w:type="dxa"/>
              <w:left w:w="120" w:type="dxa"/>
              <w:bottom w:w="90" w:type="dxa"/>
              <w:right w:w="120" w:type="dxa"/>
            </w:tcMar>
            <w:vAlign w:val="center"/>
          </w:tcPr>
          <w:p w14:paraId="50A57135"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Quantitative: trend, ratio and comparative benchmarking analysis. Qualitative: thematic/content analysis, triangulated with quantitative findings</w:t>
            </w:r>
          </w:p>
        </w:tc>
      </w:tr>
      <w:tr w:rsidR="00BA2AD1" w14:paraId="33409540" w14:textId="77777777">
        <w:trPr>
          <w:cantSplit/>
          <w:tblHeader/>
        </w:trPr>
        <w:tc>
          <w:tcPr>
            <w:tcW w:w="3200" w:type="dxa"/>
            <w:tcMar>
              <w:top w:w="90" w:type="dxa"/>
              <w:left w:w="120" w:type="dxa"/>
              <w:bottom w:w="90" w:type="dxa"/>
              <w:right w:w="120" w:type="dxa"/>
            </w:tcMar>
            <w:vAlign w:val="center"/>
          </w:tcPr>
          <w:p w14:paraId="4B5DF60C"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considerations</w:t>
            </w:r>
          </w:p>
        </w:tc>
        <w:tc>
          <w:tcPr>
            <w:tcW w:w="5826" w:type="dxa"/>
            <w:tcMar>
              <w:top w:w="90" w:type="dxa"/>
              <w:left w:w="120" w:type="dxa"/>
              <w:bottom w:w="90" w:type="dxa"/>
              <w:right w:w="120" w:type="dxa"/>
            </w:tcMar>
            <w:vAlign w:val="center"/>
          </w:tcPr>
          <w:p w14:paraId="6EB51056"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Desk-based/secondary-data ethics review; accurate source attribution; anonymised treatment of any identifiable public commentary; UK GDPR compliance</w:t>
            </w:r>
          </w:p>
        </w:tc>
      </w:tr>
      <w:tr w:rsidR="00BA2AD1" w14:paraId="70758B1C" w14:textId="77777777">
        <w:trPr>
          <w:cantSplit/>
          <w:tblHeader/>
        </w:trPr>
        <w:tc>
          <w:tcPr>
            <w:tcW w:w="3200" w:type="dxa"/>
            <w:tcMar>
              <w:top w:w="90" w:type="dxa"/>
              <w:left w:w="120" w:type="dxa"/>
              <w:bottom w:w="90" w:type="dxa"/>
              <w:right w:w="120" w:type="dxa"/>
            </w:tcMar>
            <w:vAlign w:val="center"/>
          </w:tcPr>
          <w:p w14:paraId="4FAA8234"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horizon</w:t>
            </w:r>
          </w:p>
        </w:tc>
        <w:tc>
          <w:tcPr>
            <w:tcW w:w="5826" w:type="dxa"/>
            <w:tcMar>
              <w:top w:w="90" w:type="dxa"/>
              <w:left w:w="120" w:type="dxa"/>
              <w:bottom w:w="90" w:type="dxa"/>
              <w:right w:w="120" w:type="dxa"/>
            </w:tcMar>
            <w:vAlign w:val="center"/>
          </w:tcPr>
          <w:p w14:paraId="5B51E971" w14:textId="77777777" w:rsidR="00BA2AD1" w:rsidRDefault="004220D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Cross-sectional</w:t>
            </w:r>
          </w:p>
        </w:tc>
      </w:tr>
    </w:tbl>
    <w:p w14:paraId="6866A310" w14:textId="77777777" w:rsidR="00BA2AD1" w:rsidRDefault="004220D5">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quantitative and qualitative evidence will be analysed separately and then integrated. Trend, ratio and comparative benchmarking analysis in Excel will be used to analyse quantitative data and compare ASOS's returns performance for FY2024 with the industry benchmarks for FY2024-FY2025. Qualitative documentary evidence will be analysed using thematic and content analysis, with information coded against key concepts that have been identified in the literature, as per Saunders (2003) guidelines for documentary secondary data analysis. Results from both strands will then be triangulated, allowing financial outcomes (eg changes in the returns rate for ASOS) to be analysed in conjunction with customer and media reaction to policy changes. This holistic strategy directly addresses the first three research objectives of this study. </w:t>
      </w:r>
    </w:p>
    <w:p w14:paraId="448A7A40" w14:textId="77777777" w:rsidR="00BA2AD1" w:rsidRDefault="004220D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is based on secondary data only, which are all openly accessible, so there will be no need for informed consent of human subjects. However, the project will be subject to the University's desk based ethics review process and will adhere to accurate citation, transparency with regard to source bias and the UK GDPR when using publicly available customer commentary. Triangulation of company disclosures with independent, industry and academic sources will ensure reliability, and primary corporate reports and peer-reviewed research will be given priority to ensure validity. One of the drawbacks is that no new customer evidence was collected specifically for ASOS and future primary research would be beneficial. </w:t>
      </w:r>
    </w:p>
    <w:p w14:paraId="0F80B023" w14:textId="77777777" w:rsidR="00BA2AD1" w:rsidRDefault="004220D5">
      <w:pPr>
        <w:pStyle w:val="Heading1"/>
        <w:spacing w:line="360" w:lineRule="auto"/>
        <w:rPr>
          <w:rFonts w:ascii="Times New Roman" w:eastAsia="Times New Roman" w:hAnsi="Times New Roman" w:cs="Times New Roman"/>
          <w:color w:val="000000"/>
          <w:sz w:val="24"/>
          <w:szCs w:val="24"/>
        </w:rPr>
      </w:pPr>
      <w:bookmarkStart w:id="7" w:name="_Toc236998849"/>
      <w:r>
        <w:rPr>
          <w:rFonts w:ascii="Times New Roman" w:eastAsia="Times New Roman" w:hAnsi="Times New Roman" w:cs="Times New Roman"/>
          <w:color w:val="000000"/>
          <w:sz w:val="24"/>
          <w:szCs w:val="24"/>
        </w:rPr>
        <w:t>6. Business Relevance and Practical Implications</w:t>
      </w:r>
      <w:bookmarkEnd w:id="7"/>
    </w:p>
    <w:p w14:paraId="56F1DBBF" w14:textId="77777777" w:rsidR="00BA2AD1" w:rsidRDefault="004220D5">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is valuable to ASOS as it provides direct support to the decision making process. This correlation of customer-level attitudes with company-level cost and financial information can help management determine if the fee structure is set appropriately, or if it may be too low to discourage legitimate purchases by customers who fall just short of the 70% return-rate threshold, while it is just right to discourage purchases by customers who return items regularly. The reverse logistics and Triple Bottom Line analysis in Section 4 also highlights possible practical recommendations that could stem from the study such as investment in size-and-fit prediction tools to minimise returns at source, tiered policies based on loyalty tier instead of a single threshold, and closer collaboration between returned items and the resale and outlet channels to maximise the value of items returned regardless. The study also builds on ASOS's vision of sustainability and cost management as complementary, not conflicting, goals, as outlined in its Fashion with Integrity strategy. </w:t>
      </w:r>
    </w:p>
    <w:p w14:paraId="17880E99" w14:textId="77777777" w:rsidR="00BA2AD1" w:rsidRDefault="004220D5">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proposal is a great opportunity for me to gain practical experience in taking academic frameworks and making them actionable for the Board, and in developing research that is feasible for a business to resource and put into action. If this proposal is accepted and developed into a complete independent project, it will offer a strong evidence-based basis for ASOS's senior management to inform their decision on a returns strategy that strikes the right balance between profitability, customer trust and environmental responsibility. </w:t>
      </w:r>
    </w:p>
    <w:p w14:paraId="59A4BFC0" w14:textId="77777777" w:rsidR="00BA2AD1" w:rsidRDefault="004220D5">
      <w:pPr>
        <w:pStyle w:val="Heading1"/>
        <w:spacing w:line="360" w:lineRule="auto"/>
        <w:rPr>
          <w:rFonts w:ascii="Times New Roman" w:eastAsia="Times New Roman" w:hAnsi="Times New Roman" w:cs="Times New Roman"/>
          <w:color w:val="000000"/>
          <w:sz w:val="24"/>
          <w:szCs w:val="24"/>
        </w:rPr>
      </w:pPr>
      <w:r>
        <w:br w:type="page"/>
      </w:r>
    </w:p>
    <w:p w14:paraId="205CFD1F" w14:textId="77777777" w:rsidR="00BA2AD1" w:rsidRDefault="004220D5">
      <w:pPr>
        <w:pStyle w:val="Heading1"/>
        <w:spacing w:line="360" w:lineRule="auto"/>
        <w:rPr>
          <w:rFonts w:ascii="Times New Roman" w:eastAsia="Times New Roman" w:hAnsi="Times New Roman" w:cs="Times New Roman"/>
          <w:color w:val="000000"/>
          <w:sz w:val="24"/>
          <w:szCs w:val="24"/>
        </w:rPr>
      </w:pPr>
      <w:bookmarkStart w:id="8" w:name="_Toc236998850"/>
      <w:r>
        <w:rPr>
          <w:rFonts w:ascii="Times New Roman" w:eastAsia="Times New Roman" w:hAnsi="Times New Roman" w:cs="Times New Roman"/>
          <w:color w:val="000000"/>
          <w:sz w:val="24"/>
          <w:szCs w:val="24"/>
        </w:rPr>
        <w:t>References</w:t>
      </w:r>
      <w:bookmarkEnd w:id="8"/>
    </w:p>
    <w:p w14:paraId="2A6755F8"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ASOS plc (2024) </w:t>
      </w:r>
      <w:r>
        <w:rPr>
          <w:rFonts w:ascii="Times New Roman" w:eastAsia="Times New Roman" w:hAnsi="Times New Roman" w:cs="Times New Roman"/>
          <w:i/>
          <w:iCs/>
          <w:sz w:val="24"/>
          <w:szCs w:val="24"/>
        </w:rPr>
        <w:t>© ASOS. November 2024 fashion with integrity: Strategy update © 2024 ASOS</w:t>
      </w:r>
      <w:r>
        <w:rPr>
          <w:rFonts w:ascii="Times New Roman" w:eastAsia="Times New Roman" w:hAnsi="Times New Roman" w:cs="Times New Roman"/>
          <w:sz w:val="24"/>
          <w:szCs w:val="24"/>
        </w:rPr>
        <w:t>. Available at: https://asos-12954-s3.s3.eu-west-2.amazonaws.com/files/7217/4651/9811/Fashion_with_Integrity_Strategy_Update.pdf (Accessed: 21 July 2026).</w:t>
      </w:r>
    </w:p>
    <w:p w14:paraId="5959DE6A"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ASOS plc (2025) </w:t>
      </w:r>
      <w:r>
        <w:rPr>
          <w:rFonts w:ascii="Times New Roman" w:eastAsia="Times New Roman" w:hAnsi="Times New Roman" w:cs="Times New Roman"/>
          <w:i/>
          <w:iCs/>
          <w:sz w:val="24"/>
          <w:szCs w:val="24"/>
        </w:rPr>
        <w:t xml:space="preserve">Final results for the 52 weeks to 31 August 2025 | Company announcement | </w:t>
      </w:r>
      <w:r w:rsidR="00F02B12">
        <w:rPr>
          <w:rFonts w:ascii="Times New Roman" w:eastAsia="Times New Roman" w:hAnsi="Times New Roman" w:cs="Times New Roman"/>
          <w:i/>
          <w:iCs/>
          <w:sz w:val="24"/>
          <w:szCs w:val="24"/>
        </w:rPr>
        <w:t>Investigate</w:t>
      </w:r>
      <w:r>
        <w:rPr>
          <w:rFonts w:ascii="Times New Roman" w:eastAsia="Times New Roman" w:hAnsi="Times New Roman" w:cs="Times New Roman"/>
          <w:sz w:val="24"/>
          <w:szCs w:val="24"/>
        </w:rPr>
        <w:t>. Available at: https://www.investegate.co.uk/announcement/rns/asos--asc/final-results-for-the-52-weeks-to-31-august-2025-/9248211 (Accessed: 21 July 2026).</w:t>
      </w:r>
    </w:p>
    <w:p w14:paraId="67B661BF"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Eightx (2026) </w:t>
      </w:r>
      <w:r>
        <w:rPr>
          <w:rFonts w:ascii="Times New Roman" w:eastAsia="Times New Roman" w:hAnsi="Times New Roman" w:cs="Times New Roman"/>
          <w:i/>
          <w:iCs/>
          <w:sz w:val="24"/>
          <w:szCs w:val="24"/>
        </w:rPr>
        <w:t>UK ecommerce return rate benchmark 2026 | eightx</w:t>
      </w:r>
      <w:r>
        <w:rPr>
          <w:rFonts w:ascii="Times New Roman" w:eastAsia="Times New Roman" w:hAnsi="Times New Roman" w:cs="Times New Roman"/>
          <w:sz w:val="24"/>
          <w:szCs w:val="24"/>
        </w:rPr>
        <w:t>. Available at: https://eightx.co/blog/uk-ecommerce-return-rate-benchmark (Accessed: 21 July 2026).</w:t>
      </w:r>
    </w:p>
    <w:p w14:paraId="5AD0C30A"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ElectroIQ (2026) </w:t>
      </w:r>
      <w:r>
        <w:rPr>
          <w:rFonts w:ascii="Times New Roman" w:eastAsia="Times New Roman" w:hAnsi="Times New Roman" w:cs="Times New Roman"/>
          <w:i/>
          <w:iCs/>
          <w:sz w:val="24"/>
          <w:szCs w:val="24"/>
        </w:rPr>
        <w:t>ASOS statistics by revenue, Performance and facts (2026)</w:t>
      </w:r>
      <w:r>
        <w:rPr>
          <w:rFonts w:ascii="Times New Roman" w:eastAsia="Times New Roman" w:hAnsi="Times New Roman" w:cs="Times New Roman"/>
          <w:sz w:val="24"/>
          <w:szCs w:val="24"/>
        </w:rPr>
        <w:t>. Available at: https://electroiq.com/stats/asos-statistics/ (Accessed: 21 July 2026).</w:t>
      </w:r>
    </w:p>
    <w:p w14:paraId="15D72AA1"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Just-Style (2025) </w:t>
      </w:r>
      <w:r>
        <w:rPr>
          <w:rFonts w:ascii="Times New Roman" w:eastAsia="Times New Roman" w:hAnsi="Times New Roman" w:cs="Times New Roman"/>
          <w:i/>
          <w:iCs/>
          <w:sz w:val="24"/>
          <w:szCs w:val="24"/>
        </w:rPr>
        <w:t>UK online fashion returns hit about 30% with ‘poor fit’ as top reason</w:t>
      </w:r>
      <w:r>
        <w:rPr>
          <w:rFonts w:ascii="Times New Roman" w:eastAsia="Times New Roman" w:hAnsi="Times New Roman" w:cs="Times New Roman"/>
          <w:sz w:val="24"/>
          <w:szCs w:val="24"/>
        </w:rPr>
        <w:t>. Available at: https://www.just-style.com/news/uk-online-fashion-returns/ (Accessed: 21 July 2026).</w:t>
      </w:r>
    </w:p>
    <w:p w14:paraId="7A8B2DB7"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J., Bektaş, T., Leung, E.K.H. and Lyons, A., 2025. The billion-pound question in fashion E-commerce: Investigating the anatomy of returns. </w:t>
      </w:r>
      <w:r>
        <w:rPr>
          <w:rFonts w:ascii="Times New Roman" w:eastAsia="Times New Roman" w:hAnsi="Times New Roman" w:cs="Times New Roman"/>
          <w:i/>
          <w:iCs/>
          <w:sz w:val="24"/>
          <w:szCs w:val="24"/>
        </w:rPr>
        <w:t>Transportation Research Part E: Logistics and Transportation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194</w:t>
      </w:r>
      <w:r>
        <w:rPr>
          <w:rFonts w:ascii="Times New Roman" w:eastAsia="Times New Roman" w:hAnsi="Times New Roman" w:cs="Times New Roman"/>
          <w:sz w:val="24"/>
          <w:szCs w:val="24"/>
        </w:rPr>
        <w:t xml:space="preserve">, p.103904. </w:t>
      </w:r>
    </w:p>
    <w:p w14:paraId="4865AD68"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Mok, A., Yu, H. and Zihayat, M., 2022. The trends of sustainability in the luxury fashion industry: A Triple Bottom Line analysis. </w:t>
      </w:r>
      <w:r>
        <w:rPr>
          <w:rFonts w:ascii="Times New Roman" w:eastAsia="Times New Roman" w:hAnsi="Times New Roman" w:cs="Times New Roman"/>
          <w:i/>
          <w:iCs/>
          <w:sz w:val="24"/>
          <w:szCs w:val="24"/>
        </w:rPr>
        <w:t>Journal of Global Fashion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 xml:space="preserve">(4), pp.360-379. </w:t>
      </w:r>
    </w:p>
    <w:p w14:paraId="7FBA4638"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Niinimäki, K., Peters, G., Dahlbo, H., Perry, P., Rissanen, T. and Gwilt, A., 2020. The environmental price of fast fashion. </w:t>
      </w:r>
      <w:r>
        <w:rPr>
          <w:rFonts w:ascii="Times New Roman" w:eastAsia="Times New Roman" w:hAnsi="Times New Roman" w:cs="Times New Roman"/>
          <w:i/>
          <w:iCs/>
          <w:sz w:val="24"/>
          <w:szCs w:val="24"/>
        </w:rPr>
        <w:t>Nature reviews earth &amp; environment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w:t>
      </w:r>
      <w:r>
        <w:rPr>
          <w:rFonts w:ascii="Times New Roman" w:eastAsia="Times New Roman" w:hAnsi="Times New Roman" w:cs="Times New Roman"/>
          <w:sz w:val="24"/>
          <w:szCs w:val="24"/>
        </w:rPr>
        <w:t xml:space="preserve">(4), pp.189-200. </w:t>
      </w:r>
    </w:p>
    <w:p w14:paraId="2824D193"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Nanayakkara, P.R., Jayalath, M.M., Thibbotuwawa, A. and Perera, H.N., 2022. A circular reverse logistics framework for handling e-commerce returns. </w:t>
      </w:r>
      <w:r>
        <w:rPr>
          <w:rFonts w:ascii="Times New Roman" w:eastAsia="Times New Roman" w:hAnsi="Times New Roman" w:cs="Times New Roman"/>
          <w:i/>
          <w:iCs/>
          <w:sz w:val="24"/>
          <w:szCs w:val="24"/>
        </w:rPr>
        <w:t>Cleaner Logistics and Supply Chain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 xml:space="preserve">, p.100080. </w:t>
      </w:r>
    </w:p>
    <w:p w14:paraId="2788B837"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Retail Economics (2025) </w:t>
      </w:r>
      <w:r>
        <w:rPr>
          <w:rFonts w:ascii="Times New Roman" w:eastAsia="Times New Roman" w:hAnsi="Times New Roman" w:cs="Times New Roman"/>
          <w:i/>
          <w:iCs/>
          <w:sz w:val="24"/>
          <w:szCs w:val="24"/>
        </w:rPr>
        <w:t>Zigzag returns benchmark 2025 | retail economics | retail economics</w:t>
      </w:r>
      <w:r>
        <w:rPr>
          <w:rFonts w:ascii="Times New Roman" w:eastAsia="Times New Roman" w:hAnsi="Times New Roman" w:cs="Times New Roman"/>
          <w:sz w:val="24"/>
          <w:szCs w:val="24"/>
        </w:rPr>
        <w:t>. Available at: https://www.retaileconomics.co.uk/retail-insights/thought-leadership-reports/zigzag-uk-returns-benchmark-2025 (Accessed: 21 July 2026).</w:t>
      </w:r>
    </w:p>
    <w:p w14:paraId="430FD838" w14:textId="77777777" w:rsidR="00BA2AD1" w:rsidRDefault="00F02B12">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Retail Times</w:t>
      </w:r>
      <w:r w:rsidR="004220D5">
        <w:rPr>
          <w:rFonts w:ascii="Times New Roman" w:eastAsia="Times New Roman" w:hAnsi="Times New Roman" w:cs="Times New Roman"/>
          <w:sz w:val="24"/>
          <w:szCs w:val="24"/>
        </w:rPr>
        <w:t xml:space="preserve"> (2026) </w:t>
      </w:r>
      <w:r w:rsidR="004220D5">
        <w:rPr>
          <w:rFonts w:ascii="Times New Roman" w:eastAsia="Times New Roman" w:hAnsi="Times New Roman" w:cs="Times New Roman"/>
          <w:i/>
          <w:iCs/>
          <w:sz w:val="24"/>
          <w:szCs w:val="24"/>
        </w:rPr>
        <w:t>Asos to introduce ‘proactive transparency’ with in-app personal return rate, and ‘tiered, data-led policies’ in a bid to curb return abuse</w:t>
      </w:r>
      <w:r w:rsidR="004220D5">
        <w:rPr>
          <w:rFonts w:ascii="Times New Roman" w:eastAsia="Times New Roman" w:hAnsi="Times New Roman" w:cs="Times New Roman"/>
          <w:sz w:val="24"/>
          <w:szCs w:val="24"/>
        </w:rPr>
        <w:t>. Available at: https://retailtimes.co.uk/asos-shoppers-with-regular-return-rate-of-70-to-face-new-fees/ (Accessed: 21 July 2026).</w:t>
      </w:r>
    </w:p>
    <w:p w14:paraId="51E6A5B3"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Richpanel (2026) </w:t>
      </w:r>
      <w:r>
        <w:rPr>
          <w:rFonts w:ascii="Times New Roman" w:eastAsia="Times New Roman" w:hAnsi="Times New Roman" w:cs="Times New Roman"/>
          <w:i/>
          <w:iCs/>
          <w:sz w:val="24"/>
          <w:szCs w:val="24"/>
        </w:rPr>
        <w:t xml:space="preserve">Ecommerce return rates in 2026: Benchmarks by </w:t>
      </w:r>
      <w:r w:rsidR="00F02B12">
        <w:rPr>
          <w:rFonts w:ascii="Times New Roman" w:eastAsia="Times New Roman" w:hAnsi="Times New Roman" w:cs="Times New Roman"/>
          <w:i/>
          <w:iCs/>
          <w:sz w:val="24"/>
          <w:szCs w:val="24"/>
        </w:rPr>
        <w:t>category</w:t>
      </w:r>
      <w:r>
        <w:rPr>
          <w:rFonts w:ascii="Times New Roman" w:eastAsia="Times New Roman" w:hAnsi="Times New Roman" w:cs="Times New Roman"/>
          <w:i/>
          <w:iCs/>
          <w:sz w:val="24"/>
          <w:szCs w:val="24"/>
        </w:rPr>
        <w:t xml:space="preserve"> and the metric that actually matters | richpanel</w:t>
      </w:r>
      <w:r>
        <w:rPr>
          <w:rFonts w:ascii="Times New Roman" w:eastAsia="Times New Roman" w:hAnsi="Times New Roman" w:cs="Times New Roman"/>
          <w:sz w:val="24"/>
          <w:szCs w:val="24"/>
        </w:rPr>
        <w:t>. Available at: https://www.richpanel.com/learn/ecommerce-return-rates (Accessed: 21 July 2026).</w:t>
      </w:r>
    </w:p>
    <w:p w14:paraId="186F9733"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Roichman, R., Sprecher, B., Blass, V., Meshulam, T. and Makov, T., 2024. The convenience economy: Product flows and GHG emissions of returned apparel in the EU. </w:t>
      </w:r>
      <w:r>
        <w:rPr>
          <w:rFonts w:ascii="Times New Roman" w:eastAsia="Times New Roman" w:hAnsi="Times New Roman" w:cs="Times New Roman"/>
          <w:i/>
          <w:iCs/>
          <w:sz w:val="24"/>
          <w:szCs w:val="24"/>
        </w:rPr>
        <w:t>Resources, Conservation and Recycling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210</w:t>
      </w:r>
      <w:r>
        <w:rPr>
          <w:rFonts w:ascii="Times New Roman" w:eastAsia="Times New Roman" w:hAnsi="Times New Roman" w:cs="Times New Roman"/>
          <w:sz w:val="24"/>
          <w:szCs w:val="24"/>
        </w:rPr>
        <w:t xml:space="preserve">, p.107811. </w:t>
      </w:r>
    </w:p>
    <w:p w14:paraId="0C084AD5"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M., Lewis, P. and Thornhill, A., 2003. Research methods </w:t>
      </w:r>
      <w:r w:rsidR="00F02B12">
        <w:rPr>
          <w:rFonts w:ascii="Times New Roman" w:eastAsia="Times New Roman" w:hAnsi="Times New Roman" w:cs="Times New Roman"/>
          <w:sz w:val="24"/>
          <w:szCs w:val="24"/>
        </w:rPr>
        <w:t>for business</w:t>
      </w:r>
      <w:r>
        <w:rPr>
          <w:rFonts w:ascii="Times New Roman" w:eastAsia="Times New Roman" w:hAnsi="Times New Roman" w:cs="Times New Roman"/>
          <w:sz w:val="24"/>
          <w:szCs w:val="24"/>
        </w:rPr>
        <w:t xml:space="preserve"> students. </w:t>
      </w:r>
      <w:r>
        <w:rPr>
          <w:rFonts w:ascii="Times New Roman" w:eastAsia="Times New Roman" w:hAnsi="Times New Roman" w:cs="Times New Roman"/>
          <w:i/>
          <w:iCs/>
          <w:sz w:val="24"/>
          <w:szCs w:val="24"/>
        </w:rPr>
        <w:t>Essex: Prentice Hall: Financial Times</w:t>
      </w:r>
      <w:r>
        <w:rPr>
          <w:rFonts w:ascii="Times New Roman" w:eastAsia="Times New Roman" w:hAnsi="Times New Roman" w:cs="Times New Roman"/>
          <w:sz w:val="24"/>
          <w:szCs w:val="24"/>
        </w:rPr>
        <w:t xml:space="preserve">. </w:t>
      </w:r>
    </w:p>
    <w:p w14:paraId="352B95E9" w14:textId="77777777" w:rsidR="00BA2AD1" w:rsidRDefault="004220D5">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TheIndustry.fashion (2026) </w:t>
      </w:r>
      <w:r>
        <w:rPr>
          <w:rFonts w:ascii="Times New Roman" w:eastAsia="Times New Roman" w:hAnsi="Times New Roman" w:cs="Times New Roman"/>
          <w:i/>
          <w:iCs/>
          <w:sz w:val="24"/>
          <w:szCs w:val="24"/>
        </w:rPr>
        <w:t>Asos rolls out first-of-its-kind returns transparency tool after introducing fees - theindustry.fashion</w:t>
      </w:r>
      <w:r>
        <w:rPr>
          <w:rFonts w:ascii="Times New Roman" w:eastAsia="Times New Roman" w:hAnsi="Times New Roman" w:cs="Times New Roman"/>
          <w:sz w:val="24"/>
          <w:szCs w:val="24"/>
        </w:rPr>
        <w:t>. Available at: https://www.theindustry.fashion/asos-rolls-out-first-of-its-kind-returns-transparency-tool-after-introducing-fees/ (Accessed: 21 July 2026).</w:t>
      </w:r>
    </w:p>
    <w:p w14:paraId="6422DEE3" w14:textId="77777777" w:rsidR="00BA2AD1" w:rsidRDefault="004220D5">
      <w:pPr>
        <w:pStyle w:val="Normal1"/>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ZigZag Global (2025) </w:t>
      </w:r>
      <w:r>
        <w:rPr>
          <w:rFonts w:ascii="Times New Roman" w:eastAsia="Times New Roman" w:hAnsi="Times New Roman" w:cs="Times New Roman"/>
          <w:i/>
          <w:iCs/>
          <w:sz w:val="24"/>
          <w:szCs w:val="24"/>
        </w:rPr>
        <w:t>7 things retail brands need to Know about online returns in 2025</w:t>
      </w:r>
      <w:r>
        <w:rPr>
          <w:rFonts w:ascii="Times New Roman" w:eastAsia="Times New Roman" w:hAnsi="Times New Roman" w:cs="Times New Roman"/>
          <w:sz w:val="24"/>
          <w:szCs w:val="24"/>
        </w:rPr>
        <w:t>. Available at: https://www.zigzag.global/blogs/7-things-retail-brands-need-to-know-about-online-returns-in-2025 (Accessed: 21 July 2026).</w:t>
      </w:r>
    </w:p>
    <w:sectPr w:rsidR="00BA2AD1" w:rsidSect="00BA2AD1">
      <w:footerReference w:type="defaul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C48EE3D" w14:textId="77777777" w:rsidR="004220D5" w:rsidRDefault="004220D5" w:rsidP="00BA2AD1">
      <w:r>
        <w:separator/>
      </w:r>
    </w:p>
  </w:endnote>
  <w:endnote w:type="continuationSeparator" w:id="0">
    <w:p w14:paraId="73C58088" w14:textId="77777777" w:rsidR="004220D5" w:rsidRDefault="004220D5" w:rsidP="00BA2A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6E0DA9D0-3A23-42FE-8EB0-7D24712739C5}"/>
    <w:embedBold r:id="rId2" w:fontKey="{2D3AAF80-A789-4EE2-A3C8-1E585DBFE215}"/>
    <w:embedItalic r:id="rId3" w:fontKey="{5BAD9FB6-AA01-4DEF-B964-10252EE64542}"/>
  </w:font>
  <w:font w:name="Georgia">
    <w:panose1 w:val="02040502050405020303"/>
    <w:charset w:val="00"/>
    <w:family w:val="roman"/>
    <w:pitch w:val="variable"/>
    <w:sig w:usb0="00000287" w:usb1="00000000" w:usb2="00000000" w:usb3="00000000" w:csb0="0000009F" w:csb1="00000000"/>
    <w:embedItalic r:id="rId4" w:fontKey="{9D2CF7D1-8D86-41CD-94A8-2E48DC4FBB39}"/>
  </w:font>
  <w:font w:name="Tahoma">
    <w:panose1 w:val="020B0604030504040204"/>
    <w:charset w:val="00"/>
    <w:family w:val="swiss"/>
    <w:pitch w:val="variable"/>
    <w:sig w:usb0="E1002EFF" w:usb1="C000605B" w:usb2="00000029" w:usb3="00000000" w:csb0="000101FF" w:csb1="00000000"/>
    <w:embedRegular r:id="rId5" w:fontKey="{95DE06FD-7E51-4CB5-A29E-C62095115299}"/>
  </w:font>
  <w:font w:name="Arial">
    <w:panose1 w:val="020B0604020202020204"/>
    <w:charset w:val="00"/>
    <w:family w:val="swiss"/>
    <w:pitch w:val="variable"/>
    <w:sig w:usb0="E0002EFF" w:usb1="C000785B" w:usb2="00000009" w:usb3="00000000" w:csb0="000001FF" w:csb1="00000000"/>
  </w:font>
  <w:font w:name="Cardo">
    <w:charset w:val="00"/>
    <w:family w:val="auto"/>
    <w:pitch w:val="default"/>
    <w:embedRegular r:id="rId6" w:fontKey="{F198A398-6D71-F447-AD6F-BC2E0AA13EBD}"/>
  </w:font>
  <w:font w:name="Cambria">
    <w:panose1 w:val="02040503050406030204"/>
    <w:charset w:val="00"/>
    <w:family w:val="roman"/>
    <w:pitch w:val="variable"/>
    <w:sig w:usb0="E00006FF" w:usb1="420024FF" w:usb2="02000000" w:usb3="00000000" w:csb0="0000019F" w:csb1="00000000"/>
    <w:embedRegular r:id="rId7" w:fontKey="{E5DFAE6A-D145-406E-8633-E50C05E152D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04D2EA5" w14:textId="77777777" w:rsidR="00BA2AD1" w:rsidRDefault="00BA2AD1">
    <w:pPr>
      <w:pStyle w:val="Normal1"/>
      <w:jc w:val="center"/>
    </w:pPr>
    <w:r>
      <w:rPr>
        <w:sz w:val="20"/>
        <w:szCs w:val="20"/>
      </w:rPr>
      <w:fldChar w:fldCharType="begin"/>
    </w:r>
    <w:r w:rsidR="004220D5">
      <w:rPr>
        <w:sz w:val="20"/>
        <w:szCs w:val="20"/>
      </w:rPr>
      <w:instrText>PAGE</w:instrText>
    </w:r>
    <w:r>
      <w:rPr>
        <w:sz w:val="20"/>
        <w:szCs w:val="20"/>
      </w:rPr>
      <w:fldChar w:fldCharType="separate"/>
    </w:r>
    <w:r w:rsidR="00D932FA">
      <w:rPr>
        <w:noProof/>
        <w:sz w:val="20"/>
        <w:szCs w:val="20"/>
      </w:rPr>
      <w:t>8</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D2FB864" w14:textId="77777777" w:rsidR="004220D5" w:rsidRDefault="004220D5" w:rsidP="00BA2AD1">
      <w:r>
        <w:separator/>
      </w:r>
    </w:p>
  </w:footnote>
  <w:footnote w:type="continuationSeparator" w:id="0">
    <w:p w14:paraId="6D447E5A" w14:textId="77777777" w:rsidR="004220D5" w:rsidRDefault="004220D5" w:rsidP="00BA2A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D0151B"/>
    <w:multiLevelType w:val="multilevel"/>
    <w:tmpl w:val="AC0859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5863535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51"/>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AD1"/>
    <w:rsid w:val="002817AE"/>
    <w:rsid w:val="00283CF4"/>
    <w:rsid w:val="003F3BF3"/>
    <w:rsid w:val="004220D5"/>
    <w:rsid w:val="0044424C"/>
    <w:rsid w:val="00641C62"/>
    <w:rsid w:val="00A80959"/>
    <w:rsid w:val="00BA2AD1"/>
    <w:rsid w:val="00D777AF"/>
    <w:rsid w:val="00D932FA"/>
    <w:rsid w:val="00E137BB"/>
    <w:rsid w:val="00E80FE8"/>
    <w:rsid w:val="00F02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9A7A6"/>
  <w15:docId w15:val="{93ED2A56-088F-BE46-B344-7A910BEDC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A2AD1"/>
    <w:pPr>
      <w:pBdr>
        <w:top w:val="nil"/>
        <w:left w:val="nil"/>
        <w:bottom w:val="nil"/>
        <w:right w:val="nil"/>
        <w:between w:val="nil"/>
      </w:pBdr>
      <w:spacing w:before="360" w:after="200"/>
      <w:outlineLvl w:val="0"/>
    </w:pPr>
    <w:rPr>
      <w:b/>
      <w:bCs/>
      <w:color w:val="1F3864"/>
      <w:sz w:val="28"/>
      <w:szCs w:val="28"/>
    </w:rPr>
  </w:style>
  <w:style w:type="paragraph" w:styleId="Heading2">
    <w:name w:val="heading 2"/>
    <w:basedOn w:val="Normal1"/>
    <w:next w:val="Normal1"/>
    <w:rsid w:val="00BA2AD1"/>
    <w:pPr>
      <w:pBdr>
        <w:top w:val="nil"/>
        <w:left w:val="nil"/>
        <w:bottom w:val="nil"/>
        <w:right w:val="nil"/>
        <w:between w:val="nil"/>
      </w:pBdr>
      <w:spacing w:before="240" w:after="160"/>
      <w:outlineLvl w:val="1"/>
    </w:pPr>
    <w:rPr>
      <w:b/>
      <w:bCs/>
      <w:color w:val="2E5395"/>
      <w:sz w:val="24"/>
      <w:szCs w:val="24"/>
    </w:rPr>
  </w:style>
  <w:style w:type="paragraph" w:styleId="Heading3">
    <w:name w:val="heading 3"/>
    <w:basedOn w:val="Normal1"/>
    <w:next w:val="Normal1"/>
    <w:rsid w:val="00BA2AD1"/>
    <w:pPr>
      <w:pBdr>
        <w:top w:val="nil"/>
        <w:left w:val="nil"/>
        <w:bottom w:val="nil"/>
        <w:right w:val="nil"/>
        <w:between w:val="nil"/>
      </w:pBdr>
      <w:outlineLvl w:val="2"/>
    </w:pPr>
    <w:rPr>
      <w:color w:val="1F4D78"/>
      <w:sz w:val="24"/>
      <w:szCs w:val="24"/>
    </w:rPr>
  </w:style>
  <w:style w:type="paragraph" w:styleId="Heading4">
    <w:name w:val="heading 4"/>
    <w:basedOn w:val="Normal1"/>
    <w:next w:val="Normal1"/>
    <w:rsid w:val="00BA2AD1"/>
    <w:pPr>
      <w:pBdr>
        <w:top w:val="nil"/>
        <w:left w:val="nil"/>
        <w:bottom w:val="nil"/>
        <w:right w:val="nil"/>
        <w:between w:val="nil"/>
      </w:pBdr>
      <w:outlineLvl w:val="3"/>
    </w:pPr>
    <w:rPr>
      <w:i/>
      <w:iCs/>
      <w:color w:val="2E74B5"/>
    </w:rPr>
  </w:style>
  <w:style w:type="paragraph" w:styleId="Heading5">
    <w:name w:val="heading 5"/>
    <w:basedOn w:val="Normal1"/>
    <w:next w:val="Normal1"/>
    <w:rsid w:val="00BA2AD1"/>
    <w:pPr>
      <w:pBdr>
        <w:top w:val="nil"/>
        <w:left w:val="nil"/>
        <w:bottom w:val="nil"/>
        <w:right w:val="nil"/>
        <w:between w:val="nil"/>
      </w:pBdr>
      <w:outlineLvl w:val="4"/>
    </w:pPr>
    <w:rPr>
      <w:color w:val="2E74B5"/>
    </w:rPr>
  </w:style>
  <w:style w:type="paragraph" w:styleId="Heading6">
    <w:name w:val="heading 6"/>
    <w:basedOn w:val="Normal1"/>
    <w:next w:val="Normal1"/>
    <w:rsid w:val="00BA2AD1"/>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BA2AD1"/>
    <w:tblPr>
      <w:tblCellMar>
        <w:top w:w="100" w:type="dxa"/>
        <w:left w:w="100" w:type="dxa"/>
        <w:bottom w:w="100" w:type="dxa"/>
        <w:right w:w="100" w:type="dxa"/>
      </w:tblCellMar>
    </w:tblPr>
  </w:style>
  <w:style w:type="paragraph" w:customStyle="1" w:styleId="Normal1">
    <w:name w:val="Normal1"/>
    <w:rsid w:val="00BA2AD1"/>
  </w:style>
  <w:style w:type="paragraph" w:styleId="Title">
    <w:name w:val="Title"/>
    <w:basedOn w:val="Normal1"/>
    <w:next w:val="Normal1"/>
    <w:rsid w:val="00BA2AD1"/>
    <w:pPr>
      <w:pBdr>
        <w:top w:val="nil"/>
        <w:left w:val="nil"/>
        <w:bottom w:val="nil"/>
        <w:right w:val="nil"/>
        <w:between w:val="nil"/>
      </w:pBdr>
    </w:pPr>
    <w:rPr>
      <w:color w:val="000000"/>
      <w:sz w:val="56"/>
      <w:szCs w:val="56"/>
    </w:rPr>
  </w:style>
  <w:style w:type="paragraph" w:styleId="Subtitle">
    <w:name w:val="Subtitle"/>
    <w:basedOn w:val="Normal1"/>
    <w:next w:val="Normal1"/>
    <w:rsid w:val="00BA2AD1"/>
    <w:pPr>
      <w:keepNext/>
      <w:keepLines/>
      <w:spacing w:before="360" w:after="80"/>
    </w:pPr>
    <w:rPr>
      <w:rFonts w:ascii="Georgia" w:eastAsia="Georgia" w:hAnsi="Georgia" w:cs="Georgia"/>
      <w:i/>
      <w:iCs/>
      <w:color w:val="666666"/>
      <w:sz w:val="48"/>
      <w:szCs w:val="48"/>
    </w:rPr>
  </w:style>
  <w:style w:type="table" w:customStyle="1" w:styleId="a">
    <w:basedOn w:val="TableNormal0"/>
    <w:rsid w:val="00BA2AD1"/>
    <w:tblPr>
      <w:tblStyleRowBandSize w:val="1"/>
      <w:tblStyleColBandSize w:val="1"/>
      <w:tblCellMar>
        <w:top w:w="0" w:type="dxa"/>
        <w:left w:w="115" w:type="dxa"/>
        <w:bottom w:w="0" w:type="dxa"/>
        <w:right w:w="115" w:type="dxa"/>
      </w:tblCellMar>
    </w:tblPr>
  </w:style>
  <w:style w:type="table" w:customStyle="1" w:styleId="a0">
    <w:basedOn w:val="TableNormal0"/>
    <w:rsid w:val="00BA2AD1"/>
    <w:tblPr>
      <w:tblStyleRowBandSize w:val="1"/>
      <w:tblStyleColBandSize w:val="1"/>
      <w:tblCellMar>
        <w:top w:w="0" w:type="dxa"/>
        <w:left w:w="115" w:type="dxa"/>
        <w:bottom w:w="0" w:type="dxa"/>
        <w:right w:w="115" w:type="dxa"/>
      </w:tblCellMar>
    </w:tblPr>
  </w:style>
  <w:style w:type="table" w:customStyle="1" w:styleId="a1">
    <w:basedOn w:val="TableNormal0"/>
    <w:rsid w:val="00BA2AD1"/>
    <w:tblPr>
      <w:tblStyleRowBandSize w:val="1"/>
      <w:tblStyleColBandSize w:val="1"/>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D777AF"/>
    <w:rPr>
      <w:rFonts w:ascii="Tahoma" w:hAnsi="Tahoma" w:cs="Tahoma"/>
      <w:sz w:val="16"/>
      <w:szCs w:val="16"/>
    </w:rPr>
  </w:style>
  <w:style w:type="character" w:customStyle="1" w:styleId="BalloonTextChar">
    <w:name w:val="Balloon Text Char"/>
    <w:basedOn w:val="DefaultParagraphFont"/>
    <w:link w:val="BalloonText"/>
    <w:uiPriority w:val="99"/>
    <w:semiHidden/>
    <w:rsid w:val="00D777AF"/>
    <w:rPr>
      <w:rFonts w:ascii="Tahoma" w:hAnsi="Tahoma" w:cs="Tahoma"/>
      <w:sz w:val="16"/>
      <w:szCs w:val="16"/>
    </w:rPr>
  </w:style>
  <w:style w:type="paragraph" w:styleId="Header">
    <w:name w:val="header"/>
    <w:basedOn w:val="Normal"/>
    <w:link w:val="HeaderChar"/>
    <w:uiPriority w:val="99"/>
    <w:semiHidden/>
    <w:unhideWhenUsed/>
    <w:rsid w:val="0044424C"/>
    <w:pPr>
      <w:tabs>
        <w:tab w:val="center" w:pos="4513"/>
        <w:tab w:val="right" w:pos="9026"/>
      </w:tabs>
    </w:pPr>
  </w:style>
  <w:style w:type="character" w:customStyle="1" w:styleId="HeaderChar">
    <w:name w:val="Header Char"/>
    <w:basedOn w:val="DefaultParagraphFont"/>
    <w:link w:val="Header"/>
    <w:uiPriority w:val="99"/>
    <w:semiHidden/>
    <w:rsid w:val="0044424C"/>
  </w:style>
  <w:style w:type="paragraph" w:styleId="Footer">
    <w:name w:val="footer"/>
    <w:basedOn w:val="Normal"/>
    <w:link w:val="FooterChar"/>
    <w:uiPriority w:val="99"/>
    <w:semiHidden/>
    <w:unhideWhenUsed/>
    <w:rsid w:val="0044424C"/>
    <w:pPr>
      <w:tabs>
        <w:tab w:val="center" w:pos="4513"/>
        <w:tab w:val="right" w:pos="9026"/>
      </w:tabs>
    </w:pPr>
  </w:style>
  <w:style w:type="character" w:customStyle="1" w:styleId="FooterChar">
    <w:name w:val="Footer Char"/>
    <w:basedOn w:val="DefaultParagraphFont"/>
    <w:link w:val="Footer"/>
    <w:uiPriority w:val="99"/>
    <w:semiHidden/>
    <w:rsid w:val="0044424C"/>
  </w:style>
  <w:style w:type="paragraph" w:styleId="TOC1">
    <w:name w:val="toc 1"/>
    <w:basedOn w:val="Normal"/>
    <w:next w:val="Normal"/>
    <w:autoRedefine/>
    <w:uiPriority w:val="39"/>
    <w:unhideWhenUsed/>
    <w:rsid w:val="00E80FE8"/>
    <w:pPr>
      <w:spacing w:after="100"/>
    </w:pPr>
  </w:style>
  <w:style w:type="paragraph" w:styleId="TOC2">
    <w:name w:val="toc 2"/>
    <w:basedOn w:val="Normal"/>
    <w:next w:val="Normal"/>
    <w:autoRedefine/>
    <w:uiPriority w:val="39"/>
    <w:unhideWhenUsed/>
    <w:rsid w:val="00E80FE8"/>
    <w:pPr>
      <w:spacing w:after="100"/>
      <w:ind w:left="220"/>
    </w:pPr>
  </w:style>
  <w:style w:type="character" w:styleId="Hyperlink">
    <w:name w:val="Hyperlink"/>
    <w:basedOn w:val="DefaultParagraphFont"/>
    <w:uiPriority w:val="99"/>
    <w:unhideWhenUsed/>
    <w:rsid w:val="00E80FE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ACF574-C3F4-44AD-B6FC-7951D4DC53F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2675</Words>
  <Characters>15252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PC-04</dc:creator>
  <cp:lastModifiedBy>Guy Massamba (2325805)</cp:lastModifiedBy>
  <cp:revision>2</cp:revision>
  <dcterms:created xsi:type="dcterms:W3CDTF">2026-08-07T13:53:00Z</dcterms:created>
  <dcterms:modified xsi:type="dcterms:W3CDTF">2026-08-07T13:53:00Z</dcterms:modified>
</cp:coreProperties>
</file>