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53694" w14:textId="77777777" w:rsidR="00AC254F" w:rsidRPr="00AC254F" w:rsidRDefault="00EE26BF" w:rsidP="00AC254F">
      <w:pPr>
        <w:pStyle w:val="commentcontentpara"/>
        <w:spacing w:before="0" w:beforeAutospacing="0" w:after="0" w:afterAutospacing="0"/>
        <w:rPr>
          <w:rFonts w:ascii="Arial" w:hAnsi="Arial" w:cs="Arial"/>
          <w:b/>
          <w:bCs/>
          <w:i/>
          <w:iCs/>
          <w:sz w:val="36"/>
          <w:szCs w:val="36"/>
          <w:u w:val="single"/>
        </w:rPr>
      </w:pPr>
      <w:r w:rsidRPr="00AC254F">
        <w:rPr>
          <w:rFonts w:ascii="Arial" w:hAnsi="Arial" w:cs="Arial"/>
          <w:sz w:val="36"/>
          <w:szCs w:val="36"/>
        </w:rPr>
        <w:t xml:space="preserve">   </w:t>
      </w:r>
      <w:r w:rsidR="00AC254F" w:rsidRPr="00AC254F">
        <w:rPr>
          <w:rFonts w:ascii="Arial" w:hAnsi="Arial" w:cs="Arial"/>
          <w:b/>
          <w:bCs/>
          <w:i/>
          <w:iCs/>
          <w:sz w:val="36"/>
          <w:szCs w:val="36"/>
          <w:u w:val="single"/>
        </w:rPr>
        <w:t>Critically evaluate the role of Equity in the laws of England and Wales</w:t>
      </w:r>
    </w:p>
    <w:p w14:paraId="05D37857" w14:textId="77777777" w:rsidR="00AC254F" w:rsidRDefault="00AC254F" w:rsidP="002302B5">
      <w:pPr>
        <w:rPr>
          <w:rFonts w:ascii="Arial" w:hAnsi="Arial" w:cs="Arial"/>
        </w:rPr>
      </w:pPr>
    </w:p>
    <w:p w14:paraId="00581576" w14:textId="77777777" w:rsidR="00AC254F" w:rsidRDefault="00AC254F" w:rsidP="002302B5">
      <w:pPr>
        <w:rPr>
          <w:rFonts w:ascii="Arial" w:hAnsi="Arial" w:cs="Arial"/>
        </w:rPr>
      </w:pPr>
    </w:p>
    <w:p w14:paraId="05545947" w14:textId="1CBC56BB" w:rsidR="00B5068A" w:rsidRPr="00AC254F" w:rsidRDefault="00EE26BF" w:rsidP="002302B5">
      <w:pPr>
        <w:rPr>
          <w:rFonts w:ascii="Arial" w:eastAsia="Times New Roman" w:hAnsi="Arial" w:cs="Arial"/>
          <w:kern w:val="0"/>
          <w:lang w:eastAsia="en-GB"/>
          <w14:ligatures w14:val="none"/>
        </w:rPr>
      </w:pPr>
      <w:r w:rsidRPr="00AC254F">
        <w:rPr>
          <w:rFonts w:ascii="Arial" w:hAnsi="Arial" w:cs="Arial"/>
        </w:rPr>
        <w:t xml:space="preserve"> In the realm of law, the concept of equity has evolved over centuries, transforming from a supplement to common law into a distinct and influential legal system. Originating in medieval England as a response to the rigidity of common law, equity emerged </w:t>
      </w:r>
      <w:proofErr w:type="gramStart"/>
      <w:r w:rsidRPr="00AC254F">
        <w:rPr>
          <w:rFonts w:ascii="Arial" w:hAnsi="Arial" w:cs="Arial"/>
        </w:rPr>
        <w:t>as a means to</w:t>
      </w:r>
      <w:proofErr w:type="gramEnd"/>
      <w:r w:rsidRPr="00AC254F">
        <w:rPr>
          <w:rFonts w:ascii="Arial" w:hAnsi="Arial" w:cs="Arial"/>
        </w:rPr>
        <w:t xml:space="preserve"> provide flexible remedies and address the shortcomings of strict legal rules. This essay delves into the fascinating journey of equity's development in the United Kingdom, tracing its historical roots, exploring its key principles, and examining its ongoing impact on the modern legal </w:t>
      </w:r>
      <w:r w:rsidR="00B5068A" w:rsidRPr="00AC254F">
        <w:rPr>
          <w:rFonts w:ascii="Arial" w:hAnsi="Arial" w:cs="Arial"/>
        </w:rPr>
        <w:t>landscape.</w:t>
      </w:r>
      <w:r w:rsidR="00B5068A" w:rsidRPr="00AC254F">
        <w:rPr>
          <w:rFonts w:ascii="Arial" w:eastAsia="Times New Roman" w:hAnsi="Arial" w:cs="Arial"/>
          <w:kern w:val="0"/>
          <w:lang w:eastAsia="en-GB"/>
          <w14:ligatures w14:val="none"/>
        </w:rPr>
        <w:t xml:space="preserve"> </w:t>
      </w:r>
    </w:p>
    <w:p w14:paraId="0876F63D" w14:textId="63576104" w:rsidR="00592914" w:rsidRPr="00AC254F" w:rsidRDefault="00B5068A" w:rsidP="002302B5">
      <w:pPr>
        <w:rPr>
          <w:rFonts w:ascii="Arial" w:hAnsi="Arial" w:cs="Arial"/>
        </w:rPr>
      </w:pPr>
      <w:r w:rsidRPr="00AC254F">
        <w:rPr>
          <w:rFonts w:ascii="Arial" w:eastAsia="Times New Roman" w:hAnsi="Arial" w:cs="Arial"/>
          <w:kern w:val="0"/>
          <w:lang w:eastAsia="en-GB"/>
          <w14:ligatures w14:val="none"/>
        </w:rPr>
        <w:t xml:space="preserve">   Equity</w:t>
      </w:r>
      <w:r w:rsidR="00592914" w:rsidRPr="00AC254F">
        <w:rPr>
          <w:rFonts w:ascii="Arial" w:eastAsia="Times New Roman" w:hAnsi="Arial" w:cs="Arial"/>
          <w:kern w:val="0"/>
          <w:lang w:eastAsia="en-GB"/>
          <w14:ligatures w14:val="none"/>
        </w:rPr>
        <w:t xml:space="preserve"> and common law are two separate systems that exist within the legal framework. Common law is a legal system that is based on the principles and rulings of courts, which have been developed and established over </w:t>
      </w:r>
      <w:proofErr w:type="gramStart"/>
      <w:r w:rsidR="00592914" w:rsidRPr="00AC254F">
        <w:rPr>
          <w:rFonts w:ascii="Arial" w:eastAsia="Times New Roman" w:hAnsi="Arial" w:cs="Arial"/>
          <w:kern w:val="0"/>
          <w:lang w:eastAsia="en-GB"/>
          <w14:ligatures w14:val="none"/>
        </w:rPr>
        <w:t>a period of time</w:t>
      </w:r>
      <w:proofErr w:type="gramEnd"/>
      <w:r w:rsidR="00592914" w:rsidRPr="00AC254F">
        <w:rPr>
          <w:rFonts w:ascii="Arial" w:eastAsia="Times New Roman" w:hAnsi="Arial" w:cs="Arial"/>
          <w:kern w:val="0"/>
          <w:lang w:eastAsia="en-GB"/>
          <w14:ligatures w14:val="none"/>
        </w:rPr>
        <w:t>. It operates on the principle of stare decisis, or the situation where courts adhere to past rulings when determining similar cases. Common law is often linked to regulations and legislation that have been shaped and improved through case law.</w:t>
      </w:r>
      <w:r w:rsidR="00592914" w:rsidRPr="00AC254F">
        <w:rPr>
          <w:rFonts w:ascii="Arial" w:eastAsia="Times New Roman" w:hAnsi="Arial" w:cs="Arial"/>
          <w:kern w:val="0"/>
          <w:lang w:eastAsia="en-GB"/>
          <w14:ligatures w14:val="none"/>
        </w:rPr>
        <w:br/>
        <w:t xml:space="preserve">However, equity is a specific area of law that places emphasis on ensuring fairness and justice. It emerged as an addition to common law to offer solutions when the rigid enforcement of legal principles would result in an unfair result. </w:t>
      </w:r>
      <w:r w:rsidR="00592914" w:rsidRPr="00AC254F">
        <w:rPr>
          <w:rFonts w:ascii="Arial" w:eastAsia="Times New Roman" w:hAnsi="Arial" w:cs="Arial"/>
          <w:kern w:val="0"/>
          <w:lang w:eastAsia="en-GB"/>
          <w14:ligatures w14:val="none"/>
        </w:rPr>
        <w:br/>
        <w:t xml:space="preserve">The concept of equity enables courts to </w:t>
      </w:r>
      <w:proofErr w:type="gramStart"/>
      <w:r w:rsidR="00592914" w:rsidRPr="00AC254F">
        <w:rPr>
          <w:rFonts w:ascii="Arial" w:eastAsia="Times New Roman" w:hAnsi="Arial" w:cs="Arial"/>
          <w:kern w:val="0"/>
          <w:lang w:eastAsia="en-GB"/>
          <w14:ligatures w14:val="none"/>
        </w:rPr>
        <w:t>take into account</w:t>
      </w:r>
      <w:proofErr w:type="gramEnd"/>
      <w:r w:rsidR="00592914" w:rsidRPr="00AC254F">
        <w:rPr>
          <w:rFonts w:ascii="Arial" w:eastAsia="Times New Roman" w:hAnsi="Arial" w:cs="Arial"/>
          <w:kern w:val="0"/>
          <w:lang w:eastAsia="en-GB"/>
          <w14:ligatures w14:val="none"/>
        </w:rPr>
        <w:t xml:space="preserve"> specific situations and use their judgement to achieve a fair </w:t>
      </w:r>
      <w:r w:rsidRPr="00AC254F">
        <w:rPr>
          <w:rFonts w:ascii="Arial" w:eastAsia="Times New Roman" w:hAnsi="Arial" w:cs="Arial"/>
          <w:kern w:val="0"/>
          <w:lang w:eastAsia="en-GB"/>
          <w14:ligatures w14:val="none"/>
        </w:rPr>
        <w:t xml:space="preserve">outcome. </w:t>
      </w:r>
      <w:r w:rsidR="00643C6D" w:rsidRPr="00AC254F">
        <w:rPr>
          <w:rFonts w:ascii="Arial" w:eastAsia="Times New Roman" w:hAnsi="Arial" w:cs="Arial"/>
          <w:kern w:val="0"/>
          <w:lang w:eastAsia="en-GB"/>
          <w14:ligatures w14:val="none"/>
        </w:rPr>
        <w:t>Moreover</w:t>
      </w:r>
      <w:r w:rsidR="00592914" w:rsidRPr="00AC254F">
        <w:rPr>
          <w:rFonts w:ascii="Arial" w:eastAsia="Times New Roman" w:hAnsi="Arial" w:cs="Arial"/>
          <w:kern w:val="0"/>
          <w:lang w:eastAsia="en-GB"/>
          <w14:ligatures w14:val="none"/>
        </w:rPr>
        <w:t>, common law is a legal framework built on past court decisions, while equity serves as a complementary system that offers adaptable solutions to guarantee fairness and justice. Both equity law and the legal system have crucial roles to play, and their dynamic has developed over the years.</w:t>
      </w:r>
    </w:p>
    <w:p w14:paraId="1C58F438" w14:textId="77777777" w:rsidR="00592914" w:rsidRPr="00AC254F" w:rsidRDefault="00592914" w:rsidP="002302B5">
      <w:pPr>
        <w:rPr>
          <w:rFonts w:ascii="Arial" w:hAnsi="Arial" w:cs="Arial"/>
        </w:rPr>
      </w:pPr>
    </w:p>
    <w:p w14:paraId="1E7FF861" w14:textId="5F7DAEC9" w:rsidR="005B788F" w:rsidRPr="00AC254F" w:rsidRDefault="00EE26BF" w:rsidP="002302B5">
      <w:pPr>
        <w:rPr>
          <w:rFonts w:ascii="Arial" w:eastAsia="Times New Roman" w:hAnsi="Arial" w:cs="Arial"/>
          <w:kern w:val="0"/>
          <w:lang w:eastAsia="en-GB"/>
          <w14:ligatures w14:val="none"/>
        </w:rPr>
      </w:pPr>
      <w:r w:rsidRPr="00AC254F">
        <w:rPr>
          <w:rFonts w:ascii="Arial" w:hAnsi="Arial" w:cs="Arial"/>
        </w:rPr>
        <w:t xml:space="preserve">   </w:t>
      </w:r>
      <w:r w:rsidR="005B788F" w:rsidRPr="00AC254F">
        <w:rPr>
          <w:rFonts w:ascii="Arial" w:eastAsia="Times New Roman" w:hAnsi="Arial" w:cs="Arial"/>
          <w:kern w:val="0"/>
          <w:lang w:eastAsia="en-GB"/>
          <w14:ligatures w14:val="none"/>
        </w:rPr>
        <w:t xml:space="preserve">Fiefdom tenants had to pay 'incidents', a tax. These instances occurred after the tenant died and his heir received his farm. Another occurrence was needed if the inheritor was a child. If </w:t>
      </w:r>
      <w:proofErr w:type="gramStart"/>
      <w:r w:rsidR="005B788F" w:rsidRPr="00AC254F">
        <w:rPr>
          <w:rFonts w:ascii="Arial" w:eastAsia="Times New Roman" w:hAnsi="Arial" w:cs="Arial"/>
          <w:kern w:val="0"/>
          <w:lang w:eastAsia="en-GB"/>
          <w14:ligatures w14:val="none"/>
        </w:rPr>
        <w:t>many</w:t>
      </w:r>
      <w:proofErr w:type="gramEnd"/>
      <w:r w:rsidR="005B788F" w:rsidRPr="00AC254F">
        <w:rPr>
          <w:rFonts w:ascii="Arial" w:eastAsia="Times New Roman" w:hAnsi="Arial" w:cs="Arial"/>
          <w:kern w:val="0"/>
          <w:lang w:eastAsia="en-GB"/>
          <w14:ligatures w14:val="none"/>
        </w:rPr>
        <w:t xml:space="preserve"> trustees held the land for the successor, these kinds of events could have been avoided. Since trustees could be substituted, the fake tenant of the land (the trustee) remained an adult and never died, therefore the debts would not have to be met. The use also permitted the feudal tenant to circumvent primogeniture, which gives land to the eldest son. This procedure allowed a feudal tenant who was embarking on an adventure and may have been gone for years to give the estate to administrators who would manage it for the crusader's descendants. Know the historical terms for legal concepts like the person who creates a trust (like a settlor), the trustee who oversees it, and the beneficiary who benefits from it. A common law claimant could only sue for his specific wrong with a writ. If no writ existed, he had no recourse. In these circumstances, claimants without recourse petitioned the King for justice. As the requests increased, the King gave them to his Chancellor, an ecclesiastic and conscience-keeper. The Chancellor would order what was fair and 'equitable</w:t>
      </w:r>
      <w:proofErr w:type="gramStart"/>
      <w:r w:rsidR="005B788F" w:rsidRPr="00AC254F">
        <w:rPr>
          <w:rFonts w:ascii="Arial" w:eastAsia="Times New Roman" w:hAnsi="Arial" w:cs="Arial"/>
          <w:kern w:val="0"/>
          <w:lang w:eastAsia="en-GB"/>
          <w14:ligatures w14:val="none"/>
        </w:rPr>
        <w:t>’.</w:t>
      </w:r>
      <w:proofErr w:type="gramEnd"/>
      <w:r w:rsidR="005B788F" w:rsidRPr="00AC254F">
        <w:rPr>
          <w:rFonts w:ascii="Arial" w:eastAsia="Times New Roman" w:hAnsi="Arial" w:cs="Arial"/>
          <w:kern w:val="0"/>
          <w:lang w:eastAsia="en-GB"/>
          <w14:ligatures w14:val="none"/>
        </w:rPr>
        <w:t xml:space="preserve"> The common law did not recognise beneficiaries' interests under use. If their rights are disputed, beneficiaries can petition the Chancellor for equity. This made usage and trust central to equity.</w:t>
      </w:r>
      <w:r w:rsidR="005B788F" w:rsidRPr="00AC254F">
        <w:rPr>
          <w:rFonts w:ascii="Arial" w:hAnsi="Arial" w:cs="Arial"/>
        </w:rPr>
        <w:t xml:space="preserve"> </w:t>
      </w:r>
      <w:r w:rsidR="005B788F" w:rsidRPr="00AC254F">
        <w:rPr>
          <w:rFonts w:ascii="Arial" w:eastAsia="Times New Roman" w:hAnsi="Arial" w:cs="Arial"/>
          <w:kern w:val="0"/>
          <w:lang w:eastAsia="en-GB"/>
          <w14:ligatures w14:val="none"/>
        </w:rPr>
        <w:t xml:space="preserve">The Court of Chancery developed around at the start of the fourteenth century when the Chancellor held more regular petition hearings. The Chancellor's </w:t>
      </w:r>
      <w:proofErr w:type="gramStart"/>
      <w:r w:rsidR="005B788F" w:rsidRPr="00AC254F">
        <w:rPr>
          <w:rFonts w:ascii="Arial" w:eastAsia="Times New Roman" w:hAnsi="Arial" w:cs="Arial"/>
          <w:kern w:val="0"/>
          <w:lang w:eastAsia="en-GB"/>
          <w14:ligatures w14:val="none"/>
        </w:rPr>
        <w:t>jurisdiction</w:t>
      </w:r>
      <w:proofErr w:type="gramEnd"/>
      <w:r w:rsidR="005B788F" w:rsidRPr="00AC254F">
        <w:rPr>
          <w:rFonts w:ascii="Arial" w:eastAsia="Times New Roman" w:hAnsi="Arial" w:cs="Arial"/>
          <w:kern w:val="0"/>
          <w:lang w:eastAsia="en-GB"/>
          <w14:ligatures w14:val="none"/>
        </w:rPr>
        <w:t xml:space="preserve"> was first ambiguous, hence the expression "Equity fluctuates with the dimension of the Chancellor's foot," but precedent and principles developed.</w:t>
      </w:r>
      <w:r w:rsidR="005B788F" w:rsidRPr="00AC254F">
        <w:rPr>
          <w:rFonts w:ascii="Arial" w:hAnsi="Arial" w:cs="Arial"/>
        </w:rPr>
        <w:t xml:space="preserve"> </w:t>
      </w:r>
      <w:r w:rsidR="005B788F" w:rsidRPr="00AC254F">
        <w:rPr>
          <w:rFonts w:ascii="Arial" w:eastAsia="Times New Roman" w:hAnsi="Arial" w:cs="Arial"/>
          <w:kern w:val="0"/>
          <w:lang w:eastAsia="en-GB"/>
          <w14:ligatures w14:val="none"/>
        </w:rPr>
        <w:t xml:space="preserve">Conflict between equity and common law was established. The problem arose because Chancery </w:t>
      </w:r>
      <w:r w:rsidR="005B788F" w:rsidRPr="00AC254F">
        <w:rPr>
          <w:rFonts w:ascii="Arial" w:eastAsia="Times New Roman" w:hAnsi="Arial" w:cs="Arial"/>
          <w:kern w:val="0"/>
          <w:lang w:eastAsia="en-GB"/>
          <w14:ligatures w14:val="none"/>
        </w:rPr>
        <w:lastRenderedPageBreak/>
        <w:t>might issue injunctions to prevent a petitioner from pursuing a common law claim or enforcing a judgement.</w:t>
      </w:r>
      <w:r w:rsidR="005B788F" w:rsidRPr="00AC254F">
        <w:rPr>
          <w:rFonts w:ascii="Arial" w:eastAsia="Times New Roman" w:hAnsi="Arial" w:cs="Arial"/>
          <w:kern w:val="0"/>
          <w:lang w:eastAsia="en-GB"/>
          <w14:ligatures w14:val="none"/>
        </w:rPr>
        <w:br/>
        <w:t xml:space="preserve">The Earl of Oxford's Case culminated in 1615. The conflict among Chief Justice Coke and the Chancellor, Lord Ellesmere, was resolved by King James I, who sided with equity on the advice of his </w:t>
      </w:r>
      <w:r w:rsidR="002302B5" w:rsidRPr="00AC254F">
        <w:rPr>
          <w:rFonts w:ascii="Arial" w:eastAsia="Times New Roman" w:hAnsi="Arial" w:cs="Arial"/>
          <w:kern w:val="0"/>
          <w:lang w:eastAsia="en-GB"/>
          <w14:ligatures w14:val="none"/>
        </w:rPr>
        <w:t>Attorney,</w:t>
      </w:r>
      <w:r w:rsidR="005B788F" w:rsidRPr="00AC254F">
        <w:rPr>
          <w:rFonts w:ascii="Arial" w:eastAsia="Times New Roman" w:hAnsi="Arial" w:cs="Arial"/>
          <w:kern w:val="0"/>
          <w:lang w:eastAsia="en-GB"/>
          <w14:ligatures w14:val="none"/>
        </w:rPr>
        <w:t xml:space="preserve"> Bacon. From then on, equity and common law were integrated.</w:t>
      </w:r>
      <w:r w:rsidR="005B788F" w:rsidRPr="00AC254F">
        <w:rPr>
          <w:rFonts w:ascii="Arial" w:hAnsi="Arial" w:cs="Arial"/>
        </w:rPr>
        <w:t xml:space="preserve"> </w:t>
      </w:r>
      <w:r w:rsidR="005B788F" w:rsidRPr="00AC254F">
        <w:rPr>
          <w:rFonts w:ascii="Arial" w:eastAsia="Times New Roman" w:hAnsi="Arial" w:cs="Arial"/>
          <w:kern w:val="0"/>
          <w:lang w:eastAsia="en-GB"/>
          <w14:ligatures w14:val="none"/>
        </w:rPr>
        <w:t>The late seventeenth and eighteenth centuries saw equity become a system of norms and precedents thanks to renowned Chancellors like Lord Nottingham, Lord Hardwicke, and Lord Eldon. During this time, if a claimant wanted simultaneously a monetary and legal remedy, he had to file distinct proceedings in the Court of Chancery and Common Law courts, which was expensive and slow, and the method was different. Over the next 21 years, these issues were remedied.</w:t>
      </w:r>
    </w:p>
    <w:p w14:paraId="5FD61D34" w14:textId="30E31AF7" w:rsidR="001817BE" w:rsidRPr="00AC254F" w:rsidRDefault="005B788F"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   Common Law Procedure Act 1854</w:t>
      </w:r>
      <w:r w:rsidR="00643C6D" w:rsidRPr="00AC254F">
        <w:rPr>
          <w:rFonts w:ascii="Arial" w:eastAsia="Times New Roman" w:hAnsi="Arial" w:cs="Arial"/>
          <w:kern w:val="0"/>
          <w:lang w:eastAsia="en-GB"/>
          <w14:ligatures w14:val="none"/>
        </w:rPr>
        <w:t xml:space="preserve"> </w:t>
      </w:r>
      <w:r w:rsidRPr="00AC254F">
        <w:rPr>
          <w:rFonts w:ascii="Arial" w:eastAsia="Times New Roman" w:hAnsi="Arial" w:cs="Arial"/>
          <w:kern w:val="0"/>
          <w:lang w:eastAsia="en-GB"/>
          <w14:ligatures w14:val="none"/>
        </w:rPr>
        <w:t>empowered Common Law courts like the Queen's Bench, Court of Common Pleas, and Exchequer to provide equitable remedies.</w:t>
      </w:r>
      <w:r w:rsidR="001817BE" w:rsidRPr="00AC254F">
        <w:rPr>
          <w:rFonts w:ascii="Arial" w:hAnsi="Arial" w:cs="Arial"/>
        </w:rPr>
        <w:t xml:space="preserve"> </w:t>
      </w:r>
      <w:r w:rsidR="001817BE" w:rsidRPr="00AC254F">
        <w:rPr>
          <w:rFonts w:ascii="Arial" w:eastAsia="Times New Roman" w:hAnsi="Arial" w:cs="Arial"/>
          <w:kern w:val="0"/>
          <w:lang w:eastAsia="en-GB"/>
          <w14:ligatures w14:val="none"/>
        </w:rPr>
        <w:t>Chancery Amendment Act 1858 or Lord Cairn's Act allowed the Court of Chancery to award damages using common law.</w:t>
      </w:r>
      <w:r w:rsidR="001817BE" w:rsidRPr="00AC254F">
        <w:rPr>
          <w:rFonts w:ascii="Arial" w:hAnsi="Arial" w:cs="Arial"/>
        </w:rPr>
        <w:t xml:space="preserve"> </w:t>
      </w:r>
      <w:r w:rsidR="001817BE" w:rsidRPr="00AC254F">
        <w:rPr>
          <w:rFonts w:ascii="Arial" w:eastAsia="Times New Roman" w:hAnsi="Arial" w:cs="Arial"/>
          <w:kern w:val="0"/>
          <w:lang w:eastAsia="en-GB"/>
          <w14:ligatures w14:val="none"/>
        </w:rPr>
        <w:t>The Judicature Acts of 1873 and 1875 brought significant changes to the legal system.</w:t>
      </w:r>
      <w:r w:rsidR="001817BE" w:rsidRPr="00AC254F">
        <w:rPr>
          <w:rFonts w:ascii="Arial" w:eastAsia="Times New Roman" w:hAnsi="Arial" w:cs="Arial"/>
          <w:kern w:val="0"/>
          <w:lang w:eastAsia="en-GB"/>
          <w14:ligatures w14:val="none"/>
        </w:rPr>
        <w:br/>
        <w:t xml:space="preserve">The Acts established the Supreme Court of Judicature, which replaced </w:t>
      </w:r>
      <w:proofErr w:type="gramStart"/>
      <w:r w:rsidR="001817BE" w:rsidRPr="00AC254F">
        <w:rPr>
          <w:rFonts w:ascii="Arial" w:eastAsia="Times New Roman" w:hAnsi="Arial" w:cs="Arial"/>
          <w:kern w:val="0"/>
          <w:lang w:eastAsia="en-GB"/>
          <w14:ligatures w14:val="none"/>
        </w:rPr>
        <w:t>several</w:t>
      </w:r>
      <w:proofErr w:type="gramEnd"/>
      <w:r w:rsidR="001817BE" w:rsidRPr="00AC254F">
        <w:rPr>
          <w:rFonts w:ascii="Arial" w:eastAsia="Times New Roman" w:hAnsi="Arial" w:cs="Arial"/>
          <w:kern w:val="0"/>
          <w:lang w:eastAsia="en-GB"/>
          <w14:ligatures w14:val="none"/>
        </w:rPr>
        <w:t xml:space="preserve"> individual courts. The High Court was created with three divisions: Queen's Bench Division, Probate, Divorce and Admiralty Division, and Chancery Division. These divisions had the authority to </w:t>
      </w:r>
      <w:proofErr w:type="gramStart"/>
      <w:r w:rsidR="001817BE" w:rsidRPr="00AC254F">
        <w:rPr>
          <w:rFonts w:ascii="Arial" w:eastAsia="Times New Roman" w:hAnsi="Arial" w:cs="Arial"/>
          <w:kern w:val="0"/>
          <w:lang w:eastAsia="en-GB"/>
          <w14:ligatures w14:val="none"/>
        </w:rPr>
        <w:t>handle</w:t>
      </w:r>
      <w:proofErr w:type="gramEnd"/>
      <w:r w:rsidR="001817BE" w:rsidRPr="00AC254F">
        <w:rPr>
          <w:rFonts w:ascii="Arial" w:eastAsia="Times New Roman" w:hAnsi="Arial" w:cs="Arial"/>
          <w:kern w:val="0"/>
          <w:lang w:eastAsia="en-GB"/>
          <w14:ligatures w14:val="none"/>
        </w:rPr>
        <w:t xml:space="preserve"> both common law and equity cases. </w:t>
      </w:r>
      <w:r w:rsidR="001817BE" w:rsidRPr="00AC254F">
        <w:rPr>
          <w:rFonts w:ascii="Arial" w:eastAsia="Times New Roman" w:hAnsi="Arial" w:cs="Arial"/>
          <w:kern w:val="0"/>
          <w:lang w:eastAsia="en-GB"/>
          <w14:ligatures w14:val="none"/>
        </w:rPr>
        <w:br/>
        <w:t>Section 25 of the Judicature Act 1873 established a principle that applies to situations where there is a conflict or difference between the rules of equity and the rules of common law regarding the same matter. In such cases, the rules of equity take precedence.</w:t>
      </w:r>
    </w:p>
    <w:p w14:paraId="76167620" w14:textId="214D4EE0" w:rsidR="00824E91" w:rsidRPr="00AC254F" w:rsidRDefault="00F43E06"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Throughout history, Chancery played a significant role in the development of broad principles of equity. These principles, known as maxims, continue to be applied in modern times. </w:t>
      </w:r>
      <w:r w:rsidRPr="00AC254F">
        <w:rPr>
          <w:rFonts w:ascii="Arial" w:eastAsia="Times New Roman" w:hAnsi="Arial" w:cs="Arial"/>
          <w:kern w:val="0"/>
          <w:lang w:eastAsia="en-GB"/>
          <w14:ligatures w14:val="none"/>
        </w:rPr>
        <w:br/>
        <w:t xml:space="preserve">Equity focuses on the intention rather than the outward </w:t>
      </w:r>
      <w:r w:rsidRPr="00AC254F">
        <w:rPr>
          <w:rFonts w:ascii="Arial" w:eastAsia="Times New Roman" w:hAnsi="Arial" w:cs="Arial"/>
          <w:kern w:val="0"/>
          <w:lang w:eastAsia="en-GB"/>
          <w14:ligatures w14:val="none"/>
        </w:rPr>
        <w:t>appearance. Equity</w:t>
      </w:r>
      <w:r w:rsidRPr="00AC254F">
        <w:rPr>
          <w:rFonts w:ascii="Arial" w:eastAsia="Times New Roman" w:hAnsi="Arial" w:cs="Arial"/>
          <w:kern w:val="0"/>
          <w:lang w:eastAsia="en-GB"/>
          <w14:ligatures w14:val="none"/>
        </w:rPr>
        <w:t xml:space="preserve"> focuses on the intentions of a party rather than the formalities or specific wording used. As an illustration, in the case of Paul v Constance [1977] discussed previously in this chapter, the court determined that Mr. Constance's casual words and actions implied his intention for his bank account of deposits to be held in trust. Equity means fairness and justice for </w:t>
      </w:r>
      <w:r w:rsidRPr="00AC254F">
        <w:rPr>
          <w:rFonts w:ascii="Arial" w:eastAsia="Times New Roman" w:hAnsi="Arial" w:cs="Arial"/>
          <w:kern w:val="0"/>
          <w:lang w:eastAsia="en-GB"/>
          <w14:ligatures w14:val="none"/>
        </w:rPr>
        <w:t>all. In</w:t>
      </w:r>
      <w:r w:rsidRPr="00AC254F">
        <w:rPr>
          <w:rFonts w:ascii="Arial" w:eastAsia="Times New Roman" w:hAnsi="Arial" w:cs="Arial"/>
          <w:kern w:val="0"/>
          <w:lang w:eastAsia="en-GB"/>
          <w14:ligatures w14:val="none"/>
        </w:rPr>
        <w:t xml:space="preserve"> cases where property is jointly owned by multiple individuals without a clear indication of their respective shares, the principle of equal division may come into play.</w:t>
      </w:r>
      <w:r w:rsidRPr="00AC254F">
        <w:rPr>
          <w:rFonts w:ascii="Arial" w:hAnsi="Arial" w:cs="Arial"/>
        </w:rPr>
        <w:t xml:space="preserve"> </w:t>
      </w:r>
      <w:r w:rsidRPr="00AC254F">
        <w:rPr>
          <w:rFonts w:ascii="Arial" w:eastAsia="Times New Roman" w:hAnsi="Arial" w:cs="Arial"/>
          <w:kern w:val="0"/>
          <w:lang w:eastAsia="en-GB"/>
          <w14:ligatures w14:val="none"/>
        </w:rPr>
        <w:t xml:space="preserve">An imperfect gift cannot be perfected under equity </w:t>
      </w:r>
      <w:r w:rsidRPr="00AC254F">
        <w:rPr>
          <w:rFonts w:ascii="Arial" w:eastAsia="Times New Roman" w:hAnsi="Arial" w:cs="Arial"/>
          <w:kern w:val="0"/>
          <w:lang w:eastAsia="en-GB"/>
          <w14:ligatures w14:val="none"/>
        </w:rPr>
        <w:t>law. To</w:t>
      </w:r>
      <w:r w:rsidRPr="00AC254F">
        <w:rPr>
          <w:rFonts w:ascii="Arial" w:eastAsia="Times New Roman" w:hAnsi="Arial" w:cs="Arial"/>
          <w:kern w:val="0"/>
          <w:lang w:eastAsia="en-GB"/>
          <w14:ligatures w14:val="none"/>
        </w:rPr>
        <w:t xml:space="preserve"> ensure a successful transfer of legal title and a valid gift, it is crucial for a donor to follow the necessary formalities. Failure to do so may result in the gift being deemed invalid and not protected by legal principles of fairness. Any deviations to this principle are </w:t>
      </w:r>
      <w:r w:rsidRPr="00AC254F">
        <w:rPr>
          <w:rFonts w:ascii="Arial" w:eastAsia="Times New Roman" w:hAnsi="Arial" w:cs="Arial"/>
          <w:kern w:val="0"/>
          <w:lang w:eastAsia="en-GB"/>
          <w14:ligatures w14:val="none"/>
        </w:rPr>
        <w:t xml:space="preserve">considered. </w:t>
      </w:r>
      <w:r w:rsidRPr="00AC254F">
        <w:rPr>
          <w:rFonts w:ascii="Arial" w:eastAsia="Times New Roman" w:hAnsi="Arial" w:cs="Arial"/>
          <w:kern w:val="0"/>
          <w:lang w:eastAsia="en-GB"/>
          <w14:ligatures w14:val="none"/>
        </w:rPr>
        <w:t xml:space="preserve">fraudulent activity cannot be justified or enabled </w:t>
      </w:r>
      <w:proofErr w:type="gramStart"/>
      <w:r w:rsidRPr="00AC254F">
        <w:rPr>
          <w:rFonts w:ascii="Arial" w:eastAsia="Times New Roman" w:hAnsi="Arial" w:cs="Arial"/>
          <w:kern w:val="0"/>
          <w:lang w:eastAsia="en-GB"/>
          <w14:ligatures w14:val="none"/>
        </w:rPr>
        <w:t>through the use of</w:t>
      </w:r>
      <w:proofErr w:type="gramEnd"/>
      <w:r w:rsidRPr="00AC254F">
        <w:rPr>
          <w:rFonts w:ascii="Arial" w:eastAsia="Times New Roman" w:hAnsi="Arial" w:cs="Arial"/>
          <w:kern w:val="0"/>
          <w:lang w:eastAsia="en-GB"/>
          <w14:ligatures w14:val="none"/>
        </w:rPr>
        <w:t xml:space="preserve"> a statute, according to principles of </w:t>
      </w:r>
      <w:r w:rsidRPr="00AC254F">
        <w:rPr>
          <w:rFonts w:ascii="Arial" w:eastAsia="Times New Roman" w:hAnsi="Arial" w:cs="Arial"/>
          <w:kern w:val="0"/>
          <w:lang w:eastAsia="en-GB"/>
          <w14:ligatures w14:val="none"/>
        </w:rPr>
        <w:t>equity. If</w:t>
      </w:r>
      <w:r w:rsidRPr="00AC254F">
        <w:rPr>
          <w:rFonts w:ascii="Arial" w:eastAsia="Times New Roman" w:hAnsi="Arial" w:cs="Arial"/>
          <w:kern w:val="0"/>
          <w:lang w:eastAsia="en-GB"/>
          <w14:ligatures w14:val="none"/>
        </w:rPr>
        <w:t xml:space="preserve"> a defendant uses the stringent requirements of a statute to escape liability for fraud, the court may choose to suspend the application of that statute. </w:t>
      </w:r>
      <w:r w:rsidR="001475F3" w:rsidRPr="00AC254F">
        <w:rPr>
          <w:rFonts w:ascii="Arial" w:eastAsia="Times New Roman" w:hAnsi="Arial" w:cs="Arial"/>
          <w:kern w:val="0"/>
          <w:lang w:eastAsia="en-GB"/>
          <w14:ligatures w14:val="none"/>
        </w:rPr>
        <w:t xml:space="preserve">Equity operates in </w:t>
      </w:r>
      <w:proofErr w:type="spellStart"/>
      <w:r w:rsidR="001475F3" w:rsidRPr="00AC254F">
        <w:rPr>
          <w:rFonts w:ascii="Arial" w:eastAsia="Times New Roman" w:hAnsi="Arial" w:cs="Arial"/>
          <w:kern w:val="0"/>
          <w:lang w:eastAsia="en-GB"/>
          <w14:ligatures w14:val="none"/>
        </w:rPr>
        <w:t>personam</w:t>
      </w:r>
      <w:proofErr w:type="spellEnd"/>
      <w:r w:rsidR="001475F3" w:rsidRPr="00AC254F">
        <w:rPr>
          <w:rFonts w:ascii="Arial" w:eastAsia="Times New Roman" w:hAnsi="Arial" w:cs="Arial"/>
          <w:kern w:val="0"/>
          <w:lang w:eastAsia="en-GB"/>
          <w14:ligatures w14:val="none"/>
        </w:rPr>
        <w:t xml:space="preserve">: According to this axiom, equity pertains to an individual as opposed to their property. It is applicable to property located beyond </w:t>
      </w:r>
      <w:proofErr w:type="gramStart"/>
      <w:r w:rsidR="001475F3" w:rsidRPr="00AC254F">
        <w:rPr>
          <w:rFonts w:ascii="Arial" w:eastAsia="Times New Roman" w:hAnsi="Arial" w:cs="Arial"/>
          <w:kern w:val="0"/>
          <w:lang w:eastAsia="en-GB"/>
          <w14:ligatures w14:val="none"/>
        </w:rPr>
        <w:t>a jurisdiction</w:t>
      </w:r>
      <w:proofErr w:type="gramEnd"/>
      <w:r w:rsidR="001475F3" w:rsidRPr="00AC254F">
        <w:rPr>
          <w:rFonts w:ascii="Arial" w:eastAsia="Times New Roman" w:hAnsi="Arial" w:cs="Arial"/>
          <w:kern w:val="0"/>
          <w:lang w:eastAsia="en-GB"/>
          <w14:ligatures w14:val="none"/>
        </w:rPr>
        <w:t xml:space="preserve"> so long as the defendant is situated within that </w:t>
      </w:r>
      <w:r w:rsidR="001475F3" w:rsidRPr="00AC254F">
        <w:rPr>
          <w:rFonts w:ascii="Arial" w:eastAsia="Times New Roman" w:hAnsi="Arial" w:cs="Arial"/>
          <w:kern w:val="0"/>
          <w:lang w:eastAsia="en-GB"/>
          <w14:ligatures w14:val="none"/>
        </w:rPr>
        <w:t xml:space="preserve">jurisdiction. This maxim was applied in </w:t>
      </w:r>
      <w:r w:rsidR="001475F3" w:rsidRPr="00AC254F">
        <w:rPr>
          <w:rFonts w:ascii="Arial" w:eastAsia="Times New Roman" w:hAnsi="Arial" w:cs="Arial"/>
          <w:kern w:val="0"/>
          <w:lang w:eastAsia="en-GB"/>
          <w14:ligatures w14:val="none"/>
        </w:rPr>
        <w:t>Penn v. Lord Baltimore 1750</w:t>
      </w:r>
      <w:r w:rsidR="001475F3" w:rsidRPr="00AC254F">
        <w:rPr>
          <w:rFonts w:ascii="Arial" w:eastAsia="Times New Roman" w:hAnsi="Arial" w:cs="Arial"/>
          <w:kern w:val="0"/>
          <w:lang w:eastAsia="en-GB"/>
          <w14:ligatures w14:val="none"/>
        </w:rPr>
        <w:t>.</w:t>
      </w:r>
      <w:r w:rsidR="001475F3" w:rsidRPr="00AC254F">
        <w:rPr>
          <w:rFonts w:ascii="Arial" w:eastAsia="Times New Roman" w:hAnsi="Arial" w:cs="Arial"/>
          <w:kern w:val="0"/>
          <w:lang w:eastAsia="en-GB"/>
          <w14:ligatures w14:val="none"/>
        </w:rPr>
        <w:t xml:space="preserve"> When all other factors remain constant, the first in time will prevail. In situations involving competing claims to an object, the party that possesses the interest first shall prevail. </w:t>
      </w:r>
      <w:r w:rsidRPr="00AC254F">
        <w:rPr>
          <w:rFonts w:ascii="Arial" w:eastAsia="Times New Roman" w:hAnsi="Arial" w:cs="Arial"/>
          <w:kern w:val="0"/>
          <w:lang w:eastAsia="en-GB"/>
          <w14:ligatures w14:val="none"/>
        </w:rPr>
        <w:t>Another principle is that ‘’H</w:t>
      </w:r>
      <w:r w:rsidRPr="00AC254F">
        <w:rPr>
          <w:rFonts w:ascii="Arial" w:eastAsia="Times New Roman" w:hAnsi="Arial" w:cs="Arial"/>
          <w:kern w:val="0"/>
          <w:lang w:eastAsia="en-GB"/>
          <w14:ligatures w14:val="none"/>
        </w:rPr>
        <w:t>e who comes to equity must come with clean hands</w:t>
      </w:r>
      <w:r w:rsidRPr="00AC254F">
        <w:rPr>
          <w:rFonts w:ascii="Arial" w:eastAsia="Times New Roman" w:hAnsi="Arial" w:cs="Arial"/>
          <w:kern w:val="0"/>
          <w:lang w:eastAsia="en-GB"/>
          <w14:ligatures w14:val="none"/>
        </w:rPr>
        <w:t>’’. Equity</w:t>
      </w:r>
      <w:r w:rsidRPr="00AC254F">
        <w:rPr>
          <w:rFonts w:ascii="Arial" w:eastAsia="Times New Roman" w:hAnsi="Arial" w:cs="Arial"/>
          <w:kern w:val="0"/>
          <w:lang w:eastAsia="en-GB"/>
          <w14:ligatures w14:val="none"/>
        </w:rPr>
        <w:t xml:space="preserve"> recognises and upholds what is morally right and just</w:t>
      </w:r>
      <w:r w:rsidRPr="00AC254F">
        <w:rPr>
          <w:rFonts w:ascii="Arial" w:eastAsia="Times New Roman" w:hAnsi="Arial" w:cs="Arial"/>
          <w:kern w:val="0"/>
          <w:lang w:eastAsia="en-GB"/>
          <w14:ligatures w14:val="none"/>
        </w:rPr>
        <w:br/>
        <w:t>If a party had an obligation to fulfil, then in the realm of fairness, the parties engaged will assume rights and responsibilities as if the obligation had been fulfilled. This principle was applied in a legal case known as Attorney General for Hong Kong v Reid [1941].</w:t>
      </w:r>
      <w:r w:rsidRPr="00AC254F">
        <w:rPr>
          <w:rFonts w:ascii="Arial" w:eastAsia="Times New Roman" w:hAnsi="Arial" w:cs="Arial"/>
          <w:kern w:val="0"/>
          <w:lang w:eastAsia="en-GB"/>
          <w14:ligatures w14:val="none"/>
        </w:rPr>
        <w:br/>
      </w:r>
      <w:r w:rsidRPr="00AC254F">
        <w:rPr>
          <w:rFonts w:ascii="Arial" w:eastAsia="Times New Roman" w:hAnsi="Arial" w:cs="Arial"/>
          <w:kern w:val="0"/>
          <w:lang w:eastAsia="en-GB"/>
          <w14:ligatures w14:val="none"/>
        </w:rPr>
        <w:lastRenderedPageBreak/>
        <w:t xml:space="preserve">The law is adhered to by </w:t>
      </w:r>
      <w:r w:rsidR="001475F3" w:rsidRPr="00AC254F">
        <w:rPr>
          <w:rFonts w:ascii="Arial" w:eastAsia="Times New Roman" w:hAnsi="Arial" w:cs="Arial"/>
          <w:kern w:val="0"/>
          <w:lang w:eastAsia="en-GB"/>
          <w14:ligatures w14:val="none"/>
        </w:rPr>
        <w:t>equity. This</w:t>
      </w:r>
      <w:r w:rsidRPr="00AC254F">
        <w:rPr>
          <w:rFonts w:ascii="Arial" w:eastAsia="Times New Roman" w:hAnsi="Arial" w:cs="Arial"/>
          <w:kern w:val="0"/>
          <w:lang w:eastAsia="en-GB"/>
          <w14:ligatures w14:val="none"/>
        </w:rPr>
        <w:t xml:space="preserve"> principle demonstrates that in most cases, equity and common law tend to exist together. In a recent case, the Supreme Court in Jones v Kernott [2011] applied a maxim that when legal ownership to land is held jointly, there is a presumption of joint beneficial interest in the land.</w:t>
      </w:r>
      <w:r w:rsidR="00824E91" w:rsidRPr="00AC254F">
        <w:rPr>
          <w:rFonts w:ascii="Arial" w:hAnsi="Arial" w:cs="Arial"/>
        </w:rPr>
        <w:t xml:space="preserve"> </w:t>
      </w:r>
      <w:r w:rsidR="00824E91" w:rsidRPr="00AC254F">
        <w:rPr>
          <w:rFonts w:ascii="Arial" w:eastAsia="Times New Roman" w:hAnsi="Arial" w:cs="Arial"/>
          <w:kern w:val="0"/>
          <w:lang w:eastAsia="en-GB"/>
          <w14:ligatures w14:val="none"/>
        </w:rPr>
        <w:t xml:space="preserve">The principle of equity following the law signifies that equity functions within the boundaries of established legal principles, without attempting to supersede or oppose them. It acknowledges that equity serves as an addition to, rather than a substitute for, the common law. By adhering to this principle, equity ensures that its actions align with the existing legal framework, offering solutions and remedies that uphold legal principles. In simpler terms, equity acknowledges and supports the current legal framework while dealing with </w:t>
      </w:r>
      <w:r w:rsidR="00824E91" w:rsidRPr="00AC254F">
        <w:rPr>
          <w:rFonts w:ascii="Arial" w:eastAsia="Times New Roman" w:hAnsi="Arial" w:cs="Arial"/>
          <w:kern w:val="0"/>
          <w:lang w:eastAsia="en-GB"/>
          <w14:ligatures w14:val="none"/>
        </w:rPr>
        <w:t>situations</w:t>
      </w:r>
      <w:r w:rsidR="00824E91" w:rsidRPr="00AC254F">
        <w:rPr>
          <w:rFonts w:ascii="Arial" w:eastAsia="Times New Roman" w:hAnsi="Arial" w:cs="Arial"/>
          <w:kern w:val="0"/>
          <w:lang w:eastAsia="en-GB"/>
          <w14:ligatures w14:val="none"/>
        </w:rPr>
        <w:t xml:space="preserve"> in which the law may have limitations. It ensures a harmonious equilibrium between justice and the integrity of the legal framework. Justice is always the priority, ensuring that no wrong goes unaddressed and a remedy is provided when a constitutional right has been violated.</w:t>
      </w:r>
    </w:p>
    <w:p w14:paraId="63DE2DD2" w14:textId="25B3B2C7" w:rsidR="00824E91" w:rsidRPr="00AC254F" w:rsidRDefault="00824E91"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   </w:t>
      </w:r>
      <w:r w:rsidR="001475F3" w:rsidRPr="00AC254F">
        <w:rPr>
          <w:rFonts w:ascii="Arial" w:eastAsia="Times New Roman" w:hAnsi="Arial" w:cs="Arial"/>
          <w:kern w:val="0"/>
          <w:lang w:eastAsia="en-GB"/>
          <w14:ligatures w14:val="none"/>
        </w:rPr>
        <w:t>In</w:t>
      </w:r>
      <w:r w:rsidRPr="00AC254F">
        <w:rPr>
          <w:rFonts w:ascii="Arial" w:eastAsia="Times New Roman" w:hAnsi="Arial" w:cs="Arial"/>
          <w:kern w:val="0"/>
          <w:lang w:eastAsia="en-GB"/>
          <w14:ligatures w14:val="none"/>
        </w:rPr>
        <w:t xml:space="preserve"> Cook v Fountain [1676]</w:t>
      </w:r>
      <w:r w:rsidR="001475F3" w:rsidRPr="00AC254F">
        <w:rPr>
          <w:rFonts w:ascii="Arial" w:eastAsia="Times New Roman" w:hAnsi="Arial" w:cs="Arial"/>
          <w:kern w:val="0"/>
          <w:lang w:eastAsia="en-GB"/>
          <w14:ligatures w14:val="none"/>
        </w:rPr>
        <w:t xml:space="preserve"> </w:t>
      </w:r>
      <w:r w:rsidRPr="00AC254F">
        <w:rPr>
          <w:rFonts w:ascii="Arial" w:eastAsia="Times New Roman" w:hAnsi="Arial" w:cs="Arial"/>
          <w:kern w:val="0"/>
          <w:lang w:eastAsia="en-GB"/>
          <w14:ligatures w14:val="none"/>
        </w:rPr>
        <w:t xml:space="preserve">Given the circumstances, the court laid down a significant principle concerning fairness. It was acknowledged that equity serves as a complement to the common law, addressing the limitations and offering solutions where the common law is insufficient. This case highlighted the importance of the coexistence of equity and common law in maintaining a sense of justice and fairness in legal proceedings. So, </w:t>
      </w:r>
      <w:proofErr w:type="gramStart"/>
      <w:r w:rsidRPr="00AC254F">
        <w:rPr>
          <w:rFonts w:ascii="Arial" w:eastAsia="Times New Roman" w:hAnsi="Arial" w:cs="Arial"/>
          <w:kern w:val="0"/>
          <w:lang w:eastAsia="en-GB"/>
          <w14:ligatures w14:val="none"/>
        </w:rPr>
        <w:t>Cook</w:t>
      </w:r>
      <w:proofErr w:type="gramEnd"/>
      <w:r w:rsidRPr="00AC254F">
        <w:rPr>
          <w:rFonts w:ascii="Arial" w:eastAsia="Times New Roman" w:hAnsi="Arial" w:cs="Arial"/>
          <w:kern w:val="0"/>
          <w:lang w:eastAsia="en-GB"/>
          <w14:ligatures w14:val="none"/>
        </w:rPr>
        <w:t xml:space="preserve"> v Fountain emphasised the importance of equity as a system that complements and works alongside the common law. The Earl of Oxford's Case [1615]! Given the circumstances, a significant principle was established concerning equity. It was acknowledged that fairness and justice could prevail over the rigid enforcement of traditional legal principles when the situation called for it. This case highlighted the adaptability of equity in addressing specific situations and offering remedies that may not be available under common law. The Earl of Oxford's Case </w:t>
      </w:r>
      <w:proofErr w:type="gramStart"/>
      <w:r w:rsidRPr="00AC254F">
        <w:rPr>
          <w:rFonts w:ascii="Arial" w:eastAsia="Times New Roman" w:hAnsi="Arial" w:cs="Arial"/>
          <w:kern w:val="0"/>
          <w:lang w:eastAsia="en-GB"/>
          <w14:ligatures w14:val="none"/>
        </w:rPr>
        <w:t>showcased</w:t>
      </w:r>
      <w:proofErr w:type="gramEnd"/>
      <w:r w:rsidRPr="00AC254F">
        <w:rPr>
          <w:rFonts w:ascii="Arial" w:eastAsia="Times New Roman" w:hAnsi="Arial" w:cs="Arial"/>
          <w:kern w:val="0"/>
          <w:lang w:eastAsia="en-GB"/>
          <w14:ligatures w14:val="none"/>
        </w:rPr>
        <w:t xml:space="preserve"> the remarkable ability of equity to step in and guarantee justice in legal affairs. </w:t>
      </w:r>
      <w:proofErr w:type="gramStart"/>
      <w:r w:rsidRPr="00AC254F">
        <w:rPr>
          <w:rFonts w:ascii="Arial" w:eastAsia="Times New Roman" w:hAnsi="Arial" w:cs="Arial"/>
          <w:kern w:val="0"/>
          <w:lang w:eastAsia="en-GB"/>
          <w14:ligatures w14:val="none"/>
        </w:rPr>
        <w:t>It's</w:t>
      </w:r>
      <w:proofErr w:type="gramEnd"/>
      <w:r w:rsidRPr="00AC254F">
        <w:rPr>
          <w:rFonts w:ascii="Arial" w:eastAsia="Times New Roman" w:hAnsi="Arial" w:cs="Arial"/>
          <w:kern w:val="0"/>
          <w:lang w:eastAsia="en-GB"/>
          <w14:ligatures w14:val="none"/>
        </w:rPr>
        <w:t xml:space="preserve"> truly remarkable how this case played a role in shaping the evolution of equity in the UK!</w:t>
      </w:r>
      <w:r w:rsidRPr="00AC254F">
        <w:rPr>
          <w:rFonts w:ascii="Arial" w:hAnsi="Arial" w:cs="Arial"/>
        </w:rPr>
        <w:t xml:space="preserve"> </w:t>
      </w:r>
      <w:r w:rsidRPr="00AC254F">
        <w:rPr>
          <w:rFonts w:ascii="Arial" w:eastAsia="Times New Roman" w:hAnsi="Arial" w:cs="Arial"/>
          <w:kern w:val="0"/>
          <w:lang w:eastAsia="en-GB"/>
          <w14:ligatures w14:val="none"/>
        </w:rPr>
        <w:t xml:space="preserve">The 1882 case Walsh v. Lonsdale! Regarding equity, a significant principle was thus established. It has been acknowledged that a tenant can continue to seek legal recourse, such as the right to reside on the property until a reasonable rent is determined, even if they have taken possession of the property under an insufficient or uncertain lease agreement. This </w:t>
      </w:r>
      <w:proofErr w:type="gramStart"/>
      <w:r w:rsidRPr="00AC254F">
        <w:rPr>
          <w:rFonts w:ascii="Arial" w:eastAsia="Times New Roman" w:hAnsi="Arial" w:cs="Arial"/>
          <w:kern w:val="0"/>
          <w:lang w:eastAsia="en-GB"/>
          <w14:ligatures w14:val="none"/>
        </w:rPr>
        <w:t>particular case</w:t>
      </w:r>
      <w:proofErr w:type="gramEnd"/>
      <w:r w:rsidRPr="00AC254F">
        <w:rPr>
          <w:rFonts w:ascii="Arial" w:eastAsia="Times New Roman" w:hAnsi="Arial" w:cs="Arial"/>
          <w:kern w:val="0"/>
          <w:lang w:eastAsia="en-GB"/>
          <w14:ligatures w14:val="none"/>
        </w:rPr>
        <w:t xml:space="preserve"> underscored the ability of equity to safeguard the interests of parties engaged in contractual arrangements that are unfinished or uncertain. Thus, Walsh v. Lonsdale illuminated the function of equity in extending protections and remedies beyond the limited scope of common law.</w:t>
      </w:r>
    </w:p>
    <w:p w14:paraId="3B5904AB" w14:textId="21FF6F0B" w:rsidR="00AA3F96" w:rsidRPr="00AC254F" w:rsidRDefault="00AA3F96"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   </w:t>
      </w:r>
      <w:r w:rsidRPr="00AC254F">
        <w:rPr>
          <w:rFonts w:ascii="Arial" w:eastAsia="Times New Roman" w:hAnsi="Arial" w:cs="Arial"/>
          <w:kern w:val="0"/>
          <w:lang w:eastAsia="en-GB"/>
          <w14:ligatures w14:val="none"/>
        </w:rPr>
        <w:t xml:space="preserve">One may seek equitable remedies across all areas of law; therefore, it is not reasonable to presume that the discussion will be limited to trust cases. Employment law, contract and commercial law, tort law, and infringement of confidence are all domains in which the utilisation of an equitable remedy may be considered. While not requiring you to demonstrate expertise in these areas, it is evident that you will benefit from </w:t>
      </w:r>
      <w:proofErr w:type="gramStart"/>
      <w:r w:rsidRPr="00AC254F">
        <w:rPr>
          <w:rFonts w:ascii="Arial" w:eastAsia="Times New Roman" w:hAnsi="Arial" w:cs="Arial"/>
          <w:kern w:val="0"/>
          <w:lang w:eastAsia="en-GB"/>
          <w14:ligatures w14:val="none"/>
        </w:rPr>
        <w:t>some</w:t>
      </w:r>
      <w:proofErr w:type="gramEnd"/>
      <w:r w:rsidRPr="00AC254F">
        <w:rPr>
          <w:rFonts w:ascii="Arial" w:eastAsia="Times New Roman" w:hAnsi="Arial" w:cs="Arial"/>
          <w:kern w:val="0"/>
          <w:lang w:eastAsia="en-GB"/>
          <w14:ligatures w14:val="none"/>
        </w:rPr>
        <w:t xml:space="preserve"> foundational knowledge.</w:t>
      </w:r>
      <w:r w:rsidRPr="00AC254F">
        <w:rPr>
          <w:rFonts w:ascii="Arial" w:eastAsia="Times New Roman" w:hAnsi="Arial" w:cs="Arial"/>
          <w:kern w:val="0"/>
          <w:lang w:eastAsia="en-GB"/>
          <w14:ligatures w14:val="none"/>
        </w:rPr>
        <w:br/>
        <w:t>Given that equity and trusts is typically covered as a final course requirement for a degree, this ought not to pose too much of a challenge. Regarding the right to respect for private and family life, a claim may be brought under the Human Rights Act 1998 (as in Venables and Thompson v News Group Newspapers (2001</w:t>
      </w:r>
      <w:r w:rsidR="002302B5" w:rsidRPr="00AC254F">
        <w:rPr>
          <w:rFonts w:ascii="Arial" w:eastAsia="Times New Roman" w:hAnsi="Arial" w:cs="Arial"/>
          <w:kern w:val="0"/>
          <w:lang w:eastAsia="en-GB"/>
          <w14:ligatures w14:val="none"/>
        </w:rPr>
        <w:t>);</w:t>
      </w:r>
      <w:r w:rsidRPr="00AC254F">
        <w:rPr>
          <w:rFonts w:ascii="Arial" w:eastAsia="Times New Roman" w:hAnsi="Arial" w:cs="Arial"/>
          <w:kern w:val="0"/>
          <w:lang w:eastAsia="en-GB"/>
          <w14:ligatures w14:val="none"/>
        </w:rPr>
        <w:t xml:space="preserve"> a claim for breach of confidence may be brought under the Spycatcher case (A-G v Guardian Newspapers </w:t>
      </w:r>
      <w:r w:rsidR="002302B5" w:rsidRPr="00AC254F">
        <w:rPr>
          <w:rFonts w:ascii="Arial" w:eastAsia="Times New Roman" w:hAnsi="Arial" w:cs="Arial"/>
          <w:kern w:val="0"/>
          <w:lang w:eastAsia="en-GB"/>
          <w14:ligatures w14:val="none"/>
        </w:rPr>
        <w:t>Ltd [</w:t>
      </w:r>
      <w:r w:rsidRPr="00AC254F">
        <w:rPr>
          <w:rFonts w:ascii="Arial" w:eastAsia="Times New Roman" w:hAnsi="Arial" w:cs="Arial"/>
          <w:kern w:val="0"/>
          <w:lang w:eastAsia="en-GB"/>
          <w14:ligatures w14:val="none"/>
        </w:rPr>
        <w:t>1990</w:t>
      </w:r>
      <w:r w:rsidR="002302B5" w:rsidRPr="00AC254F">
        <w:rPr>
          <w:rFonts w:ascii="Arial" w:eastAsia="Times New Roman" w:hAnsi="Arial" w:cs="Arial"/>
          <w:kern w:val="0"/>
          <w:lang w:eastAsia="en-GB"/>
          <w14:ligatures w14:val="none"/>
        </w:rPr>
        <w:t>].</w:t>
      </w:r>
      <w:r w:rsidR="004B07E6" w:rsidRPr="00AC254F">
        <w:rPr>
          <w:rFonts w:ascii="Arial" w:eastAsia="Times New Roman" w:hAnsi="Arial" w:cs="Arial"/>
          <w:kern w:val="0"/>
          <w:lang w:eastAsia="en-GB"/>
          <w14:ligatures w14:val="none"/>
        </w:rPr>
        <w:t xml:space="preserve"> </w:t>
      </w:r>
    </w:p>
    <w:p w14:paraId="74A25D95" w14:textId="3DBCBED5" w:rsidR="00E93702" w:rsidRPr="00AC254F" w:rsidRDefault="004B07E6"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 </w:t>
      </w:r>
      <w:r w:rsidR="002302B5" w:rsidRPr="00AC254F">
        <w:rPr>
          <w:rFonts w:ascii="Arial" w:eastAsia="Times New Roman" w:hAnsi="Arial" w:cs="Arial"/>
          <w:kern w:val="0"/>
          <w:lang w:eastAsia="en-GB"/>
          <w14:ligatures w14:val="none"/>
        </w:rPr>
        <w:t>Equitable r</w:t>
      </w:r>
      <w:r w:rsidRPr="00AC254F">
        <w:rPr>
          <w:rFonts w:ascii="Arial" w:eastAsia="Times New Roman" w:hAnsi="Arial" w:cs="Arial"/>
          <w:kern w:val="0"/>
          <w:lang w:eastAsia="en-GB"/>
          <w14:ligatures w14:val="none"/>
        </w:rPr>
        <w:t xml:space="preserve">emedies are the </w:t>
      </w:r>
      <w:r w:rsidR="002302B5" w:rsidRPr="00AC254F">
        <w:rPr>
          <w:rFonts w:ascii="Arial" w:eastAsia="Times New Roman" w:hAnsi="Arial" w:cs="Arial"/>
          <w:kern w:val="0"/>
          <w:lang w:eastAsia="en-GB"/>
          <w14:ligatures w14:val="none"/>
        </w:rPr>
        <w:t>following:</w:t>
      </w:r>
      <w:r w:rsidRPr="00AC254F">
        <w:rPr>
          <w:rFonts w:ascii="Arial" w:eastAsia="Times New Roman" w:hAnsi="Arial" w:cs="Arial"/>
          <w:kern w:val="0"/>
          <w:lang w:eastAsia="en-GB"/>
          <w14:ligatures w14:val="none"/>
        </w:rPr>
        <w:t xml:space="preserve"> </w:t>
      </w:r>
      <w:r w:rsidR="002302B5" w:rsidRPr="00AC254F">
        <w:rPr>
          <w:rFonts w:ascii="Arial" w:eastAsia="Times New Roman" w:hAnsi="Arial" w:cs="Arial"/>
          <w:kern w:val="0"/>
          <w:lang w:eastAsia="en-GB"/>
          <w14:ligatures w14:val="none"/>
        </w:rPr>
        <w:t>s</w:t>
      </w:r>
      <w:r w:rsidRPr="00AC254F">
        <w:rPr>
          <w:rFonts w:ascii="Arial" w:eastAsia="Times New Roman" w:hAnsi="Arial" w:cs="Arial"/>
          <w:kern w:val="0"/>
          <w:lang w:eastAsia="en-GB"/>
          <w14:ligatures w14:val="none"/>
        </w:rPr>
        <w:t xml:space="preserve">pecific </w:t>
      </w:r>
      <w:r w:rsidR="002302B5" w:rsidRPr="00AC254F">
        <w:rPr>
          <w:rFonts w:ascii="Arial" w:eastAsia="Times New Roman" w:hAnsi="Arial" w:cs="Arial"/>
          <w:kern w:val="0"/>
          <w:lang w:eastAsia="en-GB"/>
          <w14:ligatures w14:val="none"/>
        </w:rPr>
        <w:t>performance, i</w:t>
      </w:r>
      <w:r w:rsidRPr="00AC254F">
        <w:rPr>
          <w:rFonts w:ascii="Arial" w:eastAsia="Times New Roman" w:hAnsi="Arial" w:cs="Arial"/>
          <w:kern w:val="0"/>
          <w:lang w:eastAsia="en-GB"/>
          <w14:ligatures w14:val="none"/>
        </w:rPr>
        <w:t>njunction</w:t>
      </w:r>
      <w:r w:rsidR="002302B5" w:rsidRPr="00AC254F">
        <w:rPr>
          <w:rFonts w:ascii="Arial" w:eastAsia="Times New Roman" w:hAnsi="Arial" w:cs="Arial"/>
          <w:kern w:val="0"/>
          <w:lang w:eastAsia="en-GB"/>
          <w14:ligatures w14:val="none"/>
        </w:rPr>
        <w:t>, recission, rectification, account, the</w:t>
      </w:r>
      <w:r w:rsidRPr="00AC254F">
        <w:rPr>
          <w:rFonts w:ascii="Arial" w:eastAsia="Times New Roman" w:hAnsi="Arial" w:cs="Arial"/>
          <w:kern w:val="0"/>
          <w:lang w:eastAsia="en-GB"/>
          <w14:ligatures w14:val="none"/>
        </w:rPr>
        <w:t xml:space="preserve"> appointment of a receiver</w:t>
      </w:r>
      <w:r w:rsidR="002302B5" w:rsidRPr="00AC254F">
        <w:rPr>
          <w:rFonts w:ascii="Arial" w:eastAsia="Times New Roman" w:hAnsi="Arial" w:cs="Arial"/>
          <w:kern w:val="0"/>
          <w:lang w:eastAsia="en-GB"/>
          <w14:ligatures w14:val="none"/>
        </w:rPr>
        <w:t>, restitution. Equity</w:t>
      </w:r>
      <w:r w:rsidR="00E93702" w:rsidRPr="00AC254F">
        <w:rPr>
          <w:rFonts w:ascii="Arial" w:eastAsia="Times New Roman" w:hAnsi="Arial" w:cs="Arial"/>
          <w:kern w:val="0"/>
          <w:lang w:eastAsia="en-GB"/>
          <w14:ligatures w14:val="none"/>
        </w:rPr>
        <w:t xml:space="preserve"> remains an indispensable component of the contemporary legal system. It offers a structured approach to resolving disputes in which rigid enforcement of the law might not result in equitable </w:t>
      </w:r>
      <w:r w:rsidR="00E93702" w:rsidRPr="00AC254F">
        <w:rPr>
          <w:rFonts w:ascii="Arial" w:eastAsia="Times New Roman" w:hAnsi="Arial" w:cs="Arial"/>
          <w:kern w:val="0"/>
          <w:lang w:eastAsia="en-GB"/>
          <w14:ligatures w14:val="none"/>
        </w:rPr>
        <w:lastRenderedPageBreak/>
        <w:t xml:space="preserve">consequences. </w:t>
      </w:r>
      <w:r w:rsidR="002302B5" w:rsidRPr="00AC254F">
        <w:rPr>
          <w:rFonts w:ascii="Arial" w:eastAsia="Times New Roman" w:hAnsi="Arial" w:cs="Arial"/>
          <w:kern w:val="0"/>
          <w:lang w:eastAsia="en-GB"/>
          <w14:ligatures w14:val="none"/>
        </w:rPr>
        <w:t>During</w:t>
      </w:r>
      <w:r w:rsidR="00E93702" w:rsidRPr="00AC254F">
        <w:rPr>
          <w:rFonts w:ascii="Arial" w:eastAsia="Times New Roman" w:hAnsi="Arial" w:cs="Arial"/>
          <w:kern w:val="0"/>
          <w:lang w:eastAsia="en-GB"/>
          <w14:ligatures w14:val="none"/>
        </w:rPr>
        <w:t xml:space="preserve"> the administration of justice, equity promotes impartiality by permitting flexibility and considering particular circumstances. It is </w:t>
      </w:r>
      <w:proofErr w:type="gramStart"/>
      <w:r w:rsidR="00E93702" w:rsidRPr="00AC254F">
        <w:rPr>
          <w:rFonts w:ascii="Arial" w:eastAsia="Times New Roman" w:hAnsi="Arial" w:cs="Arial"/>
          <w:kern w:val="0"/>
          <w:lang w:eastAsia="en-GB"/>
          <w14:ligatures w14:val="none"/>
        </w:rPr>
        <w:t>utilised</w:t>
      </w:r>
      <w:proofErr w:type="gramEnd"/>
      <w:r w:rsidR="00E93702" w:rsidRPr="00AC254F">
        <w:rPr>
          <w:rFonts w:ascii="Arial" w:eastAsia="Times New Roman" w:hAnsi="Arial" w:cs="Arial"/>
          <w:kern w:val="0"/>
          <w:lang w:eastAsia="en-GB"/>
          <w14:ligatures w14:val="none"/>
        </w:rPr>
        <w:t xml:space="preserve"> in numerous fields, including contract law, property law, and family law, among others. In determining remedies and granting relief, courts continue to take equitable principles into account. Consequently, equity continues to be a fundamental component of our legal structure, guaranteeing impartiality and correctness for all.</w:t>
      </w:r>
    </w:p>
    <w:p w14:paraId="2095FC47" w14:textId="3C0508E9" w:rsidR="004B07E6" w:rsidRPr="00AC254F" w:rsidRDefault="000673ED"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 xml:space="preserve"> T</w:t>
      </w:r>
      <w:r w:rsidRPr="00AC254F">
        <w:rPr>
          <w:rFonts w:ascii="Arial" w:eastAsia="Times New Roman" w:hAnsi="Arial" w:cs="Arial"/>
          <w:kern w:val="0"/>
          <w:lang w:eastAsia="en-GB"/>
          <w14:ligatures w14:val="none"/>
        </w:rPr>
        <w:t xml:space="preserve">he concept of equity has evolved over time to adapt to changing societal needs. While </w:t>
      </w:r>
      <w:proofErr w:type="gramStart"/>
      <w:r w:rsidRPr="00AC254F">
        <w:rPr>
          <w:rFonts w:ascii="Arial" w:eastAsia="Times New Roman" w:hAnsi="Arial" w:cs="Arial"/>
          <w:kern w:val="0"/>
          <w:lang w:eastAsia="en-GB"/>
          <w14:ligatures w14:val="none"/>
        </w:rPr>
        <w:t>some</w:t>
      </w:r>
      <w:proofErr w:type="gramEnd"/>
      <w:r w:rsidRPr="00AC254F">
        <w:rPr>
          <w:rFonts w:ascii="Arial" w:eastAsia="Times New Roman" w:hAnsi="Arial" w:cs="Arial"/>
          <w:kern w:val="0"/>
          <w:lang w:eastAsia="en-GB"/>
          <w14:ligatures w14:val="none"/>
        </w:rPr>
        <w:t xml:space="preserve"> argue that equity may benefit from certain reforms to address concerns such as complexity and inconsistency, others believe that its flexibility and remedial nature are essential and should be preserved. Like any legal system, ongoing discussions and debates shape the development of equity, ensuring it remains relevant and effective in promoting fairness and </w:t>
      </w:r>
      <w:r w:rsidRPr="00AC254F">
        <w:rPr>
          <w:rFonts w:ascii="Arial" w:eastAsia="Times New Roman" w:hAnsi="Arial" w:cs="Arial"/>
          <w:kern w:val="0"/>
          <w:lang w:eastAsia="en-GB"/>
          <w14:ligatures w14:val="none"/>
        </w:rPr>
        <w:t>justice.</w:t>
      </w:r>
    </w:p>
    <w:p w14:paraId="063E9D4B" w14:textId="77777777" w:rsidR="000673ED" w:rsidRPr="00AC254F" w:rsidRDefault="000673ED"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t>The declining status of equity is a subject that legal scholars and practitioners have engaged in debate regarding. Although equity is not without its merits, there are those who contend that it may result in legal outcomes that are ambiguous and inconsistent. Critics contend that the subjective nature of equity's decision-making process, enabled by its discretionary nature, could potentially lead to rulings that are unforeseeable. Moreover, the inherent adaptability of equity may occasionally engender perplexity and intricacy within the judicial system, thereby presenting obstacles for individuals seeking to comprehend and traverse.</w:t>
      </w:r>
      <w:r w:rsidRPr="00AC254F">
        <w:rPr>
          <w:rFonts w:ascii="Arial" w:eastAsia="Times New Roman" w:hAnsi="Arial" w:cs="Arial"/>
          <w:kern w:val="0"/>
          <w:lang w:eastAsia="en-GB"/>
          <w14:ligatures w14:val="none"/>
        </w:rPr>
        <w:br/>
      </w:r>
      <w:r w:rsidRPr="00AC254F">
        <w:rPr>
          <w:rFonts w:ascii="Arial" w:eastAsia="Times New Roman" w:hAnsi="Arial" w:cs="Arial"/>
          <w:kern w:val="0"/>
          <w:lang w:eastAsia="en-GB"/>
          <w14:ligatures w14:val="none"/>
        </w:rPr>
        <w:br/>
        <w:t>Furthermore, the potential for equitable remedies to be abused or misused raises concerns. As a result of the broad discretion granted to justices in equity, unjust outcomes or favouritism may ensue, according to critics. In certain circumstances, the implementation of equity has been subject to criticism due to allegations of partiality or incongruity.</w:t>
      </w:r>
      <w:r w:rsidRPr="00AC254F">
        <w:rPr>
          <w:rFonts w:ascii="Arial" w:eastAsia="Times New Roman" w:hAnsi="Arial" w:cs="Arial"/>
          <w:kern w:val="0"/>
          <w:lang w:eastAsia="en-GB"/>
          <w14:ligatures w14:val="none"/>
        </w:rPr>
        <w:t xml:space="preserve"> </w:t>
      </w:r>
      <w:r w:rsidRPr="00AC254F">
        <w:rPr>
          <w:rFonts w:ascii="Arial" w:eastAsia="Times New Roman" w:hAnsi="Arial" w:cs="Arial"/>
          <w:kern w:val="0"/>
          <w:lang w:eastAsia="en-GB"/>
          <w14:ligatures w14:val="none"/>
        </w:rPr>
        <w:t xml:space="preserve">Equity continues to be the subject of ongoing debates in the legal community. </w:t>
      </w:r>
      <w:proofErr w:type="gramStart"/>
      <w:r w:rsidRPr="00AC254F">
        <w:rPr>
          <w:rFonts w:ascii="Arial" w:eastAsia="Times New Roman" w:hAnsi="Arial" w:cs="Arial"/>
          <w:kern w:val="0"/>
          <w:lang w:eastAsia="en-GB"/>
          <w14:ligatures w14:val="none"/>
        </w:rPr>
        <w:t>A number of</w:t>
      </w:r>
      <w:proofErr w:type="gramEnd"/>
      <w:r w:rsidRPr="00AC254F">
        <w:rPr>
          <w:rFonts w:ascii="Arial" w:eastAsia="Times New Roman" w:hAnsi="Arial" w:cs="Arial"/>
          <w:kern w:val="0"/>
          <w:lang w:eastAsia="en-GB"/>
          <w14:ligatures w14:val="none"/>
        </w:rPr>
        <w:t xml:space="preserve"> the most important topics of conversation concern the extent of the power of the judiciary, the balance among certainty and adaptability in equity, and the possibility of overlap or conflict between common law principles and equity. The continuous endeavours to enhance and refine the implementation of equity within the legal system are reflected in these discussions. It is captivating to observe how varying viewpoints influence the evolution of this critical field of law.</w:t>
      </w:r>
      <w:r w:rsidRPr="00AC254F">
        <w:rPr>
          <w:rFonts w:ascii="Arial" w:eastAsia="Times New Roman" w:hAnsi="Arial" w:cs="Arial"/>
          <w:kern w:val="0"/>
          <w:lang w:eastAsia="en-GB"/>
          <w14:ligatures w14:val="none"/>
        </w:rPr>
        <w:br/>
        <w:t>Another subject of contention within the field of equity is the correlation between common law and equity. There are differing opinions regarding whether equity should be regarded as an independent and distinct legal system, or whether it ought to operate in conjunction with common law rules. This discourse pertains to the degree of integration that equity ought to have within the wider legal structure, as well as its interaction with common law doctrines. The subject is intriguing, eliciting diverse viewpoints from judicial scholars and practitioners.</w:t>
      </w:r>
      <w:r w:rsidRPr="00AC254F">
        <w:rPr>
          <w:rFonts w:ascii="Arial" w:eastAsia="Times New Roman" w:hAnsi="Arial" w:cs="Arial"/>
          <w:kern w:val="0"/>
          <w:lang w:eastAsia="en-GB"/>
          <w14:ligatures w14:val="none"/>
        </w:rPr>
        <w:br/>
        <w:t xml:space="preserve">Another topic of contention pertaining to equity is the extent of its redress. There are differing opinions regarding the extent to which equity should provide remedies </w:t>
      </w:r>
      <w:proofErr w:type="gramStart"/>
      <w:r w:rsidRPr="00AC254F">
        <w:rPr>
          <w:rFonts w:ascii="Arial" w:eastAsia="Times New Roman" w:hAnsi="Arial" w:cs="Arial"/>
          <w:kern w:val="0"/>
          <w:lang w:eastAsia="en-GB"/>
          <w14:ligatures w14:val="none"/>
        </w:rPr>
        <w:t>in order to</w:t>
      </w:r>
      <w:proofErr w:type="gramEnd"/>
      <w:r w:rsidRPr="00AC254F">
        <w:rPr>
          <w:rFonts w:ascii="Arial" w:eastAsia="Times New Roman" w:hAnsi="Arial" w:cs="Arial"/>
          <w:kern w:val="0"/>
          <w:lang w:eastAsia="en-GB"/>
          <w14:ligatures w14:val="none"/>
        </w:rPr>
        <w:t xml:space="preserve"> accommodate unique and complex circumstances; some contend that a narrower scope of remedies is necessary to preserve consistency with common law principles. Concerns are raised regarding the optimal proportion of predictability and adaptability in the implementation of equitable remedies </w:t>
      </w:r>
      <w:proofErr w:type="gramStart"/>
      <w:r w:rsidRPr="00AC254F">
        <w:rPr>
          <w:rFonts w:ascii="Arial" w:eastAsia="Times New Roman" w:hAnsi="Arial" w:cs="Arial"/>
          <w:kern w:val="0"/>
          <w:lang w:eastAsia="en-GB"/>
          <w14:ligatures w14:val="none"/>
        </w:rPr>
        <w:t>in light of</w:t>
      </w:r>
      <w:proofErr w:type="gramEnd"/>
      <w:r w:rsidRPr="00AC254F">
        <w:rPr>
          <w:rFonts w:ascii="Arial" w:eastAsia="Times New Roman" w:hAnsi="Arial" w:cs="Arial"/>
          <w:kern w:val="0"/>
          <w:lang w:eastAsia="en-GB"/>
          <w14:ligatures w14:val="none"/>
        </w:rPr>
        <w:t xml:space="preserve"> this discussion. This continuous discourse underscores the dynamic character of equity and the imperative to adjust in response to shifting societal demands.</w:t>
      </w:r>
      <w:r w:rsidRPr="00AC254F">
        <w:rPr>
          <w:rFonts w:ascii="Arial" w:eastAsia="Times New Roman" w:hAnsi="Arial" w:cs="Arial"/>
          <w:kern w:val="0"/>
          <w:lang w:eastAsia="en-GB"/>
          <w14:ligatures w14:val="none"/>
        </w:rPr>
        <w:br/>
        <w:t xml:space="preserve">Constraints regarding the potential for inconsistencies in outcomes and the discretionary authority of justices are two arguments against equity. The flexibility of equity, according to its detractors, may result in outcomes that are unforeseeable and compromise the fundamental tenet of legal certainty. </w:t>
      </w:r>
    </w:p>
    <w:p w14:paraId="06FA53EA" w14:textId="5465CBEE" w:rsidR="002302B5" w:rsidRPr="00AC254F" w:rsidRDefault="002302B5" w:rsidP="002302B5">
      <w:pPr>
        <w:rPr>
          <w:rFonts w:ascii="Arial" w:eastAsia="Times New Roman" w:hAnsi="Arial" w:cs="Arial"/>
          <w:kern w:val="0"/>
          <w:lang w:eastAsia="en-GB"/>
          <w14:ligatures w14:val="none"/>
        </w:rPr>
      </w:pPr>
      <w:r w:rsidRPr="00AC254F">
        <w:rPr>
          <w:rFonts w:ascii="Arial" w:eastAsia="Times New Roman" w:hAnsi="Arial" w:cs="Arial"/>
          <w:kern w:val="0"/>
          <w:lang w:eastAsia="en-GB"/>
          <w14:ligatures w14:val="none"/>
        </w:rPr>
        <w:lastRenderedPageBreak/>
        <w:t xml:space="preserve">In conclusion, each Ongoing debates and discussions persist concerning the constraints and deficiencies of equity, which continue to influence the legal sphere and necessitate reforms </w:t>
      </w:r>
      <w:proofErr w:type="gramStart"/>
      <w:r w:rsidRPr="00AC254F">
        <w:rPr>
          <w:rFonts w:ascii="Arial" w:eastAsia="Times New Roman" w:hAnsi="Arial" w:cs="Arial"/>
          <w:kern w:val="0"/>
          <w:lang w:eastAsia="en-GB"/>
          <w14:ligatures w14:val="none"/>
        </w:rPr>
        <w:t>in order to</w:t>
      </w:r>
      <w:proofErr w:type="gramEnd"/>
      <w:r w:rsidRPr="00AC254F">
        <w:rPr>
          <w:rFonts w:ascii="Arial" w:eastAsia="Times New Roman" w:hAnsi="Arial" w:cs="Arial"/>
          <w:kern w:val="0"/>
          <w:lang w:eastAsia="en-GB"/>
          <w14:ligatures w14:val="none"/>
        </w:rPr>
        <w:t xml:space="preserve"> establish a legal system that is equitable and fair. Some proposed equity-related reforms include the following:</w:t>
      </w:r>
      <w:r w:rsidRPr="00AC254F">
        <w:rPr>
          <w:rFonts w:ascii="Arial" w:eastAsia="Times New Roman" w:hAnsi="Arial" w:cs="Arial"/>
          <w:kern w:val="0"/>
          <w:lang w:eastAsia="en-GB"/>
          <w14:ligatures w14:val="none"/>
        </w:rPr>
        <w:br/>
      </w:r>
      <w:r w:rsidRPr="00AC254F">
        <w:rPr>
          <w:rFonts w:ascii="Arial" w:eastAsia="Times New Roman" w:hAnsi="Arial" w:cs="Arial"/>
          <w:kern w:val="0"/>
          <w:lang w:eastAsia="en-GB"/>
          <w14:ligatures w14:val="none"/>
        </w:rPr>
        <w:br/>
      </w:r>
      <w:proofErr w:type="gramStart"/>
      <w:r w:rsidRPr="00AC254F">
        <w:rPr>
          <w:rFonts w:ascii="Arial" w:eastAsia="Times New Roman" w:hAnsi="Arial" w:cs="Arial"/>
          <w:kern w:val="0"/>
          <w:lang w:eastAsia="en-GB"/>
          <w14:ligatures w14:val="none"/>
        </w:rPr>
        <w:t>1</w:t>
      </w:r>
      <w:proofErr w:type="gramEnd"/>
      <w:r w:rsidRPr="00AC254F">
        <w:rPr>
          <w:rFonts w:ascii="Arial" w:eastAsia="Times New Roman" w:hAnsi="Arial" w:cs="Arial"/>
          <w:kern w:val="0"/>
          <w:lang w:eastAsia="en-GB"/>
          <w14:ligatures w14:val="none"/>
        </w:rPr>
        <w:t>.</w:t>
      </w:r>
      <w:r w:rsidRPr="00AC254F">
        <w:rPr>
          <w:rFonts w:ascii="Arial" w:eastAsia="Times New Roman" w:hAnsi="Arial" w:cs="Arial"/>
          <w:kern w:val="0"/>
          <w:lang w:eastAsia="en-GB"/>
          <w14:ligatures w14:val="none"/>
        </w:rPr>
        <w:t>To reduce inconsistencies, clarifying and standardising equitable principles is essential.</w:t>
      </w:r>
      <w:r w:rsidRPr="00AC254F">
        <w:rPr>
          <w:rFonts w:ascii="Arial" w:eastAsia="Times New Roman" w:hAnsi="Arial" w:cs="Arial"/>
          <w:kern w:val="0"/>
          <w:lang w:eastAsia="en-GB"/>
          <w14:ligatures w14:val="none"/>
        </w:rPr>
        <w:br/>
        <w:t>2. Ensuring equity by striking a balance between judicial accountability and discretion.</w:t>
      </w:r>
      <w:r w:rsidRPr="00AC254F">
        <w:rPr>
          <w:rFonts w:ascii="Arial" w:eastAsia="Times New Roman" w:hAnsi="Arial" w:cs="Arial"/>
          <w:kern w:val="0"/>
          <w:lang w:eastAsia="en-GB"/>
          <w14:ligatures w14:val="none"/>
        </w:rPr>
        <w:br/>
      </w:r>
      <w:proofErr w:type="gramStart"/>
      <w:r w:rsidRPr="00AC254F">
        <w:rPr>
          <w:rFonts w:ascii="Arial" w:eastAsia="Times New Roman" w:hAnsi="Arial" w:cs="Arial"/>
          <w:kern w:val="0"/>
          <w:lang w:eastAsia="en-GB"/>
          <w14:ligatures w14:val="none"/>
        </w:rPr>
        <w:t>3</w:t>
      </w:r>
      <w:proofErr w:type="gramEnd"/>
      <w:r w:rsidRPr="00AC254F">
        <w:rPr>
          <w:rFonts w:ascii="Arial" w:eastAsia="Times New Roman" w:hAnsi="Arial" w:cs="Arial"/>
          <w:kern w:val="0"/>
          <w:lang w:eastAsia="en-GB"/>
          <w14:ligatures w14:val="none"/>
        </w:rPr>
        <w:t xml:space="preserve">. Improving legal education </w:t>
      </w:r>
      <w:r w:rsidRPr="00AC254F">
        <w:rPr>
          <w:rFonts w:ascii="Arial" w:eastAsia="Times New Roman" w:hAnsi="Arial" w:cs="Arial"/>
          <w:kern w:val="0"/>
          <w:lang w:eastAsia="en-GB"/>
          <w14:ligatures w14:val="none"/>
        </w:rPr>
        <w:t>to</w:t>
      </w:r>
      <w:r w:rsidRPr="00AC254F">
        <w:rPr>
          <w:rFonts w:ascii="Arial" w:eastAsia="Times New Roman" w:hAnsi="Arial" w:cs="Arial"/>
          <w:kern w:val="0"/>
          <w:lang w:eastAsia="en-GB"/>
          <w14:ligatures w14:val="none"/>
        </w:rPr>
        <w:t xml:space="preserve"> enhance comprehension and implementation of equity?</w:t>
      </w:r>
      <w:r w:rsidRPr="00AC254F">
        <w:rPr>
          <w:rFonts w:ascii="Arial" w:eastAsia="Times New Roman" w:hAnsi="Arial" w:cs="Arial"/>
          <w:kern w:val="0"/>
          <w:lang w:eastAsia="en-GB"/>
          <w14:ligatures w14:val="none"/>
        </w:rPr>
        <w:br/>
      </w:r>
      <w:proofErr w:type="gramStart"/>
      <w:r w:rsidRPr="00AC254F">
        <w:rPr>
          <w:rFonts w:ascii="Arial" w:eastAsia="Times New Roman" w:hAnsi="Arial" w:cs="Arial"/>
          <w:kern w:val="0"/>
          <w:lang w:eastAsia="en-GB"/>
          <w14:ligatures w14:val="none"/>
        </w:rPr>
        <w:t>4</w:t>
      </w:r>
      <w:proofErr w:type="gramEnd"/>
      <w:r w:rsidRPr="00AC254F">
        <w:rPr>
          <w:rFonts w:ascii="Arial" w:eastAsia="Times New Roman" w:hAnsi="Arial" w:cs="Arial"/>
          <w:kern w:val="0"/>
          <w:lang w:eastAsia="en-GB"/>
          <w14:ligatures w14:val="none"/>
        </w:rPr>
        <w:t xml:space="preserve">. Advocate for the adoption of alternative dispute resolution methods </w:t>
      </w:r>
      <w:proofErr w:type="gramStart"/>
      <w:r w:rsidRPr="00AC254F">
        <w:rPr>
          <w:rFonts w:ascii="Arial" w:eastAsia="Times New Roman" w:hAnsi="Arial" w:cs="Arial"/>
          <w:kern w:val="0"/>
          <w:lang w:eastAsia="en-GB"/>
          <w14:ligatures w14:val="none"/>
        </w:rPr>
        <w:t>in order to</w:t>
      </w:r>
      <w:proofErr w:type="gramEnd"/>
      <w:r w:rsidRPr="00AC254F">
        <w:rPr>
          <w:rFonts w:ascii="Arial" w:eastAsia="Times New Roman" w:hAnsi="Arial" w:cs="Arial"/>
          <w:kern w:val="0"/>
          <w:lang w:eastAsia="en-GB"/>
          <w14:ligatures w14:val="none"/>
        </w:rPr>
        <w:t xml:space="preserve"> enable involved parties to exercise agency in the resolution of conflicts.</w:t>
      </w:r>
      <w:r w:rsidRPr="00AC254F">
        <w:rPr>
          <w:rFonts w:ascii="Arial" w:eastAsia="Times New Roman" w:hAnsi="Arial" w:cs="Arial"/>
          <w:kern w:val="0"/>
          <w:lang w:eastAsia="en-GB"/>
          <w14:ligatures w14:val="none"/>
        </w:rPr>
        <w:br/>
        <w:t xml:space="preserve">5. Evaluation and revision of antiquated equitable doctrines </w:t>
      </w:r>
      <w:r w:rsidRPr="00AC254F">
        <w:rPr>
          <w:rFonts w:ascii="Arial" w:eastAsia="Times New Roman" w:hAnsi="Arial" w:cs="Arial"/>
          <w:kern w:val="0"/>
          <w:lang w:eastAsia="en-GB"/>
          <w14:ligatures w14:val="none"/>
        </w:rPr>
        <w:t>to</w:t>
      </w:r>
      <w:r w:rsidRPr="00AC254F">
        <w:rPr>
          <w:rFonts w:ascii="Arial" w:eastAsia="Times New Roman" w:hAnsi="Arial" w:cs="Arial"/>
          <w:kern w:val="0"/>
          <w:lang w:eastAsia="en-GB"/>
          <w14:ligatures w14:val="none"/>
        </w:rPr>
        <w:t xml:space="preserve"> conform to the values of society.</w:t>
      </w:r>
      <w:r w:rsidRPr="00AC254F">
        <w:rPr>
          <w:rFonts w:ascii="Arial" w:eastAsia="Times New Roman" w:hAnsi="Arial" w:cs="Arial"/>
          <w:kern w:val="0"/>
          <w:lang w:eastAsia="en-GB"/>
          <w14:ligatures w14:val="none"/>
        </w:rPr>
        <w:br/>
        <w:t>The objective of these reforms is to mitigate concerns and enhance the efficiency and equity of the equity system.</w:t>
      </w:r>
    </w:p>
    <w:p w14:paraId="5CB15053" w14:textId="2B250736" w:rsidR="00AA3F96" w:rsidRPr="00824E91" w:rsidRDefault="00AA3F96" w:rsidP="000673ED">
      <w:pPr>
        <w:spacing w:after="0" w:line="240" w:lineRule="auto"/>
        <w:rPr>
          <w:rFonts w:ascii="Times New Roman" w:eastAsia="Times New Roman" w:hAnsi="Times New Roman" w:cs="Times New Roman"/>
          <w:kern w:val="0"/>
          <w:sz w:val="24"/>
          <w:szCs w:val="24"/>
          <w:lang w:eastAsia="en-GB"/>
          <w14:ligatures w14:val="none"/>
        </w:rPr>
      </w:pPr>
    </w:p>
    <w:p w14:paraId="4DB16BDF" w14:textId="145A094E" w:rsidR="00F43E06" w:rsidRPr="00AC254F" w:rsidRDefault="00AC254F" w:rsidP="00F43E06">
      <w:pPr>
        <w:rPr>
          <w:rFonts w:ascii="Times New Roman" w:eastAsia="Times New Roman" w:hAnsi="Times New Roman" w:cs="Times New Roman"/>
          <w:kern w:val="0"/>
          <w:sz w:val="36"/>
          <w:szCs w:val="36"/>
          <w:lang w:eastAsia="en-GB"/>
          <w14:ligatures w14:val="none"/>
        </w:rPr>
      </w:pPr>
      <w:r w:rsidRPr="00AC254F">
        <w:rPr>
          <w:rFonts w:ascii="Times New Roman" w:eastAsia="Times New Roman" w:hAnsi="Times New Roman" w:cs="Times New Roman"/>
          <w:kern w:val="0"/>
          <w:sz w:val="36"/>
          <w:szCs w:val="36"/>
          <w:lang w:eastAsia="en-GB"/>
          <w14:ligatures w14:val="none"/>
        </w:rPr>
        <w:t>Bibliography</w:t>
      </w:r>
    </w:p>
    <w:p w14:paraId="4B0C05AF"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05/20/2001 23:00:00. “Equity.” </w:t>
      </w:r>
      <w:r w:rsidRPr="00AC254F">
        <w:rPr>
          <w:rFonts w:ascii="Times New Roman" w:eastAsia="Times New Roman" w:hAnsi="Times New Roman" w:cs="Times New Roman"/>
          <w:i/>
          <w:iCs/>
          <w:kern w:val="0"/>
          <w:sz w:val="24"/>
          <w:szCs w:val="24"/>
          <w:lang w:eastAsia="en-GB"/>
          <w14:ligatures w14:val="none"/>
        </w:rPr>
        <w:t>Law Gazette</w:t>
      </w:r>
      <w:r w:rsidRPr="00AC254F">
        <w:rPr>
          <w:rFonts w:ascii="Times New Roman" w:eastAsia="Times New Roman" w:hAnsi="Times New Roman" w:cs="Times New Roman"/>
          <w:kern w:val="0"/>
          <w:sz w:val="24"/>
          <w:szCs w:val="24"/>
          <w:lang w:eastAsia="en-GB"/>
          <w14:ligatures w14:val="none"/>
        </w:rPr>
        <w:t>, 15 Mar. 2024, www.lawgazette.co.uk/news/equity/33535.article. Accessed 15 Mar. 2024.</w:t>
      </w:r>
    </w:p>
    <w:p w14:paraId="2742DF19"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 xml:space="preserve">Attorney General of Hong Kong v Reid and </w:t>
      </w:r>
      <w:proofErr w:type="gramStart"/>
      <w:r w:rsidRPr="00AC254F">
        <w:rPr>
          <w:rFonts w:ascii="Times New Roman" w:eastAsia="Times New Roman" w:hAnsi="Times New Roman" w:cs="Times New Roman"/>
          <w:i/>
          <w:iCs/>
          <w:kern w:val="0"/>
          <w:sz w:val="24"/>
          <w:szCs w:val="24"/>
          <w:lang w:eastAsia="en-GB"/>
          <w14:ligatures w14:val="none"/>
        </w:rPr>
        <w:t xml:space="preserve">Others </w:t>
      </w:r>
      <w:r w:rsidRPr="00AC254F">
        <w:rPr>
          <w:rFonts w:ascii="Times New Roman" w:eastAsia="Times New Roman" w:hAnsi="Times New Roman" w:cs="Times New Roman"/>
          <w:kern w:val="0"/>
          <w:sz w:val="24"/>
          <w:szCs w:val="24"/>
          <w:lang w:eastAsia="en-GB"/>
          <w14:ligatures w14:val="none"/>
        </w:rPr>
        <w:t>.</w:t>
      </w:r>
      <w:proofErr w:type="gramEnd"/>
      <w:r w:rsidRPr="00AC254F">
        <w:rPr>
          <w:rFonts w:ascii="Times New Roman" w:eastAsia="Times New Roman" w:hAnsi="Times New Roman" w:cs="Times New Roman"/>
          <w:kern w:val="0"/>
          <w:sz w:val="24"/>
          <w:szCs w:val="24"/>
          <w:lang w:eastAsia="en-GB"/>
          <w14:ligatures w14:val="none"/>
        </w:rPr>
        <w:t xml:space="preserve"> 1993, plus-lexis-com.ezproxy.uwtsd.ac.uk/uk/cases-uk/attorney-general-of-hong-kong-v-reid-and-othe/?crid=4cb0b8ab-9144-4862-8370-99ca7b6eea39. Accessed 15 Mar. 2024.</w:t>
      </w:r>
    </w:p>
    <w:p w14:paraId="4B757CD3"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“Chancery Amendment Act 1858.” </w:t>
      </w:r>
      <w:r w:rsidRPr="00AC254F">
        <w:rPr>
          <w:rFonts w:ascii="Times New Roman" w:eastAsia="Times New Roman" w:hAnsi="Times New Roman" w:cs="Times New Roman"/>
          <w:i/>
          <w:iCs/>
          <w:kern w:val="0"/>
          <w:sz w:val="24"/>
          <w:szCs w:val="24"/>
          <w:lang w:eastAsia="en-GB"/>
          <w14:ligatures w14:val="none"/>
        </w:rPr>
        <w:t>Www.irishstatutebook.ie</w:t>
      </w:r>
      <w:r w:rsidRPr="00AC254F">
        <w:rPr>
          <w:rFonts w:ascii="Times New Roman" w:eastAsia="Times New Roman" w:hAnsi="Times New Roman" w:cs="Times New Roman"/>
          <w:kern w:val="0"/>
          <w:sz w:val="24"/>
          <w:szCs w:val="24"/>
          <w:lang w:eastAsia="en-GB"/>
          <w14:ligatures w14:val="none"/>
        </w:rPr>
        <w:t>, www.irishstatutebook.ie/eli/1858/act/27/enacted/en/print.html. Accessed 15 Mar. 2024.</w:t>
      </w:r>
    </w:p>
    <w:p w14:paraId="75429413"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Clements, Richard, and Ademola Abass. </w:t>
      </w:r>
      <w:r w:rsidRPr="00AC254F">
        <w:rPr>
          <w:rFonts w:ascii="Times New Roman" w:eastAsia="Times New Roman" w:hAnsi="Times New Roman" w:cs="Times New Roman"/>
          <w:i/>
          <w:iCs/>
          <w:kern w:val="0"/>
          <w:sz w:val="24"/>
          <w:szCs w:val="24"/>
          <w:lang w:eastAsia="en-GB"/>
          <w14:ligatures w14:val="none"/>
        </w:rPr>
        <w:t>Complete Equity and Trusts Text, Cases, and Materials</w:t>
      </w:r>
      <w:r w:rsidRPr="00AC254F">
        <w:rPr>
          <w:rFonts w:ascii="Times New Roman" w:eastAsia="Times New Roman" w:hAnsi="Times New Roman" w:cs="Times New Roman"/>
          <w:kern w:val="0"/>
          <w:sz w:val="24"/>
          <w:szCs w:val="24"/>
          <w:lang w:eastAsia="en-GB"/>
          <w14:ligatures w14:val="none"/>
        </w:rPr>
        <w:t>. Oxford University Press, 2015.</w:t>
      </w:r>
    </w:p>
    <w:p w14:paraId="16378C8C"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“Common Law Procedure Act 1854.” </w:t>
      </w:r>
      <w:r w:rsidRPr="00AC254F">
        <w:rPr>
          <w:rFonts w:ascii="Times New Roman" w:eastAsia="Times New Roman" w:hAnsi="Times New Roman" w:cs="Times New Roman"/>
          <w:i/>
          <w:iCs/>
          <w:kern w:val="0"/>
          <w:sz w:val="24"/>
          <w:szCs w:val="24"/>
          <w:lang w:eastAsia="en-GB"/>
          <w14:ligatures w14:val="none"/>
        </w:rPr>
        <w:t>Legislation.gov.uk</w:t>
      </w:r>
      <w:r w:rsidRPr="00AC254F">
        <w:rPr>
          <w:rFonts w:ascii="Times New Roman" w:eastAsia="Times New Roman" w:hAnsi="Times New Roman" w:cs="Times New Roman"/>
          <w:kern w:val="0"/>
          <w:sz w:val="24"/>
          <w:szCs w:val="24"/>
          <w:lang w:eastAsia="en-GB"/>
          <w14:ligatures w14:val="none"/>
        </w:rPr>
        <w:t>, 2024, www.legislation.gov.uk/ukpga/Vict/17-18/125/enacted#:~:text=An%20Act%20for%20the%20further. Accessed 15 Mar. 2024.</w:t>
      </w:r>
    </w:p>
    <w:p w14:paraId="6C17A335"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Cook v Fountain [1676]</w:t>
      </w:r>
      <w:r w:rsidRPr="00AC254F">
        <w:rPr>
          <w:rFonts w:ascii="Times New Roman" w:eastAsia="Times New Roman" w:hAnsi="Times New Roman" w:cs="Times New Roman"/>
          <w:kern w:val="0"/>
          <w:sz w:val="24"/>
          <w:szCs w:val="24"/>
          <w:lang w:eastAsia="en-GB"/>
          <w14:ligatures w14:val="none"/>
        </w:rPr>
        <w:t>. plus-lexis-com.ezproxy.uwtsd.ac.uk/uk/cases-uk/cook-v-fountain_2/?crid=db390676-2912-482d-8ece-2c763cfabd57.</w:t>
      </w:r>
    </w:p>
    <w:p w14:paraId="61DD2BFA"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Earl of Oxford’s Case [1615]</w:t>
      </w:r>
      <w:r w:rsidRPr="00AC254F">
        <w:rPr>
          <w:rFonts w:ascii="Times New Roman" w:eastAsia="Times New Roman" w:hAnsi="Times New Roman" w:cs="Times New Roman"/>
          <w:kern w:val="0"/>
          <w:sz w:val="24"/>
          <w:szCs w:val="24"/>
          <w:lang w:eastAsia="en-GB"/>
          <w14:ligatures w14:val="none"/>
        </w:rPr>
        <w:t>. plus-lexis-com.ezproxy.uwtsd.ac.uk/uk/cases-uk/oxfords-earl-case/?crid=a0d08591-91b7-45b0-9ee0-d12e162ccab3. Accessed 15 Mar. 2024.</w:t>
      </w:r>
    </w:p>
    <w:p w14:paraId="7CECFC3E"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lastRenderedPageBreak/>
        <w:t xml:space="preserve">Equity’s </w:t>
      </w:r>
      <w:proofErr w:type="gramStart"/>
      <w:r w:rsidRPr="00AC254F">
        <w:rPr>
          <w:rFonts w:ascii="Times New Roman" w:eastAsia="Times New Roman" w:hAnsi="Times New Roman" w:cs="Times New Roman"/>
          <w:i/>
          <w:iCs/>
          <w:kern w:val="0"/>
          <w:sz w:val="24"/>
          <w:szCs w:val="24"/>
          <w:lang w:eastAsia="en-GB"/>
          <w14:ligatures w14:val="none"/>
        </w:rPr>
        <w:t>Jurisdiction</w:t>
      </w:r>
      <w:proofErr w:type="gramEnd"/>
      <w:r w:rsidRPr="00AC254F">
        <w:rPr>
          <w:rFonts w:ascii="Times New Roman" w:eastAsia="Times New Roman" w:hAnsi="Times New Roman" w:cs="Times New Roman"/>
          <w:i/>
          <w:iCs/>
          <w:kern w:val="0"/>
          <w:sz w:val="24"/>
          <w:szCs w:val="24"/>
          <w:lang w:eastAsia="en-GB"/>
          <w14:ligatures w14:val="none"/>
        </w:rPr>
        <w:t>.</w:t>
      </w:r>
      <w:r w:rsidRPr="00AC254F">
        <w:rPr>
          <w:rFonts w:ascii="Times New Roman" w:eastAsia="Times New Roman" w:hAnsi="Times New Roman" w:cs="Times New Roman"/>
          <w:kern w:val="0"/>
          <w:sz w:val="24"/>
          <w:szCs w:val="24"/>
          <w:lang w:eastAsia="en-GB"/>
          <w14:ligatures w14:val="none"/>
        </w:rPr>
        <w:t xml:space="preserve"> plus-lexis-com.ezproxy.uwtsd.ac.uk/uk/document/?pdmfid=1001073&amp;crid=2da98fb5-d04a-4ead-9a45-42f4077b87f7&amp;pddocfullpath=%2Fshared%2Fdocument%2Fforms-uk%2</w:t>
      </w:r>
      <w:proofErr w:type="gramStart"/>
      <w:r w:rsidRPr="00AC254F">
        <w:rPr>
          <w:rFonts w:ascii="Times New Roman" w:eastAsia="Times New Roman" w:hAnsi="Times New Roman" w:cs="Times New Roman"/>
          <w:kern w:val="0"/>
          <w:sz w:val="24"/>
          <w:szCs w:val="24"/>
          <w:lang w:eastAsia="en-GB"/>
          <w14:ligatures w14:val="none"/>
        </w:rPr>
        <w:t>Furn:contentItem</w:t>
      </w:r>
      <w:proofErr w:type="gramEnd"/>
      <w:r w:rsidRPr="00AC254F">
        <w:rPr>
          <w:rFonts w:ascii="Times New Roman" w:eastAsia="Times New Roman" w:hAnsi="Times New Roman" w:cs="Times New Roman"/>
          <w:kern w:val="0"/>
          <w:sz w:val="24"/>
          <w:szCs w:val="24"/>
          <w:lang w:eastAsia="en-GB"/>
          <w14:ligatures w14:val="none"/>
        </w:rPr>
        <w:t>:8V4D-SW62-8T41-D2GC-00000-00&amp;pdcontentcomponentid=230847&amp;pdteaserkey=&amp;pdislpamode=false&amp;pddocumentnumber=1&amp;ecomp=dt5k&amp;earg=sr0&amp;prid=42f8c8cd-4ea8-4def-927f-d74344837270.</w:t>
      </w:r>
    </w:p>
    <w:p w14:paraId="2A95E257"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 xml:space="preserve">Frederic E Rose (London) LTD v William H </w:t>
      </w:r>
      <w:proofErr w:type="spellStart"/>
      <w:r w:rsidRPr="00AC254F">
        <w:rPr>
          <w:rFonts w:ascii="Times New Roman" w:eastAsia="Times New Roman" w:hAnsi="Times New Roman" w:cs="Times New Roman"/>
          <w:i/>
          <w:iCs/>
          <w:kern w:val="0"/>
          <w:sz w:val="24"/>
          <w:szCs w:val="24"/>
          <w:lang w:eastAsia="en-GB"/>
          <w14:ligatures w14:val="none"/>
        </w:rPr>
        <w:t>Pim</w:t>
      </w:r>
      <w:proofErr w:type="spellEnd"/>
      <w:r w:rsidRPr="00AC254F">
        <w:rPr>
          <w:rFonts w:ascii="Times New Roman" w:eastAsia="Times New Roman" w:hAnsi="Times New Roman" w:cs="Times New Roman"/>
          <w:i/>
          <w:iCs/>
          <w:kern w:val="0"/>
          <w:sz w:val="24"/>
          <w:szCs w:val="24"/>
          <w:lang w:eastAsia="en-GB"/>
          <w14:ligatures w14:val="none"/>
        </w:rPr>
        <w:t xml:space="preserve"> Junior and Co LTD 1953 2 [QB] 450</w:t>
      </w:r>
      <w:r w:rsidRPr="00AC254F">
        <w:rPr>
          <w:rFonts w:ascii="Times New Roman" w:eastAsia="Times New Roman" w:hAnsi="Times New Roman" w:cs="Times New Roman"/>
          <w:kern w:val="0"/>
          <w:sz w:val="24"/>
          <w:szCs w:val="24"/>
          <w:lang w:eastAsia="en-GB"/>
          <w14:ligatures w14:val="none"/>
        </w:rPr>
        <w:t>. ipsaloquitur.com/contract-law/cases/frederick-e-rose-london-v-william-h-pim-junior/.</w:t>
      </w:r>
    </w:p>
    <w:p w14:paraId="5318FB58"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Human Rights Act 1998. “Human Rights Act 1998.” </w:t>
      </w:r>
      <w:r w:rsidRPr="00AC254F">
        <w:rPr>
          <w:rFonts w:ascii="Times New Roman" w:eastAsia="Times New Roman" w:hAnsi="Times New Roman" w:cs="Times New Roman"/>
          <w:i/>
          <w:iCs/>
          <w:kern w:val="0"/>
          <w:sz w:val="24"/>
          <w:szCs w:val="24"/>
          <w:lang w:eastAsia="en-GB"/>
          <w14:ligatures w14:val="none"/>
        </w:rPr>
        <w:t>Legislation.gov.uk</w:t>
      </w:r>
      <w:r w:rsidRPr="00AC254F">
        <w:rPr>
          <w:rFonts w:ascii="Times New Roman" w:eastAsia="Times New Roman" w:hAnsi="Times New Roman" w:cs="Times New Roman"/>
          <w:kern w:val="0"/>
          <w:sz w:val="24"/>
          <w:szCs w:val="24"/>
          <w:lang w:eastAsia="en-GB"/>
          <w14:ligatures w14:val="none"/>
        </w:rPr>
        <w:t>, 1998, www.legislation.gov.uk/ukpga/1998/42/contents.</w:t>
      </w:r>
    </w:p>
    <w:p w14:paraId="006F53B6"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Paul v Constance</w:t>
      </w:r>
      <w:r w:rsidRPr="00AC254F">
        <w:rPr>
          <w:rFonts w:ascii="Times New Roman" w:eastAsia="Times New Roman" w:hAnsi="Times New Roman" w:cs="Times New Roman"/>
          <w:kern w:val="0"/>
          <w:sz w:val="24"/>
          <w:szCs w:val="24"/>
          <w:lang w:eastAsia="en-GB"/>
          <w14:ligatures w14:val="none"/>
        </w:rPr>
        <w:t>. 1977, plus-lexis-com.ezproxy.uwtsd.ac.uk/uk/cases-uk/paul-v-constance/?crid=432a6cb9-c7e3-435a-af76-c811e441407d. Accessed 15 Mar. 2024.</w:t>
      </w:r>
    </w:p>
    <w:p w14:paraId="49EB2071"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 xml:space="preserve">Penn v. Lord </w:t>
      </w:r>
      <w:proofErr w:type="gramStart"/>
      <w:r w:rsidRPr="00AC254F">
        <w:rPr>
          <w:rFonts w:ascii="Times New Roman" w:eastAsia="Times New Roman" w:hAnsi="Times New Roman" w:cs="Times New Roman"/>
          <w:i/>
          <w:iCs/>
          <w:kern w:val="0"/>
          <w:sz w:val="24"/>
          <w:szCs w:val="24"/>
          <w:lang w:eastAsia="en-GB"/>
          <w14:ligatures w14:val="none"/>
        </w:rPr>
        <w:t xml:space="preserve">Baltimore </w:t>
      </w:r>
      <w:r w:rsidRPr="00AC254F">
        <w:rPr>
          <w:rFonts w:ascii="Times New Roman" w:eastAsia="Times New Roman" w:hAnsi="Times New Roman" w:cs="Times New Roman"/>
          <w:kern w:val="0"/>
          <w:sz w:val="24"/>
          <w:szCs w:val="24"/>
          <w:lang w:eastAsia="en-GB"/>
          <w14:ligatures w14:val="none"/>
        </w:rPr>
        <w:t>.</w:t>
      </w:r>
      <w:proofErr w:type="gramEnd"/>
      <w:r w:rsidRPr="00AC254F">
        <w:rPr>
          <w:rFonts w:ascii="Times New Roman" w:eastAsia="Times New Roman" w:hAnsi="Times New Roman" w:cs="Times New Roman"/>
          <w:kern w:val="0"/>
          <w:sz w:val="24"/>
          <w:szCs w:val="24"/>
          <w:lang w:eastAsia="en-GB"/>
          <w14:ligatures w14:val="none"/>
        </w:rPr>
        <w:t xml:space="preserve"> 1750.</w:t>
      </w:r>
    </w:p>
    <w:p w14:paraId="5C487926"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Ramjohn, Mohamed. </w:t>
      </w:r>
      <w:proofErr w:type="spellStart"/>
      <w:r w:rsidRPr="00AC254F">
        <w:rPr>
          <w:rFonts w:ascii="Times New Roman" w:eastAsia="Times New Roman" w:hAnsi="Times New Roman" w:cs="Times New Roman"/>
          <w:i/>
          <w:iCs/>
          <w:kern w:val="0"/>
          <w:sz w:val="24"/>
          <w:szCs w:val="24"/>
          <w:lang w:eastAsia="en-GB"/>
          <w14:ligatures w14:val="none"/>
        </w:rPr>
        <w:t>Q&amp;a</w:t>
      </w:r>
      <w:proofErr w:type="spellEnd"/>
      <w:r w:rsidRPr="00AC254F">
        <w:rPr>
          <w:rFonts w:ascii="Times New Roman" w:eastAsia="Times New Roman" w:hAnsi="Times New Roman" w:cs="Times New Roman"/>
          <w:i/>
          <w:iCs/>
          <w:kern w:val="0"/>
          <w:sz w:val="24"/>
          <w:szCs w:val="24"/>
          <w:lang w:eastAsia="en-GB"/>
          <w14:ligatures w14:val="none"/>
        </w:rPr>
        <w:t xml:space="preserve"> Equity and Trusts 2009-2010</w:t>
      </w:r>
      <w:r w:rsidRPr="00AC254F">
        <w:rPr>
          <w:rFonts w:ascii="Times New Roman" w:eastAsia="Times New Roman" w:hAnsi="Times New Roman" w:cs="Times New Roman"/>
          <w:kern w:val="0"/>
          <w:sz w:val="24"/>
          <w:szCs w:val="24"/>
          <w:lang w:eastAsia="en-GB"/>
          <w14:ligatures w14:val="none"/>
        </w:rPr>
        <w:t>. Routledge, 2 June 2009.</w:t>
      </w:r>
    </w:p>
    <w:p w14:paraId="635C93E6"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Riches, Judith. </w:t>
      </w:r>
      <w:r w:rsidRPr="00AC254F">
        <w:rPr>
          <w:rFonts w:ascii="Times New Roman" w:eastAsia="Times New Roman" w:hAnsi="Times New Roman" w:cs="Times New Roman"/>
          <w:i/>
          <w:iCs/>
          <w:kern w:val="0"/>
          <w:sz w:val="24"/>
          <w:szCs w:val="24"/>
          <w:lang w:eastAsia="en-GB"/>
          <w14:ligatures w14:val="none"/>
        </w:rPr>
        <w:t>Optimize Equity and Trusts</w:t>
      </w:r>
      <w:r w:rsidRPr="00AC254F">
        <w:rPr>
          <w:rFonts w:ascii="Times New Roman" w:eastAsia="Times New Roman" w:hAnsi="Times New Roman" w:cs="Times New Roman"/>
          <w:kern w:val="0"/>
          <w:sz w:val="24"/>
          <w:szCs w:val="24"/>
          <w:lang w:eastAsia="en-GB"/>
          <w14:ligatures w14:val="none"/>
        </w:rPr>
        <w:t>. Routledge, 3 Feb. 2014.</w:t>
      </w:r>
    </w:p>
    <w:p w14:paraId="71A2CA60"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“The Doctrine of Walsh v Lonsdale.” </w:t>
      </w:r>
      <w:r w:rsidRPr="00AC254F">
        <w:rPr>
          <w:rFonts w:ascii="Times New Roman" w:eastAsia="Times New Roman" w:hAnsi="Times New Roman" w:cs="Times New Roman"/>
          <w:i/>
          <w:iCs/>
          <w:kern w:val="0"/>
          <w:sz w:val="24"/>
          <w:szCs w:val="24"/>
          <w:lang w:eastAsia="en-GB"/>
          <w14:ligatures w14:val="none"/>
        </w:rPr>
        <w:t>Uwtsd.ac.uk</w:t>
      </w:r>
      <w:r w:rsidRPr="00AC254F">
        <w:rPr>
          <w:rFonts w:ascii="Times New Roman" w:eastAsia="Times New Roman" w:hAnsi="Times New Roman" w:cs="Times New Roman"/>
          <w:kern w:val="0"/>
          <w:sz w:val="24"/>
          <w:szCs w:val="24"/>
          <w:lang w:eastAsia="en-GB"/>
          <w14:ligatures w14:val="none"/>
        </w:rPr>
        <w:t>, 2024, plus-lexis-com.ezproxy.uwtsd.ac.uk/uk/analytical-materials-uk/2-the-doctrine-of-walsh-v-lonsdale/?crid=42eede75-6037-4102-bb39-962f82aefb55. Accessed 15 Mar. 2024.</w:t>
      </w:r>
    </w:p>
    <w:p w14:paraId="0D3AAD54"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UK Parliament. “The Judicature Acts of 1873 and 1875.” </w:t>
      </w:r>
      <w:r w:rsidRPr="00AC254F">
        <w:rPr>
          <w:rFonts w:ascii="Times New Roman" w:eastAsia="Times New Roman" w:hAnsi="Times New Roman" w:cs="Times New Roman"/>
          <w:i/>
          <w:iCs/>
          <w:kern w:val="0"/>
          <w:sz w:val="24"/>
          <w:szCs w:val="24"/>
          <w:lang w:eastAsia="en-GB"/>
          <w14:ligatures w14:val="none"/>
        </w:rPr>
        <w:t>UK Parliament</w:t>
      </w:r>
      <w:r w:rsidRPr="00AC254F">
        <w:rPr>
          <w:rFonts w:ascii="Times New Roman" w:eastAsia="Times New Roman" w:hAnsi="Times New Roman" w:cs="Times New Roman"/>
          <w:kern w:val="0"/>
          <w:sz w:val="24"/>
          <w:szCs w:val="24"/>
          <w:lang w:eastAsia="en-GB"/>
          <w14:ligatures w14:val="none"/>
        </w:rPr>
        <w:t>, 2019, www.parliament.uk/about/living-heritage/transformingsociety/laworder/court/overview/judicatureacts/.</w:t>
      </w:r>
    </w:p>
    <w:p w14:paraId="1F182B16"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i/>
          <w:iCs/>
          <w:kern w:val="0"/>
          <w:sz w:val="24"/>
          <w:szCs w:val="24"/>
          <w:lang w:eastAsia="en-GB"/>
          <w14:ligatures w14:val="none"/>
        </w:rPr>
        <w:t xml:space="preserve">Walsh v </w:t>
      </w:r>
      <w:proofErr w:type="gramStart"/>
      <w:r w:rsidRPr="00AC254F">
        <w:rPr>
          <w:rFonts w:ascii="Times New Roman" w:eastAsia="Times New Roman" w:hAnsi="Times New Roman" w:cs="Times New Roman"/>
          <w:i/>
          <w:iCs/>
          <w:kern w:val="0"/>
          <w:sz w:val="24"/>
          <w:szCs w:val="24"/>
          <w:lang w:eastAsia="en-GB"/>
          <w14:ligatures w14:val="none"/>
        </w:rPr>
        <w:t>Lonsdale[</w:t>
      </w:r>
      <w:proofErr w:type="gramEnd"/>
      <w:r w:rsidRPr="00AC254F">
        <w:rPr>
          <w:rFonts w:ascii="Times New Roman" w:eastAsia="Times New Roman" w:hAnsi="Times New Roman" w:cs="Times New Roman"/>
          <w:i/>
          <w:iCs/>
          <w:kern w:val="0"/>
          <w:sz w:val="24"/>
          <w:szCs w:val="24"/>
          <w:lang w:eastAsia="en-GB"/>
          <w14:ligatures w14:val="none"/>
        </w:rPr>
        <w:t>1882]</w:t>
      </w:r>
      <w:r w:rsidRPr="00AC254F">
        <w:rPr>
          <w:rFonts w:ascii="Times New Roman" w:eastAsia="Times New Roman" w:hAnsi="Times New Roman" w:cs="Times New Roman"/>
          <w:kern w:val="0"/>
          <w:sz w:val="24"/>
          <w:szCs w:val="24"/>
          <w:lang w:eastAsia="en-GB"/>
          <w14:ligatures w14:val="none"/>
        </w:rPr>
        <w:t>. www.lawteacher.net/cases/walsh-v-lonsdale-1882.php.</w:t>
      </w:r>
    </w:p>
    <w:p w14:paraId="7D39ADFA"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Watt, Gary. </w:t>
      </w:r>
      <w:r w:rsidRPr="00AC254F">
        <w:rPr>
          <w:rFonts w:ascii="Times New Roman" w:eastAsia="Times New Roman" w:hAnsi="Times New Roman" w:cs="Times New Roman"/>
          <w:i/>
          <w:iCs/>
          <w:kern w:val="0"/>
          <w:sz w:val="24"/>
          <w:szCs w:val="24"/>
          <w:lang w:eastAsia="en-GB"/>
          <w14:ligatures w14:val="none"/>
        </w:rPr>
        <w:t>Cases et Materials on Equity et Trusts</w:t>
      </w:r>
      <w:r w:rsidRPr="00AC254F">
        <w:rPr>
          <w:rFonts w:ascii="Times New Roman" w:eastAsia="Times New Roman" w:hAnsi="Times New Roman" w:cs="Times New Roman"/>
          <w:kern w:val="0"/>
          <w:sz w:val="24"/>
          <w:szCs w:val="24"/>
          <w:lang w:eastAsia="en-GB"/>
          <w14:ligatures w14:val="none"/>
        </w:rPr>
        <w:t xml:space="preserve">. Oxford </w:t>
      </w:r>
      <w:proofErr w:type="spellStart"/>
      <w:r w:rsidRPr="00AC254F">
        <w:rPr>
          <w:rFonts w:ascii="Times New Roman" w:eastAsia="Times New Roman" w:hAnsi="Times New Roman" w:cs="Times New Roman"/>
          <w:kern w:val="0"/>
          <w:sz w:val="24"/>
          <w:szCs w:val="24"/>
          <w:lang w:eastAsia="en-GB"/>
          <w14:ligatures w14:val="none"/>
        </w:rPr>
        <w:t>Oxford</w:t>
      </w:r>
      <w:proofErr w:type="spellEnd"/>
      <w:r w:rsidRPr="00AC254F">
        <w:rPr>
          <w:rFonts w:ascii="Times New Roman" w:eastAsia="Times New Roman" w:hAnsi="Times New Roman" w:cs="Times New Roman"/>
          <w:kern w:val="0"/>
          <w:sz w:val="24"/>
          <w:szCs w:val="24"/>
          <w:lang w:eastAsia="en-GB"/>
          <w14:ligatures w14:val="none"/>
        </w:rPr>
        <w:t xml:space="preserve"> University Press, 2016.</w:t>
      </w:r>
    </w:p>
    <w:p w14:paraId="28D4387F"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 </w:t>
      </w:r>
      <w:r w:rsidRPr="00AC254F">
        <w:rPr>
          <w:rFonts w:ascii="Times New Roman" w:eastAsia="Times New Roman" w:hAnsi="Times New Roman" w:cs="Times New Roman"/>
          <w:i/>
          <w:iCs/>
          <w:kern w:val="0"/>
          <w:sz w:val="24"/>
          <w:szCs w:val="24"/>
          <w:lang w:eastAsia="en-GB"/>
          <w14:ligatures w14:val="none"/>
        </w:rPr>
        <w:t>Equity &amp; Trusts Law</w:t>
      </w:r>
      <w:r w:rsidRPr="00AC254F">
        <w:rPr>
          <w:rFonts w:ascii="Times New Roman" w:eastAsia="Times New Roman" w:hAnsi="Times New Roman" w:cs="Times New Roman"/>
          <w:kern w:val="0"/>
          <w:sz w:val="24"/>
          <w:szCs w:val="24"/>
          <w:lang w:eastAsia="en-GB"/>
          <w14:ligatures w14:val="none"/>
        </w:rPr>
        <w:t>. 7th ed., Oxford, Oxford University Press, 2021.</w:t>
      </w:r>
    </w:p>
    <w:p w14:paraId="70883088"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lastRenderedPageBreak/>
        <w:t xml:space="preserve">---. </w:t>
      </w:r>
      <w:r w:rsidRPr="00AC254F">
        <w:rPr>
          <w:rFonts w:ascii="Times New Roman" w:eastAsia="Times New Roman" w:hAnsi="Times New Roman" w:cs="Times New Roman"/>
          <w:i/>
          <w:iCs/>
          <w:kern w:val="0"/>
          <w:sz w:val="24"/>
          <w:szCs w:val="24"/>
          <w:lang w:eastAsia="en-GB"/>
          <w14:ligatures w14:val="none"/>
        </w:rPr>
        <w:t>Trusts &amp; Equity</w:t>
      </w:r>
      <w:r w:rsidRPr="00AC254F">
        <w:rPr>
          <w:rFonts w:ascii="Times New Roman" w:eastAsia="Times New Roman" w:hAnsi="Times New Roman" w:cs="Times New Roman"/>
          <w:kern w:val="0"/>
          <w:sz w:val="24"/>
          <w:szCs w:val="24"/>
          <w:lang w:eastAsia="en-GB"/>
          <w14:ligatures w14:val="none"/>
        </w:rPr>
        <w:t xml:space="preserve">. 9th ed., Oxford, United </w:t>
      </w:r>
      <w:proofErr w:type="gramStart"/>
      <w:r w:rsidRPr="00AC254F">
        <w:rPr>
          <w:rFonts w:ascii="Times New Roman" w:eastAsia="Times New Roman" w:hAnsi="Times New Roman" w:cs="Times New Roman"/>
          <w:kern w:val="0"/>
          <w:sz w:val="24"/>
          <w:szCs w:val="24"/>
          <w:lang w:eastAsia="en-GB"/>
          <w14:ligatures w14:val="none"/>
        </w:rPr>
        <w:t>Kingdom ;</w:t>
      </w:r>
      <w:proofErr w:type="gramEnd"/>
      <w:r w:rsidRPr="00AC254F">
        <w:rPr>
          <w:rFonts w:ascii="Times New Roman" w:eastAsia="Times New Roman" w:hAnsi="Times New Roman" w:cs="Times New Roman"/>
          <w:kern w:val="0"/>
          <w:sz w:val="24"/>
          <w:szCs w:val="24"/>
          <w:lang w:eastAsia="en-GB"/>
          <w14:ligatures w14:val="none"/>
        </w:rPr>
        <w:t xml:space="preserve"> New York, Ny, Oxford University Press, 2020.</w:t>
      </w:r>
    </w:p>
    <w:p w14:paraId="33BACDCA"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Wilkie, Margaret, et al. </w:t>
      </w:r>
      <w:r w:rsidRPr="00AC254F">
        <w:rPr>
          <w:rFonts w:ascii="Times New Roman" w:eastAsia="Times New Roman" w:hAnsi="Times New Roman" w:cs="Times New Roman"/>
          <w:i/>
          <w:iCs/>
          <w:kern w:val="0"/>
          <w:sz w:val="24"/>
          <w:szCs w:val="24"/>
          <w:lang w:eastAsia="en-GB"/>
          <w14:ligatures w14:val="none"/>
        </w:rPr>
        <w:t>Q and A: Equity and Trusts 2008 and 2009</w:t>
      </w:r>
      <w:r w:rsidRPr="00AC254F">
        <w:rPr>
          <w:rFonts w:ascii="Times New Roman" w:eastAsia="Times New Roman" w:hAnsi="Times New Roman" w:cs="Times New Roman"/>
          <w:kern w:val="0"/>
          <w:sz w:val="24"/>
          <w:szCs w:val="24"/>
          <w:lang w:eastAsia="en-GB"/>
          <w14:ligatures w14:val="none"/>
        </w:rPr>
        <w:t>. Blackstone Press, 2008.</w:t>
      </w:r>
    </w:p>
    <w:p w14:paraId="207585F1" w14:textId="77777777" w:rsidR="00AC254F" w:rsidRPr="00AC254F" w:rsidRDefault="00AC254F" w:rsidP="00AC254F">
      <w:pPr>
        <w:pStyle w:val="ListParagraph"/>
        <w:numPr>
          <w:ilvl w:val="0"/>
          <w:numId w:val="2"/>
        </w:numPr>
        <w:spacing w:after="0" w:line="480" w:lineRule="auto"/>
        <w:rPr>
          <w:rFonts w:ascii="Times New Roman" w:eastAsia="Times New Roman" w:hAnsi="Times New Roman" w:cs="Times New Roman"/>
          <w:kern w:val="0"/>
          <w:sz w:val="24"/>
          <w:szCs w:val="24"/>
          <w:lang w:eastAsia="en-GB"/>
          <w14:ligatures w14:val="none"/>
        </w:rPr>
      </w:pPr>
      <w:r w:rsidRPr="00AC254F">
        <w:rPr>
          <w:rFonts w:ascii="Times New Roman" w:eastAsia="Times New Roman" w:hAnsi="Times New Roman" w:cs="Times New Roman"/>
          <w:kern w:val="0"/>
          <w:sz w:val="24"/>
          <w:szCs w:val="24"/>
          <w:lang w:eastAsia="en-GB"/>
          <w14:ligatures w14:val="none"/>
        </w:rPr>
        <w:t xml:space="preserve">Wilson, Sarah, and Paul Todd. </w:t>
      </w:r>
      <w:r w:rsidRPr="00AC254F">
        <w:rPr>
          <w:rFonts w:ascii="Times New Roman" w:eastAsia="Times New Roman" w:hAnsi="Times New Roman" w:cs="Times New Roman"/>
          <w:i/>
          <w:iCs/>
          <w:kern w:val="0"/>
          <w:sz w:val="24"/>
          <w:szCs w:val="24"/>
          <w:lang w:eastAsia="en-GB"/>
          <w14:ligatures w14:val="none"/>
        </w:rPr>
        <w:t>Todd &amp; Wilson’s Textbook on Trusts &amp; Equity.</w:t>
      </w:r>
      <w:r w:rsidRPr="00AC254F">
        <w:rPr>
          <w:rFonts w:ascii="Times New Roman" w:eastAsia="Times New Roman" w:hAnsi="Times New Roman" w:cs="Times New Roman"/>
          <w:kern w:val="0"/>
          <w:sz w:val="24"/>
          <w:szCs w:val="24"/>
          <w:lang w:eastAsia="en-GB"/>
          <w14:ligatures w14:val="none"/>
        </w:rPr>
        <w:t xml:space="preserve"> Oxford, Oxford University Press, 2015.</w:t>
      </w:r>
    </w:p>
    <w:p w14:paraId="0215D427" w14:textId="2A8423B4" w:rsidR="00F43E06" w:rsidRPr="00F43E06" w:rsidRDefault="00F43E06" w:rsidP="00F43E06">
      <w:pPr>
        <w:rPr>
          <w:rFonts w:ascii="Times New Roman" w:eastAsia="Times New Roman" w:hAnsi="Times New Roman" w:cs="Times New Roman"/>
          <w:kern w:val="0"/>
          <w:sz w:val="24"/>
          <w:szCs w:val="24"/>
          <w:lang w:eastAsia="en-GB"/>
          <w14:ligatures w14:val="none"/>
        </w:rPr>
      </w:pPr>
    </w:p>
    <w:p w14:paraId="4C5A066A" w14:textId="1A788AC7" w:rsidR="00F43E06" w:rsidRPr="00F43E06" w:rsidRDefault="00F43E06" w:rsidP="00F43E06">
      <w:pPr>
        <w:rPr>
          <w:rFonts w:ascii="Times New Roman" w:eastAsia="Times New Roman" w:hAnsi="Times New Roman" w:cs="Times New Roman"/>
          <w:kern w:val="0"/>
          <w:sz w:val="24"/>
          <w:szCs w:val="24"/>
          <w:lang w:eastAsia="en-GB"/>
          <w14:ligatures w14:val="none"/>
        </w:rPr>
      </w:pPr>
    </w:p>
    <w:p w14:paraId="6F29B0D2" w14:textId="34B4E1F5" w:rsidR="00F43E06" w:rsidRPr="00F43E06" w:rsidRDefault="00F43E06" w:rsidP="00F43E06">
      <w:pPr>
        <w:rPr>
          <w:rFonts w:ascii="Times New Roman" w:eastAsia="Times New Roman" w:hAnsi="Times New Roman" w:cs="Times New Roman"/>
          <w:kern w:val="0"/>
          <w:sz w:val="24"/>
          <w:szCs w:val="24"/>
          <w:lang w:eastAsia="en-GB"/>
          <w14:ligatures w14:val="none"/>
        </w:rPr>
      </w:pPr>
    </w:p>
    <w:p w14:paraId="728FCE11" w14:textId="2D714BDF" w:rsidR="00F43E06" w:rsidRPr="00F43E06" w:rsidRDefault="00F43E06" w:rsidP="00F43E06">
      <w:pPr>
        <w:spacing w:after="240" w:line="240" w:lineRule="auto"/>
        <w:rPr>
          <w:rFonts w:ascii="Times New Roman" w:eastAsia="Times New Roman" w:hAnsi="Times New Roman" w:cs="Times New Roman"/>
          <w:kern w:val="0"/>
          <w:sz w:val="24"/>
          <w:szCs w:val="24"/>
          <w:lang w:eastAsia="en-GB"/>
          <w14:ligatures w14:val="none"/>
        </w:rPr>
      </w:pPr>
    </w:p>
    <w:p w14:paraId="4B9964D9" w14:textId="342B4136" w:rsidR="001817BE" w:rsidRPr="001817BE" w:rsidRDefault="001817BE" w:rsidP="001817BE">
      <w:pPr>
        <w:rPr>
          <w:rFonts w:ascii="Times New Roman" w:eastAsia="Times New Roman" w:hAnsi="Times New Roman" w:cs="Times New Roman"/>
          <w:kern w:val="0"/>
          <w:sz w:val="24"/>
          <w:szCs w:val="24"/>
          <w:lang w:eastAsia="en-GB"/>
          <w14:ligatures w14:val="none"/>
        </w:rPr>
      </w:pPr>
    </w:p>
    <w:p w14:paraId="5B872D06" w14:textId="56BEB1D9" w:rsidR="005B788F" w:rsidRPr="005B788F" w:rsidRDefault="005B788F" w:rsidP="005B788F">
      <w:pPr>
        <w:rPr>
          <w:rFonts w:ascii="Times New Roman" w:eastAsia="Times New Roman" w:hAnsi="Times New Roman" w:cs="Times New Roman"/>
          <w:kern w:val="0"/>
          <w:sz w:val="24"/>
          <w:szCs w:val="24"/>
          <w:lang w:eastAsia="en-GB"/>
          <w14:ligatures w14:val="none"/>
        </w:rPr>
      </w:pPr>
    </w:p>
    <w:p w14:paraId="225E127D" w14:textId="77777777" w:rsidR="005B788F" w:rsidRPr="005B788F" w:rsidRDefault="005B788F" w:rsidP="005B788F">
      <w:pPr>
        <w:rPr>
          <w:rFonts w:ascii="Times New Roman" w:eastAsia="Times New Roman" w:hAnsi="Times New Roman" w:cs="Times New Roman"/>
          <w:kern w:val="0"/>
          <w:sz w:val="24"/>
          <w:szCs w:val="24"/>
          <w:lang w:eastAsia="en-GB"/>
          <w14:ligatures w14:val="none"/>
        </w:rPr>
      </w:pPr>
    </w:p>
    <w:p w14:paraId="1E7D59E7" w14:textId="3F53FE56" w:rsidR="005B788F" w:rsidRPr="005B788F" w:rsidRDefault="005B788F" w:rsidP="005B788F">
      <w:pPr>
        <w:rPr>
          <w:rFonts w:ascii="Times New Roman" w:eastAsia="Times New Roman" w:hAnsi="Times New Roman" w:cs="Times New Roman"/>
          <w:kern w:val="0"/>
          <w:sz w:val="24"/>
          <w:szCs w:val="24"/>
          <w:lang w:eastAsia="en-GB"/>
          <w14:ligatures w14:val="none"/>
        </w:rPr>
      </w:pPr>
    </w:p>
    <w:p w14:paraId="386849AD" w14:textId="49EEA9EA" w:rsidR="005B788F" w:rsidRPr="005B788F" w:rsidRDefault="005B788F" w:rsidP="005B788F">
      <w:pPr>
        <w:rPr>
          <w:rFonts w:ascii="Times New Roman" w:eastAsia="Times New Roman" w:hAnsi="Times New Roman" w:cs="Times New Roman"/>
          <w:kern w:val="0"/>
          <w:sz w:val="24"/>
          <w:szCs w:val="24"/>
          <w:lang w:eastAsia="en-GB"/>
          <w14:ligatures w14:val="none"/>
        </w:rPr>
      </w:pPr>
    </w:p>
    <w:p w14:paraId="03AD3560" w14:textId="13DF3F1A" w:rsidR="005B788F" w:rsidRPr="005B788F" w:rsidRDefault="005B788F" w:rsidP="005B788F">
      <w:pPr>
        <w:rPr>
          <w:rFonts w:ascii="Times New Roman" w:eastAsia="Times New Roman" w:hAnsi="Times New Roman" w:cs="Times New Roman"/>
          <w:kern w:val="0"/>
          <w:sz w:val="24"/>
          <w:szCs w:val="24"/>
          <w:lang w:eastAsia="en-GB"/>
          <w14:ligatures w14:val="none"/>
        </w:rPr>
      </w:pPr>
    </w:p>
    <w:p w14:paraId="5E0DE545" w14:textId="26E563CA" w:rsidR="00CA5A8B" w:rsidRPr="00CA5A8B" w:rsidRDefault="00CA5A8B" w:rsidP="00CA5A8B">
      <w:pPr>
        <w:rPr>
          <w:rFonts w:ascii="Times New Roman" w:eastAsia="Times New Roman" w:hAnsi="Times New Roman" w:cs="Times New Roman"/>
          <w:kern w:val="0"/>
          <w:sz w:val="24"/>
          <w:szCs w:val="24"/>
          <w:lang w:eastAsia="en-GB"/>
          <w14:ligatures w14:val="none"/>
        </w:rPr>
      </w:pPr>
    </w:p>
    <w:p w14:paraId="79DF82ED" w14:textId="562165F3" w:rsidR="00CA5A8B" w:rsidRPr="00CA5A8B" w:rsidRDefault="00CA5A8B" w:rsidP="00CA5A8B">
      <w:pPr>
        <w:rPr>
          <w:rFonts w:ascii="Times New Roman" w:eastAsia="Times New Roman" w:hAnsi="Times New Roman" w:cs="Times New Roman"/>
          <w:kern w:val="0"/>
          <w:sz w:val="24"/>
          <w:szCs w:val="24"/>
          <w:lang w:eastAsia="en-GB"/>
          <w14:ligatures w14:val="none"/>
        </w:rPr>
      </w:pPr>
    </w:p>
    <w:p w14:paraId="28A51AEA" w14:textId="0EAEBA2F" w:rsidR="00EE26BF" w:rsidRDefault="00EE26BF"/>
    <w:p w14:paraId="17A27D49" w14:textId="77777777" w:rsidR="00EE26BF" w:rsidRDefault="00EE26BF"/>
    <w:sectPr w:rsidR="00EE2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6F3625"/>
    <w:multiLevelType w:val="hybridMultilevel"/>
    <w:tmpl w:val="EE68A0F4"/>
    <w:lvl w:ilvl="0" w:tplc="58201A5E">
      <w:start w:val="1"/>
      <w:numFmt w:val="bullet"/>
      <w:lvlText w:val="•"/>
      <w:lvlJc w:val="left"/>
      <w:pPr>
        <w:tabs>
          <w:tab w:val="num" w:pos="720"/>
        </w:tabs>
        <w:ind w:left="720" w:hanging="360"/>
      </w:pPr>
      <w:rPr>
        <w:rFonts w:ascii="Arial" w:hAnsi="Arial" w:hint="default"/>
      </w:rPr>
    </w:lvl>
    <w:lvl w:ilvl="1" w:tplc="0B9E1F06" w:tentative="1">
      <w:start w:val="1"/>
      <w:numFmt w:val="bullet"/>
      <w:lvlText w:val="•"/>
      <w:lvlJc w:val="left"/>
      <w:pPr>
        <w:tabs>
          <w:tab w:val="num" w:pos="1440"/>
        </w:tabs>
        <w:ind w:left="1440" w:hanging="360"/>
      </w:pPr>
      <w:rPr>
        <w:rFonts w:ascii="Arial" w:hAnsi="Arial" w:hint="default"/>
      </w:rPr>
    </w:lvl>
    <w:lvl w:ilvl="2" w:tplc="A9AA8A24" w:tentative="1">
      <w:start w:val="1"/>
      <w:numFmt w:val="bullet"/>
      <w:lvlText w:val="•"/>
      <w:lvlJc w:val="left"/>
      <w:pPr>
        <w:tabs>
          <w:tab w:val="num" w:pos="2160"/>
        </w:tabs>
        <w:ind w:left="2160" w:hanging="360"/>
      </w:pPr>
      <w:rPr>
        <w:rFonts w:ascii="Arial" w:hAnsi="Arial" w:hint="default"/>
      </w:rPr>
    </w:lvl>
    <w:lvl w:ilvl="3" w:tplc="F87C43F6" w:tentative="1">
      <w:start w:val="1"/>
      <w:numFmt w:val="bullet"/>
      <w:lvlText w:val="•"/>
      <w:lvlJc w:val="left"/>
      <w:pPr>
        <w:tabs>
          <w:tab w:val="num" w:pos="2880"/>
        </w:tabs>
        <w:ind w:left="2880" w:hanging="360"/>
      </w:pPr>
      <w:rPr>
        <w:rFonts w:ascii="Arial" w:hAnsi="Arial" w:hint="default"/>
      </w:rPr>
    </w:lvl>
    <w:lvl w:ilvl="4" w:tplc="C308B022" w:tentative="1">
      <w:start w:val="1"/>
      <w:numFmt w:val="bullet"/>
      <w:lvlText w:val="•"/>
      <w:lvlJc w:val="left"/>
      <w:pPr>
        <w:tabs>
          <w:tab w:val="num" w:pos="3600"/>
        </w:tabs>
        <w:ind w:left="3600" w:hanging="360"/>
      </w:pPr>
      <w:rPr>
        <w:rFonts w:ascii="Arial" w:hAnsi="Arial" w:hint="default"/>
      </w:rPr>
    </w:lvl>
    <w:lvl w:ilvl="5" w:tplc="74BCD590" w:tentative="1">
      <w:start w:val="1"/>
      <w:numFmt w:val="bullet"/>
      <w:lvlText w:val="•"/>
      <w:lvlJc w:val="left"/>
      <w:pPr>
        <w:tabs>
          <w:tab w:val="num" w:pos="4320"/>
        </w:tabs>
        <w:ind w:left="4320" w:hanging="360"/>
      </w:pPr>
      <w:rPr>
        <w:rFonts w:ascii="Arial" w:hAnsi="Arial" w:hint="default"/>
      </w:rPr>
    </w:lvl>
    <w:lvl w:ilvl="6" w:tplc="6DE41EE6" w:tentative="1">
      <w:start w:val="1"/>
      <w:numFmt w:val="bullet"/>
      <w:lvlText w:val="•"/>
      <w:lvlJc w:val="left"/>
      <w:pPr>
        <w:tabs>
          <w:tab w:val="num" w:pos="5040"/>
        </w:tabs>
        <w:ind w:left="5040" w:hanging="360"/>
      </w:pPr>
      <w:rPr>
        <w:rFonts w:ascii="Arial" w:hAnsi="Arial" w:hint="default"/>
      </w:rPr>
    </w:lvl>
    <w:lvl w:ilvl="7" w:tplc="A9B2A45E" w:tentative="1">
      <w:start w:val="1"/>
      <w:numFmt w:val="bullet"/>
      <w:lvlText w:val="•"/>
      <w:lvlJc w:val="left"/>
      <w:pPr>
        <w:tabs>
          <w:tab w:val="num" w:pos="5760"/>
        </w:tabs>
        <w:ind w:left="5760" w:hanging="360"/>
      </w:pPr>
      <w:rPr>
        <w:rFonts w:ascii="Arial" w:hAnsi="Arial" w:hint="default"/>
      </w:rPr>
    </w:lvl>
    <w:lvl w:ilvl="8" w:tplc="5CACA92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FF06C2"/>
    <w:multiLevelType w:val="hybridMultilevel"/>
    <w:tmpl w:val="01A80718"/>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num w:numId="1" w16cid:durableId="2042313811">
    <w:abstractNumId w:val="0"/>
  </w:num>
  <w:num w:numId="2" w16cid:durableId="489178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99"/>
    <w:rsid w:val="000673ED"/>
    <w:rsid w:val="00137738"/>
    <w:rsid w:val="001475F3"/>
    <w:rsid w:val="001817BE"/>
    <w:rsid w:val="002302B5"/>
    <w:rsid w:val="00460B1F"/>
    <w:rsid w:val="004B07E6"/>
    <w:rsid w:val="004E6ACB"/>
    <w:rsid w:val="00592914"/>
    <w:rsid w:val="005B788F"/>
    <w:rsid w:val="00643C6D"/>
    <w:rsid w:val="00824E91"/>
    <w:rsid w:val="00877C6A"/>
    <w:rsid w:val="00AA3F96"/>
    <w:rsid w:val="00AC254F"/>
    <w:rsid w:val="00AF7899"/>
    <w:rsid w:val="00B5068A"/>
    <w:rsid w:val="00CA5A8B"/>
    <w:rsid w:val="00E93702"/>
    <w:rsid w:val="00ED34A8"/>
    <w:rsid w:val="00EE26BF"/>
    <w:rsid w:val="00F43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8EF8D"/>
  <w15:chartTrackingRefBased/>
  <w15:docId w15:val="{56710065-3CAE-4438-A0AE-4D2D41587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899"/>
    <w:rPr>
      <w:rFonts w:eastAsiaTheme="majorEastAsia" w:cstheme="majorBidi"/>
      <w:color w:val="272727" w:themeColor="text1" w:themeTint="D8"/>
    </w:rPr>
  </w:style>
  <w:style w:type="paragraph" w:styleId="Title">
    <w:name w:val="Title"/>
    <w:basedOn w:val="Normal"/>
    <w:next w:val="Normal"/>
    <w:link w:val="TitleChar"/>
    <w:uiPriority w:val="10"/>
    <w:qFormat/>
    <w:rsid w:val="00AF7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899"/>
    <w:pPr>
      <w:spacing w:before="160"/>
      <w:jc w:val="center"/>
    </w:pPr>
    <w:rPr>
      <w:i/>
      <w:iCs/>
      <w:color w:val="404040" w:themeColor="text1" w:themeTint="BF"/>
    </w:rPr>
  </w:style>
  <w:style w:type="character" w:customStyle="1" w:styleId="QuoteChar">
    <w:name w:val="Quote Char"/>
    <w:basedOn w:val="DefaultParagraphFont"/>
    <w:link w:val="Quote"/>
    <w:uiPriority w:val="29"/>
    <w:rsid w:val="00AF7899"/>
    <w:rPr>
      <w:i/>
      <w:iCs/>
      <w:color w:val="404040" w:themeColor="text1" w:themeTint="BF"/>
    </w:rPr>
  </w:style>
  <w:style w:type="paragraph" w:styleId="ListParagraph">
    <w:name w:val="List Paragraph"/>
    <w:basedOn w:val="Normal"/>
    <w:uiPriority w:val="34"/>
    <w:qFormat/>
    <w:rsid w:val="00AF7899"/>
    <w:pPr>
      <w:ind w:left="720"/>
      <w:contextualSpacing/>
    </w:pPr>
  </w:style>
  <w:style w:type="character" w:styleId="IntenseEmphasis">
    <w:name w:val="Intense Emphasis"/>
    <w:basedOn w:val="DefaultParagraphFont"/>
    <w:uiPriority w:val="21"/>
    <w:qFormat/>
    <w:rsid w:val="00AF7899"/>
    <w:rPr>
      <w:i/>
      <w:iCs/>
      <w:color w:val="0F4761" w:themeColor="accent1" w:themeShade="BF"/>
    </w:rPr>
  </w:style>
  <w:style w:type="paragraph" w:styleId="IntenseQuote">
    <w:name w:val="Intense Quote"/>
    <w:basedOn w:val="Normal"/>
    <w:next w:val="Normal"/>
    <w:link w:val="IntenseQuoteChar"/>
    <w:uiPriority w:val="30"/>
    <w:qFormat/>
    <w:rsid w:val="00AF7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899"/>
    <w:rPr>
      <w:i/>
      <w:iCs/>
      <w:color w:val="0F4761" w:themeColor="accent1" w:themeShade="BF"/>
    </w:rPr>
  </w:style>
  <w:style w:type="character" w:styleId="IntenseReference">
    <w:name w:val="Intense Reference"/>
    <w:basedOn w:val="DefaultParagraphFont"/>
    <w:uiPriority w:val="32"/>
    <w:qFormat/>
    <w:rsid w:val="00AF7899"/>
    <w:rPr>
      <w:b/>
      <w:bCs/>
      <w:smallCaps/>
      <w:color w:val="0F4761" w:themeColor="accent1" w:themeShade="BF"/>
      <w:spacing w:val="5"/>
    </w:rPr>
  </w:style>
  <w:style w:type="paragraph" w:styleId="NormalWeb">
    <w:name w:val="Normal (Web)"/>
    <w:basedOn w:val="Normal"/>
    <w:uiPriority w:val="99"/>
    <w:semiHidden/>
    <w:unhideWhenUsed/>
    <w:rsid w:val="00AC25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mmentcontentpara">
    <w:name w:val="commentcontentpara"/>
    <w:basedOn w:val="Normal"/>
    <w:rsid w:val="00AC254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3558">
      <w:bodyDiv w:val="1"/>
      <w:marLeft w:val="0"/>
      <w:marRight w:val="0"/>
      <w:marTop w:val="0"/>
      <w:marBottom w:val="0"/>
      <w:divBdr>
        <w:top w:val="none" w:sz="0" w:space="0" w:color="auto"/>
        <w:left w:val="none" w:sz="0" w:space="0" w:color="auto"/>
        <w:bottom w:val="none" w:sz="0" w:space="0" w:color="auto"/>
        <w:right w:val="none" w:sz="0" w:space="0" w:color="auto"/>
      </w:divBdr>
    </w:div>
    <w:div w:id="97802093">
      <w:bodyDiv w:val="1"/>
      <w:marLeft w:val="0"/>
      <w:marRight w:val="0"/>
      <w:marTop w:val="0"/>
      <w:marBottom w:val="0"/>
      <w:divBdr>
        <w:top w:val="none" w:sz="0" w:space="0" w:color="auto"/>
        <w:left w:val="none" w:sz="0" w:space="0" w:color="auto"/>
        <w:bottom w:val="none" w:sz="0" w:space="0" w:color="auto"/>
        <w:right w:val="none" w:sz="0" w:space="0" w:color="auto"/>
      </w:divBdr>
    </w:div>
    <w:div w:id="164243893">
      <w:bodyDiv w:val="1"/>
      <w:marLeft w:val="0"/>
      <w:marRight w:val="0"/>
      <w:marTop w:val="0"/>
      <w:marBottom w:val="0"/>
      <w:divBdr>
        <w:top w:val="none" w:sz="0" w:space="0" w:color="auto"/>
        <w:left w:val="none" w:sz="0" w:space="0" w:color="auto"/>
        <w:bottom w:val="none" w:sz="0" w:space="0" w:color="auto"/>
        <w:right w:val="none" w:sz="0" w:space="0" w:color="auto"/>
      </w:divBdr>
    </w:div>
    <w:div w:id="421873780">
      <w:bodyDiv w:val="1"/>
      <w:marLeft w:val="0"/>
      <w:marRight w:val="0"/>
      <w:marTop w:val="0"/>
      <w:marBottom w:val="0"/>
      <w:divBdr>
        <w:top w:val="none" w:sz="0" w:space="0" w:color="auto"/>
        <w:left w:val="none" w:sz="0" w:space="0" w:color="auto"/>
        <w:bottom w:val="none" w:sz="0" w:space="0" w:color="auto"/>
        <w:right w:val="none" w:sz="0" w:space="0" w:color="auto"/>
      </w:divBdr>
    </w:div>
    <w:div w:id="485319113">
      <w:bodyDiv w:val="1"/>
      <w:marLeft w:val="0"/>
      <w:marRight w:val="0"/>
      <w:marTop w:val="0"/>
      <w:marBottom w:val="0"/>
      <w:divBdr>
        <w:top w:val="none" w:sz="0" w:space="0" w:color="auto"/>
        <w:left w:val="none" w:sz="0" w:space="0" w:color="auto"/>
        <w:bottom w:val="none" w:sz="0" w:space="0" w:color="auto"/>
        <w:right w:val="none" w:sz="0" w:space="0" w:color="auto"/>
      </w:divBdr>
    </w:div>
    <w:div w:id="529562689">
      <w:bodyDiv w:val="1"/>
      <w:marLeft w:val="0"/>
      <w:marRight w:val="0"/>
      <w:marTop w:val="0"/>
      <w:marBottom w:val="0"/>
      <w:divBdr>
        <w:top w:val="none" w:sz="0" w:space="0" w:color="auto"/>
        <w:left w:val="none" w:sz="0" w:space="0" w:color="auto"/>
        <w:bottom w:val="none" w:sz="0" w:space="0" w:color="auto"/>
        <w:right w:val="none" w:sz="0" w:space="0" w:color="auto"/>
      </w:divBdr>
    </w:div>
    <w:div w:id="538856810">
      <w:bodyDiv w:val="1"/>
      <w:marLeft w:val="0"/>
      <w:marRight w:val="0"/>
      <w:marTop w:val="0"/>
      <w:marBottom w:val="0"/>
      <w:divBdr>
        <w:top w:val="none" w:sz="0" w:space="0" w:color="auto"/>
        <w:left w:val="none" w:sz="0" w:space="0" w:color="auto"/>
        <w:bottom w:val="none" w:sz="0" w:space="0" w:color="auto"/>
        <w:right w:val="none" w:sz="0" w:space="0" w:color="auto"/>
      </w:divBdr>
    </w:div>
    <w:div w:id="581915168">
      <w:bodyDiv w:val="1"/>
      <w:marLeft w:val="0"/>
      <w:marRight w:val="0"/>
      <w:marTop w:val="0"/>
      <w:marBottom w:val="0"/>
      <w:divBdr>
        <w:top w:val="none" w:sz="0" w:space="0" w:color="auto"/>
        <w:left w:val="none" w:sz="0" w:space="0" w:color="auto"/>
        <w:bottom w:val="none" w:sz="0" w:space="0" w:color="auto"/>
        <w:right w:val="none" w:sz="0" w:space="0" w:color="auto"/>
      </w:divBdr>
    </w:div>
    <w:div w:id="639505247">
      <w:bodyDiv w:val="1"/>
      <w:marLeft w:val="0"/>
      <w:marRight w:val="0"/>
      <w:marTop w:val="0"/>
      <w:marBottom w:val="0"/>
      <w:divBdr>
        <w:top w:val="none" w:sz="0" w:space="0" w:color="auto"/>
        <w:left w:val="none" w:sz="0" w:space="0" w:color="auto"/>
        <w:bottom w:val="none" w:sz="0" w:space="0" w:color="auto"/>
        <w:right w:val="none" w:sz="0" w:space="0" w:color="auto"/>
      </w:divBdr>
    </w:div>
    <w:div w:id="669790944">
      <w:bodyDiv w:val="1"/>
      <w:marLeft w:val="0"/>
      <w:marRight w:val="0"/>
      <w:marTop w:val="0"/>
      <w:marBottom w:val="0"/>
      <w:divBdr>
        <w:top w:val="none" w:sz="0" w:space="0" w:color="auto"/>
        <w:left w:val="none" w:sz="0" w:space="0" w:color="auto"/>
        <w:bottom w:val="none" w:sz="0" w:space="0" w:color="auto"/>
        <w:right w:val="none" w:sz="0" w:space="0" w:color="auto"/>
      </w:divBdr>
    </w:div>
    <w:div w:id="907301548">
      <w:bodyDiv w:val="1"/>
      <w:marLeft w:val="0"/>
      <w:marRight w:val="0"/>
      <w:marTop w:val="0"/>
      <w:marBottom w:val="0"/>
      <w:divBdr>
        <w:top w:val="none" w:sz="0" w:space="0" w:color="auto"/>
        <w:left w:val="none" w:sz="0" w:space="0" w:color="auto"/>
        <w:bottom w:val="none" w:sz="0" w:space="0" w:color="auto"/>
        <w:right w:val="none" w:sz="0" w:space="0" w:color="auto"/>
      </w:divBdr>
    </w:div>
    <w:div w:id="946697816">
      <w:bodyDiv w:val="1"/>
      <w:marLeft w:val="0"/>
      <w:marRight w:val="0"/>
      <w:marTop w:val="0"/>
      <w:marBottom w:val="0"/>
      <w:divBdr>
        <w:top w:val="none" w:sz="0" w:space="0" w:color="auto"/>
        <w:left w:val="none" w:sz="0" w:space="0" w:color="auto"/>
        <w:bottom w:val="none" w:sz="0" w:space="0" w:color="auto"/>
        <w:right w:val="none" w:sz="0" w:space="0" w:color="auto"/>
      </w:divBdr>
    </w:div>
    <w:div w:id="1082024588">
      <w:bodyDiv w:val="1"/>
      <w:marLeft w:val="0"/>
      <w:marRight w:val="0"/>
      <w:marTop w:val="0"/>
      <w:marBottom w:val="0"/>
      <w:divBdr>
        <w:top w:val="none" w:sz="0" w:space="0" w:color="auto"/>
        <w:left w:val="none" w:sz="0" w:space="0" w:color="auto"/>
        <w:bottom w:val="none" w:sz="0" w:space="0" w:color="auto"/>
        <w:right w:val="none" w:sz="0" w:space="0" w:color="auto"/>
      </w:divBdr>
    </w:div>
    <w:div w:id="1098216886">
      <w:bodyDiv w:val="1"/>
      <w:marLeft w:val="0"/>
      <w:marRight w:val="0"/>
      <w:marTop w:val="0"/>
      <w:marBottom w:val="0"/>
      <w:divBdr>
        <w:top w:val="none" w:sz="0" w:space="0" w:color="auto"/>
        <w:left w:val="none" w:sz="0" w:space="0" w:color="auto"/>
        <w:bottom w:val="none" w:sz="0" w:space="0" w:color="auto"/>
        <w:right w:val="none" w:sz="0" w:space="0" w:color="auto"/>
      </w:divBdr>
      <w:divsChild>
        <w:div w:id="1810632991">
          <w:marLeft w:val="360"/>
          <w:marRight w:val="0"/>
          <w:marTop w:val="200"/>
          <w:marBottom w:val="0"/>
          <w:divBdr>
            <w:top w:val="none" w:sz="0" w:space="0" w:color="auto"/>
            <w:left w:val="none" w:sz="0" w:space="0" w:color="auto"/>
            <w:bottom w:val="none" w:sz="0" w:space="0" w:color="auto"/>
            <w:right w:val="none" w:sz="0" w:space="0" w:color="auto"/>
          </w:divBdr>
        </w:div>
        <w:div w:id="465396593">
          <w:marLeft w:val="360"/>
          <w:marRight w:val="0"/>
          <w:marTop w:val="200"/>
          <w:marBottom w:val="0"/>
          <w:divBdr>
            <w:top w:val="none" w:sz="0" w:space="0" w:color="auto"/>
            <w:left w:val="none" w:sz="0" w:space="0" w:color="auto"/>
            <w:bottom w:val="none" w:sz="0" w:space="0" w:color="auto"/>
            <w:right w:val="none" w:sz="0" w:space="0" w:color="auto"/>
          </w:divBdr>
        </w:div>
        <w:div w:id="1346635302">
          <w:marLeft w:val="360"/>
          <w:marRight w:val="0"/>
          <w:marTop w:val="200"/>
          <w:marBottom w:val="0"/>
          <w:divBdr>
            <w:top w:val="none" w:sz="0" w:space="0" w:color="auto"/>
            <w:left w:val="none" w:sz="0" w:space="0" w:color="auto"/>
            <w:bottom w:val="none" w:sz="0" w:space="0" w:color="auto"/>
            <w:right w:val="none" w:sz="0" w:space="0" w:color="auto"/>
          </w:divBdr>
        </w:div>
        <w:div w:id="743845127">
          <w:marLeft w:val="360"/>
          <w:marRight w:val="0"/>
          <w:marTop w:val="200"/>
          <w:marBottom w:val="0"/>
          <w:divBdr>
            <w:top w:val="none" w:sz="0" w:space="0" w:color="auto"/>
            <w:left w:val="none" w:sz="0" w:space="0" w:color="auto"/>
            <w:bottom w:val="none" w:sz="0" w:space="0" w:color="auto"/>
            <w:right w:val="none" w:sz="0" w:space="0" w:color="auto"/>
          </w:divBdr>
        </w:div>
        <w:div w:id="1351712454">
          <w:marLeft w:val="360"/>
          <w:marRight w:val="0"/>
          <w:marTop w:val="200"/>
          <w:marBottom w:val="0"/>
          <w:divBdr>
            <w:top w:val="none" w:sz="0" w:space="0" w:color="auto"/>
            <w:left w:val="none" w:sz="0" w:space="0" w:color="auto"/>
            <w:bottom w:val="none" w:sz="0" w:space="0" w:color="auto"/>
            <w:right w:val="none" w:sz="0" w:space="0" w:color="auto"/>
          </w:divBdr>
        </w:div>
        <w:div w:id="483284141">
          <w:marLeft w:val="360"/>
          <w:marRight w:val="0"/>
          <w:marTop w:val="200"/>
          <w:marBottom w:val="0"/>
          <w:divBdr>
            <w:top w:val="none" w:sz="0" w:space="0" w:color="auto"/>
            <w:left w:val="none" w:sz="0" w:space="0" w:color="auto"/>
            <w:bottom w:val="none" w:sz="0" w:space="0" w:color="auto"/>
            <w:right w:val="none" w:sz="0" w:space="0" w:color="auto"/>
          </w:divBdr>
        </w:div>
        <w:div w:id="464272760">
          <w:marLeft w:val="360"/>
          <w:marRight w:val="0"/>
          <w:marTop w:val="200"/>
          <w:marBottom w:val="0"/>
          <w:divBdr>
            <w:top w:val="none" w:sz="0" w:space="0" w:color="auto"/>
            <w:left w:val="none" w:sz="0" w:space="0" w:color="auto"/>
            <w:bottom w:val="none" w:sz="0" w:space="0" w:color="auto"/>
            <w:right w:val="none" w:sz="0" w:space="0" w:color="auto"/>
          </w:divBdr>
        </w:div>
      </w:divsChild>
    </w:div>
    <w:div w:id="1130243593">
      <w:bodyDiv w:val="1"/>
      <w:marLeft w:val="0"/>
      <w:marRight w:val="0"/>
      <w:marTop w:val="0"/>
      <w:marBottom w:val="0"/>
      <w:divBdr>
        <w:top w:val="none" w:sz="0" w:space="0" w:color="auto"/>
        <w:left w:val="none" w:sz="0" w:space="0" w:color="auto"/>
        <w:bottom w:val="none" w:sz="0" w:space="0" w:color="auto"/>
        <w:right w:val="none" w:sz="0" w:space="0" w:color="auto"/>
      </w:divBdr>
    </w:div>
    <w:div w:id="1132478545">
      <w:bodyDiv w:val="1"/>
      <w:marLeft w:val="0"/>
      <w:marRight w:val="0"/>
      <w:marTop w:val="0"/>
      <w:marBottom w:val="0"/>
      <w:divBdr>
        <w:top w:val="none" w:sz="0" w:space="0" w:color="auto"/>
        <w:left w:val="none" w:sz="0" w:space="0" w:color="auto"/>
        <w:bottom w:val="none" w:sz="0" w:space="0" w:color="auto"/>
        <w:right w:val="none" w:sz="0" w:space="0" w:color="auto"/>
      </w:divBdr>
    </w:div>
    <w:div w:id="1258443435">
      <w:bodyDiv w:val="1"/>
      <w:marLeft w:val="0"/>
      <w:marRight w:val="0"/>
      <w:marTop w:val="0"/>
      <w:marBottom w:val="0"/>
      <w:divBdr>
        <w:top w:val="none" w:sz="0" w:space="0" w:color="auto"/>
        <w:left w:val="none" w:sz="0" w:space="0" w:color="auto"/>
        <w:bottom w:val="none" w:sz="0" w:space="0" w:color="auto"/>
        <w:right w:val="none" w:sz="0" w:space="0" w:color="auto"/>
      </w:divBdr>
    </w:div>
    <w:div w:id="1467508035">
      <w:bodyDiv w:val="1"/>
      <w:marLeft w:val="0"/>
      <w:marRight w:val="0"/>
      <w:marTop w:val="0"/>
      <w:marBottom w:val="0"/>
      <w:divBdr>
        <w:top w:val="none" w:sz="0" w:space="0" w:color="auto"/>
        <w:left w:val="none" w:sz="0" w:space="0" w:color="auto"/>
        <w:bottom w:val="none" w:sz="0" w:space="0" w:color="auto"/>
        <w:right w:val="none" w:sz="0" w:space="0" w:color="auto"/>
      </w:divBdr>
    </w:div>
    <w:div w:id="1513959412">
      <w:bodyDiv w:val="1"/>
      <w:marLeft w:val="0"/>
      <w:marRight w:val="0"/>
      <w:marTop w:val="0"/>
      <w:marBottom w:val="0"/>
      <w:divBdr>
        <w:top w:val="none" w:sz="0" w:space="0" w:color="auto"/>
        <w:left w:val="none" w:sz="0" w:space="0" w:color="auto"/>
        <w:bottom w:val="none" w:sz="0" w:space="0" w:color="auto"/>
        <w:right w:val="none" w:sz="0" w:space="0" w:color="auto"/>
      </w:divBdr>
    </w:div>
    <w:div w:id="1515463538">
      <w:bodyDiv w:val="1"/>
      <w:marLeft w:val="0"/>
      <w:marRight w:val="0"/>
      <w:marTop w:val="0"/>
      <w:marBottom w:val="0"/>
      <w:divBdr>
        <w:top w:val="none" w:sz="0" w:space="0" w:color="auto"/>
        <w:left w:val="none" w:sz="0" w:space="0" w:color="auto"/>
        <w:bottom w:val="none" w:sz="0" w:space="0" w:color="auto"/>
        <w:right w:val="none" w:sz="0" w:space="0" w:color="auto"/>
      </w:divBdr>
    </w:div>
    <w:div w:id="1622418510">
      <w:bodyDiv w:val="1"/>
      <w:marLeft w:val="0"/>
      <w:marRight w:val="0"/>
      <w:marTop w:val="0"/>
      <w:marBottom w:val="0"/>
      <w:divBdr>
        <w:top w:val="none" w:sz="0" w:space="0" w:color="auto"/>
        <w:left w:val="none" w:sz="0" w:space="0" w:color="auto"/>
        <w:bottom w:val="none" w:sz="0" w:space="0" w:color="auto"/>
        <w:right w:val="none" w:sz="0" w:space="0" w:color="auto"/>
      </w:divBdr>
    </w:div>
    <w:div w:id="1654796192">
      <w:bodyDiv w:val="1"/>
      <w:marLeft w:val="0"/>
      <w:marRight w:val="0"/>
      <w:marTop w:val="0"/>
      <w:marBottom w:val="0"/>
      <w:divBdr>
        <w:top w:val="none" w:sz="0" w:space="0" w:color="auto"/>
        <w:left w:val="none" w:sz="0" w:space="0" w:color="auto"/>
        <w:bottom w:val="none" w:sz="0" w:space="0" w:color="auto"/>
        <w:right w:val="none" w:sz="0" w:space="0" w:color="auto"/>
      </w:divBdr>
    </w:div>
    <w:div w:id="1660108188">
      <w:bodyDiv w:val="1"/>
      <w:marLeft w:val="0"/>
      <w:marRight w:val="0"/>
      <w:marTop w:val="0"/>
      <w:marBottom w:val="0"/>
      <w:divBdr>
        <w:top w:val="none" w:sz="0" w:space="0" w:color="auto"/>
        <w:left w:val="none" w:sz="0" w:space="0" w:color="auto"/>
        <w:bottom w:val="none" w:sz="0" w:space="0" w:color="auto"/>
        <w:right w:val="none" w:sz="0" w:space="0" w:color="auto"/>
      </w:divBdr>
    </w:div>
    <w:div w:id="1662152123">
      <w:bodyDiv w:val="1"/>
      <w:marLeft w:val="0"/>
      <w:marRight w:val="0"/>
      <w:marTop w:val="0"/>
      <w:marBottom w:val="0"/>
      <w:divBdr>
        <w:top w:val="none" w:sz="0" w:space="0" w:color="auto"/>
        <w:left w:val="none" w:sz="0" w:space="0" w:color="auto"/>
        <w:bottom w:val="none" w:sz="0" w:space="0" w:color="auto"/>
        <w:right w:val="none" w:sz="0" w:space="0" w:color="auto"/>
      </w:divBdr>
    </w:div>
    <w:div w:id="1683236641">
      <w:bodyDiv w:val="1"/>
      <w:marLeft w:val="0"/>
      <w:marRight w:val="0"/>
      <w:marTop w:val="0"/>
      <w:marBottom w:val="0"/>
      <w:divBdr>
        <w:top w:val="none" w:sz="0" w:space="0" w:color="auto"/>
        <w:left w:val="none" w:sz="0" w:space="0" w:color="auto"/>
        <w:bottom w:val="none" w:sz="0" w:space="0" w:color="auto"/>
        <w:right w:val="none" w:sz="0" w:space="0" w:color="auto"/>
      </w:divBdr>
    </w:div>
    <w:div w:id="1797485972">
      <w:bodyDiv w:val="1"/>
      <w:marLeft w:val="0"/>
      <w:marRight w:val="0"/>
      <w:marTop w:val="0"/>
      <w:marBottom w:val="0"/>
      <w:divBdr>
        <w:top w:val="none" w:sz="0" w:space="0" w:color="auto"/>
        <w:left w:val="none" w:sz="0" w:space="0" w:color="auto"/>
        <w:bottom w:val="none" w:sz="0" w:space="0" w:color="auto"/>
        <w:right w:val="none" w:sz="0" w:space="0" w:color="auto"/>
      </w:divBdr>
    </w:div>
    <w:div w:id="1846245178">
      <w:bodyDiv w:val="1"/>
      <w:marLeft w:val="0"/>
      <w:marRight w:val="0"/>
      <w:marTop w:val="0"/>
      <w:marBottom w:val="0"/>
      <w:divBdr>
        <w:top w:val="none" w:sz="0" w:space="0" w:color="auto"/>
        <w:left w:val="none" w:sz="0" w:space="0" w:color="auto"/>
        <w:bottom w:val="none" w:sz="0" w:space="0" w:color="auto"/>
        <w:right w:val="none" w:sz="0" w:space="0" w:color="auto"/>
      </w:divBdr>
    </w:div>
    <w:div w:id="1872762648">
      <w:bodyDiv w:val="1"/>
      <w:marLeft w:val="0"/>
      <w:marRight w:val="0"/>
      <w:marTop w:val="0"/>
      <w:marBottom w:val="0"/>
      <w:divBdr>
        <w:top w:val="none" w:sz="0" w:space="0" w:color="auto"/>
        <w:left w:val="none" w:sz="0" w:space="0" w:color="auto"/>
        <w:bottom w:val="none" w:sz="0" w:space="0" w:color="auto"/>
        <w:right w:val="none" w:sz="0" w:space="0" w:color="auto"/>
      </w:divBdr>
    </w:div>
    <w:div w:id="2013288631">
      <w:bodyDiv w:val="1"/>
      <w:marLeft w:val="0"/>
      <w:marRight w:val="0"/>
      <w:marTop w:val="0"/>
      <w:marBottom w:val="0"/>
      <w:divBdr>
        <w:top w:val="none" w:sz="0" w:space="0" w:color="auto"/>
        <w:left w:val="none" w:sz="0" w:space="0" w:color="auto"/>
        <w:bottom w:val="none" w:sz="0" w:space="0" w:color="auto"/>
        <w:right w:val="none" w:sz="0" w:space="0" w:color="auto"/>
      </w:divBdr>
      <w:divsChild>
        <w:div w:id="1360013625">
          <w:marLeft w:val="-720"/>
          <w:marRight w:val="0"/>
          <w:marTop w:val="0"/>
          <w:marBottom w:val="0"/>
          <w:divBdr>
            <w:top w:val="none" w:sz="0" w:space="0" w:color="auto"/>
            <w:left w:val="none" w:sz="0" w:space="0" w:color="auto"/>
            <w:bottom w:val="none" w:sz="0" w:space="0" w:color="auto"/>
            <w:right w:val="none" w:sz="0" w:space="0" w:color="auto"/>
          </w:divBdr>
        </w:div>
      </w:divsChild>
    </w:div>
    <w:div w:id="2028097612">
      <w:bodyDiv w:val="1"/>
      <w:marLeft w:val="0"/>
      <w:marRight w:val="0"/>
      <w:marTop w:val="0"/>
      <w:marBottom w:val="0"/>
      <w:divBdr>
        <w:top w:val="none" w:sz="0" w:space="0" w:color="auto"/>
        <w:left w:val="none" w:sz="0" w:space="0" w:color="auto"/>
        <w:bottom w:val="none" w:sz="0" w:space="0" w:color="auto"/>
        <w:right w:val="none" w:sz="0" w:space="0" w:color="auto"/>
      </w:divBdr>
    </w:div>
    <w:div w:id="2033220970">
      <w:bodyDiv w:val="1"/>
      <w:marLeft w:val="0"/>
      <w:marRight w:val="0"/>
      <w:marTop w:val="0"/>
      <w:marBottom w:val="0"/>
      <w:divBdr>
        <w:top w:val="none" w:sz="0" w:space="0" w:color="auto"/>
        <w:left w:val="none" w:sz="0" w:space="0" w:color="auto"/>
        <w:bottom w:val="none" w:sz="0" w:space="0" w:color="auto"/>
        <w:right w:val="none" w:sz="0" w:space="0" w:color="auto"/>
      </w:divBdr>
    </w:div>
    <w:div w:id="2125418871">
      <w:bodyDiv w:val="1"/>
      <w:marLeft w:val="0"/>
      <w:marRight w:val="0"/>
      <w:marTop w:val="0"/>
      <w:marBottom w:val="0"/>
      <w:divBdr>
        <w:top w:val="none" w:sz="0" w:space="0" w:color="auto"/>
        <w:left w:val="none" w:sz="0" w:space="0" w:color="auto"/>
        <w:bottom w:val="none" w:sz="0" w:space="0" w:color="auto"/>
        <w:right w:val="none" w:sz="0" w:space="0" w:color="auto"/>
      </w:divBdr>
    </w:div>
    <w:div w:id="212966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7</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Ivanova (2022864)</dc:creator>
  <cp:keywords/>
  <dc:description/>
  <cp:lastModifiedBy>Yordanka Ivanova (2022864)</cp:lastModifiedBy>
  <cp:revision>7</cp:revision>
  <dcterms:created xsi:type="dcterms:W3CDTF">2024-03-15T12:17:00Z</dcterms:created>
  <dcterms:modified xsi:type="dcterms:W3CDTF">2024-03-15T22:34:00Z</dcterms:modified>
</cp:coreProperties>
</file>