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057B" w14:textId="09B94B8C" w:rsidR="00846254" w:rsidRPr="00BB159D" w:rsidRDefault="00846254" w:rsidP="00846254">
      <w:pPr>
        <w:rPr>
          <w:b/>
          <w:bCs/>
          <w:lang w:val="en-GB"/>
        </w:rPr>
      </w:pPr>
      <w:r w:rsidRPr="00BB159D">
        <w:rPr>
          <w:b/>
          <w:bCs/>
          <w:lang w:val="en-GB"/>
        </w:rPr>
        <w:t xml:space="preserve">Lifespan Development: </w:t>
      </w:r>
      <w:r w:rsidR="006D7F2A" w:rsidRPr="00845527">
        <w:rPr>
          <w:b/>
          <w:bCs/>
          <w:lang w:val="en-GB"/>
        </w:rPr>
        <w:t>The</w:t>
      </w:r>
      <w:r w:rsidRPr="00845527">
        <w:rPr>
          <w:b/>
          <w:bCs/>
          <w:lang w:val="en-GB"/>
        </w:rPr>
        <w:t xml:space="preserve"> Impact of Social Media on Mental Health in Adolescence</w:t>
      </w:r>
    </w:p>
    <w:p w14:paraId="2A39738A" w14:textId="77777777" w:rsidR="00846254" w:rsidRDefault="00846254" w:rsidP="00846254">
      <w:pPr>
        <w:numPr>
          <w:ilvl w:val="0"/>
          <w:numId w:val="1"/>
        </w:numPr>
        <w:rPr>
          <w:lang w:val="en-GB"/>
        </w:rPr>
      </w:pPr>
      <w:r w:rsidRPr="00BB159D">
        <w:rPr>
          <w:lang w:val="en-GB"/>
        </w:rPr>
        <w:t>Student Name</w:t>
      </w:r>
      <w:r>
        <w:rPr>
          <w:lang w:val="en-GB"/>
        </w:rPr>
        <w:t>: OKEKE IRENE NJIDEKA</w:t>
      </w:r>
    </w:p>
    <w:p w14:paraId="79122B87" w14:textId="77777777" w:rsidR="00846254" w:rsidRPr="00BB159D" w:rsidRDefault="00846254" w:rsidP="00846254">
      <w:pPr>
        <w:pStyle w:val="ListParagraph"/>
        <w:numPr>
          <w:ilvl w:val="0"/>
          <w:numId w:val="1"/>
        </w:numPr>
      </w:pPr>
      <w:r w:rsidRPr="00BB159D">
        <w:rPr>
          <w:lang w:val="en-GB"/>
        </w:rPr>
        <w:t xml:space="preserve">Student ID: </w:t>
      </w:r>
      <w:r>
        <w:t>2513507@student.uwtsd.ac.uk</w:t>
      </w:r>
    </w:p>
    <w:p w14:paraId="53B78505" w14:textId="77777777" w:rsidR="008F0833" w:rsidRPr="008F0833" w:rsidRDefault="00846254" w:rsidP="00846254">
      <w:pPr>
        <w:numPr>
          <w:ilvl w:val="0"/>
          <w:numId w:val="1"/>
        </w:numPr>
        <w:rPr>
          <w:lang w:val="en-GB"/>
        </w:rPr>
      </w:pPr>
      <w:r w:rsidRPr="008F0833">
        <w:rPr>
          <w:lang w:val="en-GB"/>
        </w:rPr>
        <w:t>Module Title: LCHS4010</w:t>
      </w:r>
      <w:r w:rsidR="008F0833" w:rsidRPr="008F0833">
        <w:rPr>
          <w:lang w:val="en-GB"/>
        </w:rPr>
        <w:t xml:space="preserve"> </w:t>
      </w:r>
      <w:r w:rsidR="008F0833" w:rsidRPr="008F0833">
        <w:t>Psychology in Health and Social Care</w:t>
      </w:r>
    </w:p>
    <w:p w14:paraId="722FBD2B" w14:textId="27F09602" w:rsidR="00846254" w:rsidRPr="008F0833" w:rsidRDefault="008F0833" w:rsidP="00846254">
      <w:pPr>
        <w:numPr>
          <w:ilvl w:val="0"/>
          <w:numId w:val="1"/>
        </w:numPr>
        <w:rPr>
          <w:lang w:val="en-GB"/>
        </w:rPr>
      </w:pPr>
      <w:r>
        <w:t>L</w:t>
      </w:r>
      <w:r w:rsidR="00846254" w:rsidRPr="008F0833">
        <w:rPr>
          <w:lang w:val="en-GB"/>
        </w:rPr>
        <w:t>ECTURER: KENNEDY OBOHWEMU</w:t>
      </w:r>
    </w:p>
    <w:p w14:paraId="2C78FE6D" w14:textId="16A012C1" w:rsidR="00846254" w:rsidRPr="00BB159D" w:rsidRDefault="00846254" w:rsidP="00846254">
      <w:pPr>
        <w:numPr>
          <w:ilvl w:val="0"/>
          <w:numId w:val="1"/>
        </w:numPr>
        <w:rPr>
          <w:lang w:val="en-GB"/>
        </w:rPr>
      </w:pPr>
      <w:r w:rsidRPr="00BB159D">
        <w:rPr>
          <w:lang w:val="en-GB"/>
        </w:rPr>
        <w:t>Date</w:t>
      </w:r>
      <w:r>
        <w:rPr>
          <w:lang w:val="en-GB"/>
        </w:rPr>
        <w:t>:1</w:t>
      </w:r>
      <w:r w:rsidR="008E7294">
        <w:rPr>
          <w:lang w:val="en-GB"/>
        </w:rPr>
        <w:t>9</w:t>
      </w:r>
      <w:r w:rsidRPr="00D521D2">
        <w:rPr>
          <w:vertAlign w:val="superscript"/>
          <w:lang w:val="en-GB"/>
        </w:rPr>
        <w:t>TH</w:t>
      </w:r>
      <w:r>
        <w:rPr>
          <w:lang w:val="en-GB"/>
        </w:rPr>
        <w:t xml:space="preserve"> JULY 2026</w:t>
      </w:r>
    </w:p>
    <w:p w14:paraId="774D458B" w14:textId="77777777" w:rsidR="00846254" w:rsidRDefault="00846254" w:rsidP="00845527">
      <w:pPr>
        <w:rPr>
          <w:b/>
          <w:bCs/>
          <w:lang w:val="en-GB"/>
        </w:rPr>
      </w:pPr>
    </w:p>
    <w:p w14:paraId="7E61F8D7" w14:textId="77777777" w:rsidR="00846254" w:rsidRDefault="00846254" w:rsidP="00845527">
      <w:pPr>
        <w:rPr>
          <w:b/>
          <w:bCs/>
          <w:lang w:val="en-GB"/>
        </w:rPr>
      </w:pPr>
    </w:p>
    <w:p w14:paraId="488ED060" w14:textId="77777777" w:rsidR="00846254" w:rsidRDefault="00846254" w:rsidP="00845527">
      <w:pPr>
        <w:rPr>
          <w:b/>
          <w:bCs/>
          <w:lang w:val="en-GB"/>
        </w:rPr>
      </w:pPr>
    </w:p>
    <w:p w14:paraId="144215B4" w14:textId="77777777" w:rsidR="00846254" w:rsidRDefault="00846254" w:rsidP="00845527">
      <w:pPr>
        <w:rPr>
          <w:b/>
          <w:bCs/>
          <w:lang w:val="en-GB"/>
        </w:rPr>
      </w:pPr>
    </w:p>
    <w:p w14:paraId="37C277FC" w14:textId="77777777" w:rsidR="00846254" w:rsidRDefault="00846254" w:rsidP="00845527">
      <w:pPr>
        <w:rPr>
          <w:b/>
          <w:bCs/>
          <w:lang w:val="en-GB"/>
        </w:rPr>
      </w:pPr>
    </w:p>
    <w:p w14:paraId="2368335A" w14:textId="77777777" w:rsidR="00846254" w:rsidRDefault="00846254" w:rsidP="00845527">
      <w:pPr>
        <w:rPr>
          <w:b/>
          <w:bCs/>
          <w:lang w:val="en-GB"/>
        </w:rPr>
      </w:pPr>
    </w:p>
    <w:p w14:paraId="22AE90CC" w14:textId="77777777" w:rsidR="00846254" w:rsidRDefault="00846254" w:rsidP="00845527">
      <w:pPr>
        <w:rPr>
          <w:b/>
          <w:bCs/>
          <w:lang w:val="en-GB"/>
        </w:rPr>
      </w:pPr>
    </w:p>
    <w:p w14:paraId="76B9B0A3" w14:textId="77777777" w:rsidR="00846254" w:rsidRDefault="00846254" w:rsidP="00845527">
      <w:pPr>
        <w:rPr>
          <w:b/>
          <w:bCs/>
          <w:lang w:val="en-GB"/>
        </w:rPr>
      </w:pPr>
    </w:p>
    <w:p w14:paraId="22FAF680" w14:textId="77777777" w:rsidR="00846254" w:rsidRDefault="00846254" w:rsidP="00845527">
      <w:pPr>
        <w:rPr>
          <w:b/>
          <w:bCs/>
          <w:lang w:val="en-GB"/>
        </w:rPr>
      </w:pPr>
    </w:p>
    <w:p w14:paraId="7EBE52F9" w14:textId="77777777" w:rsidR="00846254" w:rsidRDefault="00846254" w:rsidP="00845527">
      <w:pPr>
        <w:rPr>
          <w:b/>
          <w:bCs/>
          <w:lang w:val="en-GB"/>
        </w:rPr>
      </w:pPr>
    </w:p>
    <w:p w14:paraId="2887B43E" w14:textId="77777777" w:rsidR="00846254" w:rsidRDefault="00846254" w:rsidP="00845527">
      <w:pPr>
        <w:rPr>
          <w:b/>
          <w:bCs/>
          <w:lang w:val="en-GB"/>
        </w:rPr>
      </w:pPr>
    </w:p>
    <w:p w14:paraId="093ED159" w14:textId="77777777" w:rsidR="00846254" w:rsidRDefault="00846254" w:rsidP="00845527">
      <w:pPr>
        <w:rPr>
          <w:b/>
          <w:bCs/>
          <w:lang w:val="en-GB"/>
        </w:rPr>
      </w:pPr>
    </w:p>
    <w:p w14:paraId="65B550EB" w14:textId="77777777" w:rsidR="00846254" w:rsidRDefault="00846254" w:rsidP="00845527">
      <w:pPr>
        <w:rPr>
          <w:b/>
          <w:bCs/>
          <w:lang w:val="en-GB"/>
        </w:rPr>
      </w:pPr>
    </w:p>
    <w:p w14:paraId="0634DE04" w14:textId="77777777" w:rsidR="00846254" w:rsidRDefault="00846254" w:rsidP="00845527">
      <w:pPr>
        <w:rPr>
          <w:b/>
          <w:bCs/>
          <w:lang w:val="en-GB"/>
        </w:rPr>
      </w:pPr>
    </w:p>
    <w:p w14:paraId="7261DE5F" w14:textId="77777777" w:rsidR="00846254" w:rsidRDefault="00846254" w:rsidP="00845527">
      <w:pPr>
        <w:rPr>
          <w:b/>
          <w:bCs/>
          <w:lang w:val="en-GB"/>
        </w:rPr>
      </w:pPr>
    </w:p>
    <w:p w14:paraId="2E11B67E" w14:textId="77777777" w:rsidR="00846254" w:rsidRDefault="00846254" w:rsidP="00845527">
      <w:pPr>
        <w:rPr>
          <w:b/>
          <w:bCs/>
          <w:lang w:val="en-GB"/>
        </w:rPr>
      </w:pPr>
    </w:p>
    <w:p w14:paraId="30B6BB9E" w14:textId="77777777" w:rsidR="00846254" w:rsidRDefault="00846254" w:rsidP="00845527">
      <w:pPr>
        <w:rPr>
          <w:b/>
          <w:bCs/>
          <w:lang w:val="en-GB"/>
        </w:rPr>
      </w:pPr>
    </w:p>
    <w:p w14:paraId="10A4CB8F" w14:textId="77777777" w:rsidR="00846254" w:rsidRDefault="00846254" w:rsidP="00845527">
      <w:pPr>
        <w:rPr>
          <w:b/>
          <w:bCs/>
          <w:lang w:val="en-GB"/>
        </w:rPr>
      </w:pPr>
    </w:p>
    <w:p w14:paraId="3AE591E5" w14:textId="77777777" w:rsidR="00846254" w:rsidRDefault="00846254" w:rsidP="00845527">
      <w:pPr>
        <w:rPr>
          <w:b/>
          <w:bCs/>
          <w:lang w:val="en-GB"/>
        </w:rPr>
      </w:pPr>
    </w:p>
    <w:p w14:paraId="13E6F414" w14:textId="0737809A" w:rsidR="00845527" w:rsidRPr="00845527" w:rsidRDefault="00845527" w:rsidP="00845527">
      <w:pPr>
        <w:rPr>
          <w:b/>
          <w:bCs/>
          <w:lang w:val="en-GB"/>
        </w:rPr>
      </w:pPr>
      <w:r w:rsidRPr="00845527">
        <w:rPr>
          <w:b/>
          <w:bCs/>
          <w:lang w:val="en-GB"/>
        </w:rPr>
        <w:lastRenderedPageBreak/>
        <w:t>Discuss the Impact of Social Media on Mental Health in Adolescence</w:t>
      </w:r>
    </w:p>
    <w:p w14:paraId="1E2E57CB" w14:textId="77777777" w:rsidR="00845527" w:rsidRPr="00845527" w:rsidRDefault="00845527" w:rsidP="00845527">
      <w:pPr>
        <w:rPr>
          <w:lang w:val="en-GB"/>
        </w:rPr>
      </w:pPr>
      <w:r w:rsidRPr="00845527">
        <w:rPr>
          <w:lang w:val="en-GB"/>
        </w:rPr>
        <w:t>The transition from childhood to adulthood represents one of the most turbulent phases of human development. In the contemporary digital age, this transition is increasingly mediated by digital technology, making the impact of social media on adolescent mental health a central concern for developmental psychologists, educators, and clinicians alike. Adolescence is characterized by heightened neural plasticity, a drive for social connection, and a fragile process of identity formulation, all of which are deeply impacted by near-constant engagement with virtual platforms. Rather than operating in a vacuum, these digital environments interact continuously with an individual's biology and immediate social environment. To fully comprehend how social media influences psychological well-being, one must examine the phenomenon through both a nature-versus-nurture lens and an epigenetic perspective, where environmental triggers activate underlying biological predispositions. By applying Erik Erikson’s theory of psychosocial development and John Bowlby’s attachment theory, this essay will critically discuss how the digital landscape reshapes the developmental trajectory of modern youth, demonstrating that while social media presents distinct risks to vulnerable individuals, its ultimate impact is determined by a complex interplay of biological vulnerabilities, algorithmic environmental designs, and offline relational security.</w:t>
      </w:r>
    </w:p>
    <w:p w14:paraId="72EAC6E2" w14:textId="77777777" w:rsidR="00845527" w:rsidRPr="00845527" w:rsidRDefault="00845527" w:rsidP="00845527">
      <w:pPr>
        <w:rPr>
          <w:lang w:val="en-GB"/>
        </w:rPr>
      </w:pPr>
      <w:r w:rsidRPr="00845527">
        <w:rPr>
          <w:lang w:val="en-GB"/>
        </w:rPr>
        <w:t>To understand why adolescents are uniquely susceptible to the influences of social media, it is first necessary to examine the biological factors, or "nature," that characterize this developmental stage. Neurologically, the adolescent brain is in a state of asymmetric development. The prefrontal cortex, which is responsible for executive functions such as impulse control, long-term planning, and risk assessment, remains immature and does not fully develop until early adulthood. In contrast, the limbic system—specifically the amygdala and the ventral striatum, which govern emotions and reward processing—is highly active and hypersensitive during these years. This neurological gap creates a vulnerability to the structural design of social media. Modern platforms are built on variable-ratio schedule rewards, deploying notifications, "likes," and algorithmic feeds that trigger dopamine-driven reward pathways. Because the adolescent brain is biologically primed to seek immediate gratification and peer validation, these design elements exploit the lagging regulatory capacity of the immature prefrontal cortex, leading to compulsive usage patterns, sleep deprivation, and heightened anxiety. Furthermore, genetics play a critical role; some adolescents possess a higher genetic vulnerability to anxiety and depressive disorders, which can make the compulsive feedback loops of digital platforms significantly more distressing for them than for their peers.</w:t>
      </w:r>
    </w:p>
    <w:p w14:paraId="57FC8552" w14:textId="77777777" w:rsidR="006D7F2A" w:rsidRDefault="006D7F2A" w:rsidP="00845527">
      <w:pPr>
        <w:rPr>
          <w:lang w:val="en-GB"/>
        </w:rPr>
      </w:pPr>
    </w:p>
    <w:p w14:paraId="6F695994" w14:textId="77777777" w:rsidR="006D7F2A" w:rsidRDefault="006D7F2A" w:rsidP="00845527">
      <w:pPr>
        <w:rPr>
          <w:lang w:val="en-GB"/>
        </w:rPr>
      </w:pPr>
    </w:p>
    <w:p w14:paraId="52C087B5" w14:textId="77777777" w:rsidR="006D7F2A" w:rsidRDefault="006D7F2A" w:rsidP="00845527">
      <w:pPr>
        <w:rPr>
          <w:lang w:val="en-GB"/>
        </w:rPr>
      </w:pPr>
    </w:p>
    <w:p w14:paraId="3BC7C029" w14:textId="77777777" w:rsidR="006D7F2A" w:rsidRDefault="006D7F2A" w:rsidP="00845527">
      <w:pPr>
        <w:rPr>
          <w:lang w:val="en-GB"/>
        </w:rPr>
      </w:pPr>
    </w:p>
    <w:p w14:paraId="6B50645B" w14:textId="77777777" w:rsidR="006D7F2A" w:rsidRDefault="006D7F2A" w:rsidP="00845527">
      <w:pPr>
        <w:rPr>
          <w:lang w:val="en-GB"/>
        </w:rPr>
      </w:pPr>
    </w:p>
    <w:p w14:paraId="33DCB886" w14:textId="7923BE81" w:rsidR="00845527" w:rsidRPr="00845527" w:rsidRDefault="00845527" w:rsidP="00845527">
      <w:pPr>
        <w:rPr>
          <w:lang w:val="en-GB"/>
        </w:rPr>
      </w:pPr>
      <w:r w:rsidRPr="00845527">
        <w:rPr>
          <w:lang w:val="en-GB"/>
        </w:rPr>
        <w:lastRenderedPageBreak/>
        <w:t>While biological mechanisms lay the foundation for vulnerability, environmental factors, or "nurture," directly shape the daily digital experiences of adolescents. The environment of social media is highly structured, driven by complex algorithmic feedback loops that are engineered to maximize user engagement. These algorithms curate personalized content feeds that can quickly become echo chambers, reinforcing negative self-perceptions, unrealistic beauty standards, and highly polarized social viewpoints. Within this digital environment, peer group dynamics are profoundly altered. In traditional settings, peer interactions were bounded by time and space; today, social media facilitates a continuous, quantified social arena where popularity is measured in public metrics. This environment intensifies the natural adolescent drive for peer approval, exposing youth to cyberbullying, social exclusion, and chronic upward social comparison, where individuals compare their mundane realities to the curated highlights of others. Additionally, the micro-environment of the family remains a critical environmental factor. The quality of family relationships and the physical presence of caregivers can either exacerbate the negative impacts of social media or act as a protective buffer, modulating how much time adolescents spend online and how they interpret digital interactions.</w:t>
      </w:r>
    </w:p>
    <w:p w14:paraId="359FC03A" w14:textId="77777777" w:rsidR="00845527" w:rsidRPr="00845527" w:rsidRDefault="00845527" w:rsidP="00845527">
      <w:pPr>
        <w:rPr>
          <w:lang w:val="en-GB"/>
        </w:rPr>
      </w:pPr>
      <w:r w:rsidRPr="00845527">
        <w:rPr>
          <w:lang w:val="en-GB"/>
        </w:rPr>
        <w:t>The modern understanding of adolescent development rejects a strict dichotomy between nature and nurture, opting instead for an epigenetic perspective. This framework posits that development is governed by bidirectional transactions where environmental triggers can activate biological predispositions, thereby shaping mental health outcomes. In the context of social media, an adolescent who carries a genetic vulnerability to anxiety or depression (nature) may experience no clinical symptoms in a highly supportive, low-stress physical environment. However, when exposed to chronic environmental stressors on social media, such as relentless cyberbullying, algorithmic feeds promoting self-harm, or intense social exclusion (nurture), these environmental triggers can activate underlying biological and genetic predispositions through epigenetic mechanisms or prolonged physiological stress responses. The resulting chronic elevation of cortisol levels can alter neural connectivity within the amygdala and prefrontal cortex, transforming a latent vulnerability into active clinical anxiety or depression. Conversely, a positive digital environment characterized by supportive communities and healthy boundaries can help suppress these latent genetic risks, demonstrating that biological destiny is heavily mediated by digital and physical environments.</w:t>
      </w:r>
    </w:p>
    <w:p w14:paraId="4C9E38DA" w14:textId="372564D1" w:rsidR="00845527" w:rsidRPr="00845527" w:rsidRDefault="00845527" w:rsidP="00845527">
      <w:pPr>
        <w:rPr>
          <w:lang w:val="en-GB"/>
        </w:rPr>
      </w:pPr>
      <w:r w:rsidRPr="00845527">
        <w:rPr>
          <w:lang w:val="en-GB"/>
        </w:rPr>
        <w:t xml:space="preserve">To conceptualize these interactions academically, Erik Erikson’s theory of psychosocial development offers a robust framework for </w:t>
      </w:r>
      <w:r w:rsidR="006D7F2A" w:rsidRPr="00845527">
        <w:rPr>
          <w:lang w:val="en-GB"/>
        </w:rPr>
        <w:t>analysing</w:t>
      </w:r>
      <w:r w:rsidRPr="00845527">
        <w:rPr>
          <w:lang w:val="en-GB"/>
        </w:rPr>
        <w:t xml:space="preserve"> how social media impact identity formation. Erikson posited that the primary developmental crisis of adolescence is "Identity versus Role Confusion," during which individuals must integrate their skills, beliefs, and social roles into a coherent self-concept. Historically, this crisis was resolved through real-world experimentation, localized peer groups, and personal reflection. Social media has fundamentally altered this landscape by providing a global, permanent, and highly commercialized public stage for identity performance. Instead of authentic self-exploration, adolescents are pressured to curate </w:t>
      </w:r>
      <w:r w:rsidR="006D7F2A" w:rsidRPr="00845527">
        <w:rPr>
          <w:lang w:val="en-GB"/>
        </w:rPr>
        <w:t>an</w:t>
      </w:r>
      <w:r w:rsidRPr="00845527">
        <w:rPr>
          <w:lang w:val="en-GB"/>
        </w:rPr>
        <w:t xml:space="preserve"> idealized digital persona that conforms to algorithmic standards of popularity and beauty. When an adolescent’s sense of self becomes contingent on external, quantified validation such as "likes" and comments, they risk developing a fragmented identity or experiencing role confusion. The constant exposure to idealized peers can lead to "identity foreclosure," </w:t>
      </w:r>
      <w:r w:rsidRPr="00845527">
        <w:rPr>
          <w:lang w:val="en-GB"/>
        </w:rPr>
        <w:lastRenderedPageBreak/>
        <w:t>where adolescents prematurely adopt superficial identities to fit in, or severe role confusion, as they struggle to reconcile their authentic, offline selves with their highly polished online projections.</w:t>
      </w:r>
    </w:p>
    <w:p w14:paraId="6596744D" w14:textId="77777777" w:rsidR="00846254" w:rsidRDefault="00845527" w:rsidP="00845527">
      <w:pPr>
        <w:rPr>
          <w:lang w:val="en-GB"/>
        </w:rPr>
      </w:pPr>
      <w:r w:rsidRPr="00845527">
        <w:rPr>
          <w:lang w:val="en-GB"/>
        </w:rPr>
        <w:t xml:space="preserve">The psychological impact of this digital identity struggle is further illuminated by John Bowlby’s attachment theory, which emphasizes the critical importance of early relational security on lifetime mental health. Bowlby argued that infants develop an internal working model of relationships based on the responsiveness of their primary caregivers, classifying their attachment style as secure, anxious, or avoidant. This internal working model acts as a cognitive template, guiding how individuals perceive themselves and interact with others throughout their lifespan. </w:t>
      </w:r>
    </w:p>
    <w:p w14:paraId="6CF7DD7B" w14:textId="141ADCD4" w:rsidR="00845527" w:rsidRPr="00845527" w:rsidRDefault="00845527" w:rsidP="00845527">
      <w:pPr>
        <w:rPr>
          <w:lang w:val="en-GB"/>
        </w:rPr>
      </w:pPr>
      <w:r w:rsidRPr="00845527">
        <w:rPr>
          <w:lang w:val="en-GB"/>
        </w:rPr>
        <w:t>An adolescent with a secure attachment style possesses a resilient internal working model, viewing themselves as worthy of love and others as reliable. When navigating social media, securely attached adolescents are more likely to use these platforms to maintain healthy, supportive friendships and are less devastated by negative online interactions or lack of digital validation. They possess the emotional resilience to log off when a digital environment becomes toxic, using their real-world support systems as a safe haven.</w:t>
      </w:r>
    </w:p>
    <w:p w14:paraId="7BF8B329" w14:textId="445FBCD8" w:rsidR="00845527" w:rsidRPr="00845527" w:rsidRDefault="00845527" w:rsidP="00845527">
      <w:pPr>
        <w:rPr>
          <w:lang w:val="en-GB"/>
        </w:rPr>
      </w:pPr>
      <w:r w:rsidRPr="00845527">
        <w:rPr>
          <w:lang w:val="en-GB"/>
        </w:rPr>
        <w:t xml:space="preserve">For adolescents with insecure attachment styles, however, social media presents a highly destabilizing environment. Those with an anxious attachment style often experience chronic fears of abandonment and rejection, which can manifest online as an obsessive need for digital reassurance and constant connectivity. These individuals are highly susceptible to "Fear of Missing Out" (FOMO), compulsively monitoring their feeds to ensure they are not being excluded by their peer group. They may engage in hyper-active feedback-seeking </w:t>
      </w:r>
      <w:r w:rsidR="00846254" w:rsidRPr="00845527">
        <w:rPr>
          <w:lang w:val="en-GB"/>
        </w:rPr>
        <w:t>behaviours</w:t>
      </w:r>
      <w:r w:rsidRPr="00845527">
        <w:rPr>
          <w:lang w:val="en-GB"/>
        </w:rPr>
        <w:t>, posting frequently and experiencing intense anxiety or depressive symptoms if their posts do not receive immediate or sufficient validation. Their internal working model, which associates relationships with instability and unreliability, is continually reinforced by the unpredictable and superficial nature of digital communication. Consequently, rather than finding a sense of belonging, anxious adolescents often find that social media exacerbates their relational insecurities, triggering depressive episodes and deepening their sense of isolation.</w:t>
      </w:r>
    </w:p>
    <w:p w14:paraId="0EFE394A" w14:textId="77777777" w:rsidR="00845527" w:rsidRPr="00845527" w:rsidRDefault="00845527" w:rsidP="00845527">
      <w:pPr>
        <w:rPr>
          <w:lang w:val="en-GB"/>
        </w:rPr>
      </w:pPr>
      <w:r w:rsidRPr="00845527">
        <w:rPr>
          <w:lang w:val="en-GB"/>
        </w:rPr>
        <w:t>Conversely, adolescents characterized by an avoidant attachment style may utilize social media as a defensive shield to avoid genuine emotional intimacy. Because their internal working model views close, vulnerable relationships as unsafe, avoidant individuals may prefer shallow, text-based, or asynchronous digital interactions over face-to-face communication. While this allows them to maintain a sense of control and independence, it ultimately prevents them from developing the deep, emotionally intimate relationships necessary for healthy socio-emotional development. By substituting high-quality offline connections with low-quality, superficial online interactions, avoidant adolescents remain isolated, leaving them vulnerable to chronic loneliness and low-grade depression. The digital environment, therefore, acts as an environmental catalyst that actively reinforces the maladaptive relational patterns of insecurely attached youth, while providing a constructive, supplementary tool for those who are already securely attached.</w:t>
      </w:r>
    </w:p>
    <w:p w14:paraId="18276DD7" w14:textId="77777777" w:rsidR="006D7F2A" w:rsidRDefault="006D7F2A" w:rsidP="00845527">
      <w:pPr>
        <w:rPr>
          <w:lang w:val="en-GB"/>
        </w:rPr>
      </w:pPr>
    </w:p>
    <w:p w14:paraId="28B2016B" w14:textId="1BF4C49D" w:rsidR="00846254" w:rsidRDefault="00845527" w:rsidP="00845527">
      <w:pPr>
        <w:rPr>
          <w:lang w:val="en-GB"/>
        </w:rPr>
      </w:pPr>
      <w:r w:rsidRPr="00845527">
        <w:rPr>
          <w:lang w:val="en-GB"/>
        </w:rPr>
        <w:lastRenderedPageBreak/>
        <w:t>In conclusion, the impact of social media on adolescent mental health cannot be reduced to a simplistic narrative of universal harm or harmlessness. Instead, it is a highly individualized phenomenon driven by the intricate transaction between biology and environment. The biological realities of adolescence, marked by an immature prefrontal cortex and hyperactive dopamine-driven reward pathways, create a baseline vulnerability that modern, algorithmically driven platforms are explicitly designed to exploit. However, the extent to which these platforms trigger severe mental health outcomes depends heavily on the individual's genetic vulnerabilities, the presence of environmental buffers, and their underlying psychological framework. By applying Erikson’s psychosocial theory, it is clear that social media complicates the vital task of identity integration, often pushing adolescents toward role confusion through quantified peer pressure. Simultaneously, Bowlby’s attachment theory reveals that the psychological safety of an adolescent’s offline relational history dictates whether they will use social media as a constructive tool for connection or fall victim to its capacity to amplify relational anxieties and loneliness. Ultimately, addressing the youth mental health crisis in the digital age requires a holistic approach that acknowledges both the biological sensitivities of the developing brain and the urgent need to foster secure, supportive offline environments that can shield vulnerable youth from digital harm.</w:t>
      </w:r>
    </w:p>
    <w:p w14:paraId="0BA44FB8" w14:textId="77777777" w:rsidR="006D7F2A" w:rsidRPr="00845527" w:rsidRDefault="006D7F2A" w:rsidP="00845527">
      <w:pPr>
        <w:rPr>
          <w:lang w:val="en-GB"/>
        </w:rPr>
      </w:pPr>
    </w:p>
    <w:p w14:paraId="76064E21" w14:textId="77777777" w:rsidR="00845527" w:rsidRPr="00845527" w:rsidRDefault="00845527" w:rsidP="00845527">
      <w:pPr>
        <w:rPr>
          <w:b/>
          <w:bCs/>
          <w:lang w:val="en-GB"/>
        </w:rPr>
      </w:pPr>
      <w:r w:rsidRPr="00845527">
        <w:rPr>
          <w:b/>
          <w:bCs/>
          <w:lang w:val="en-GB"/>
        </w:rPr>
        <w:t>References</w:t>
      </w:r>
    </w:p>
    <w:p w14:paraId="6AF02DAA" w14:textId="77777777" w:rsidR="00845527" w:rsidRPr="00845527" w:rsidRDefault="00845527" w:rsidP="00845527">
      <w:pPr>
        <w:rPr>
          <w:lang w:val="en-GB"/>
        </w:rPr>
      </w:pPr>
      <w:r w:rsidRPr="00845527">
        <w:rPr>
          <w:lang w:val="en-GB"/>
        </w:rPr>
        <w:t xml:space="preserve">Bowlby, J. (1982) </w:t>
      </w:r>
      <w:r w:rsidRPr="00845527">
        <w:rPr>
          <w:i/>
          <w:iCs/>
          <w:lang w:val="en-GB"/>
        </w:rPr>
        <w:t>Attachment and Loss: Vol. 1. Attachment</w:t>
      </w:r>
      <w:r w:rsidRPr="00845527">
        <w:rPr>
          <w:lang w:val="en-GB"/>
        </w:rPr>
        <w:t>. 2nd edn. New York: Basic Books.</w:t>
      </w:r>
    </w:p>
    <w:p w14:paraId="1B14BF55" w14:textId="77777777" w:rsidR="00845527" w:rsidRPr="00845527" w:rsidRDefault="00845527" w:rsidP="00845527">
      <w:pPr>
        <w:rPr>
          <w:lang w:val="en-GB"/>
        </w:rPr>
      </w:pPr>
      <w:r w:rsidRPr="00845527">
        <w:rPr>
          <w:lang w:val="en-GB"/>
        </w:rPr>
        <w:t xml:space="preserve">Edmondson, A. (1999) 'Psychological safety and learning behavior in work teams', </w:t>
      </w:r>
      <w:r w:rsidRPr="00845527">
        <w:rPr>
          <w:i/>
          <w:iCs/>
          <w:lang w:val="en-GB"/>
        </w:rPr>
        <w:t>Administrative Science Quarterly</w:t>
      </w:r>
      <w:r w:rsidRPr="00845527">
        <w:rPr>
          <w:lang w:val="en-GB"/>
        </w:rPr>
        <w:t>, 44(2), pp. 350-383.</w:t>
      </w:r>
    </w:p>
    <w:p w14:paraId="05FCDB00" w14:textId="77777777" w:rsidR="00845527" w:rsidRPr="00845527" w:rsidRDefault="00845527" w:rsidP="00845527">
      <w:pPr>
        <w:rPr>
          <w:lang w:val="en-GB"/>
        </w:rPr>
      </w:pPr>
      <w:r w:rsidRPr="00845527">
        <w:rPr>
          <w:lang w:val="en-GB"/>
        </w:rPr>
        <w:t xml:space="preserve">Erikson, E. H. (1993) </w:t>
      </w:r>
      <w:r w:rsidRPr="00845527">
        <w:rPr>
          <w:i/>
          <w:iCs/>
          <w:lang w:val="en-GB"/>
        </w:rPr>
        <w:t>Childhood and Society</w:t>
      </w:r>
      <w:r w:rsidRPr="00845527">
        <w:rPr>
          <w:lang w:val="en-GB"/>
        </w:rPr>
        <w:t>. London: Paladin.</w:t>
      </w:r>
    </w:p>
    <w:p w14:paraId="506A4E8A" w14:textId="77777777" w:rsidR="00845527" w:rsidRPr="00845527" w:rsidRDefault="00845527" w:rsidP="00845527">
      <w:pPr>
        <w:rPr>
          <w:lang w:val="en-GB"/>
        </w:rPr>
      </w:pPr>
      <w:r w:rsidRPr="00845527">
        <w:rPr>
          <w:lang w:val="en-GB"/>
        </w:rPr>
        <w:t xml:space="preserve">Haidt, J. (2024) </w:t>
      </w:r>
      <w:r w:rsidRPr="00845527">
        <w:rPr>
          <w:i/>
          <w:iCs/>
          <w:lang w:val="en-GB"/>
        </w:rPr>
        <w:t>The Anxious Generation: How the Great Rewiring of Childhood is Causing an Epidemic of Mental Illness</w:t>
      </w:r>
      <w:r w:rsidRPr="00845527">
        <w:rPr>
          <w:lang w:val="en-GB"/>
        </w:rPr>
        <w:t>. New York: Penguin Press.</w:t>
      </w:r>
    </w:p>
    <w:p w14:paraId="1953DF2C" w14:textId="77777777" w:rsidR="00845527" w:rsidRPr="00845527" w:rsidRDefault="00845527" w:rsidP="00845527">
      <w:pPr>
        <w:rPr>
          <w:lang w:val="en-GB"/>
        </w:rPr>
      </w:pPr>
      <w:r w:rsidRPr="00845527">
        <w:rPr>
          <w:lang w:val="en-GB"/>
        </w:rPr>
        <w:t xml:space="preserve">Nesi, J. and Prinstein, M. J. (2015) 'Using social media for social comparison and feedback-seeking in gender and adolescents' depressive symptoms', </w:t>
      </w:r>
      <w:r w:rsidRPr="00845527">
        <w:rPr>
          <w:i/>
          <w:iCs/>
          <w:lang w:val="en-GB"/>
        </w:rPr>
        <w:t>Journal of Abnormal Child Psychology</w:t>
      </w:r>
      <w:r w:rsidRPr="00845527">
        <w:rPr>
          <w:lang w:val="en-GB"/>
        </w:rPr>
        <w:t>, 43(8), pp. 1423–1434.</w:t>
      </w:r>
    </w:p>
    <w:p w14:paraId="41A5690F" w14:textId="77777777" w:rsidR="00845527" w:rsidRPr="00845527" w:rsidRDefault="00845527" w:rsidP="00845527">
      <w:pPr>
        <w:rPr>
          <w:lang w:val="en-GB"/>
        </w:rPr>
      </w:pPr>
      <w:r w:rsidRPr="00845527">
        <w:rPr>
          <w:lang w:val="en-GB"/>
        </w:rPr>
        <w:t xml:space="preserve">Orben, A. and Przybylski, A. K. (2019) 'The association between adolescent well-being and digital technology use', </w:t>
      </w:r>
      <w:r w:rsidRPr="00845527">
        <w:rPr>
          <w:i/>
          <w:iCs/>
          <w:lang w:val="en-GB"/>
        </w:rPr>
        <w:t>Nature Human Behaviour</w:t>
      </w:r>
      <w:r w:rsidRPr="00845527">
        <w:rPr>
          <w:lang w:val="en-GB"/>
        </w:rPr>
        <w:t>, 3(2), pp. 173–182.</w:t>
      </w:r>
    </w:p>
    <w:p w14:paraId="01BC48A2" w14:textId="77777777" w:rsidR="00845527" w:rsidRPr="00845527" w:rsidRDefault="00845527" w:rsidP="00845527">
      <w:pPr>
        <w:rPr>
          <w:lang w:val="en-GB"/>
        </w:rPr>
      </w:pPr>
      <w:r w:rsidRPr="00845527">
        <w:rPr>
          <w:lang w:val="en-GB"/>
        </w:rPr>
        <w:t xml:space="preserve">Orben, A., Przybylski, A. K., Blakemore, S. J. and Kievit, R. A. (2022) 'Windows of developmental sensitivity to social media', </w:t>
      </w:r>
      <w:r w:rsidRPr="00845527">
        <w:rPr>
          <w:i/>
          <w:iCs/>
          <w:lang w:val="en-GB"/>
        </w:rPr>
        <w:t>Nature Communications</w:t>
      </w:r>
      <w:r w:rsidRPr="00845527">
        <w:rPr>
          <w:lang w:val="en-GB"/>
        </w:rPr>
        <w:t>, 13(1), p. 1649.</w:t>
      </w:r>
    </w:p>
    <w:p w14:paraId="2F3B1CB6" w14:textId="77777777" w:rsidR="00845527" w:rsidRPr="00845527" w:rsidRDefault="00845527" w:rsidP="00845527">
      <w:pPr>
        <w:rPr>
          <w:lang w:val="en-GB"/>
        </w:rPr>
      </w:pPr>
      <w:r w:rsidRPr="00845527">
        <w:rPr>
          <w:lang w:val="en-GB"/>
        </w:rPr>
        <w:t xml:space="preserve">Przybylski, A. K. and Weinstein, N. (2017) 'A large-scale test of the Goldilocks Hypothesis: How much digital screen time is "just right" for adolescent well-being?', </w:t>
      </w:r>
      <w:r w:rsidRPr="00845527">
        <w:rPr>
          <w:i/>
          <w:iCs/>
          <w:lang w:val="en-GB"/>
        </w:rPr>
        <w:t>Psychological Science</w:t>
      </w:r>
      <w:r w:rsidRPr="00845527">
        <w:rPr>
          <w:lang w:val="en-GB"/>
        </w:rPr>
        <w:t>, 28(2), pp. 204–215.</w:t>
      </w:r>
    </w:p>
    <w:p w14:paraId="09C92BE5" w14:textId="77777777" w:rsidR="00845527" w:rsidRPr="00845527" w:rsidRDefault="00845527" w:rsidP="00845527">
      <w:pPr>
        <w:rPr>
          <w:lang w:val="en-GB"/>
        </w:rPr>
      </w:pPr>
      <w:r w:rsidRPr="00845527">
        <w:rPr>
          <w:lang w:val="en-GB"/>
        </w:rPr>
        <w:lastRenderedPageBreak/>
        <w:t xml:space="preserve">Twenge, J. M., Campbell, W. K. and Carter, N. T. (2018) 'Decreases in psychological well-being among American adolescents after 2012 and links to technology use: Possible mechanisms', </w:t>
      </w:r>
      <w:r w:rsidRPr="00845527">
        <w:rPr>
          <w:i/>
          <w:iCs/>
          <w:lang w:val="en-GB"/>
        </w:rPr>
        <w:t>Emotion</w:t>
      </w:r>
      <w:r w:rsidRPr="00845527">
        <w:rPr>
          <w:lang w:val="en-GB"/>
        </w:rPr>
        <w:t>, 18(6), pp. 765–780.</w:t>
      </w:r>
    </w:p>
    <w:p w14:paraId="05A59609" w14:textId="77777777" w:rsidR="00845527" w:rsidRPr="00845527" w:rsidRDefault="00845527" w:rsidP="00845527">
      <w:pPr>
        <w:rPr>
          <w:lang w:val="en-GB"/>
        </w:rPr>
      </w:pPr>
      <w:r w:rsidRPr="00845527">
        <w:rPr>
          <w:lang w:val="en-GB"/>
        </w:rPr>
        <w:t xml:space="preserve">Vygotsky, L. S. (1978) </w:t>
      </w:r>
      <w:r w:rsidRPr="00845527">
        <w:rPr>
          <w:i/>
          <w:iCs/>
          <w:lang w:val="en-GB"/>
        </w:rPr>
        <w:t>Mind in Society: The Development of Higher Psychological Processes</w:t>
      </w:r>
      <w:r w:rsidRPr="00845527">
        <w:rPr>
          <w:lang w:val="en-GB"/>
        </w:rPr>
        <w:t>. Cambridge, MA: Harvard University Press.</w:t>
      </w:r>
    </w:p>
    <w:p w14:paraId="21EA765F" w14:textId="77777777" w:rsidR="002C3EF6" w:rsidRDefault="002C3EF6"/>
    <w:sectPr w:rsidR="002C3E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762676"/>
    <w:multiLevelType w:val="multilevel"/>
    <w:tmpl w:val="718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0463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527"/>
    <w:rsid w:val="002C3EF6"/>
    <w:rsid w:val="006D7F2A"/>
    <w:rsid w:val="00845527"/>
    <w:rsid w:val="00846254"/>
    <w:rsid w:val="008A127E"/>
    <w:rsid w:val="008E7294"/>
    <w:rsid w:val="008F0833"/>
    <w:rsid w:val="00EA3E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3AC0D"/>
  <w15:chartTrackingRefBased/>
  <w15:docId w15:val="{7337B929-ED5C-4740-9626-701239986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552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4552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45527"/>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45527"/>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45527"/>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455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55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55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55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527"/>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84552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45527"/>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45527"/>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45527"/>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455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55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55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5527"/>
    <w:rPr>
      <w:rFonts w:eastAsiaTheme="majorEastAsia" w:cstheme="majorBidi"/>
      <w:color w:val="272727" w:themeColor="text1" w:themeTint="D8"/>
    </w:rPr>
  </w:style>
  <w:style w:type="paragraph" w:styleId="Title">
    <w:name w:val="Title"/>
    <w:basedOn w:val="Normal"/>
    <w:next w:val="Normal"/>
    <w:link w:val="TitleChar"/>
    <w:uiPriority w:val="10"/>
    <w:qFormat/>
    <w:rsid w:val="008455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55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552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55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552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45527"/>
    <w:rPr>
      <w:i/>
      <w:iCs/>
      <w:color w:val="404040" w:themeColor="text1" w:themeTint="BF"/>
    </w:rPr>
  </w:style>
  <w:style w:type="paragraph" w:styleId="ListParagraph">
    <w:name w:val="List Paragraph"/>
    <w:basedOn w:val="Normal"/>
    <w:uiPriority w:val="34"/>
    <w:qFormat/>
    <w:rsid w:val="00845527"/>
    <w:pPr>
      <w:ind w:left="720"/>
      <w:contextualSpacing/>
    </w:pPr>
  </w:style>
  <w:style w:type="character" w:styleId="IntenseEmphasis">
    <w:name w:val="Intense Emphasis"/>
    <w:basedOn w:val="DefaultParagraphFont"/>
    <w:uiPriority w:val="21"/>
    <w:qFormat/>
    <w:rsid w:val="00845527"/>
    <w:rPr>
      <w:i/>
      <w:iCs/>
      <w:color w:val="365F91" w:themeColor="accent1" w:themeShade="BF"/>
    </w:rPr>
  </w:style>
  <w:style w:type="paragraph" w:styleId="IntenseQuote">
    <w:name w:val="Intense Quote"/>
    <w:basedOn w:val="Normal"/>
    <w:next w:val="Normal"/>
    <w:link w:val="IntenseQuoteChar"/>
    <w:uiPriority w:val="30"/>
    <w:qFormat/>
    <w:rsid w:val="0084552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45527"/>
    <w:rPr>
      <w:i/>
      <w:iCs/>
      <w:color w:val="365F91" w:themeColor="accent1" w:themeShade="BF"/>
    </w:rPr>
  </w:style>
  <w:style w:type="character" w:styleId="IntenseReference">
    <w:name w:val="Intense Reference"/>
    <w:basedOn w:val="DefaultParagraphFont"/>
    <w:uiPriority w:val="32"/>
    <w:qFormat/>
    <w:rsid w:val="00845527"/>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6</Pages>
  <Words>2035</Words>
  <Characters>11601</Characters>
  <Application>Microsoft Office Word</Application>
  <DocSecurity>0</DocSecurity>
  <Lines>96</Lines>
  <Paragraphs>27</Paragraphs>
  <ScaleCrop>false</ScaleCrop>
  <Company/>
  <LinksUpToDate>false</LinksUpToDate>
  <CharactersWithSpaces>13609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okeke</dc:creator>
  <cp:keywords/>
  <dc:description/>
  <cp:lastModifiedBy>Victor Oamen</cp:lastModifiedBy>
  <cp:revision>5</cp:revision>
  <dcterms:created xsi:type="dcterms:W3CDTF">2026-07-15T19:19:00Z</dcterms:created>
  <dcterms:modified xsi:type="dcterms:W3CDTF">2026-07-19T17:16:00Z</dcterms:modified>
</cp:coreProperties>
</file>