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sz w:val="24"/>
          <w:szCs w:val="24"/>
        </w:rPr>
      </w:pPr>
      <w:bookmarkStart w:id="0" w:name="_Toc155775384"/>
      <w:r>
        <w:rPr>
          <w:rFonts w:ascii="Arial" w:hAnsi="Arial" w:cs="Arial"/>
        </w:rPr>
        <w:drawing>
          <wp:anchor distT="0" distB="0" distL="114300" distR="114300" simplePos="0" relativeHeight="251659264" behindDoc="1" locked="0" layoutInCell="1" allowOverlap="1">
            <wp:simplePos x="0" y="0"/>
            <wp:positionH relativeFrom="column">
              <wp:posOffset>-163195</wp:posOffset>
            </wp:positionH>
            <wp:positionV relativeFrom="paragraph">
              <wp:posOffset>-379095</wp:posOffset>
            </wp:positionV>
            <wp:extent cx="1809750" cy="723900"/>
            <wp:effectExtent l="0" t="0" r="19050" b="0"/>
            <wp:wrapTight wrapText="bothSides">
              <wp:wrapPolygon>
                <wp:start x="0" y="1478"/>
                <wp:lineTo x="0" y="16996"/>
                <wp:lineTo x="2728" y="18474"/>
                <wp:lineTo x="8185" y="19952"/>
                <wp:lineTo x="9701" y="19952"/>
                <wp:lineTo x="21221" y="18474"/>
                <wp:lineTo x="21221" y="1478"/>
                <wp:lineTo x="15461" y="1478"/>
                <wp:lineTo x="0" y="1478"/>
              </wp:wrapPolygon>
            </wp:wrapTight>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pPr>
        <w:jc w:val="center"/>
        <w:rPr>
          <w:rFonts w:ascii="Times New Roman" w:hAnsi="Times New Roman" w:cs="Times New Roman"/>
          <w:sz w:val="24"/>
          <w:szCs w:val="24"/>
        </w:rPr>
      </w:pPr>
    </w:p>
    <w:p>
      <w:pPr>
        <w:jc w:val="center"/>
        <w:rPr>
          <w:rFonts w:ascii="Times New Roman" w:hAnsi="Times New Roman" w:cs="Times New Roman"/>
          <w:sz w:val="24"/>
          <w:szCs w:val="24"/>
        </w:rPr>
      </w:pPr>
    </w:p>
    <w:p>
      <w:pPr>
        <w:jc w:val="center"/>
        <w:rPr>
          <w:rFonts w:ascii="Times New Roman" w:hAnsi="Times New Roman" w:cs="Times New Roman"/>
          <w:sz w:val="24"/>
          <w:szCs w:val="24"/>
        </w:rPr>
      </w:pPr>
    </w:p>
    <w:p>
      <w:pPr>
        <w:jc w:val="center"/>
        <w:rPr>
          <w:rFonts w:ascii="Times New Roman" w:hAnsi="Times New Roman" w:cs="Times New Roman"/>
          <w:sz w:val="24"/>
          <w:szCs w:val="24"/>
        </w:rPr>
      </w:pPr>
      <w:bookmarkStart w:id="12" w:name="_GoBack"/>
      <w:bookmarkEnd w:id="12"/>
    </w:p>
    <w:p>
      <w:pPr>
        <w:jc w:val="center"/>
        <w:rPr>
          <w:rFonts w:ascii="Times New Roman" w:hAnsi="Times New Roman" w:cs="Times New Roman"/>
          <w:sz w:val="24"/>
          <w:szCs w:val="24"/>
        </w:rPr>
      </w:pPr>
    </w:p>
    <w:p>
      <w:pPr>
        <w:jc w:val="center"/>
        <w:rPr>
          <w:rFonts w:ascii="Times New Roman" w:hAnsi="Times New Roman" w:cs="Times New Roman"/>
          <w:sz w:val="24"/>
          <w:szCs w:val="24"/>
        </w:rPr>
      </w:pPr>
    </w:p>
    <w:p>
      <w:pPr>
        <w:jc w:val="center"/>
        <w:rPr>
          <w:rFonts w:ascii="Times New Roman" w:hAnsi="Times New Roman" w:cs="Times New Roman"/>
          <w:sz w:val="24"/>
          <w:szCs w:val="24"/>
        </w:rPr>
      </w:pPr>
    </w:p>
    <w:p>
      <w:pPr>
        <w:jc w:val="center"/>
        <w:rPr>
          <w:rFonts w:ascii="Times New Roman" w:hAnsi="Times New Roman" w:cs="Times New Roman"/>
          <w:sz w:val="24"/>
          <w:szCs w:val="24"/>
        </w:rPr>
      </w:pPr>
    </w:p>
    <w:p>
      <w:pPr>
        <w:jc w:val="center"/>
        <w:rPr>
          <w:rFonts w:ascii="Times New Roman" w:hAnsi="Times New Roman" w:cs="Times New Roman"/>
          <w:sz w:val="24"/>
          <w:szCs w:val="24"/>
        </w:rPr>
      </w:pPr>
    </w:p>
    <w:p>
      <w:pPr>
        <w:jc w:val="cente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Intercultural Communication for British Companies in Qatar</w:t>
      </w:r>
      <w:bookmarkEnd w:id="0"/>
    </w:p>
    <w:p>
      <w:pPr>
        <w:spacing w:after="0" w:line="480" w:lineRule="auto"/>
        <w:jc w:val="center"/>
        <w:rPr>
          <w:rFonts w:ascii="Times New Roman" w:hAnsi="Times New Roman" w:cs="Times New Roman"/>
          <w:sz w:val="24"/>
          <w:szCs w:val="24"/>
          <w:highlight w:val="yellow"/>
        </w:rPr>
      </w:pPr>
    </w:p>
    <w:p>
      <w:pPr>
        <w:spacing w:after="0" w:line="480" w:lineRule="auto"/>
        <w:jc w:val="center"/>
        <w:rPr>
          <w:rFonts w:ascii="Times New Roman" w:hAnsi="Times New Roman" w:cs="Times New Roman"/>
          <w:sz w:val="24"/>
          <w:szCs w:val="24"/>
          <w:highlight w:val="yellow"/>
        </w:rPr>
      </w:pPr>
    </w:p>
    <w:p>
      <w:pPr>
        <w:spacing w:after="0" w:line="480" w:lineRule="auto"/>
        <w:jc w:val="center"/>
        <w:rPr>
          <w:rFonts w:ascii="Times New Roman" w:hAnsi="Times New Roman" w:cs="Times New Roman"/>
          <w:sz w:val="24"/>
          <w:szCs w:val="24"/>
          <w:highlight w:val="yellow"/>
        </w:rPr>
      </w:pPr>
    </w:p>
    <w:p>
      <w:pPr>
        <w:spacing w:after="0" w:line="480" w:lineRule="auto"/>
        <w:jc w:val="center"/>
        <w:rPr>
          <w:rFonts w:ascii="Times New Roman" w:hAnsi="Times New Roman" w:cs="Times New Roman"/>
          <w:sz w:val="24"/>
          <w:szCs w:val="24"/>
          <w:highlight w:val="yellow"/>
        </w:rPr>
      </w:pPr>
    </w:p>
    <w:p>
      <w:pPr>
        <w:jc w:val="center"/>
        <w:rPr>
          <w:rFonts w:ascii="Times New Roman" w:hAnsi="Times New Roman" w:cs="Times New Roman"/>
          <w:b/>
          <w:sz w:val="24"/>
          <w:szCs w:val="24"/>
        </w:rPr>
      </w:pPr>
      <w:r>
        <w:rPr>
          <w:rFonts w:ascii="Times New Roman" w:hAnsi="Times New Roman" w:cs="Times New Roman"/>
          <w:b/>
          <w:sz w:val="24"/>
          <w:szCs w:val="24"/>
        </w:rPr>
        <w:t>International Business Communication</w:t>
      </w:r>
    </w:p>
    <w:p>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Module Lead:</w:t>
      </w:r>
      <w:r>
        <w:rPr>
          <w:rFonts w:ascii="Times New Roman" w:hAnsi="Times New Roman" w:cs="Times New Roman"/>
          <w:sz w:val="24"/>
          <w:szCs w:val="24"/>
        </w:rPr>
        <w:t xml:space="preserve"> </w:t>
      </w:r>
      <w:r>
        <w:rPr>
          <w:rFonts w:hint="default" w:ascii="Times New Roman Bold" w:hAnsi="Times New Roman Bold" w:cs="Times New Roman Bold"/>
          <w:b/>
          <w:bCs/>
          <w:sz w:val="24"/>
          <w:szCs w:val="24"/>
        </w:rPr>
        <w:t>Gwyneth Jones</w:t>
      </w:r>
    </w:p>
    <w:p>
      <w:pPr>
        <w:spacing w:line="480" w:lineRule="auto"/>
        <w:jc w:val="center"/>
        <w:rPr>
          <w:rFonts w:hint="default" w:ascii="Times New Roman" w:hAnsi="Times New Roman" w:eastAsia="宋体" w:cs="Times New Roman"/>
          <w:b/>
          <w:bCs/>
          <w:sz w:val="24"/>
          <w:szCs w:val="24"/>
          <w:lang w:val="en-US" w:eastAsia="zh-CN"/>
        </w:rPr>
      </w:pPr>
      <w:r>
        <w:rPr>
          <w:rFonts w:ascii="Times New Roman" w:hAnsi="Times New Roman" w:cs="Times New Roman"/>
          <w:b/>
          <w:bCs/>
          <w:sz w:val="24"/>
          <w:szCs w:val="24"/>
        </w:rPr>
        <w:t>Student's Name</w:t>
      </w:r>
      <w:r>
        <w:rPr>
          <w:rFonts w:hint="eastAsia" w:ascii="Times New Roman" w:hAnsi="Times New Roman" w:eastAsia="宋体" w:cs="Times New Roman"/>
          <w:b/>
          <w:bCs/>
          <w:sz w:val="24"/>
          <w:szCs w:val="24"/>
          <w:lang w:val="en-US" w:eastAsia="zh-CN"/>
        </w:rPr>
        <w:t>:</w:t>
      </w:r>
      <w:r>
        <w:rPr>
          <w:rFonts w:hint="default" w:ascii="Times New Roman" w:hAnsi="Times New Roman" w:eastAsia="宋体" w:cs="Times New Roman"/>
          <w:b/>
          <w:bCs/>
          <w:sz w:val="24"/>
          <w:szCs w:val="24"/>
          <w:lang w:val="en-US" w:eastAsia="zh-CN"/>
        </w:rPr>
        <w:t>QihanJia</w:t>
      </w:r>
    </w:p>
    <w:p>
      <w:pPr>
        <w:spacing w:line="480" w:lineRule="auto"/>
        <w:jc w:val="cente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Student ID</w:t>
      </w:r>
      <w:r>
        <w:rPr>
          <w:rFonts w:hint="eastAsia" w:ascii="Times New Roman" w:hAnsi="Times New Roman" w:eastAsia="宋体" w:cs="Times New Roman"/>
          <w:b/>
          <w:bCs/>
          <w:sz w:val="24"/>
          <w:szCs w:val="24"/>
          <w:lang w:val="en-US" w:eastAsia="zh-CN"/>
        </w:rPr>
        <w:t>：2304172</w:t>
      </w:r>
    </w:p>
    <w:p>
      <w:pPr>
        <w:spacing w:line="480" w:lineRule="auto"/>
        <w:jc w:val="center"/>
        <w:rPr>
          <w:rFonts w:hint="default" w:ascii="Times New Roman" w:hAnsi="Times New Roman" w:eastAsia="宋体" w:cs="Times New Roman"/>
          <w:b/>
          <w:bCs/>
          <w:sz w:val="24"/>
          <w:szCs w:val="24"/>
          <w:lang w:val="en-US" w:eastAsia="zh-CN"/>
        </w:rPr>
      </w:pPr>
      <w:r>
        <w:rPr>
          <w:rFonts w:ascii="Times New Roman" w:hAnsi="Times New Roman" w:cs="Times New Roman"/>
          <w:b/>
          <w:bCs/>
          <w:sz w:val="24"/>
          <w:szCs w:val="24"/>
        </w:rPr>
        <w:t>Date</w:t>
      </w:r>
      <w:r>
        <w:rPr>
          <w:rFonts w:hint="default" w:ascii="Times New Roman" w:hAnsi="Times New Roman" w:cs="Times New Roman"/>
          <w:b/>
          <w:bCs/>
          <w:sz w:val="24"/>
          <w:szCs w:val="24"/>
          <w:lang w:val="en-US"/>
        </w:rPr>
        <w:t>:202</w:t>
      </w:r>
      <w:r>
        <w:rPr>
          <w:rFonts w:hint="eastAsia" w:ascii="Times New Roman" w:hAnsi="Times New Roman" w:eastAsia="宋体" w:cs="Times New Roman"/>
          <w:b/>
          <w:bCs/>
          <w:sz w:val="24"/>
          <w:szCs w:val="24"/>
          <w:lang w:val="en-US" w:eastAsia="zh-CN"/>
        </w:rPr>
        <w:t>4.1.17</w:t>
      </w:r>
    </w:p>
    <w:p>
      <w:r>
        <w:br w:type="page"/>
      </w:r>
    </w:p>
    <w:sdt>
      <w:sdtPr>
        <w:id w:val="1900167261"/>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21"/>
            <w:spacing w:line="360" w:lineRule="auto"/>
            <w:jc w:val="center"/>
            <w:rPr>
              <w:rFonts w:ascii="Times New Roman" w:hAnsi="Times New Roman" w:cs="Times New Roman"/>
              <w:sz w:val="28"/>
              <w:szCs w:val="28"/>
            </w:rPr>
          </w:pPr>
          <w:r>
            <w:rPr>
              <w:rFonts w:ascii="Times New Roman" w:hAnsi="Times New Roman" w:cs="Times New Roman"/>
              <w:sz w:val="28"/>
              <w:szCs w:val="28"/>
            </w:rPr>
            <w:t>Table of Contents</w:t>
          </w:r>
        </w:p>
        <w:p>
          <w:pPr>
            <w:pStyle w:val="6"/>
            <w:tabs>
              <w:tab w:val="right" w:leader="dot" w:pos="9016"/>
            </w:tabs>
            <w:spacing w:line="36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"_Toc155775384" </w:instrText>
          </w:r>
          <w:r>
            <w:fldChar w:fldCharType="separate"/>
          </w:r>
          <w:r>
            <w:rPr>
              <w:rStyle w:val="11"/>
              <w:rFonts w:ascii="Times New Roman" w:hAnsi="Times New Roman" w:cs="Times New Roman"/>
              <w:sz w:val="24"/>
              <w:szCs w:val="24"/>
            </w:rPr>
            <w:t>Intercultural Communication for British Companies in Qatar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_Toc155775384 \h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360" w:lineRule="auto"/>
            <w:rPr>
              <w:rFonts w:ascii="Times New Roman" w:hAnsi="Times New Roman" w:cs="Times New Roman"/>
              <w:sz w:val="24"/>
              <w:szCs w:val="24"/>
            </w:rPr>
          </w:pPr>
          <w:r>
            <w:rPr>
              <w:rFonts w:hint="default"/>
              <w:lang w:val="en-US"/>
            </w:rPr>
            <w:t xml:space="preserve">1.0 </w:t>
          </w:r>
          <w:r>
            <w:fldChar w:fldCharType="begin"/>
          </w:r>
          <w:r>
            <w:instrText xml:space="preserve"> HYPERLINK \l "_Toc155775385" </w:instrText>
          </w:r>
          <w:r>
            <w:fldChar w:fldCharType="separate"/>
          </w:r>
          <w:r>
            <w:rPr>
              <w:rStyle w:val="11"/>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_Toc155775385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360" w:lineRule="auto"/>
            <w:rPr>
              <w:rFonts w:ascii="Times New Roman" w:hAnsi="Times New Roman" w:cs="Times New Roman"/>
              <w:sz w:val="24"/>
              <w:szCs w:val="24"/>
            </w:rPr>
          </w:pPr>
          <w:r>
            <w:rPr>
              <w:rFonts w:hint="default"/>
              <w:lang w:val="en-US"/>
            </w:rPr>
            <w:t xml:space="preserve">2.0 </w:t>
          </w:r>
          <w:r>
            <w:fldChar w:fldCharType="begin"/>
          </w:r>
          <w:r>
            <w:instrText xml:space="preserve"> HYPERLINK \l "_Toc155775386" </w:instrText>
          </w:r>
          <w:r>
            <w:fldChar w:fldCharType="separate"/>
          </w:r>
          <w:r>
            <w:rPr>
              <w:rStyle w:val="11"/>
              <w:rFonts w:ascii="Times New Roman" w:hAnsi="Times New Roman" w:cs="Times New Roman"/>
              <w:sz w:val="24"/>
              <w:szCs w:val="24"/>
            </w:rPr>
            <w:t>Situations for Effective Communication in International Business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_Toc155775386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16"/>
            </w:tabs>
            <w:spacing w:line="360" w:lineRule="auto"/>
            <w:rPr>
              <w:rFonts w:ascii="Times New Roman" w:hAnsi="Times New Roman" w:cs="Times New Roman"/>
              <w:sz w:val="24"/>
              <w:szCs w:val="24"/>
            </w:rPr>
          </w:pPr>
          <w:r>
            <w:rPr>
              <w:rFonts w:hint="default"/>
              <w:lang w:val="en-US"/>
            </w:rPr>
            <w:t xml:space="preserve">2.1 </w:t>
          </w:r>
          <w:r>
            <w:fldChar w:fldCharType="begin"/>
          </w:r>
          <w:r>
            <w:instrText xml:space="preserve"> HYPERLINK \l "_Toc155775387" </w:instrText>
          </w:r>
          <w:r>
            <w:fldChar w:fldCharType="separate"/>
          </w:r>
          <w:r>
            <w:rPr>
              <w:rStyle w:val="11"/>
              <w:rFonts w:ascii="Times New Roman" w:hAnsi="Times New Roman" w:cs="Times New Roman"/>
              <w:sz w:val="24"/>
              <w:szCs w:val="24"/>
            </w:rPr>
            <w:t>Effective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_Toc155775387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16"/>
            </w:tabs>
            <w:spacing w:line="360" w:lineRule="auto"/>
            <w:rPr>
              <w:rFonts w:ascii="Times New Roman" w:hAnsi="Times New Roman" w:cs="Times New Roman"/>
              <w:sz w:val="24"/>
              <w:szCs w:val="24"/>
            </w:rPr>
          </w:pPr>
          <w:r>
            <w:rPr>
              <w:rFonts w:hint="default"/>
              <w:lang w:val="en-US"/>
            </w:rPr>
            <w:t xml:space="preserve">2.2 </w:t>
          </w:r>
          <w:r>
            <w:fldChar w:fldCharType="begin"/>
          </w:r>
          <w:r>
            <w:instrText xml:space="preserve"> HYPERLINK \l "_Toc155775388" </w:instrText>
          </w:r>
          <w:r>
            <w:fldChar w:fldCharType="separate"/>
          </w:r>
          <w:r>
            <w:rPr>
              <w:rStyle w:val="11"/>
              <w:rFonts w:ascii="Times New Roman" w:hAnsi="Times New Roman" w:cs="Times New Roman"/>
              <w:sz w:val="24"/>
              <w:szCs w:val="24"/>
            </w:rPr>
            <w:t>Cross Cultural Management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_Toc155775388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16"/>
            </w:tabs>
            <w:spacing w:line="360" w:lineRule="auto"/>
            <w:rPr>
              <w:rFonts w:ascii="Times New Roman" w:hAnsi="Times New Roman" w:cs="Times New Roman"/>
              <w:sz w:val="24"/>
              <w:szCs w:val="24"/>
            </w:rPr>
          </w:pPr>
          <w:r>
            <w:rPr>
              <w:rFonts w:hint="default"/>
              <w:lang w:val="en-US"/>
            </w:rPr>
            <w:t xml:space="preserve">2.3 </w:t>
          </w:r>
          <w:r>
            <w:fldChar w:fldCharType="begin"/>
          </w:r>
          <w:r>
            <w:instrText xml:space="preserve"> HYPERLINK \l "_Toc155775389" </w:instrText>
          </w:r>
          <w:r>
            <w:fldChar w:fldCharType="separate"/>
          </w:r>
          <w:r>
            <w:rPr>
              <w:rStyle w:val="11"/>
              <w:rFonts w:ascii="Times New Roman" w:hAnsi="Times New Roman" w:cs="Times New Roman"/>
              <w:sz w:val="24"/>
              <w:szCs w:val="24"/>
            </w:rPr>
            <w:t>Relationship Building on a Globalized Context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_Toc155775389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360" w:lineRule="auto"/>
            <w:rPr>
              <w:rFonts w:ascii="Times New Roman" w:hAnsi="Times New Roman" w:cs="Times New Roman"/>
              <w:sz w:val="24"/>
              <w:szCs w:val="24"/>
            </w:rPr>
          </w:pPr>
          <w:r>
            <w:rPr>
              <w:rFonts w:hint="default"/>
              <w:lang w:val="en-US"/>
            </w:rPr>
            <w:t xml:space="preserve">3.0 </w:t>
          </w:r>
          <w:r>
            <w:fldChar w:fldCharType="begin"/>
          </w:r>
          <w:r>
            <w:instrText xml:space="preserve"> HYPERLINK \l "_Toc155775390" </w:instrText>
          </w:r>
          <w:r>
            <w:fldChar w:fldCharType="separate"/>
          </w:r>
          <w:r>
            <w:rPr>
              <w:rStyle w:val="11"/>
              <w:rFonts w:ascii="Times New Roman" w:hAnsi="Times New Roman" w:cs="Times New Roman"/>
              <w:sz w:val="24"/>
              <w:szCs w:val="24"/>
            </w:rPr>
            <w:t>Communication Failures (Challenges and Sensitivities)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_Toc155775390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360" w:lineRule="auto"/>
            <w:rPr>
              <w:rFonts w:ascii="Times New Roman" w:hAnsi="Times New Roman" w:cs="Times New Roman"/>
              <w:sz w:val="24"/>
              <w:szCs w:val="24"/>
            </w:rPr>
          </w:pPr>
          <w:r>
            <w:rPr>
              <w:rFonts w:hint="default"/>
              <w:lang w:val="en-US"/>
            </w:rPr>
            <w:t xml:space="preserve">4.0 </w:t>
          </w:r>
          <w:r>
            <w:fldChar w:fldCharType="begin"/>
          </w:r>
          <w:r>
            <w:instrText xml:space="preserve"> HYPERLINK \l "_Toc155775391" </w:instrText>
          </w:r>
          <w:r>
            <w:fldChar w:fldCharType="separate"/>
          </w:r>
          <w:r>
            <w:rPr>
              <w:rStyle w:val="11"/>
              <w:rFonts w:ascii="Times New Roman" w:hAnsi="Times New Roman" w:cs="Times New Roman"/>
              <w:sz w:val="24"/>
              <w:szCs w:val="24"/>
            </w:rPr>
            <w:t>Strategies for overcoming the Challenges.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_Toc155775391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16"/>
            </w:tabs>
            <w:spacing w:line="360" w:lineRule="auto"/>
            <w:rPr>
              <w:rFonts w:ascii="Times New Roman" w:hAnsi="Times New Roman" w:cs="Times New Roman"/>
              <w:sz w:val="24"/>
              <w:szCs w:val="24"/>
            </w:rPr>
          </w:pPr>
          <w:r>
            <w:rPr>
              <w:rFonts w:hint="default"/>
              <w:lang w:val="en-US"/>
            </w:rPr>
            <w:t xml:space="preserve">4.1 </w:t>
          </w:r>
          <w:r>
            <w:fldChar w:fldCharType="begin"/>
          </w:r>
          <w:r>
            <w:instrText xml:space="preserve"> HYPERLINK \l "_Toc155775392" </w:instrText>
          </w:r>
          <w:r>
            <w:fldChar w:fldCharType="separate"/>
          </w:r>
          <w:r>
            <w:rPr>
              <w:rStyle w:val="11"/>
              <w:rFonts w:ascii="Times New Roman" w:hAnsi="Times New Roman" w:cs="Times New Roman"/>
              <w:sz w:val="24"/>
              <w:szCs w:val="24"/>
            </w:rPr>
            <w:t>Improve Cultural Sensitivity and Awareness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_Toc155775392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16"/>
            </w:tabs>
            <w:spacing w:line="360" w:lineRule="auto"/>
            <w:rPr>
              <w:rFonts w:ascii="Times New Roman" w:hAnsi="Times New Roman" w:cs="Times New Roman"/>
              <w:sz w:val="24"/>
              <w:szCs w:val="24"/>
            </w:rPr>
          </w:pPr>
          <w:r>
            <w:rPr>
              <w:rFonts w:hint="default"/>
              <w:lang w:val="en-US"/>
            </w:rPr>
            <w:t xml:space="preserve">4.2 </w:t>
          </w:r>
          <w:r>
            <w:fldChar w:fldCharType="begin"/>
          </w:r>
          <w:r>
            <w:instrText xml:space="preserve"> HYPERLINK \l "_Toc155775393" </w:instrText>
          </w:r>
          <w:r>
            <w:fldChar w:fldCharType="separate"/>
          </w:r>
          <w:r>
            <w:rPr>
              <w:rStyle w:val="11"/>
              <w:rFonts w:ascii="Times New Roman" w:hAnsi="Times New Roman" w:cs="Times New Roman"/>
              <w:sz w:val="24"/>
              <w:szCs w:val="24"/>
            </w:rPr>
            <w:t>Develop and Inclusive Organizational Culture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_Toc155775393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360" w:lineRule="auto"/>
            <w:rPr>
              <w:rFonts w:ascii="Times New Roman" w:hAnsi="Times New Roman" w:cs="Times New Roman"/>
              <w:sz w:val="24"/>
              <w:szCs w:val="24"/>
            </w:rPr>
          </w:pPr>
          <w:r>
            <w:rPr>
              <w:rFonts w:hint="default"/>
              <w:lang w:val="en-US"/>
            </w:rPr>
            <w:t xml:space="preserve">5.0 </w:t>
          </w:r>
          <w:r>
            <w:fldChar w:fldCharType="begin"/>
          </w:r>
          <w:r>
            <w:instrText xml:space="preserve"> HYPERLINK \l "_Toc155775394" </w:instrText>
          </w:r>
          <w:r>
            <w:fldChar w:fldCharType="separate"/>
          </w:r>
          <w:r>
            <w:rPr>
              <w:rStyle w:val="11"/>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_Toc155775394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360" w:lineRule="auto"/>
            <w:rPr>
              <w:rFonts w:ascii="Times New Roman" w:hAnsi="Times New Roman" w:cs="Times New Roman"/>
              <w:sz w:val="24"/>
              <w:szCs w:val="24"/>
            </w:rPr>
          </w:pPr>
          <w:r>
            <w:rPr>
              <w:rFonts w:hint="default"/>
              <w:lang w:val="en-US"/>
            </w:rPr>
            <w:t xml:space="preserve">6.0 </w:t>
          </w:r>
          <w:r>
            <w:fldChar w:fldCharType="begin"/>
          </w:r>
          <w:r>
            <w:instrText xml:space="preserve"> HYPERLINK \l "_Toc155775395" </w:instrText>
          </w:r>
          <w:r>
            <w:fldChar w:fldCharType="separate"/>
          </w:r>
          <w:r>
            <w:rPr>
              <w:rStyle w:val="11"/>
              <w:rFonts w:ascii="Times New Roman" w:hAnsi="Times New Roman" w:cs="Times New Roman"/>
              <w:sz w:val="24"/>
              <w:szCs w:val="24"/>
              <w:lang w:val="en-US"/>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_Toc155775395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pPr>
          <w:r>
            <w:rPr>
              <w:rFonts w:ascii="Times New Roman" w:hAnsi="Times New Roman" w:cs="Times New Roman"/>
              <w:b/>
              <w:bCs/>
              <w:sz w:val="24"/>
              <w:szCs w:val="24"/>
            </w:rPr>
            <w:fldChar w:fldCharType="end"/>
          </w:r>
        </w:p>
      </w:sdtContent>
    </w:sdt>
    <w:p>
      <w:pPr>
        <w:rPr>
          <w:rFonts w:ascii="Times New Roman" w:hAnsi="Times New Roman" w:cs="Times New Roman" w:eastAsiaTheme="majorEastAsia"/>
          <w:color w:val="2E75B6" w:themeColor="accent1" w:themeShade="BF"/>
          <w:sz w:val="28"/>
          <w:szCs w:val="28"/>
        </w:rPr>
      </w:pPr>
      <w:r>
        <w:rPr>
          <w:rFonts w:ascii="Times New Roman" w:hAnsi="Times New Roman" w:cs="Times New Roman"/>
          <w:sz w:val="28"/>
          <w:szCs w:val="28"/>
        </w:rPr>
        <w:br w:type="page"/>
      </w:r>
    </w:p>
    <w:p>
      <w:pPr>
        <w:pStyle w:val="2"/>
        <w:spacing w:line="360" w:lineRule="auto"/>
        <w:rPr>
          <w:rFonts w:ascii="Times New Roman" w:hAnsi="Times New Roman" w:cs="Times New Roman"/>
          <w:sz w:val="28"/>
          <w:szCs w:val="28"/>
        </w:rPr>
      </w:pPr>
      <w:bookmarkStart w:id="1" w:name="_Toc155775385"/>
      <w:r>
        <w:rPr>
          <w:rFonts w:hint="default" w:ascii="Times New Roman" w:hAnsi="Times New Roman" w:cs="Times New Roman"/>
          <w:sz w:val="28"/>
          <w:szCs w:val="28"/>
          <w:lang w:val="en-US"/>
        </w:rPr>
        <w:t xml:space="preserve">1.0 </w:t>
      </w:r>
      <w:r>
        <w:rPr>
          <w:rFonts w:ascii="Times New Roman" w:hAnsi="Times New Roman" w:cs="Times New Roman"/>
          <w:sz w:val="28"/>
          <w:szCs w:val="28"/>
        </w:rPr>
        <w:t>Introduction</w:t>
      </w:r>
      <w:bookmarkEnd w:id="1"/>
      <w:r>
        <w:rPr>
          <w:rFonts w:ascii="Times New Roman" w:hAnsi="Times New Roman" w:cs="Times New Roman"/>
          <w:sz w:val="28"/>
          <w:szCs w:val="28"/>
        </w:rPr>
        <w:t xml:space="preserve">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Globalization and advancements in economies has made multinational companies (henceforth MNCs) more prevalent in the contemporary era, consequently presenting both challenges in the context of intercultural communication. Cultural differences between an MNC`s home country and its host country influence how companies approach communication, particularly considering that the differences can influence performance, attitudes toward the companies, and overall revenue generation (Nes et al., 2007; Shaw, 2015). In that regard, understanding how to approach communication on the basis of a country`s inherent cultural phenomena are pivotal for British companies working in global environments, meaning that cross-cultural communication strategies are a must-have. Qatar is one country that requires significant considerations for British MNCs as far as intercultural communication strategies are concerned. Qatar is a Middle Eastern nation known for its rapid economic growth and increasing globalization, as exemplified by the fact that it has the fourth-highest GDP (PPP) per capita in the world (Shawtari et al., 2023), it still present intercultural communication challenges for MNCs. The purpose of this paper is to critically reflect on the challenges and sensitivities of doing business in Qatar from a British perspective and considering intercultural communication situations, concepts, and theories. The paper will also provide potential strategies for overcoming the challenges. </w:t>
      </w:r>
    </w:p>
    <w:p>
      <w:pPr>
        <w:pStyle w:val="2"/>
        <w:spacing w:line="360" w:lineRule="auto"/>
        <w:rPr>
          <w:rFonts w:ascii="Times New Roman" w:hAnsi="Times New Roman" w:cs="Times New Roman"/>
          <w:sz w:val="28"/>
          <w:szCs w:val="28"/>
        </w:rPr>
      </w:pPr>
      <w:bookmarkStart w:id="2" w:name="_Toc155775386"/>
      <w:r>
        <w:rPr>
          <w:rFonts w:hint="default" w:ascii="Times New Roman" w:hAnsi="Times New Roman" w:cs="Times New Roman"/>
          <w:sz w:val="28"/>
          <w:szCs w:val="28"/>
          <w:lang w:val="en-US"/>
        </w:rPr>
        <w:t xml:space="preserve">2.0 </w:t>
      </w:r>
      <w:r>
        <w:rPr>
          <w:rFonts w:ascii="Times New Roman" w:hAnsi="Times New Roman" w:cs="Times New Roman"/>
          <w:sz w:val="28"/>
          <w:szCs w:val="28"/>
        </w:rPr>
        <w:t>Situations for Effective Communication in International Business</w:t>
      </w:r>
      <w:bookmarkEnd w:id="2"/>
    </w:p>
    <w:p>
      <w:pPr>
        <w:pStyle w:val="3"/>
        <w:spacing w:line="360" w:lineRule="auto"/>
        <w:rPr>
          <w:rFonts w:ascii="Times New Roman" w:hAnsi="Times New Roman" w:cs="Times New Roman"/>
          <w:sz w:val="28"/>
          <w:szCs w:val="28"/>
        </w:rPr>
      </w:pPr>
      <w:bookmarkStart w:id="3" w:name="_Toc155775387"/>
      <w:r>
        <w:rPr>
          <w:rFonts w:hint="default" w:ascii="Times New Roman" w:hAnsi="Times New Roman" w:cs="Times New Roman"/>
          <w:sz w:val="28"/>
          <w:szCs w:val="28"/>
          <w:lang w:val="en-US"/>
        </w:rPr>
        <w:t xml:space="preserve">2.1 </w:t>
      </w:r>
      <w:r>
        <w:rPr>
          <w:rFonts w:ascii="Times New Roman" w:hAnsi="Times New Roman" w:cs="Times New Roman"/>
          <w:sz w:val="28"/>
          <w:szCs w:val="28"/>
        </w:rPr>
        <w:t>Effective Communication</w:t>
      </w:r>
      <w:bookmarkEnd w:id="3"/>
      <w:r>
        <w:rPr>
          <w:rFonts w:ascii="Times New Roman" w:hAnsi="Times New Roman" w:cs="Times New Roman"/>
          <w:sz w:val="28"/>
          <w:szCs w:val="28"/>
        </w:rPr>
        <w:t xml:space="preserve">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Effective communication occurs when the people imparting the information and the people receiving the information are confident, they share the same understanding. Thus, effective communication is clear, unambiguous, transparent, contextual, and considerate of the communication needs of everyone involved. Situations that necessitate effective communication in international business are as follows. Business negotiations with foreign partners require the application of effective communication strategies.  Negotiators should have competencies for understanding the needs, interests, and expectations of both parties and finding mutually advantageous solutions (Yanhua, 2021). Furthermore, negotiators in international business dealings should have the communication skills for identifying and navigating linguistic and cultural distinctions or differences, which leads the building of rapport and establishment of trust. Communication skills such active listening, summarizing key points, and clarifying meaning are crucial to avoid misunderstandings and misinterpretations the possibility of misunderstandings and misinterpretations. At the same time, awareness for cultural norms and values and adaptation of the other parties` communication style led to more desirable outcomes. For example, people in some cultures like those in East Asia perceive direct confrontations as offensive, which elucidates the notion that negotiators should find an indirect and diplomatic approach in such instances. </w:t>
      </w:r>
    </w:p>
    <w:p>
      <w:pPr>
        <w:pStyle w:val="3"/>
        <w:spacing w:line="360" w:lineRule="auto"/>
        <w:rPr>
          <w:rFonts w:ascii="Times New Roman" w:hAnsi="Times New Roman" w:cs="Times New Roman"/>
          <w:sz w:val="28"/>
          <w:szCs w:val="28"/>
        </w:rPr>
      </w:pPr>
      <w:bookmarkStart w:id="4" w:name="_Toc155775388"/>
      <w:r>
        <w:rPr>
          <w:rFonts w:hint="default" w:ascii="Times New Roman" w:hAnsi="Times New Roman" w:cs="Times New Roman"/>
          <w:sz w:val="28"/>
          <w:szCs w:val="28"/>
          <w:lang w:val="en-US"/>
        </w:rPr>
        <w:t xml:space="preserve">2.2 </w:t>
      </w:r>
      <w:r>
        <w:rPr>
          <w:rFonts w:ascii="Times New Roman" w:hAnsi="Times New Roman" w:cs="Times New Roman"/>
          <w:sz w:val="28"/>
          <w:szCs w:val="28"/>
        </w:rPr>
        <w:t>Cross Cultural Management</w:t>
      </w:r>
      <w:bookmarkEnd w:id="4"/>
      <w:r>
        <w:rPr>
          <w:rFonts w:ascii="Times New Roman" w:hAnsi="Times New Roman" w:cs="Times New Roman"/>
          <w:sz w:val="28"/>
          <w:szCs w:val="28"/>
        </w:rPr>
        <w:t xml:space="preserve"> </w:t>
      </w:r>
    </w:p>
    <w:p>
      <w:pPr>
        <w:spacing w:line="360" w:lineRule="auto"/>
        <w:rPr>
          <w:rFonts w:ascii="Times New Roman" w:hAnsi="Times New Roman" w:cs="Times New Roman"/>
          <w:sz w:val="24"/>
          <w:szCs w:val="24"/>
        </w:rPr>
      </w:pPr>
      <w:r>
        <w:rPr>
          <w:rFonts w:ascii="Times New Roman" w:hAnsi="Times New Roman" w:cs="Times New Roman"/>
          <w:sz w:val="24"/>
          <w:szCs w:val="24"/>
        </w:rPr>
        <w:t>Management of cross-cultural teams also needs effective communication strategies in order to guarantee positive outcomes. Globalization has increased the diversity of team members in business teams, where members come from diverse backgrounds in terms of factors like race, religion, and nationality (Verma, 2020). In that case, effective communication allows coexistence while promoting collaboration, understanding, and clarity. At the same time, team leaders must have effective communication skills to manage the fact that diversity presents different ideas and opinions that all require attention and consideration. That is, effective communications lead to encouragement that allows team members to feel comfortable when expressing themselves as considered in Hofstede Cultural framework. A leader who understands the cultural differences within the team can adapt the communication style and address potential conflicts promptly and effectively.</w:t>
      </w:r>
    </w:p>
    <w:p>
      <w:pPr>
        <w:pStyle w:val="3"/>
        <w:spacing w:line="360" w:lineRule="auto"/>
        <w:rPr>
          <w:rFonts w:ascii="Times New Roman" w:hAnsi="Times New Roman" w:cs="Times New Roman"/>
          <w:sz w:val="28"/>
          <w:szCs w:val="28"/>
        </w:rPr>
      </w:pPr>
      <w:bookmarkStart w:id="5" w:name="_Toc155775389"/>
      <w:r>
        <w:rPr>
          <w:rFonts w:hint="default" w:ascii="Times New Roman" w:hAnsi="Times New Roman" w:cs="Times New Roman"/>
          <w:sz w:val="28"/>
          <w:szCs w:val="28"/>
          <w:lang w:val="en-US"/>
        </w:rPr>
        <w:t xml:space="preserve">2.3 </w:t>
      </w:r>
      <w:r>
        <w:rPr>
          <w:rFonts w:ascii="Times New Roman" w:hAnsi="Times New Roman" w:cs="Times New Roman"/>
          <w:sz w:val="28"/>
          <w:szCs w:val="28"/>
        </w:rPr>
        <w:t>Relationship Building on a Globalized Context</w:t>
      </w:r>
      <w:bookmarkEnd w:id="5"/>
      <w:r>
        <w:rPr>
          <w:rFonts w:ascii="Times New Roman" w:hAnsi="Times New Roman" w:cs="Times New Roman"/>
          <w:sz w:val="28"/>
          <w:szCs w:val="28"/>
        </w:rPr>
        <w:t xml:space="preserve"> </w:t>
      </w:r>
    </w:p>
    <w:p>
      <w:pPr>
        <w:spacing w:line="360" w:lineRule="auto"/>
        <w:rPr>
          <w:rFonts w:ascii="Times New Roman" w:hAnsi="Times New Roman" w:cs="Times New Roman"/>
          <w:sz w:val="24"/>
          <w:szCs w:val="24"/>
        </w:rPr>
      </w:pPr>
      <w:r>
        <w:rPr>
          <w:rFonts w:ascii="Times New Roman" w:hAnsi="Times New Roman" w:cs="Times New Roman"/>
          <w:sz w:val="24"/>
          <w:szCs w:val="24"/>
        </w:rPr>
        <w:t>Effective communication is indispensable in building and maintaining relationships with international clients, customers, and suppliers. According to Tyler and Stanley (2007), business relationships are founded on trust, mutual understanding, and effective communication. The ability to effectively convey the value proposition, address customer concerns, and develop personalized relationships results in successful business partnerships. In addition, maintaining regular communication with international clients and suppliers fosters trust and transparency while also allowing international business to identify and strategize on any potential challenges and opportunities. Relatedly, effective communication is important during market entry, especially during market research. Organizations need accurate and relevant information so as to make informed decisions about expanding into new markets, which implies that effective communication with local researchers, suppliers, or customers aids them in gathering vital data as well as understanding the local market dynamics (Fletcher et al., 2013). effective communication skills therefore lead to gathering information, understanding cultural nuances, and building relationships.</w:t>
      </w:r>
    </w:p>
    <w:p>
      <w:pPr>
        <w:pStyle w:val="2"/>
        <w:numPr>
          <w:ilvl w:val="0"/>
          <w:numId w:val="0"/>
        </w:numPr>
        <w:spacing w:line="360" w:lineRule="auto"/>
        <w:rPr>
          <w:rFonts w:ascii="Times New Roman" w:hAnsi="Times New Roman" w:cs="Times New Roman"/>
          <w:sz w:val="28"/>
          <w:szCs w:val="28"/>
        </w:rPr>
      </w:pPr>
      <w:bookmarkStart w:id="6" w:name="_Toc155775390"/>
      <w:r>
        <w:rPr>
          <w:rFonts w:hint="default" w:ascii="Times New Roman" w:hAnsi="Times New Roman" w:cs="Times New Roman"/>
          <w:sz w:val="28"/>
          <w:szCs w:val="28"/>
          <w:lang w:val="en-US"/>
        </w:rPr>
        <w:t xml:space="preserve">3.0 </w:t>
      </w:r>
      <w:r>
        <w:rPr>
          <w:rFonts w:ascii="Times New Roman" w:hAnsi="Times New Roman" w:cs="Times New Roman"/>
          <w:sz w:val="28"/>
          <w:szCs w:val="28"/>
        </w:rPr>
        <w:t>Communication Failures (Challenges and Sensitivities)</w:t>
      </w:r>
      <w:bookmarkEnd w:id="6"/>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A British company that conducts business on a Friday show that there has been intercultural communication failure. Such a practice shows that the British company has not engaged in sufficient research to understand the significance of religious observance in Qatar. Azouri and Daou (2022) note that Islam plays a major role in social life, and, to a significant extent, structures social relations and public morality in Qatar, implying that religion influences working hours and calendars. The Islamic holy month of Ramadan, for example, brings changes in work schedules, reduced business activities, and altered eating patterns. On the other hand, company practices in the UK emphasise business efficiency and convenience as opposed to observing the cultural practices of others. Hofstede`s cultural dimension of Indulgence versus Restraint is applicable to the situation. Indulgence versus restraint involves the degree of a society`s capacity to allow gratification of basic human desires and impulses. Countries that depict indulgence are characterised by the relaxation of approaches toward leisure activities and accepting variety and diversity, while those that are restraint-oriented elicit stricter norms and regulations as well as lower levels of tolerance toward deviant behaviour (Hofstede, 2011). On the comparison of the cultural dimensions between the two countries, Qatar has a score of 0% compared to the UK`s 69% as far as indulgence is concerned (Figure 1). </w:t>
      </w:r>
    </w:p>
    <w:p>
      <w:pPr>
        <w:spacing w:line="360" w:lineRule="auto"/>
        <w:rPr>
          <w:rFonts w:ascii="Times New Roman" w:hAnsi="Times New Roman" w:cs="Times New Roman"/>
          <w:sz w:val="24"/>
          <w:szCs w:val="24"/>
        </w:rPr>
      </w:pPr>
      <w:r>
        <w:rPr>
          <w:rFonts w:ascii="Times New Roman" w:hAnsi="Times New Roman" w:cs="Times New Roman"/>
          <w:sz w:val="24"/>
          <w:szCs w:val="24"/>
          <w:lang w:eastAsia="en-GB"/>
        </w:rPr>
        <w:drawing>
          <wp:inline distT="0" distB="0" distL="0" distR="0">
            <wp:extent cx="4965700" cy="2637155"/>
            <wp:effectExtent l="0" t="0" r="6350" b="0"/>
            <wp:docPr id="1" name="Picture 1" descr="C:\Users\pornstar\AppData\Local\Microsoft\Windows\INetCache\Content.Word\indulge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pornstar\AppData\Local\Microsoft\Windows\INetCache\Content.Word\indulgenc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973170" cy="2641617"/>
                    </a:xfrm>
                    <a:prstGeom prst="rect">
                      <a:avLst/>
                    </a:prstGeom>
                    <a:noFill/>
                    <a:ln>
                      <a:noFill/>
                    </a:ln>
                  </pic:spPr>
                </pic:pic>
              </a:graphicData>
            </a:graphic>
          </wp:inline>
        </w:drawing>
      </w:r>
    </w:p>
    <w:p>
      <w:pPr>
        <w:spacing w:line="360" w:lineRule="auto"/>
        <w:jc w:val="center"/>
        <w:rPr>
          <w:rFonts w:ascii="Times New Roman" w:hAnsi="Times New Roman" w:cs="Times New Roman"/>
          <w:i/>
          <w:sz w:val="24"/>
          <w:szCs w:val="24"/>
        </w:rPr>
      </w:pPr>
      <w:r>
        <w:rPr>
          <w:rFonts w:ascii="Times New Roman" w:hAnsi="Times New Roman" w:cs="Times New Roman"/>
          <w:i/>
          <w:sz w:val="24"/>
          <w:szCs w:val="24"/>
        </w:rPr>
        <w:t>Figure 1 (The Culture Factor, 2024)</w:t>
      </w:r>
    </w:p>
    <w:p>
      <w:pPr>
        <w:spacing w:line="360" w:lineRule="auto"/>
        <w:rPr>
          <w:rFonts w:ascii="Times New Roman" w:hAnsi="Times New Roman" w:cs="Times New Roman"/>
          <w:sz w:val="24"/>
          <w:szCs w:val="24"/>
        </w:rPr>
      </w:pPr>
      <w:r>
        <w:rPr>
          <w:rFonts w:ascii="Times New Roman" w:hAnsi="Times New Roman" w:cs="Times New Roman"/>
          <w:sz w:val="24"/>
          <w:szCs w:val="24"/>
        </w:rPr>
        <w:t>Conducting business on a Friday thus shows that there has been communication failure because the company lacks cultural awareness and sensitivity, which is attributable to a higher level of indulgence in British culture where religious considerations are not deeply engrained. Therefore, British companies should effectively communicate to their staff regarding Qatari customs and adjust their working practices accordingly. Such mindfulness includes avoiding scheduling meetings during fasting hours and being understanding and accommodating during this period. Observing and respecting the religious traditions is essential for building successful business relationships in Qatar.</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Communication failure can be elicited in the form of lack of feedback, and the absence or insufficiency of feedback is associated with challenges in terms of gauging the effectiveness of the message that result in communication breakdown. British companies can experience lack of feedback if their staff do not pay attention or use nonverbal cues when communicating with people in Qatar. According to Mohtar (2015), Qatari people in both business and personal contexts pay close attention to non-verbal cues compared to people in other countries, especially outside of the Middle East. Business communication in Qatar entail extensive use of Body language, facial expressions, and gestures in conveying their messages. That is, the Qatari business culture has an inclination toward maintaining diplomacy and avoiding confrontation by deploying non-verbal cues that are layered with etiquette and respect. In contrast, their British counterparts involve direct communication styles. Communication within British business contexts is comparatively less direct relative to other Northern European and North American contexts, as it entails politeness and avoidance of absolute statements. Nonetheless, it is more direct than that within the Qatari context.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that regard, lack of feedback due to lack of understanding of non-verbal cues of Qatar`s cultural communication nuances reveal Hall’s high and low contexts of cultural communication, where Qatar is high context while Britain is low context. Context is key in high-context communication, as high-context cultures depend on shared knowledge, non-verbal cues, and implicit understanding in when sharing information of messages (Oliver, 2016). Besides Qatar, other examples of high-context cultures are East Asian countries like as Japan and China, where harmony, face-saving, and group cohesion are valuable. Contrastingly, low-context cultures are rooted on more on explicit verbal expression compared to their high-context counterparts. Low-context cultures typically relay messages in a direct and explicit manner, where they value precise and comprehensive language. In that regard, British companies are likely to experience insufficient or lack of feedback if their staff fail in identifying and interpreting nonverbal language when communicating with clients or customers in Qatar.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If or when a Qatari businessperson does not trust a British company, that is indicative of communication failure. Distrust can particularly result from failure to build relationships on a personal level. Specifically, British companies might experience intercultural communication to understand the concept of Wasta, which is common in the Middle East generally and Qatar specifically. Waranik et al. (2023) observe Wasta is a practice in Arab society where people use their personal relationships to gain favour, and “Wasta” directly translates to ‘connections” or “influence.” Personal connections and relationships are prevalent in business dealings within the Qatari society and have substantial impact on the success or failure of both local and multinational companies in the country. In that case, business opportunities are rooted in personal connections as opposed to specific objective criteria. In a contrasting manner, British business practices emphasise on transparency and meritocracy (Shaw, 2015), which implies that lack of attention to personal connections can act as a roadblock for achieving business objectives. Therefore, communication failures resulting from the lack of understanding of personal connections and relations reveals Trompenaar’s cultural dimensions, particularly the dimension of Universalism vs. Particularism.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On the one hand, cultural values, norms, and beliefs rooted in universalism place importance on laws, rules, or obligations above interpersonal relationships. On the other hand, particularism places value on relationships and circumstances (Trompenaars, 1996). Therefore, Qatar`s cultural inclination leads to communication failures because it is rooted in Particularism but the British company either does not understand that or is still practicing universalist approaches in its business processes. </w:t>
      </w:r>
    </w:p>
    <w:p>
      <w:pPr>
        <w:pStyle w:val="2"/>
        <w:spacing w:line="360" w:lineRule="auto"/>
        <w:rPr>
          <w:rFonts w:ascii="Times New Roman" w:hAnsi="Times New Roman" w:cs="Times New Roman"/>
          <w:sz w:val="28"/>
          <w:szCs w:val="28"/>
        </w:rPr>
      </w:pPr>
      <w:bookmarkStart w:id="7" w:name="_Toc155775391"/>
      <w:r>
        <w:rPr>
          <w:rFonts w:hint="default" w:ascii="Times New Roman" w:hAnsi="Times New Roman" w:cs="Times New Roman"/>
          <w:sz w:val="28"/>
          <w:szCs w:val="28"/>
          <w:lang w:val="en-US"/>
        </w:rPr>
        <w:t xml:space="preserve">4.0 </w:t>
      </w:r>
      <w:r>
        <w:rPr>
          <w:rFonts w:ascii="Times New Roman" w:hAnsi="Times New Roman" w:cs="Times New Roman"/>
          <w:sz w:val="28"/>
          <w:szCs w:val="28"/>
        </w:rPr>
        <w:t>Strategies for overcoming the Challenges.</w:t>
      </w:r>
      <w:bookmarkEnd w:id="7"/>
    </w:p>
    <w:p>
      <w:pPr>
        <w:pStyle w:val="3"/>
        <w:spacing w:line="360" w:lineRule="auto"/>
        <w:rPr>
          <w:rFonts w:ascii="Times New Roman" w:hAnsi="Times New Roman" w:cs="Times New Roman"/>
          <w:sz w:val="28"/>
          <w:szCs w:val="28"/>
        </w:rPr>
      </w:pPr>
      <w:bookmarkStart w:id="8" w:name="_Toc155775392"/>
      <w:r>
        <w:rPr>
          <w:rFonts w:hint="default" w:ascii="Times New Roman" w:hAnsi="Times New Roman" w:cs="Times New Roman"/>
          <w:sz w:val="28"/>
          <w:szCs w:val="28"/>
          <w:lang w:val="en-US"/>
        </w:rPr>
        <w:t xml:space="preserve">4.1 </w:t>
      </w:r>
      <w:r>
        <w:rPr>
          <w:rFonts w:ascii="Times New Roman" w:hAnsi="Times New Roman" w:cs="Times New Roman"/>
          <w:sz w:val="28"/>
          <w:szCs w:val="28"/>
        </w:rPr>
        <w:t>Improve Cultural Sensitivity and Awareness</w:t>
      </w:r>
      <w:bookmarkEnd w:id="8"/>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British MNCs should engage in activities aimed at developing staff members` cultural sensitivity and awareness as a strategy for improving intercultural communication and the current failures. Cultural sensitivity involves respecting cultural differences, while cultural competence entails being knowledgeable about cultural diversity and providing products or services in line with the diversities that define the cultural nuances of individuals (Johnson et al., 2006). British MNCs should, among other things, educate employees about Qatari business culture, traditions, and communications. The development is possible through training programs and workshops by experts in intercultural communication. It is also possible to develop cultural sensitivity and competence through formulation of code of conduct policies and multimedia. Another area that can reduce intercultural communication is training staff on Qatari languages, as it has the potential for reducing communication barriers.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approaches for enhancing cultural awareness and sensitivity are reminiscent of the Communication Accommodation Theory (CAT), which Howard Giles developed to explain and predict the underlying motives that explain why people alter their communicative behaviours in social when interacting with others. CAT entails the arguments that people change their approaches in communication by altering speech patterns and gestures as a means of accommodating others or increasing their distinct identities, either consciously or unconsciously (Zhang &amp; Giles, 2018). Moreover, approaches to the speech changes can either converge or diver, where converging entails changing the patterns to match those of others while diverging is about changing to bolster differences or one`s identity compared to others. As such, British expatriates should focus on convergence and conscious alterations to become more accommodating to Qatari cultural nuances and therefore reducing intercultural communication failures. Companies should organize language courses or provide resources for employees to learn key phrases and expressions commonly used in different Qatar, which will subsequently improve communication and demonstrate a commitment to the Qatari market. By so doing, employees of British MNCs operating in Qatar will not only enhance their understanding of cultural communication nuances but also avoid misunderstandings, stereotypes, and biases that may act as barriers to effective communication. </w:t>
      </w:r>
    </w:p>
    <w:p>
      <w:pPr>
        <w:pStyle w:val="3"/>
        <w:spacing w:line="360" w:lineRule="auto"/>
        <w:rPr>
          <w:rFonts w:ascii="Times New Roman" w:hAnsi="Times New Roman" w:cs="Times New Roman"/>
          <w:sz w:val="28"/>
          <w:szCs w:val="28"/>
        </w:rPr>
      </w:pPr>
      <w:bookmarkStart w:id="9" w:name="_Toc155775393"/>
      <w:r>
        <w:rPr>
          <w:rFonts w:hint="default" w:ascii="Times New Roman" w:hAnsi="Times New Roman" w:cs="Times New Roman"/>
          <w:sz w:val="28"/>
          <w:szCs w:val="28"/>
          <w:lang w:val="en-US"/>
        </w:rPr>
        <w:t xml:space="preserve">4.2 </w:t>
      </w:r>
      <w:r>
        <w:rPr>
          <w:rFonts w:ascii="Times New Roman" w:hAnsi="Times New Roman" w:cs="Times New Roman"/>
          <w:sz w:val="28"/>
          <w:szCs w:val="28"/>
        </w:rPr>
        <w:t>Develop and Inclusive Organizational Culture</w:t>
      </w:r>
      <w:bookmarkEnd w:id="9"/>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British MNCs should specifically include Qatari professionals in its workforce because it will improve cross-cultural communication. Inclusivity will allow the existing workforce to have more exposure to the cultural perspectives, norms, and values that predominate the business landscape and society in Qatar. Consequently, the exposure will make employees more knowledgeable and adept to addressing the cultural challenges resulting from misunderstanding of Qatar`s cultural nuances.  According to Ravasi and Schultz (2006), encouraging staff members to work in diverse teams, organizing cross-cultural events, and creating opportunities to diverse employees to interact from each other promotes empathy, cultural exchange, while also improving cross-cultural skills. At the same time, a culturally inclusive organization gains the potential for increasing the sense of belonging, as individuals feel values. As a result, the individuals are more open to engaging in dialogue, asking questions, seeking clarifications, and expressing their opinions, which further cements the capacity for improving intercultural communication.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an inclusive organizational structure will ensure that British MNCs gain a deeper understanding of the power structures in Qatar, while will result in adjustment of intercultural communication adjustments to accommodate the phenomenon. The Qatari culture is hierarchical on both the business and societal levels. In the business landscape, staff are expected to follow orders to the letter. Qatar has a score of 93% compared to the UK`s 35% as indicated in Figure 2 below (The Culture Factor, 2024), meaning that failing to understand and strategize upon the hierarchical nature of business relationships in Qatar can lead to serious intercultural communication challenges. </w:t>
      </w:r>
    </w:p>
    <w:p>
      <w:pPr>
        <w:spacing w:line="360" w:lineRule="auto"/>
        <w:rPr>
          <w:rFonts w:ascii="Times New Roman" w:hAnsi="Times New Roman" w:cs="Times New Roman"/>
          <w:sz w:val="24"/>
          <w:szCs w:val="24"/>
        </w:rPr>
      </w:pPr>
      <w:r>
        <w:rPr>
          <w:rFonts w:ascii="Times New Roman" w:hAnsi="Times New Roman" w:cs="Times New Roman"/>
          <w:sz w:val="24"/>
          <w:szCs w:val="24"/>
        </w:rPr>
        <w:pict>
          <v:shape id="_x0000_i1025" o:spt="75" type="#_x0000_t75" style="height:223.5pt;width:421pt;" filled="f" o:preferrelative="t" stroked="f" coordsize="21600,21600">
            <v:path/>
            <v:fill on="f" focussize="0,0"/>
            <v:stroke on="f" joinstyle="miter"/>
            <v:imagedata r:id="rId10" o:title="indulgence"/>
            <o:lock v:ext="edit" aspectratio="t"/>
            <w10:wrap type="none"/>
            <w10:anchorlock/>
          </v:shape>
        </w:pict>
      </w:r>
    </w:p>
    <w:p>
      <w:pPr>
        <w:spacing w:line="360" w:lineRule="auto"/>
        <w:jc w:val="center"/>
        <w:rPr>
          <w:rFonts w:ascii="Times New Roman" w:hAnsi="Times New Roman" w:cs="Times New Roman"/>
          <w:i/>
          <w:sz w:val="24"/>
          <w:szCs w:val="24"/>
        </w:rPr>
      </w:pPr>
      <w:r>
        <w:rPr>
          <w:rFonts w:ascii="Times New Roman" w:hAnsi="Times New Roman" w:cs="Times New Roman"/>
          <w:i/>
          <w:sz w:val="24"/>
          <w:szCs w:val="24"/>
        </w:rPr>
        <w:t>Figure 2 (The Culture Factor, 2024)</w:t>
      </w:r>
    </w:p>
    <w:p>
      <w:pPr>
        <w:pStyle w:val="2"/>
        <w:spacing w:line="360" w:lineRule="auto"/>
        <w:rPr>
          <w:rFonts w:ascii="Times New Roman" w:hAnsi="Times New Roman" w:cs="Times New Roman"/>
          <w:sz w:val="28"/>
          <w:szCs w:val="28"/>
        </w:rPr>
      </w:pPr>
      <w:bookmarkStart w:id="10" w:name="_Toc155775394"/>
      <w:r>
        <w:rPr>
          <w:rFonts w:hint="default" w:ascii="Times New Roman" w:hAnsi="Times New Roman" w:cs="Times New Roman"/>
          <w:sz w:val="28"/>
          <w:szCs w:val="28"/>
          <w:lang w:val="en-US"/>
        </w:rPr>
        <w:t xml:space="preserve">5.0 </w:t>
      </w:r>
      <w:r>
        <w:rPr>
          <w:rFonts w:ascii="Times New Roman" w:hAnsi="Times New Roman" w:cs="Times New Roman"/>
          <w:sz w:val="28"/>
          <w:szCs w:val="28"/>
        </w:rPr>
        <w:t>Conclusion</w:t>
      </w:r>
      <w:bookmarkEnd w:id="10"/>
    </w:p>
    <w:p>
      <w:pPr>
        <w:spacing w:line="360" w:lineRule="auto"/>
        <w:rPr>
          <w:rFonts w:ascii="Times New Roman" w:hAnsi="Times New Roman" w:cs="Times New Roman"/>
          <w:sz w:val="24"/>
          <w:szCs w:val="24"/>
        </w:rPr>
      </w:pPr>
      <w:r>
        <w:rPr>
          <w:rFonts w:ascii="Times New Roman" w:hAnsi="Times New Roman" w:cs="Times New Roman"/>
          <w:sz w:val="24"/>
          <w:szCs w:val="24"/>
        </w:rPr>
        <w:t>In summary, this paper critically reflects on the challenges and sensitivities of doing business in Qatar from a British perspective and considering intercultural communication and also provides potential strategies for overcoming the challenges. Business negotiations with foreign partners require the application of effective communication strategies. Negotiators in international business dealings should have the communication skills for identifying and navigating linguistic and cultural distinctions. Management of cross-cultural teams also needs effective communication strategies in order to guarantee positive outcomes. Crises are bound to happen in international business landscape, more so unexpectedly, thereby needing immediate and effective communication approaches. A British company that conducts business on a Friday show that there has been intercultural communication failure. Hofstede`s cultural dimension of Indulgence versus Restraint is applicable to the situation. Communication failure can be elicited in the form of lack of feedback. Lack of feedback due to lack of understanding of non-verbal cues of Qatar`s cultural communication nuances reveal Hall’s high and low contexts of cultural communication, where Qatar is high context while Britain is low context. If or when a Qatari businessperson does not trust a British company, that is indicative of communication failure. Distrust can particularly result from failure to build relationships on a personal level. Communication failures resulting from the lack of understanding of personal connections and relations reveals Trompenaar’s cultural dimensions, particularly the dimension of Universalism vs. Particularism. British MNCs should engage in activities aimed at developing staff members` cultural sensitivity and awareness as a strategy for improving intercultural communication and the current failures. British MNCs should specifically include Qatari professionals in its workforce because it will improve cross-cultural communication. Inclusivity will allow the existing workforce to have more exposure to the cultural perspectives, norms, and values.</w:t>
      </w:r>
    </w:p>
    <w:p>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br w:type="page"/>
      </w:r>
    </w:p>
    <w:p>
      <w:pPr>
        <w:pStyle w:val="2"/>
        <w:spacing w:line="360" w:lineRule="auto"/>
        <w:rPr>
          <w:rFonts w:ascii="Times New Roman" w:hAnsi="Times New Roman" w:cs="Times New Roman"/>
          <w:sz w:val="28"/>
          <w:szCs w:val="28"/>
          <w:lang w:val="en-US"/>
        </w:rPr>
      </w:pPr>
      <w:bookmarkStart w:id="11" w:name="_Toc155775395"/>
      <w:r>
        <w:rPr>
          <w:rFonts w:hint="default" w:ascii="Times New Roman" w:hAnsi="Times New Roman" w:cs="Times New Roman"/>
          <w:sz w:val="28"/>
          <w:szCs w:val="28"/>
          <w:lang w:val="en-US"/>
        </w:rPr>
        <w:t xml:space="preserve">6.0 </w:t>
      </w:r>
      <w:r>
        <w:rPr>
          <w:rFonts w:ascii="Times New Roman" w:hAnsi="Times New Roman" w:cs="Times New Roman"/>
          <w:sz w:val="28"/>
          <w:szCs w:val="28"/>
          <w:lang w:val="en-US"/>
        </w:rPr>
        <w:t>References</w:t>
      </w:r>
      <w:bookmarkEnd w:id="11"/>
    </w:p>
    <w:p>
      <w:pPr>
        <w:spacing w:line="360" w:lineRule="auto"/>
        <w:ind w:left="720" w:hanging="720"/>
        <w:rPr>
          <w:rFonts w:ascii="Times New Roman" w:hAnsi="Times New Roman" w:cs="Times New Roman"/>
          <w:sz w:val="24"/>
          <w:szCs w:val="24"/>
          <w:lang w:val="en-US"/>
        </w:rPr>
      </w:pPr>
      <w:r>
        <w:rPr>
          <w:rFonts w:ascii="Times New Roman" w:hAnsi="Times New Roman" w:cs="Times New Roman"/>
          <w:sz w:val="24"/>
          <w:szCs w:val="24"/>
        </w:rPr>
        <w:t>Azouri, M., &amp; Daou, L. (2022). The Cultural Side of Entrepreneurship in the Middle East: Religion, Gender, and Family. In </w:t>
      </w:r>
      <w:r>
        <w:rPr>
          <w:rFonts w:ascii="Times New Roman" w:hAnsi="Times New Roman" w:cs="Times New Roman"/>
          <w:i/>
          <w:iCs/>
          <w:sz w:val="24"/>
          <w:szCs w:val="24"/>
        </w:rPr>
        <w:t>Entrepreneurship and Social Entrepreneurship in the MENA Region: Advances in Research</w:t>
      </w:r>
      <w:r>
        <w:rPr>
          <w:rFonts w:ascii="Times New Roman" w:hAnsi="Times New Roman" w:cs="Times New Roman"/>
          <w:sz w:val="24"/>
          <w:szCs w:val="24"/>
        </w:rPr>
        <w:t> (pp. 219-228). Cham: Springer International Publishing. https://doi.org/10.1007/978-3-030-88447-5_8</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Babcock, R. D., &amp; Du-Babcock, B. (2001). Language-based communication zones in international business communication. </w:t>
      </w:r>
      <w:r>
        <w:rPr>
          <w:rFonts w:ascii="Times New Roman" w:hAnsi="Times New Roman" w:cs="Times New Roman"/>
          <w:i/>
          <w:iCs/>
          <w:sz w:val="24"/>
          <w:szCs w:val="24"/>
        </w:rPr>
        <w:t>The Journal of Business Communication (1973)</w:t>
      </w:r>
      <w:r>
        <w:rPr>
          <w:rFonts w:ascii="Times New Roman" w:hAnsi="Times New Roman" w:cs="Times New Roman"/>
          <w:sz w:val="24"/>
          <w:szCs w:val="24"/>
        </w:rPr>
        <w:t>, </w:t>
      </w:r>
      <w:r>
        <w:rPr>
          <w:rFonts w:ascii="Times New Roman" w:hAnsi="Times New Roman" w:cs="Times New Roman"/>
          <w:i/>
          <w:iCs/>
          <w:sz w:val="24"/>
          <w:szCs w:val="24"/>
        </w:rPr>
        <w:t>38</w:t>
      </w:r>
      <w:r>
        <w:rPr>
          <w:rFonts w:ascii="Times New Roman" w:hAnsi="Times New Roman" w:cs="Times New Roman"/>
          <w:sz w:val="24"/>
          <w:szCs w:val="24"/>
        </w:rPr>
        <w:t xml:space="preserve">(4), 372-412. </w:t>
      </w:r>
      <w:r>
        <w:fldChar w:fldCharType="begin"/>
      </w:r>
      <w:r>
        <w:instrText xml:space="preserve"> HYPERLINK "https://doi.org/10.1177/002194360103800401" </w:instrText>
      </w:r>
      <w:r>
        <w:fldChar w:fldCharType="separate"/>
      </w:r>
      <w:r>
        <w:rPr>
          <w:rStyle w:val="11"/>
          <w:rFonts w:ascii="Times New Roman" w:hAnsi="Times New Roman" w:cs="Times New Roman"/>
          <w:color w:val="auto"/>
          <w:sz w:val="24"/>
          <w:szCs w:val="24"/>
          <w:u w:val="none"/>
        </w:rPr>
        <w:t>https://doi.org/10.1177/002194360103800401</w:t>
      </w:r>
      <w:r>
        <w:rPr>
          <w:rStyle w:val="11"/>
          <w:rFonts w:ascii="Times New Roman" w:hAnsi="Times New Roman" w:cs="Times New Roman"/>
          <w:color w:val="auto"/>
          <w:sz w:val="24"/>
          <w:szCs w:val="24"/>
          <w:u w:val="none"/>
        </w:rPr>
        <w:fldChar w:fldCharType="end"/>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Baranik, L., Gorman, B., &amp; Wright, N. (2023). Wasta and its relationship to employment status and income in the Arab Middle East. </w:t>
      </w:r>
      <w:r>
        <w:rPr>
          <w:rFonts w:ascii="Times New Roman" w:hAnsi="Times New Roman" w:cs="Times New Roman"/>
          <w:i/>
          <w:iCs/>
          <w:sz w:val="24"/>
          <w:szCs w:val="24"/>
        </w:rPr>
        <w:t>Current Sociology</w:t>
      </w:r>
      <w:r>
        <w:rPr>
          <w:rFonts w:ascii="Times New Roman" w:hAnsi="Times New Roman" w:cs="Times New Roman"/>
          <w:sz w:val="24"/>
          <w:szCs w:val="24"/>
        </w:rPr>
        <w:t>, </w:t>
      </w:r>
      <w:r>
        <w:rPr>
          <w:rFonts w:ascii="Times New Roman" w:hAnsi="Times New Roman" w:cs="Times New Roman"/>
          <w:i/>
          <w:iCs/>
          <w:sz w:val="24"/>
          <w:szCs w:val="24"/>
        </w:rPr>
        <w:t>71</w:t>
      </w:r>
      <w:r>
        <w:rPr>
          <w:rFonts w:ascii="Times New Roman" w:hAnsi="Times New Roman" w:cs="Times New Roman"/>
          <w:sz w:val="24"/>
          <w:szCs w:val="24"/>
        </w:rPr>
        <w:t xml:space="preserve">(5), 830-847. </w:t>
      </w:r>
      <w:r>
        <w:fldChar w:fldCharType="begin"/>
      </w:r>
      <w:r>
        <w:instrText xml:space="preserve"> HYPERLINK "https://doi.org/10.1177/00113921211024705" </w:instrText>
      </w:r>
      <w:r>
        <w:fldChar w:fldCharType="separate"/>
      </w:r>
      <w:r>
        <w:rPr>
          <w:rStyle w:val="11"/>
          <w:rFonts w:ascii="Times New Roman" w:hAnsi="Times New Roman" w:cs="Times New Roman"/>
          <w:color w:val="auto"/>
          <w:sz w:val="24"/>
          <w:szCs w:val="24"/>
          <w:u w:val="none"/>
        </w:rPr>
        <w:t>https://doi.org/10.1177/001139212110247</w:t>
      </w:r>
      <w:r>
        <w:rPr>
          <w:rStyle w:val="11"/>
          <w:rFonts w:ascii="Times New Roman" w:hAnsi="Times New Roman" w:cs="Times New Roman"/>
          <w:color w:val="auto"/>
          <w:sz w:val="24"/>
          <w:szCs w:val="24"/>
          <w:u w:val="none"/>
        </w:rPr>
        <w:fldChar w:fldCharType="end"/>
      </w:r>
    </w:p>
    <w:p>
      <w:pPr>
        <w:spacing w:line="360" w:lineRule="auto"/>
        <w:ind w:left="720" w:hanging="720"/>
        <w:rPr>
          <w:rFonts w:ascii="Times New Roman" w:hAnsi="Times New Roman" w:cs="Times New Roman"/>
          <w:sz w:val="24"/>
          <w:szCs w:val="24"/>
          <w:lang w:val="en-US"/>
        </w:rPr>
      </w:pPr>
      <w:r>
        <w:rPr>
          <w:rFonts w:ascii="Times New Roman" w:hAnsi="Times New Roman" w:cs="Times New Roman"/>
          <w:sz w:val="24"/>
          <w:szCs w:val="24"/>
        </w:rPr>
        <w:t>Fletcher, M., Harris, S., &amp; Richey Jr, R. G. (2013). Internationalization knowledge: what, why, where, and when? </w:t>
      </w:r>
      <w:r>
        <w:rPr>
          <w:rFonts w:ascii="Times New Roman" w:hAnsi="Times New Roman" w:cs="Times New Roman"/>
          <w:i/>
          <w:iCs/>
          <w:sz w:val="24"/>
          <w:szCs w:val="24"/>
        </w:rPr>
        <w:t>Journal of International Marketing</w:t>
      </w:r>
      <w:r>
        <w:rPr>
          <w:rFonts w:ascii="Times New Roman" w:hAnsi="Times New Roman" w:cs="Times New Roman"/>
          <w:sz w:val="24"/>
          <w:szCs w:val="24"/>
        </w:rPr>
        <w:t>, </w:t>
      </w:r>
      <w:r>
        <w:rPr>
          <w:rFonts w:ascii="Times New Roman" w:hAnsi="Times New Roman" w:cs="Times New Roman"/>
          <w:i/>
          <w:iCs/>
          <w:sz w:val="24"/>
          <w:szCs w:val="24"/>
        </w:rPr>
        <w:t>21</w:t>
      </w:r>
      <w:r>
        <w:rPr>
          <w:rFonts w:ascii="Times New Roman" w:hAnsi="Times New Roman" w:cs="Times New Roman"/>
          <w:sz w:val="24"/>
          <w:szCs w:val="24"/>
        </w:rPr>
        <w:t xml:space="preserve">(3), 47-71. </w:t>
      </w:r>
      <w:r>
        <w:fldChar w:fldCharType="begin"/>
      </w:r>
      <w:r>
        <w:instrText xml:space="preserve"> HYPERLINK "https://doi.org/10.1509/jim.12.0121" </w:instrText>
      </w:r>
      <w:r>
        <w:fldChar w:fldCharType="separate"/>
      </w:r>
      <w:r>
        <w:rPr>
          <w:rStyle w:val="11"/>
          <w:rFonts w:ascii="Times New Roman" w:hAnsi="Times New Roman" w:cs="Times New Roman"/>
          <w:color w:val="auto"/>
          <w:sz w:val="24"/>
          <w:szCs w:val="24"/>
          <w:u w:val="none"/>
        </w:rPr>
        <w:t>https://doi.org/10.1509/jim.12.012</w:t>
      </w:r>
      <w:r>
        <w:rPr>
          <w:rStyle w:val="11"/>
          <w:rFonts w:ascii="Times New Roman" w:hAnsi="Times New Roman" w:cs="Times New Roman"/>
          <w:color w:val="auto"/>
          <w:sz w:val="24"/>
          <w:szCs w:val="24"/>
          <w:u w:val="none"/>
        </w:rPr>
        <w:fldChar w:fldCharType="end"/>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Hofstede, Geert (2011), ‘Dimensionalizing Cultures: The Hofstede Model in Context’, </w:t>
      </w:r>
      <w:r>
        <w:rPr>
          <w:rFonts w:ascii="Times New Roman" w:hAnsi="Times New Roman" w:cs="Times New Roman"/>
          <w:i/>
          <w:iCs/>
          <w:sz w:val="24"/>
          <w:szCs w:val="24"/>
        </w:rPr>
        <w:t>Online Readings in Psychology and Culture</w:t>
      </w:r>
      <w:r>
        <w:rPr>
          <w:rFonts w:ascii="Times New Roman" w:hAnsi="Times New Roman" w:cs="Times New Roman"/>
          <w:sz w:val="24"/>
          <w:szCs w:val="24"/>
        </w:rPr>
        <w:t xml:space="preserve">, 2(1) </w:t>
      </w:r>
      <w:r>
        <w:fldChar w:fldCharType="begin"/>
      </w:r>
      <w:r>
        <w:instrText xml:space="preserve"> HYPERLINK "https://doi.org/10.9707/2307–0919.1014" </w:instrText>
      </w:r>
      <w:r>
        <w:fldChar w:fldCharType="separate"/>
      </w:r>
      <w:r>
        <w:rPr>
          <w:rStyle w:val="11"/>
          <w:rFonts w:ascii="Times New Roman" w:hAnsi="Times New Roman" w:cs="Times New Roman"/>
          <w:color w:val="auto"/>
          <w:sz w:val="24"/>
          <w:szCs w:val="24"/>
          <w:u w:val="none"/>
        </w:rPr>
        <w:t>https://doi.org/10.9707/2307–0919.1014</w:t>
      </w:r>
      <w:r>
        <w:rPr>
          <w:rStyle w:val="11"/>
          <w:rFonts w:ascii="Times New Roman" w:hAnsi="Times New Roman" w:cs="Times New Roman"/>
          <w:color w:val="auto"/>
          <w:sz w:val="24"/>
          <w:szCs w:val="24"/>
          <w:u w:val="none"/>
        </w:rPr>
        <w:fldChar w:fldCharType="end"/>
      </w:r>
      <w:r>
        <w:rPr>
          <w:rFonts w:ascii="Times New Roman" w:hAnsi="Times New Roman" w:cs="Times New Roman"/>
          <w:sz w:val="24"/>
          <w:szCs w:val="24"/>
        </w:rPr>
        <w:t>.</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lang w:val="fr-FR"/>
        </w:rPr>
        <w:t xml:space="preserve">Johnson, J. P., Lenartowicz, T., &amp; Apud, S. (2006). </w:t>
      </w:r>
      <w:r>
        <w:rPr>
          <w:rFonts w:ascii="Times New Roman" w:hAnsi="Times New Roman" w:cs="Times New Roman"/>
          <w:sz w:val="24"/>
          <w:szCs w:val="24"/>
        </w:rPr>
        <w:t>Cross-cultural competence in international business: Toward a definition and a model. </w:t>
      </w:r>
      <w:r>
        <w:rPr>
          <w:rFonts w:ascii="Times New Roman" w:hAnsi="Times New Roman" w:cs="Times New Roman"/>
          <w:i/>
          <w:iCs/>
          <w:sz w:val="24"/>
          <w:szCs w:val="24"/>
        </w:rPr>
        <w:t>Journal of international business studies</w:t>
      </w:r>
      <w:r>
        <w:rPr>
          <w:rFonts w:ascii="Times New Roman" w:hAnsi="Times New Roman" w:cs="Times New Roman"/>
          <w:sz w:val="24"/>
          <w:szCs w:val="24"/>
        </w:rPr>
        <w:t>, </w:t>
      </w:r>
      <w:r>
        <w:rPr>
          <w:rFonts w:ascii="Times New Roman" w:hAnsi="Times New Roman" w:cs="Times New Roman"/>
          <w:i/>
          <w:iCs/>
          <w:sz w:val="24"/>
          <w:szCs w:val="24"/>
        </w:rPr>
        <w:t>37</w:t>
      </w:r>
      <w:r>
        <w:rPr>
          <w:rFonts w:ascii="Times New Roman" w:hAnsi="Times New Roman" w:cs="Times New Roman"/>
          <w:sz w:val="24"/>
          <w:szCs w:val="24"/>
        </w:rPr>
        <w:t>, 525-543. https://doi.org/10.1057/palgrave.jibs.8400205</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Mohtar, R. H. (2015). Opportunities and challenges for innovations in Qatar. </w:t>
      </w:r>
      <w:r>
        <w:rPr>
          <w:rFonts w:ascii="Times New Roman" w:hAnsi="Times New Roman" w:cs="Times New Roman"/>
          <w:i/>
          <w:iCs/>
          <w:sz w:val="24"/>
          <w:szCs w:val="24"/>
        </w:rPr>
        <w:t>Muslim World</w:t>
      </w:r>
      <w:r>
        <w:rPr>
          <w:rFonts w:ascii="Times New Roman" w:hAnsi="Times New Roman" w:cs="Times New Roman"/>
          <w:sz w:val="24"/>
          <w:szCs w:val="24"/>
        </w:rPr>
        <w:t>, </w:t>
      </w:r>
      <w:r>
        <w:rPr>
          <w:rFonts w:ascii="Times New Roman" w:hAnsi="Times New Roman" w:cs="Times New Roman"/>
          <w:i/>
          <w:iCs/>
          <w:sz w:val="24"/>
          <w:szCs w:val="24"/>
        </w:rPr>
        <w:t>105</w:t>
      </w:r>
      <w:r>
        <w:rPr>
          <w:rFonts w:ascii="Times New Roman" w:hAnsi="Times New Roman" w:cs="Times New Roman"/>
          <w:sz w:val="24"/>
          <w:szCs w:val="24"/>
        </w:rPr>
        <w:t>(1), 46-57. https://www.researchgate.net/profile/Rabi-Mohtar/publication/269776717_Opportunities_and_Challenges_for_Innovations_in_Qatar/links/5a95d19045851535bcdcb262/Opportunities-and-Challenges-for-Innovations-in-Qatar.pdf</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Nes, E. B., Solberg, C. A., &amp; Silkoset, R. (2007). The impact of national culture and communication on exporter–distributor relations and on export performance. </w:t>
      </w:r>
      <w:r>
        <w:rPr>
          <w:rFonts w:ascii="Times New Roman" w:hAnsi="Times New Roman" w:cs="Times New Roman"/>
          <w:i/>
          <w:iCs/>
          <w:sz w:val="24"/>
          <w:szCs w:val="24"/>
        </w:rPr>
        <w:t>International Business Review</w:t>
      </w:r>
      <w:r>
        <w:rPr>
          <w:rFonts w:ascii="Times New Roman" w:hAnsi="Times New Roman" w:cs="Times New Roman"/>
          <w:sz w:val="24"/>
          <w:szCs w:val="24"/>
        </w:rPr>
        <w:t>, </w:t>
      </w:r>
      <w:r>
        <w:rPr>
          <w:rFonts w:ascii="Times New Roman" w:hAnsi="Times New Roman" w:cs="Times New Roman"/>
          <w:i/>
          <w:iCs/>
          <w:sz w:val="24"/>
          <w:szCs w:val="24"/>
        </w:rPr>
        <w:t>16</w:t>
      </w:r>
      <w:r>
        <w:rPr>
          <w:rFonts w:ascii="Times New Roman" w:hAnsi="Times New Roman" w:cs="Times New Roman"/>
          <w:sz w:val="24"/>
          <w:szCs w:val="24"/>
        </w:rPr>
        <w:t xml:space="preserve">(4), 405-424. </w:t>
      </w:r>
      <w:r>
        <w:fldChar w:fldCharType="begin"/>
      </w:r>
      <w:r>
        <w:instrText xml:space="preserve"> HYPERLINK "https://doi.org/10.1016/j.ibusrev.2007.01.008" \t "_blank" \o "Persistent link using digital object identifier" </w:instrText>
      </w:r>
      <w:r>
        <w:fldChar w:fldCharType="separate"/>
      </w:r>
      <w:r>
        <w:rPr>
          <w:rStyle w:val="11"/>
          <w:rFonts w:ascii="Times New Roman" w:hAnsi="Times New Roman" w:cs="Times New Roman"/>
          <w:color w:val="auto"/>
          <w:sz w:val="24"/>
          <w:szCs w:val="24"/>
          <w:u w:val="none"/>
        </w:rPr>
        <w:t>https://doi.org/10.1016/j.ibusrev.2007.01.008</w:t>
      </w:r>
      <w:r>
        <w:rPr>
          <w:rStyle w:val="11"/>
          <w:rFonts w:ascii="Times New Roman" w:hAnsi="Times New Roman" w:cs="Times New Roman"/>
          <w:color w:val="auto"/>
          <w:sz w:val="24"/>
          <w:szCs w:val="24"/>
          <w:u w:val="none"/>
        </w:rPr>
        <w:fldChar w:fldCharType="end"/>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Oliver, C. (2016). From class to culture: Restricted/Elaborated codes vs. high/low-context communication in Basil Bernstein and Edward T. Hall. </w:t>
      </w:r>
      <w:r>
        <w:rPr>
          <w:rFonts w:ascii="Times New Roman" w:hAnsi="Times New Roman" w:cs="Times New Roman"/>
          <w:i/>
          <w:iCs/>
          <w:sz w:val="24"/>
          <w:szCs w:val="24"/>
        </w:rPr>
        <w:t>Sophia University Junior College Division Faculty Journal</w:t>
      </w:r>
      <w:r>
        <w:rPr>
          <w:rFonts w:ascii="Times New Roman" w:hAnsi="Times New Roman" w:cs="Times New Roman"/>
          <w:sz w:val="24"/>
          <w:szCs w:val="24"/>
        </w:rPr>
        <w:t>, </w:t>
      </w:r>
      <w:r>
        <w:rPr>
          <w:rFonts w:ascii="Times New Roman" w:hAnsi="Times New Roman" w:cs="Times New Roman"/>
          <w:i/>
          <w:iCs/>
          <w:sz w:val="24"/>
          <w:szCs w:val="24"/>
        </w:rPr>
        <w:t>37</w:t>
      </w:r>
      <w:r>
        <w:rPr>
          <w:rFonts w:ascii="Times New Roman" w:hAnsi="Times New Roman" w:cs="Times New Roman"/>
          <w:sz w:val="24"/>
          <w:szCs w:val="24"/>
        </w:rPr>
        <w:t xml:space="preserve">, 73-83. </w:t>
      </w:r>
      <w:r>
        <w:fldChar w:fldCharType="begin"/>
      </w:r>
      <w:r>
        <w:instrText xml:space="preserve"> HYPERLINK "https://www.jrc.sophia.ac.jp/uploads/2016/06/37.04.Oliver-.pdf" </w:instrText>
      </w:r>
      <w:r>
        <w:fldChar w:fldCharType="separate"/>
      </w:r>
      <w:r>
        <w:rPr>
          <w:rStyle w:val="11"/>
          <w:rFonts w:ascii="Times New Roman" w:hAnsi="Times New Roman" w:cs="Times New Roman"/>
          <w:color w:val="auto"/>
          <w:sz w:val="24"/>
          <w:szCs w:val="24"/>
          <w:u w:val="none"/>
        </w:rPr>
        <w:t>https://www.jrc.sophia.ac.jp/uploads/2016/06/37.04.Oliver-.pdf</w:t>
      </w:r>
      <w:r>
        <w:rPr>
          <w:rStyle w:val="11"/>
          <w:rFonts w:ascii="Times New Roman" w:hAnsi="Times New Roman" w:cs="Times New Roman"/>
          <w:color w:val="auto"/>
          <w:sz w:val="24"/>
          <w:szCs w:val="24"/>
          <w:u w:val="none"/>
        </w:rPr>
        <w:fldChar w:fldCharType="end"/>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Ravasi, D., &amp; Schultz, M. (2006). Responding to organizational identity threats: Exploring the role of organizational culture. </w:t>
      </w:r>
      <w:r>
        <w:rPr>
          <w:rFonts w:ascii="Times New Roman" w:hAnsi="Times New Roman" w:cs="Times New Roman"/>
          <w:i/>
          <w:iCs/>
          <w:sz w:val="24"/>
          <w:szCs w:val="24"/>
        </w:rPr>
        <w:t>Academy of management journal</w:t>
      </w:r>
      <w:r>
        <w:rPr>
          <w:rFonts w:ascii="Times New Roman" w:hAnsi="Times New Roman" w:cs="Times New Roman"/>
          <w:sz w:val="24"/>
          <w:szCs w:val="24"/>
        </w:rPr>
        <w:t>, </w:t>
      </w:r>
      <w:r>
        <w:rPr>
          <w:rFonts w:ascii="Times New Roman" w:hAnsi="Times New Roman" w:cs="Times New Roman"/>
          <w:i/>
          <w:iCs/>
          <w:sz w:val="24"/>
          <w:szCs w:val="24"/>
        </w:rPr>
        <w:t>49</w:t>
      </w:r>
      <w:r>
        <w:rPr>
          <w:rFonts w:ascii="Times New Roman" w:hAnsi="Times New Roman" w:cs="Times New Roman"/>
          <w:sz w:val="24"/>
          <w:szCs w:val="24"/>
        </w:rPr>
        <w:t xml:space="preserve">(3), 433-458. </w:t>
      </w:r>
      <w:r>
        <w:fldChar w:fldCharType="begin"/>
      </w:r>
      <w:r>
        <w:instrText xml:space="preserve"> HYPERLINK "https://doi.org/10.5465/amj.2006.21794663" </w:instrText>
      </w:r>
      <w:r>
        <w:fldChar w:fldCharType="separate"/>
      </w:r>
      <w:r>
        <w:rPr>
          <w:rStyle w:val="11"/>
          <w:rFonts w:ascii="Times New Roman" w:hAnsi="Times New Roman" w:cs="Times New Roman"/>
          <w:color w:val="auto"/>
          <w:sz w:val="24"/>
          <w:szCs w:val="24"/>
          <w:u w:val="none"/>
        </w:rPr>
        <w:t>https://doi.org/10.5465/amj.2006.21794663</w:t>
      </w:r>
      <w:r>
        <w:rPr>
          <w:rStyle w:val="11"/>
          <w:rFonts w:ascii="Times New Roman" w:hAnsi="Times New Roman" w:cs="Times New Roman"/>
          <w:color w:val="auto"/>
          <w:sz w:val="24"/>
          <w:szCs w:val="24"/>
          <w:u w:val="none"/>
        </w:rPr>
        <w:fldChar w:fldCharType="end"/>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Shaw, K. (2015). The influence of culture and customs on international business communications. </w:t>
      </w:r>
      <w:r>
        <w:rPr>
          <w:rFonts w:ascii="Times New Roman" w:hAnsi="Times New Roman" w:cs="Times New Roman"/>
          <w:i/>
          <w:iCs/>
          <w:sz w:val="24"/>
          <w:szCs w:val="24"/>
        </w:rPr>
        <w:t>Editorial Board Members</w:t>
      </w:r>
      <w:r>
        <w:rPr>
          <w:rFonts w:ascii="Times New Roman" w:hAnsi="Times New Roman" w:cs="Times New Roman"/>
          <w:sz w:val="24"/>
          <w:szCs w:val="24"/>
        </w:rPr>
        <w:t>, </w:t>
      </w:r>
      <w:r>
        <w:rPr>
          <w:rFonts w:ascii="Times New Roman" w:hAnsi="Times New Roman" w:cs="Times New Roman"/>
          <w:i/>
          <w:iCs/>
          <w:sz w:val="24"/>
          <w:szCs w:val="24"/>
        </w:rPr>
        <w:t>14</w:t>
      </w:r>
      <w:r>
        <w:rPr>
          <w:rFonts w:ascii="Times New Roman" w:hAnsi="Times New Roman" w:cs="Times New Roman"/>
          <w:sz w:val="24"/>
          <w:szCs w:val="24"/>
        </w:rPr>
        <w:t>(9), 430-436. DOI: 10.17265/1537-1506/2015.09.003</w:t>
      </w:r>
    </w:p>
    <w:p>
      <w:pPr>
        <w:spacing w:line="360" w:lineRule="auto"/>
        <w:ind w:left="720" w:hanging="720"/>
        <w:rPr>
          <w:rFonts w:ascii="Times New Roman" w:hAnsi="Times New Roman" w:cs="Times New Roman"/>
          <w:sz w:val="24"/>
          <w:szCs w:val="24"/>
          <w:lang w:val="en-US"/>
        </w:rPr>
      </w:pPr>
      <w:r>
        <w:rPr>
          <w:rFonts w:ascii="Times New Roman" w:hAnsi="Times New Roman" w:cs="Times New Roman"/>
          <w:sz w:val="24"/>
          <w:szCs w:val="24"/>
        </w:rPr>
        <w:t>Shawtari, F. A., Elsalem, B. A., Salem, M. A., &amp; Shah, M. E. (2023). Financial development and economic diversification in Qatar: does Islamic finance matters. </w:t>
      </w:r>
      <w:r>
        <w:rPr>
          <w:rFonts w:ascii="Times New Roman" w:hAnsi="Times New Roman" w:cs="Times New Roman"/>
          <w:i/>
          <w:iCs/>
          <w:sz w:val="24"/>
          <w:szCs w:val="24"/>
        </w:rPr>
        <w:t>Journal of Islamic Accounting and Business Research</w:t>
      </w:r>
      <w:r>
        <w:rPr>
          <w:rFonts w:ascii="Times New Roman" w:hAnsi="Times New Roman" w:cs="Times New Roman"/>
          <w:sz w:val="24"/>
          <w:szCs w:val="24"/>
        </w:rPr>
        <w:t xml:space="preserve">. </w:t>
      </w:r>
      <w:r>
        <w:fldChar w:fldCharType="begin"/>
      </w:r>
      <w:r>
        <w:instrText xml:space="preserve"> HYPERLINK "https://doi.org/10.1108/JIABR-01-2022-0021" \o "DOI: https://doi.org/10.1108/JIABR-01-2022-0021" </w:instrText>
      </w:r>
      <w:r>
        <w:fldChar w:fldCharType="separate"/>
      </w:r>
      <w:r>
        <w:rPr>
          <w:rStyle w:val="11"/>
          <w:rFonts w:ascii="Times New Roman" w:hAnsi="Times New Roman" w:cs="Times New Roman"/>
          <w:color w:val="auto"/>
          <w:sz w:val="24"/>
          <w:szCs w:val="24"/>
          <w:u w:val="none"/>
        </w:rPr>
        <w:t>https://doi.org/10.1108/JIABR-01-2022-0021</w:t>
      </w:r>
      <w:r>
        <w:rPr>
          <w:rStyle w:val="11"/>
          <w:rFonts w:ascii="Times New Roman" w:hAnsi="Times New Roman" w:cs="Times New Roman"/>
          <w:color w:val="auto"/>
          <w:sz w:val="24"/>
          <w:szCs w:val="24"/>
          <w:u w:val="none"/>
        </w:rPr>
        <w:fldChar w:fldCharType="end"/>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Trompenaars, F. (1996). Resolving international conflict: Culture and business strategy. </w:t>
      </w:r>
      <w:r>
        <w:rPr>
          <w:rFonts w:ascii="Times New Roman" w:hAnsi="Times New Roman" w:cs="Times New Roman"/>
          <w:i/>
          <w:iCs/>
          <w:sz w:val="24"/>
          <w:szCs w:val="24"/>
        </w:rPr>
        <w:t>Business strategy review</w:t>
      </w:r>
      <w:r>
        <w:rPr>
          <w:rFonts w:ascii="Times New Roman" w:hAnsi="Times New Roman" w:cs="Times New Roman"/>
          <w:sz w:val="24"/>
          <w:szCs w:val="24"/>
        </w:rPr>
        <w:t>, </w:t>
      </w:r>
      <w:r>
        <w:rPr>
          <w:rFonts w:ascii="Times New Roman" w:hAnsi="Times New Roman" w:cs="Times New Roman"/>
          <w:i/>
          <w:iCs/>
          <w:sz w:val="24"/>
          <w:szCs w:val="24"/>
        </w:rPr>
        <w:t>7</w:t>
      </w:r>
      <w:r>
        <w:rPr>
          <w:rFonts w:ascii="Times New Roman" w:hAnsi="Times New Roman" w:cs="Times New Roman"/>
          <w:sz w:val="24"/>
          <w:szCs w:val="24"/>
        </w:rPr>
        <w:t xml:space="preserve">(3), 51-68. </w:t>
      </w:r>
      <w:r>
        <w:fldChar w:fldCharType="begin"/>
      </w:r>
      <w:r>
        <w:instrText xml:space="preserve"> HYPERLINK "https://doi.org/10.1111/j.1467-8616.1996.tb00132.x" </w:instrText>
      </w:r>
      <w:r>
        <w:fldChar w:fldCharType="separate"/>
      </w:r>
      <w:r>
        <w:rPr>
          <w:rStyle w:val="11"/>
          <w:rFonts w:ascii="Times New Roman" w:hAnsi="Times New Roman" w:cs="Times New Roman"/>
          <w:bCs/>
          <w:color w:val="auto"/>
          <w:sz w:val="24"/>
          <w:szCs w:val="24"/>
          <w:u w:val="none"/>
        </w:rPr>
        <w:t>https://doi.org/10.1111/j.1467-8616.1996.tb00132.x</w:t>
      </w:r>
      <w:r>
        <w:rPr>
          <w:rStyle w:val="11"/>
          <w:rFonts w:ascii="Times New Roman" w:hAnsi="Times New Roman" w:cs="Times New Roman"/>
          <w:bCs/>
          <w:color w:val="auto"/>
          <w:sz w:val="24"/>
          <w:szCs w:val="24"/>
          <w:u w:val="none"/>
        </w:rPr>
        <w:fldChar w:fldCharType="end"/>
      </w:r>
    </w:p>
    <w:p>
      <w:pPr>
        <w:spacing w:line="360" w:lineRule="auto"/>
        <w:ind w:left="720" w:hanging="720"/>
        <w:rPr>
          <w:rStyle w:val="11"/>
          <w:rFonts w:ascii="Times New Roman" w:hAnsi="Times New Roman" w:cs="Times New Roman"/>
          <w:color w:val="auto"/>
          <w:sz w:val="24"/>
          <w:szCs w:val="24"/>
          <w:u w:val="none"/>
        </w:rPr>
      </w:pPr>
      <w:r>
        <w:rPr>
          <w:rFonts w:ascii="Times New Roman" w:hAnsi="Times New Roman" w:cs="Times New Roman"/>
          <w:sz w:val="24"/>
          <w:szCs w:val="24"/>
        </w:rPr>
        <w:t>Tyler, K., &amp; Stanley, E. (2007). The role of trust in financial services business relationships. </w:t>
      </w:r>
      <w:r>
        <w:rPr>
          <w:rFonts w:ascii="Times New Roman" w:hAnsi="Times New Roman" w:cs="Times New Roman"/>
          <w:i/>
          <w:iCs/>
          <w:sz w:val="24"/>
          <w:szCs w:val="24"/>
        </w:rPr>
        <w:t>Journal of Services Marketing</w:t>
      </w:r>
      <w:r>
        <w:rPr>
          <w:rFonts w:ascii="Times New Roman" w:hAnsi="Times New Roman" w:cs="Times New Roman"/>
          <w:sz w:val="24"/>
          <w:szCs w:val="24"/>
        </w:rPr>
        <w:t>, </w:t>
      </w:r>
      <w:r>
        <w:rPr>
          <w:rFonts w:ascii="Times New Roman" w:hAnsi="Times New Roman" w:cs="Times New Roman"/>
          <w:i/>
          <w:iCs/>
          <w:sz w:val="24"/>
          <w:szCs w:val="24"/>
        </w:rPr>
        <w:t>21</w:t>
      </w:r>
      <w:r>
        <w:rPr>
          <w:rFonts w:ascii="Times New Roman" w:hAnsi="Times New Roman" w:cs="Times New Roman"/>
          <w:sz w:val="24"/>
          <w:szCs w:val="24"/>
        </w:rPr>
        <w:t xml:space="preserve">(5), 334-344. </w:t>
      </w:r>
      <w:r>
        <w:fldChar w:fldCharType="begin"/>
      </w:r>
      <w:r>
        <w:instrText xml:space="preserve"> HYPERLINK "https://doi.org/10.1108/08876040710773642" \o "DOI: https://doi.org/10.1108/08876040710773642" </w:instrText>
      </w:r>
      <w:r>
        <w:fldChar w:fldCharType="separate"/>
      </w:r>
      <w:r>
        <w:rPr>
          <w:rStyle w:val="11"/>
          <w:rFonts w:ascii="Times New Roman" w:hAnsi="Times New Roman" w:cs="Times New Roman"/>
          <w:color w:val="auto"/>
          <w:sz w:val="24"/>
          <w:szCs w:val="24"/>
          <w:u w:val="none"/>
        </w:rPr>
        <w:t>https://doi.org/10.1108/08876040710773642</w:t>
      </w:r>
      <w:r>
        <w:rPr>
          <w:rStyle w:val="11"/>
          <w:rFonts w:ascii="Times New Roman" w:hAnsi="Times New Roman" w:cs="Times New Roman"/>
          <w:color w:val="auto"/>
          <w:sz w:val="24"/>
          <w:szCs w:val="24"/>
          <w:u w:val="none"/>
        </w:rPr>
        <w:fldChar w:fldCharType="end"/>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Verma, A. (2020). Critical review of literature of the impact of workforce diversity (specifically age, gender, and ethnic diversity) on organizational competitiveness. </w:t>
      </w:r>
      <w:r>
        <w:rPr>
          <w:rFonts w:ascii="Times New Roman" w:hAnsi="Times New Roman" w:cs="Times New Roman"/>
          <w:i/>
          <w:iCs/>
          <w:sz w:val="24"/>
          <w:szCs w:val="24"/>
        </w:rPr>
        <w:t>Asian Journal of Management</w:t>
      </w:r>
      <w:r>
        <w:rPr>
          <w:rFonts w:ascii="Times New Roman" w:hAnsi="Times New Roman" w:cs="Times New Roman"/>
          <w:sz w:val="24"/>
          <w:szCs w:val="24"/>
        </w:rPr>
        <w:t>, </w:t>
      </w:r>
      <w:r>
        <w:rPr>
          <w:rFonts w:ascii="Times New Roman" w:hAnsi="Times New Roman" w:cs="Times New Roman"/>
          <w:i/>
          <w:iCs/>
          <w:sz w:val="24"/>
          <w:szCs w:val="24"/>
        </w:rPr>
        <w:t>11</w:t>
      </w:r>
      <w:r>
        <w:rPr>
          <w:rFonts w:ascii="Times New Roman" w:hAnsi="Times New Roman" w:cs="Times New Roman"/>
          <w:sz w:val="24"/>
          <w:szCs w:val="24"/>
        </w:rPr>
        <w:t>(1), 125-130. https://doi.org/</w:t>
      </w:r>
      <w:r>
        <w:fldChar w:fldCharType="begin"/>
      </w:r>
      <w:r>
        <w:instrText xml:space="preserve"> HYPERLINK "http://dx.doi.org/10.5958/2321-5763.2020.00020.7" \t "_blank" </w:instrText>
      </w:r>
      <w:r>
        <w:fldChar w:fldCharType="separate"/>
      </w:r>
      <w:r>
        <w:rPr>
          <w:rStyle w:val="11"/>
          <w:rFonts w:ascii="Times New Roman" w:hAnsi="Times New Roman" w:cs="Times New Roman"/>
          <w:color w:val="auto"/>
          <w:sz w:val="24"/>
          <w:szCs w:val="24"/>
          <w:u w:val="none"/>
        </w:rPr>
        <w:t>10.5958/2321-5763.2020.00020.7</w:t>
      </w:r>
      <w:r>
        <w:rPr>
          <w:rStyle w:val="11"/>
          <w:rFonts w:ascii="Times New Roman" w:hAnsi="Times New Roman" w:cs="Times New Roman"/>
          <w:color w:val="auto"/>
          <w:sz w:val="24"/>
          <w:szCs w:val="24"/>
          <w:u w:val="none"/>
        </w:rPr>
        <w:fldChar w:fldCharType="end"/>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Yanhua, G. (2021). Analysis on impasses in international business negotiations. </w:t>
      </w:r>
      <w:r>
        <w:rPr>
          <w:rFonts w:ascii="Times New Roman" w:hAnsi="Times New Roman" w:cs="Times New Roman"/>
          <w:i/>
          <w:iCs/>
          <w:sz w:val="24"/>
          <w:szCs w:val="24"/>
        </w:rPr>
        <w:t>Sciences</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(5), 215-220. DOI:</w:t>
      </w:r>
      <w:r>
        <w:fldChar w:fldCharType="begin"/>
      </w:r>
      <w:r>
        <w:instrText xml:space="preserve"> HYPERLINK "http://dx.doi.org/10.11648/j.ijefm.20210905.17" \t "_blank" </w:instrText>
      </w:r>
      <w:r>
        <w:fldChar w:fldCharType="separate"/>
      </w:r>
      <w:r>
        <w:rPr>
          <w:rStyle w:val="11"/>
          <w:rFonts w:ascii="Times New Roman" w:hAnsi="Times New Roman" w:cs="Times New Roman"/>
          <w:color w:val="auto"/>
          <w:sz w:val="24"/>
          <w:szCs w:val="24"/>
          <w:u w:val="none"/>
        </w:rPr>
        <w:t>10.11648/j.ijefm.20210905.17</w:t>
      </w:r>
      <w:r>
        <w:rPr>
          <w:rStyle w:val="11"/>
          <w:rFonts w:ascii="Times New Roman" w:hAnsi="Times New Roman" w:cs="Times New Roman"/>
          <w:color w:val="auto"/>
          <w:sz w:val="24"/>
          <w:szCs w:val="24"/>
          <w:u w:val="none"/>
        </w:rPr>
        <w:fldChar w:fldCharType="end"/>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Zhang, Y. B., &amp; Giles, H. (2018). Communication accommodation theory. </w:t>
      </w:r>
      <w:r>
        <w:rPr>
          <w:rFonts w:ascii="Times New Roman" w:hAnsi="Times New Roman" w:cs="Times New Roman"/>
          <w:i/>
          <w:iCs/>
          <w:sz w:val="24"/>
          <w:szCs w:val="24"/>
        </w:rPr>
        <w:t>The international encyclopedia of intercultural communication</w:t>
      </w:r>
      <w:r>
        <w:rPr>
          <w:rFonts w:ascii="Times New Roman" w:hAnsi="Times New Roman" w:cs="Times New Roman"/>
          <w:sz w:val="24"/>
          <w:szCs w:val="24"/>
        </w:rPr>
        <w:t xml:space="preserve">, 95-108. </w:t>
      </w:r>
      <w:r>
        <w:fldChar w:fldCharType="begin"/>
      </w:r>
      <w:r>
        <w:instrText xml:space="preserve"> HYPERLINK "https://doi.org/10.1002/9781118783665.ieicc0156" </w:instrText>
      </w:r>
      <w:r>
        <w:fldChar w:fldCharType="separate"/>
      </w:r>
      <w:r>
        <w:rPr>
          <w:rStyle w:val="11"/>
          <w:rFonts w:ascii="Times New Roman" w:hAnsi="Times New Roman" w:cs="Times New Roman"/>
          <w:bCs/>
          <w:color w:val="auto"/>
          <w:sz w:val="24"/>
          <w:szCs w:val="24"/>
          <w:u w:val="none"/>
        </w:rPr>
        <w:t>https://doi.org/10.1002/9781118783665.ieicc0156</w:t>
      </w:r>
      <w:r>
        <w:rPr>
          <w:rStyle w:val="11"/>
          <w:rFonts w:ascii="Times New Roman" w:hAnsi="Times New Roman" w:cs="Times New Roman"/>
          <w:bCs/>
          <w:color w:val="auto"/>
          <w:sz w:val="24"/>
          <w:szCs w:val="24"/>
          <w:u w:val="none"/>
        </w:rPr>
        <w:fldChar w:fldCharType="end"/>
      </w:r>
    </w:p>
    <w:p>
      <w:pPr>
        <w:spacing w:line="360" w:lineRule="auto"/>
        <w:ind w:left="720" w:hanging="720"/>
        <w:rPr>
          <w:rFonts w:ascii="Times New Roman" w:hAnsi="Times New Roman" w:cs="Times New Roman"/>
          <w:sz w:val="24"/>
          <w:szCs w:val="24"/>
        </w:rPr>
      </w:pPr>
    </w:p>
    <w:sectPr>
      <w:headerReference r:id="rId5" w:type="default"/>
      <w:footerReference r:id="rId6" w:type="default"/>
      <w:pgSz w:w="11906" w:h="16838"/>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Times-Roman">
    <w:altName w:val="Times New Roman"/>
    <w:panose1 w:val="00000000000000000000"/>
    <w:charset w:val="00"/>
    <w:family w:val="roman"/>
    <w:pitch w:val="default"/>
    <w:sig w:usb0="00000000" w:usb1="00000000" w:usb2="00000000" w:usb3="00000000" w:csb0="00000000" w:csb1="00000000"/>
  </w:font>
  <w:font w:name="Times-Italic">
    <w:altName w:val="Times New Roman"/>
    <w:panose1 w:val="00000000000000000000"/>
    <w:charset w:val="00"/>
    <w:family w:val="roman"/>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Times New Roman Bold">
    <w:panose1 w:val="02020603050405020304"/>
    <w:charset w:val="00"/>
    <w:family w:val="auto"/>
    <w:pitch w:val="default"/>
    <w:sig w:usb0="E0002AEF" w:usb1="C0007841"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
      <w:docPartObj>
        <w:docPartGallery w:val="autotext"/>
      </w:docPartObj>
    </w:sdtPr>
    <w:sdtEndPr>
      <w:rPr>
        <w:rFonts w:ascii="Times New Roman" w:hAnsi="Times New Roman" w:cs="Times New Roman"/>
      </w:rPr>
    </w:sdtEndPr>
    <w:sdtContent>
      <w:p>
        <w:pPr>
          <w:pStyle w:val="4"/>
          <w:jc w:val="center"/>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p>
    </w:sdtContent>
  </w:sdt>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center"/>
      <w:rPr>
        <w:rFonts w:ascii="Times New Roman" w:hAnsi="Times New Roman" w:cs="Times New Roman"/>
        <w:sz w:val="24"/>
        <w:szCs w:val="24"/>
      </w:rPr>
    </w:pPr>
  </w:p>
  <w:p>
    <w:pPr>
      <w:pStyle w:val="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0E2B"/>
    <w:rsid w:val="0000073D"/>
    <w:rsid w:val="000038B1"/>
    <w:rsid w:val="00007478"/>
    <w:rsid w:val="0000763B"/>
    <w:rsid w:val="00012F52"/>
    <w:rsid w:val="0001350F"/>
    <w:rsid w:val="00015D36"/>
    <w:rsid w:val="00017E5D"/>
    <w:rsid w:val="00022EC5"/>
    <w:rsid w:val="00024F3C"/>
    <w:rsid w:val="00027A4C"/>
    <w:rsid w:val="00030E97"/>
    <w:rsid w:val="00035D99"/>
    <w:rsid w:val="00042704"/>
    <w:rsid w:val="000448B0"/>
    <w:rsid w:val="000460CB"/>
    <w:rsid w:val="000479FC"/>
    <w:rsid w:val="00047E62"/>
    <w:rsid w:val="00053CAA"/>
    <w:rsid w:val="00055A4B"/>
    <w:rsid w:val="0005675D"/>
    <w:rsid w:val="000567D5"/>
    <w:rsid w:val="000578DE"/>
    <w:rsid w:val="00064E39"/>
    <w:rsid w:val="00065558"/>
    <w:rsid w:val="0007047D"/>
    <w:rsid w:val="0007416B"/>
    <w:rsid w:val="000769BC"/>
    <w:rsid w:val="00076A77"/>
    <w:rsid w:val="00083F6C"/>
    <w:rsid w:val="00086025"/>
    <w:rsid w:val="000917FE"/>
    <w:rsid w:val="00092987"/>
    <w:rsid w:val="0009482D"/>
    <w:rsid w:val="000A299E"/>
    <w:rsid w:val="000A2C06"/>
    <w:rsid w:val="000A70B5"/>
    <w:rsid w:val="000A7253"/>
    <w:rsid w:val="000B0CEF"/>
    <w:rsid w:val="000B1005"/>
    <w:rsid w:val="000B2F65"/>
    <w:rsid w:val="000B77C8"/>
    <w:rsid w:val="000B7A80"/>
    <w:rsid w:val="000C3EFD"/>
    <w:rsid w:val="000C5ABD"/>
    <w:rsid w:val="000D0959"/>
    <w:rsid w:val="000D0C7E"/>
    <w:rsid w:val="000D0F1C"/>
    <w:rsid w:val="000D622E"/>
    <w:rsid w:val="000E0517"/>
    <w:rsid w:val="000E054F"/>
    <w:rsid w:val="000E12B2"/>
    <w:rsid w:val="000E35BD"/>
    <w:rsid w:val="000E41A0"/>
    <w:rsid w:val="000E6886"/>
    <w:rsid w:val="000F0691"/>
    <w:rsid w:val="000F2DB3"/>
    <w:rsid w:val="000F51B1"/>
    <w:rsid w:val="00100111"/>
    <w:rsid w:val="0010161E"/>
    <w:rsid w:val="001018ED"/>
    <w:rsid w:val="00105371"/>
    <w:rsid w:val="001061AC"/>
    <w:rsid w:val="00113BC9"/>
    <w:rsid w:val="001162F1"/>
    <w:rsid w:val="001245DF"/>
    <w:rsid w:val="00135543"/>
    <w:rsid w:val="00135C8D"/>
    <w:rsid w:val="00140D23"/>
    <w:rsid w:val="0015181F"/>
    <w:rsid w:val="00152DFC"/>
    <w:rsid w:val="0016084E"/>
    <w:rsid w:val="00161439"/>
    <w:rsid w:val="0016642F"/>
    <w:rsid w:val="00171FD0"/>
    <w:rsid w:val="0017602E"/>
    <w:rsid w:val="00176D46"/>
    <w:rsid w:val="00177B20"/>
    <w:rsid w:val="00181F05"/>
    <w:rsid w:val="0019283A"/>
    <w:rsid w:val="00193BC2"/>
    <w:rsid w:val="001A0775"/>
    <w:rsid w:val="001A233A"/>
    <w:rsid w:val="001A2593"/>
    <w:rsid w:val="001A2597"/>
    <w:rsid w:val="001A6558"/>
    <w:rsid w:val="001B14BF"/>
    <w:rsid w:val="001C1875"/>
    <w:rsid w:val="001C2126"/>
    <w:rsid w:val="001C268D"/>
    <w:rsid w:val="001C5E45"/>
    <w:rsid w:val="001D056C"/>
    <w:rsid w:val="001D2B77"/>
    <w:rsid w:val="001D3430"/>
    <w:rsid w:val="001D550F"/>
    <w:rsid w:val="001D6EB4"/>
    <w:rsid w:val="001D7713"/>
    <w:rsid w:val="001E225A"/>
    <w:rsid w:val="001E3CF9"/>
    <w:rsid w:val="001E57F6"/>
    <w:rsid w:val="001E5A6D"/>
    <w:rsid w:val="001F2B82"/>
    <w:rsid w:val="001F7720"/>
    <w:rsid w:val="00202665"/>
    <w:rsid w:val="00202EC1"/>
    <w:rsid w:val="002032B8"/>
    <w:rsid w:val="0020529B"/>
    <w:rsid w:val="002065D9"/>
    <w:rsid w:val="00213D52"/>
    <w:rsid w:val="0021783D"/>
    <w:rsid w:val="00222B1A"/>
    <w:rsid w:val="002407FD"/>
    <w:rsid w:val="0024193E"/>
    <w:rsid w:val="00241FA9"/>
    <w:rsid w:val="0024540F"/>
    <w:rsid w:val="00252D17"/>
    <w:rsid w:val="00255C9B"/>
    <w:rsid w:val="00262395"/>
    <w:rsid w:val="002623DF"/>
    <w:rsid w:val="00263BF9"/>
    <w:rsid w:val="00263FDF"/>
    <w:rsid w:val="002658AF"/>
    <w:rsid w:val="00266C89"/>
    <w:rsid w:val="00267857"/>
    <w:rsid w:val="00267E35"/>
    <w:rsid w:val="002714DD"/>
    <w:rsid w:val="00272DB2"/>
    <w:rsid w:val="0027405A"/>
    <w:rsid w:val="00274DC6"/>
    <w:rsid w:val="002762EF"/>
    <w:rsid w:val="00277588"/>
    <w:rsid w:val="00277880"/>
    <w:rsid w:val="00287913"/>
    <w:rsid w:val="00293E3D"/>
    <w:rsid w:val="00295782"/>
    <w:rsid w:val="00295C27"/>
    <w:rsid w:val="00296E07"/>
    <w:rsid w:val="0029798B"/>
    <w:rsid w:val="002A18C1"/>
    <w:rsid w:val="002A4FEF"/>
    <w:rsid w:val="002B06C4"/>
    <w:rsid w:val="002B1BC6"/>
    <w:rsid w:val="002B32F6"/>
    <w:rsid w:val="002B4450"/>
    <w:rsid w:val="002C4994"/>
    <w:rsid w:val="002D3A72"/>
    <w:rsid w:val="002D40BB"/>
    <w:rsid w:val="002E0F17"/>
    <w:rsid w:val="002E2A98"/>
    <w:rsid w:val="002E4261"/>
    <w:rsid w:val="002E7E15"/>
    <w:rsid w:val="002F3FFD"/>
    <w:rsid w:val="00301595"/>
    <w:rsid w:val="003040CF"/>
    <w:rsid w:val="003057BB"/>
    <w:rsid w:val="003118A6"/>
    <w:rsid w:val="00311D7E"/>
    <w:rsid w:val="00312939"/>
    <w:rsid w:val="003166A9"/>
    <w:rsid w:val="003209B0"/>
    <w:rsid w:val="00320C2F"/>
    <w:rsid w:val="003257FB"/>
    <w:rsid w:val="00335D55"/>
    <w:rsid w:val="003364D8"/>
    <w:rsid w:val="00336782"/>
    <w:rsid w:val="00342CEA"/>
    <w:rsid w:val="00347821"/>
    <w:rsid w:val="003521A9"/>
    <w:rsid w:val="00352694"/>
    <w:rsid w:val="003529C4"/>
    <w:rsid w:val="00353B90"/>
    <w:rsid w:val="003560F5"/>
    <w:rsid w:val="00357808"/>
    <w:rsid w:val="00360916"/>
    <w:rsid w:val="003651DB"/>
    <w:rsid w:val="00371D4B"/>
    <w:rsid w:val="003750D3"/>
    <w:rsid w:val="0038093D"/>
    <w:rsid w:val="00380B3E"/>
    <w:rsid w:val="003810BF"/>
    <w:rsid w:val="00382638"/>
    <w:rsid w:val="0038523C"/>
    <w:rsid w:val="00386E3F"/>
    <w:rsid w:val="00390D91"/>
    <w:rsid w:val="0039353B"/>
    <w:rsid w:val="00395B6A"/>
    <w:rsid w:val="00395B9C"/>
    <w:rsid w:val="003A44E7"/>
    <w:rsid w:val="003B1079"/>
    <w:rsid w:val="003B1519"/>
    <w:rsid w:val="003B2524"/>
    <w:rsid w:val="003B58D2"/>
    <w:rsid w:val="003C2228"/>
    <w:rsid w:val="003C2D38"/>
    <w:rsid w:val="003C3063"/>
    <w:rsid w:val="003C46BC"/>
    <w:rsid w:val="003C4D57"/>
    <w:rsid w:val="003C4FA0"/>
    <w:rsid w:val="003C7131"/>
    <w:rsid w:val="003D195C"/>
    <w:rsid w:val="003D212E"/>
    <w:rsid w:val="003D36EF"/>
    <w:rsid w:val="003D71E2"/>
    <w:rsid w:val="003E61AD"/>
    <w:rsid w:val="003F18A6"/>
    <w:rsid w:val="003F2660"/>
    <w:rsid w:val="003F512C"/>
    <w:rsid w:val="003F517B"/>
    <w:rsid w:val="0040101B"/>
    <w:rsid w:val="00403337"/>
    <w:rsid w:val="0040399C"/>
    <w:rsid w:val="00404D9E"/>
    <w:rsid w:val="004055B4"/>
    <w:rsid w:val="00405AA2"/>
    <w:rsid w:val="0040654D"/>
    <w:rsid w:val="00407FE3"/>
    <w:rsid w:val="004134F5"/>
    <w:rsid w:val="004143E2"/>
    <w:rsid w:val="004216FE"/>
    <w:rsid w:val="00422B16"/>
    <w:rsid w:val="00424959"/>
    <w:rsid w:val="00425C9A"/>
    <w:rsid w:val="0042603A"/>
    <w:rsid w:val="00430AEB"/>
    <w:rsid w:val="00430C1D"/>
    <w:rsid w:val="00436524"/>
    <w:rsid w:val="00436C24"/>
    <w:rsid w:val="004438FE"/>
    <w:rsid w:val="004503BD"/>
    <w:rsid w:val="004513AB"/>
    <w:rsid w:val="004513D8"/>
    <w:rsid w:val="004515EB"/>
    <w:rsid w:val="00454B2D"/>
    <w:rsid w:val="004554D8"/>
    <w:rsid w:val="0045763B"/>
    <w:rsid w:val="0046002F"/>
    <w:rsid w:val="00460B8E"/>
    <w:rsid w:val="00463472"/>
    <w:rsid w:val="0046435B"/>
    <w:rsid w:val="00464A40"/>
    <w:rsid w:val="004675B3"/>
    <w:rsid w:val="00471509"/>
    <w:rsid w:val="004716F1"/>
    <w:rsid w:val="00471D6A"/>
    <w:rsid w:val="00472EA5"/>
    <w:rsid w:val="004839EC"/>
    <w:rsid w:val="00487271"/>
    <w:rsid w:val="00492644"/>
    <w:rsid w:val="004A2DFE"/>
    <w:rsid w:val="004A3C2A"/>
    <w:rsid w:val="004B092F"/>
    <w:rsid w:val="004B1D5B"/>
    <w:rsid w:val="004B2193"/>
    <w:rsid w:val="004B386D"/>
    <w:rsid w:val="004B5F22"/>
    <w:rsid w:val="004B65E4"/>
    <w:rsid w:val="004C2840"/>
    <w:rsid w:val="004C75F7"/>
    <w:rsid w:val="004D0791"/>
    <w:rsid w:val="004D368F"/>
    <w:rsid w:val="004D79A9"/>
    <w:rsid w:val="004E38F2"/>
    <w:rsid w:val="004E47BE"/>
    <w:rsid w:val="004E553A"/>
    <w:rsid w:val="004E71AA"/>
    <w:rsid w:val="004F0776"/>
    <w:rsid w:val="004F10CC"/>
    <w:rsid w:val="004F1125"/>
    <w:rsid w:val="004F437E"/>
    <w:rsid w:val="005003FF"/>
    <w:rsid w:val="0050150F"/>
    <w:rsid w:val="005023D8"/>
    <w:rsid w:val="00505C77"/>
    <w:rsid w:val="00511EE2"/>
    <w:rsid w:val="005164A4"/>
    <w:rsid w:val="00520DB8"/>
    <w:rsid w:val="005213BD"/>
    <w:rsid w:val="00523C2A"/>
    <w:rsid w:val="005251FE"/>
    <w:rsid w:val="00525434"/>
    <w:rsid w:val="00534473"/>
    <w:rsid w:val="00535518"/>
    <w:rsid w:val="00541E62"/>
    <w:rsid w:val="00542473"/>
    <w:rsid w:val="005445DF"/>
    <w:rsid w:val="00546031"/>
    <w:rsid w:val="0055423F"/>
    <w:rsid w:val="00554963"/>
    <w:rsid w:val="005578C7"/>
    <w:rsid w:val="00565508"/>
    <w:rsid w:val="00574A75"/>
    <w:rsid w:val="00580FE3"/>
    <w:rsid w:val="00582164"/>
    <w:rsid w:val="00582604"/>
    <w:rsid w:val="0058428C"/>
    <w:rsid w:val="00584863"/>
    <w:rsid w:val="00584AB1"/>
    <w:rsid w:val="00586E88"/>
    <w:rsid w:val="005973B5"/>
    <w:rsid w:val="005A422F"/>
    <w:rsid w:val="005B68F1"/>
    <w:rsid w:val="005C0308"/>
    <w:rsid w:val="005C03A5"/>
    <w:rsid w:val="005C0B69"/>
    <w:rsid w:val="005C5F94"/>
    <w:rsid w:val="005D04CF"/>
    <w:rsid w:val="005D22AC"/>
    <w:rsid w:val="005D4580"/>
    <w:rsid w:val="005E0AF4"/>
    <w:rsid w:val="005E398F"/>
    <w:rsid w:val="005E64EA"/>
    <w:rsid w:val="005E7966"/>
    <w:rsid w:val="005F494A"/>
    <w:rsid w:val="005F4AE8"/>
    <w:rsid w:val="005F694E"/>
    <w:rsid w:val="005F6CBE"/>
    <w:rsid w:val="00600A3A"/>
    <w:rsid w:val="00603BAF"/>
    <w:rsid w:val="00615711"/>
    <w:rsid w:val="0062122D"/>
    <w:rsid w:val="0062226E"/>
    <w:rsid w:val="00623017"/>
    <w:rsid w:val="006247C6"/>
    <w:rsid w:val="006264CF"/>
    <w:rsid w:val="0063517C"/>
    <w:rsid w:val="006376E9"/>
    <w:rsid w:val="00650270"/>
    <w:rsid w:val="00653883"/>
    <w:rsid w:val="00654798"/>
    <w:rsid w:val="00657DBA"/>
    <w:rsid w:val="0066028E"/>
    <w:rsid w:val="006629C4"/>
    <w:rsid w:val="00662C36"/>
    <w:rsid w:val="00662CC6"/>
    <w:rsid w:val="00665CC0"/>
    <w:rsid w:val="006678CB"/>
    <w:rsid w:val="00671426"/>
    <w:rsid w:val="00672E60"/>
    <w:rsid w:val="006753FC"/>
    <w:rsid w:val="00676239"/>
    <w:rsid w:val="00682CDD"/>
    <w:rsid w:val="006859F7"/>
    <w:rsid w:val="006955BF"/>
    <w:rsid w:val="006A048A"/>
    <w:rsid w:val="006A0E2B"/>
    <w:rsid w:val="006A35A6"/>
    <w:rsid w:val="006A6C42"/>
    <w:rsid w:val="006B21E2"/>
    <w:rsid w:val="006B25DE"/>
    <w:rsid w:val="006B2729"/>
    <w:rsid w:val="006B3A8F"/>
    <w:rsid w:val="006B455B"/>
    <w:rsid w:val="006B77E4"/>
    <w:rsid w:val="006C0F4D"/>
    <w:rsid w:val="006C1556"/>
    <w:rsid w:val="006C159B"/>
    <w:rsid w:val="006C26FE"/>
    <w:rsid w:val="006C651F"/>
    <w:rsid w:val="006D247E"/>
    <w:rsid w:val="006D360B"/>
    <w:rsid w:val="006D4030"/>
    <w:rsid w:val="006D6107"/>
    <w:rsid w:val="006E2230"/>
    <w:rsid w:val="006E30B7"/>
    <w:rsid w:val="006E5EC9"/>
    <w:rsid w:val="006F4CFB"/>
    <w:rsid w:val="006F66D9"/>
    <w:rsid w:val="00701186"/>
    <w:rsid w:val="00705C84"/>
    <w:rsid w:val="00706DDA"/>
    <w:rsid w:val="0070779E"/>
    <w:rsid w:val="00710E68"/>
    <w:rsid w:val="00713294"/>
    <w:rsid w:val="007206D2"/>
    <w:rsid w:val="00720BF8"/>
    <w:rsid w:val="00727EAE"/>
    <w:rsid w:val="0073381F"/>
    <w:rsid w:val="0073773B"/>
    <w:rsid w:val="00744E3F"/>
    <w:rsid w:val="0074790A"/>
    <w:rsid w:val="00751E2C"/>
    <w:rsid w:val="007526BB"/>
    <w:rsid w:val="00755E4C"/>
    <w:rsid w:val="00763155"/>
    <w:rsid w:val="0076551E"/>
    <w:rsid w:val="00766488"/>
    <w:rsid w:val="00770010"/>
    <w:rsid w:val="007701D4"/>
    <w:rsid w:val="007725CD"/>
    <w:rsid w:val="007729CB"/>
    <w:rsid w:val="0077677E"/>
    <w:rsid w:val="007800B0"/>
    <w:rsid w:val="007846E2"/>
    <w:rsid w:val="0078666C"/>
    <w:rsid w:val="0079521B"/>
    <w:rsid w:val="007956E3"/>
    <w:rsid w:val="00796E88"/>
    <w:rsid w:val="007A10D9"/>
    <w:rsid w:val="007B05BD"/>
    <w:rsid w:val="007B213A"/>
    <w:rsid w:val="007B43ED"/>
    <w:rsid w:val="007B6208"/>
    <w:rsid w:val="007C462B"/>
    <w:rsid w:val="007D1E7A"/>
    <w:rsid w:val="007D651E"/>
    <w:rsid w:val="007D6793"/>
    <w:rsid w:val="007D7664"/>
    <w:rsid w:val="007E0E12"/>
    <w:rsid w:val="007E0E31"/>
    <w:rsid w:val="007E320C"/>
    <w:rsid w:val="007E4F4D"/>
    <w:rsid w:val="007E7469"/>
    <w:rsid w:val="007F21D2"/>
    <w:rsid w:val="007F36FC"/>
    <w:rsid w:val="007F50BD"/>
    <w:rsid w:val="00802451"/>
    <w:rsid w:val="00806947"/>
    <w:rsid w:val="00806BE2"/>
    <w:rsid w:val="00807EE1"/>
    <w:rsid w:val="00810576"/>
    <w:rsid w:val="00813E55"/>
    <w:rsid w:val="00814484"/>
    <w:rsid w:val="00815C18"/>
    <w:rsid w:val="0081671F"/>
    <w:rsid w:val="008275FF"/>
    <w:rsid w:val="00833561"/>
    <w:rsid w:val="00834043"/>
    <w:rsid w:val="00844BC4"/>
    <w:rsid w:val="00851999"/>
    <w:rsid w:val="00852378"/>
    <w:rsid w:val="00854DDA"/>
    <w:rsid w:val="008552D2"/>
    <w:rsid w:val="00861088"/>
    <w:rsid w:val="00865329"/>
    <w:rsid w:val="008728CF"/>
    <w:rsid w:val="00874C62"/>
    <w:rsid w:val="008803F1"/>
    <w:rsid w:val="00880688"/>
    <w:rsid w:val="00882840"/>
    <w:rsid w:val="00883088"/>
    <w:rsid w:val="00883BE8"/>
    <w:rsid w:val="00885C84"/>
    <w:rsid w:val="00886BA1"/>
    <w:rsid w:val="008945EC"/>
    <w:rsid w:val="008A0939"/>
    <w:rsid w:val="008A185D"/>
    <w:rsid w:val="008A2E67"/>
    <w:rsid w:val="008A3842"/>
    <w:rsid w:val="008A4097"/>
    <w:rsid w:val="008A5C97"/>
    <w:rsid w:val="008A6687"/>
    <w:rsid w:val="008B3282"/>
    <w:rsid w:val="008B373B"/>
    <w:rsid w:val="008B45BE"/>
    <w:rsid w:val="008B7674"/>
    <w:rsid w:val="008C369B"/>
    <w:rsid w:val="008C496C"/>
    <w:rsid w:val="008C498E"/>
    <w:rsid w:val="008C54A7"/>
    <w:rsid w:val="008C7194"/>
    <w:rsid w:val="008D0713"/>
    <w:rsid w:val="008E1F0D"/>
    <w:rsid w:val="008E5147"/>
    <w:rsid w:val="008F1AEA"/>
    <w:rsid w:val="008F24B3"/>
    <w:rsid w:val="008F6B4A"/>
    <w:rsid w:val="00902504"/>
    <w:rsid w:val="00903E62"/>
    <w:rsid w:val="009043EA"/>
    <w:rsid w:val="00904D1F"/>
    <w:rsid w:val="00906526"/>
    <w:rsid w:val="00907E59"/>
    <w:rsid w:val="00911B6C"/>
    <w:rsid w:val="00912CF2"/>
    <w:rsid w:val="009138B0"/>
    <w:rsid w:val="00914AC6"/>
    <w:rsid w:val="00916B79"/>
    <w:rsid w:val="00917930"/>
    <w:rsid w:val="00917E70"/>
    <w:rsid w:val="00921363"/>
    <w:rsid w:val="00921532"/>
    <w:rsid w:val="00923211"/>
    <w:rsid w:val="00923ED5"/>
    <w:rsid w:val="00925C12"/>
    <w:rsid w:val="00926D83"/>
    <w:rsid w:val="009320D6"/>
    <w:rsid w:val="00933EE5"/>
    <w:rsid w:val="0093475A"/>
    <w:rsid w:val="00935AE4"/>
    <w:rsid w:val="009444C9"/>
    <w:rsid w:val="00946DA7"/>
    <w:rsid w:val="00947A8D"/>
    <w:rsid w:val="00953E68"/>
    <w:rsid w:val="00956B13"/>
    <w:rsid w:val="00960475"/>
    <w:rsid w:val="009606A8"/>
    <w:rsid w:val="00960E94"/>
    <w:rsid w:val="00962891"/>
    <w:rsid w:val="00967236"/>
    <w:rsid w:val="009676CF"/>
    <w:rsid w:val="00970575"/>
    <w:rsid w:val="0097381E"/>
    <w:rsid w:val="00976B15"/>
    <w:rsid w:val="00977514"/>
    <w:rsid w:val="00984B5F"/>
    <w:rsid w:val="009A00FA"/>
    <w:rsid w:val="009A2181"/>
    <w:rsid w:val="009A3A70"/>
    <w:rsid w:val="009A63D2"/>
    <w:rsid w:val="009B11DF"/>
    <w:rsid w:val="009B440E"/>
    <w:rsid w:val="009B7A22"/>
    <w:rsid w:val="009C03B6"/>
    <w:rsid w:val="009C0D42"/>
    <w:rsid w:val="009D56AF"/>
    <w:rsid w:val="009E161A"/>
    <w:rsid w:val="009E1A6F"/>
    <w:rsid w:val="009E37F2"/>
    <w:rsid w:val="009E5BA9"/>
    <w:rsid w:val="009E6669"/>
    <w:rsid w:val="009F3A52"/>
    <w:rsid w:val="009F3EB7"/>
    <w:rsid w:val="009F64E8"/>
    <w:rsid w:val="009F6715"/>
    <w:rsid w:val="00A13AD6"/>
    <w:rsid w:val="00A20C73"/>
    <w:rsid w:val="00A21D68"/>
    <w:rsid w:val="00A24D3D"/>
    <w:rsid w:val="00A3041A"/>
    <w:rsid w:val="00A30A64"/>
    <w:rsid w:val="00A34135"/>
    <w:rsid w:val="00A365E1"/>
    <w:rsid w:val="00A37CD8"/>
    <w:rsid w:val="00A45EA9"/>
    <w:rsid w:val="00A4701B"/>
    <w:rsid w:val="00A4768A"/>
    <w:rsid w:val="00A53D5C"/>
    <w:rsid w:val="00A559F6"/>
    <w:rsid w:val="00A5637B"/>
    <w:rsid w:val="00A563C5"/>
    <w:rsid w:val="00A568A1"/>
    <w:rsid w:val="00A56AD3"/>
    <w:rsid w:val="00A574A5"/>
    <w:rsid w:val="00A63A49"/>
    <w:rsid w:val="00A63AFD"/>
    <w:rsid w:val="00A63C43"/>
    <w:rsid w:val="00A67197"/>
    <w:rsid w:val="00A74573"/>
    <w:rsid w:val="00A74A3C"/>
    <w:rsid w:val="00A74BE0"/>
    <w:rsid w:val="00A74C9D"/>
    <w:rsid w:val="00A75DE7"/>
    <w:rsid w:val="00A77307"/>
    <w:rsid w:val="00A83F0B"/>
    <w:rsid w:val="00A8426D"/>
    <w:rsid w:val="00A85ECF"/>
    <w:rsid w:val="00A8604D"/>
    <w:rsid w:val="00A86801"/>
    <w:rsid w:val="00A905B5"/>
    <w:rsid w:val="00A9061A"/>
    <w:rsid w:val="00A95764"/>
    <w:rsid w:val="00A95B23"/>
    <w:rsid w:val="00AA0313"/>
    <w:rsid w:val="00AA12A4"/>
    <w:rsid w:val="00AA1687"/>
    <w:rsid w:val="00AA1951"/>
    <w:rsid w:val="00AA1A43"/>
    <w:rsid w:val="00AA2DFB"/>
    <w:rsid w:val="00AA3C61"/>
    <w:rsid w:val="00AA7397"/>
    <w:rsid w:val="00AB289E"/>
    <w:rsid w:val="00AB529A"/>
    <w:rsid w:val="00AC3BDE"/>
    <w:rsid w:val="00AD1DB7"/>
    <w:rsid w:val="00AD4626"/>
    <w:rsid w:val="00AD6691"/>
    <w:rsid w:val="00AE18F9"/>
    <w:rsid w:val="00AE298F"/>
    <w:rsid w:val="00AE53E9"/>
    <w:rsid w:val="00AE54A1"/>
    <w:rsid w:val="00AE65FF"/>
    <w:rsid w:val="00AE78E8"/>
    <w:rsid w:val="00AF18AC"/>
    <w:rsid w:val="00AF55DD"/>
    <w:rsid w:val="00B001B5"/>
    <w:rsid w:val="00B008C8"/>
    <w:rsid w:val="00B00AA0"/>
    <w:rsid w:val="00B00B37"/>
    <w:rsid w:val="00B01D42"/>
    <w:rsid w:val="00B021BC"/>
    <w:rsid w:val="00B119B2"/>
    <w:rsid w:val="00B11B75"/>
    <w:rsid w:val="00B131BF"/>
    <w:rsid w:val="00B1686C"/>
    <w:rsid w:val="00B17705"/>
    <w:rsid w:val="00B23724"/>
    <w:rsid w:val="00B316A1"/>
    <w:rsid w:val="00B365E9"/>
    <w:rsid w:val="00B42F2A"/>
    <w:rsid w:val="00B460A2"/>
    <w:rsid w:val="00B469C3"/>
    <w:rsid w:val="00B475C7"/>
    <w:rsid w:val="00B5319D"/>
    <w:rsid w:val="00B534D1"/>
    <w:rsid w:val="00B565F0"/>
    <w:rsid w:val="00B60C2A"/>
    <w:rsid w:val="00B615E8"/>
    <w:rsid w:val="00B65930"/>
    <w:rsid w:val="00B715E7"/>
    <w:rsid w:val="00B72F9D"/>
    <w:rsid w:val="00B73294"/>
    <w:rsid w:val="00B77952"/>
    <w:rsid w:val="00B81D68"/>
    <w:rsid w:val="00B830B9"/>
    <w:rsid w:val="00B84B0D"/>
    <w:rsid w:val="00B86CC7"/>
    <w:rsid w:val="00B90C50"/>
    <w:rsid w:val="00B90F87"/>
    <w:rsid w:val="00B93611"/>
    <w:rsid w:val="00B96C86"/>
    <w:rsid w:val="00BA0148"/>
    <w:rsid w:val="00BA65F7"/>
    <w:rsid w:val="00BA660F"/>
    <w:rsid w:val="00BB0333"/>
    <w:rsid w:val="00BB0A68"/>
    <w:rsid w:val="00BB1D23"/>
    <w:rsid w:val="00BB30C4"/>
    <w:rsid w:val="00BB396F"/>
    <w:rsid w:val="00BB433C"/>
    <w:rsid w:val="00BB7ADD"/>
    <w:rsid w:val="00BD2170"/>
    <w:rsid w:val="00BD4E4D"/>
    <w:rsid w:val="00BD59A3"/>
    <w:rsid w:val="00BD6841"/>
    <w:rsid w:val="00BE0859"/>
    <w:rsid w:val="00BE0950"/>
    <w:rsid w:val="00BE1CFE"/>
    <w:rsid w:val="00BE1EB3"/>
    <w:rsid w:val="00BE3BAF"/>
    <w:rsid w:val="00BE3E7E"/>
    <w:rsid w:val="00BE3F3B"/>
    <w:rsid w:val="00BE428F"/>
    <w:rsid w:val="00BE58BB"/>
    <w:rsid w:val="00BE68ED"/>
    <w:rsid w:val="00BE75C7"/>
    <w:rsid w:val="00BF0DEA"/>
    <w:rsid w:val="00BF14E6"/>
    <w:rsid w:val="00BF3D35"/>
    <w:rsid w:val="00C04AD2"/>
    <w:rsid w:val="00C055D3"/>
    <w:rsid w:val="00C11B54"/>
    <w:rsid w:val="00C13902"/>
    <w:rsid w:val="00C21964"/>
    <w:rsid w:val="00C2302C"/>
    <w:rsid w:val="00C3329C"/>
    <w:rsid w:val="00C40926"/>
    <w:rsid w:val="00C415AB"/>
    <w:rsid w:val="00C460F8"/>
    <w:rsid w:val="00C50C7C"/>
    <w:rsid w:val="00C50DBF"/>
    <w:rsid w:val="00C52DD6"/>
    <w:rsid w:val="00C611DD"/>
    <w:rsid w:val="00C62C84"/>
    <w:rsid w:val="00C63546"/>
    <w:rsid w:val="00C642D1"/>
    <w:rsid w:val="00C66190"/>
    <w:rsid w:val="00C70082"/>
    <w:rsid w:val="00C70C2D"/>
    <w:rsid w:val="00C75AF1"/>
    <w:rsid w:val="00C77B88"/>
    <w:rsid w:val="00C833A9"/>
    <w:rsid w:val="00C84495"/>
    <w:rsid w:val="00C87027"/>
    <w:rsid w:val="00C875F0"/>
    <w:rsid w:val="00C9082B"/>
    <w:rsid w:val="00C90C33"/>
    <w:rsid w:val="00C911A6"/>
    <w:rsid w:val="00C96B6B"/>
    <w:rsid w:val="00CA395C"/>
    <w:rsid w:val="00CB4AE2"/>
    <w:rsid w:val="00CC1521"/>
    <w:rsid w:val="00CC3718"/>
    <w:rsid w:val="00CC4BF5"/>
    <w:rsid w:val="00CC5565"/>
    <w:rsid w:val="00CC603B"/>
    <w:rsid w:val="00CC785A"/>
    <w:rsid w:val="00CD0D7F"/>
    <w:rsid w:val="00CD2731"/>
    <w:rsid w:val="00CE6BA5"/>
    <w:rsid w:val="00CF61C1"/>
    <w:rsid w:val="00CF77C9"/>
    <w:rsid w:val="00D01444"/>
    <w:rsid w:val="00D04CCB"/>
    <w:rsid w:val="00D07DC5"/>
    <w:rsid w:val="00D12959"/>
    <w:rsid w:val="00D130D1"/>
    <w:rsid w:val="00D253DC"/>
    <w:rsid w:val="00D3471B"/>
    <w:rsid w:val="00D36D9B"/>
    <w:rsid w:val="00D40958"/>
    <w:rsid w:val="00D417B1"/>
    <w:rsid w:val="00D41DCE"/>
    <w:rsid w:val="00D4327A"/>
    <w:rsid w:val="00D46F04"/>
    <w:rsid w:val="00D54FF2"/>
    <w:rsid w:val="00D551F8"/>
    <w:rsid w:val="00D5652C"/>
    <w:rsid w:val="00D60DE0"/>
    <w:rsid w:val="00D64A88"/>
    <w:rsid w:val="00D66EFB"/>
    <w:rsid w:val="00D6755E"/>
    <w:rsid w:val="00D71941"/>
    <w:rsid w:val="00D72140"/>
    <w:rsid w:val="00D7427C"/>
    <w:rsid w:val="00D742B1"/>
    <w:rsid w:val="00D81D35"/>
    <w:rsid w:val="00D84E74"/>
    <w:rsid w:val="00D870E6"/>
    <w:rsid w:val="00D875D4"/>
    <w:rsid w:val="00D8775D"/>
    <w:rsid w:val="00D9286F"/>
    <w:rsid w:val="00D95BBA"/>
    <w:rsid w:val="00DA0332"/>
    <w:rsid w:val="00DA5444"/>
    <w:rsid w:val="00DA602C"/>
    <w:rsid w:val="00DA65C6"/>
    <w:rsid w:val="00DB3F1E"/>
    <w:rsid w:val="00DB5D4E"/>
    <w:rsid w:val="00DB6AC4"/>
    <w:rsid w:val="00DC0944"/>
    <w:rsid w:val="00DC2591"/>
    <w:rsid w:val="00DC471D"/>
    <w:rsid w:val="00DD0A51"/>
    <w:rsid w:val="00DD3C87"/>
    <w:rsid w:val="00DD59AD"/>
    <w:rsid w:val="00DD769B"/>
    <w:rsid w:val="00DE29B9"/>
    <w:rsid w:val="00DE3476"/>
    <w:rsid w:val="00DE3958"/>
    <w:rsid w:val="00DF1830"/>
    <w:rsid w:val="00DF2710"/>
    <w:rsid w:val="00DF4B00"/>
    <w:rsid w:val="00DF714E"/>
    <w:rsid w:val="00DF7CAB"/>
    <w:rsid w:val="00E02745"/>
    <w:rsid w:val="00E02B7D"/>
    <w:rsid w:val="00E050BE"/>
    <w:rsid w:val="00E07B31"/>
    <w:rsid w:val="00E07CFA"/>
    <w:rsid w:val="00E1080C"/>
    <w:rsid w:val="00E10864"/>
    <w:rsid w:val="00E10CDA"/>
    <w:rsid w:val="00E10E86"/>
    <w:rsid w:val="00E11BB7"/>
    <w:rsid w:val="00E11E6A"/>
    <w:rsid w:val="00E15E59"/>
    <w:rsid w:val="00E16285"/>
    <w:rsid w:val="00E16533"/>
    <w:rsid w:val="00E175A1"/>
    <w:rsid w:val="00E22C95"/>
    <w:rsid w:val="00E26E3E"/>
    <w:rsid w:val="00E31B24"/>
    <w:rsid w:val="00E41106"/>
    <w:rsid w:val="00E46A0F"/>
    <w:rsid w:val="00E531E2"/>
    <w:rsid w:val="00E64D4F"/>
    <w:rsid w:val="00E659EF"/>
    <w:rsid w:val="00E72BFF"/>
    <w:rsid w:val="00E7327D"/>
    <w:rsid w:val="00E76402"/>
    <w:rsid w:val="00E778E4"/>
    <w:rsid w:val="00E82FB7"/>
    <w:rsid w:val="00E850DF"/>
    <w:rsid w:val="00E862FF"/>
    <w:rsid w:val="00E87770"/>
    <w:rsid w:val="00E90478"/>
    <w:rsid w:val="00E91CF7"/>
    <w:rsid w:val="00E93E21"/>
    <w:rsid w:val="00EA04D0"/>
    <w:rsid w:val="00EA220C"/>
    <w:rsid w:val="00EA2F0F"/>
    <w:rsid w:val="00EA37AB"/>
    <w:rsid w:val="00EA5327"/>
    <w:rsid w:val="00EB23A2"/>
    <w:rsid w:val="00EB35A6"/>
    <w:rsid w:val="00EB44C1"/>
    <w:rsid w:val="00EB47BF"/>
    <w:rsid w:val="00EC1320"/>
    <w:rsid w:val="00EC18A2"/>
    <w:rsid w:val="00EC4B94"/>
    <w:rsid w:val="00EC6B67"/>
    <w:rsid w:val="00ED18A6"/>
    <w:rsid w:val="00ED72CA"/>
    <w:rsid w:val="00EE4C0A"/>
    <w:rsid w:val="00EF3C02"/>
    <w:rsid w:val="00EF77C0"/>
    <w:rsid w:val="00F01C6B"/>
    <w:rsid w:val="00F01CE2"/>
    <w:rsid w:val="00F02D6A"/>
    <w:rsid w:val="00F0440D"/>
    <w:rsid w:val="00F047E4"/>
    <w:rsid w:val="00F0502F"/>
    <w:rsid w:val="00F05601"/>
    <w:rsid w:val="00F05A73"/>
    <w:rsid w:val="00F05A7A"/>
    <w:rsid w:val="00F10331"/>
    <w:rsid w:val="00F1258C"/>
    <w:rsid w:val="00F15F2E"/>
    <w:rsid w:val="00F205BD"/>
    <w:rsid w:val="00F2681D"/>
    <w:rsid w:val="00F306F1"/>
    <w:rsid w:val="00F31173"/>
    <w:rsid w:val="00F354E1"/>
    <w:rsid w:val="00F355C7"/>
    <w:rsid w:val="00F423C5"/>
    <w:rsid w:val="00F42E45"/>
    <w:rsid w:val="00F659D4"/>
    <w:rsid w:val="00F65C6D"/>
    <w:rsid w:val="00F67318"/>
    <w:rsid w:val="00F75387"/>
    <w:rsid w:val="00F76798"/>
    <w:rsid w:val="00F80E3C"/>
    <w:rsid w:val="00F84F7B"/>
    <w:rsid w:val="00F8753B"/>
    <w:rsid w:val="00F96F2F"/>
    <w:rsid w:val="00F96F41"/>
    <w:rsid w:val="00F979E3"/>
    <w:rsid w:val="00FA087E"/>
    <w:rsid w:val="00FA3CB2"/>
    <w:rsid w:val="00FA6D3D"/>
    <w:rsid w:val="00FB153E"/>
    <w:rsid w:val="00FB7862"/>
    <w:rsid w:val="00FC0E3D"/>
    <w:rsid w:val="00FC1C1D"/>
    <w:rsid w:val="00FC35C0"/>
    <w:rsid w:val="00FC49A3"/>
    <w:rsid w:val="00FC6DC5"/>
    <w:rsid w:val="00FE2E29"/>
    <w:rsid w:val="00FF06A1"/>
    <w:rsid w:val="00FF1411"/>
    <w:rsid w:val="00FF1F8F"/>
    <w:rsid w:val="00FF3241"/>
    <w:rsid w:val="00FF433B"/>
    <w:rsid w:val="00FF5E57"/>
    <w:rsid w:val="00FF7803"/>
    <w:rsid w:val="00FF7BDA"/>
    <w:rsid w:val="F17D7A62"/>
    <w:rsid w:val="FBAE96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8"/>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6"/>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10">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4">
    <w:name w:val="footer"/>
    <w:basedOn w:val="1"/>
    <w:link w:val="20"/>
    <w:unhideWhenUsed/>
    <w:uiPriority w:val="99"/>
    <w:pPr>
      <w:tabs>
        <w:tab w:val="center" w:pos="4513"/>
        <w:tab w:val="right" w:pos="9026"/>
      </w:tabs>
      <w:spacing w:after="0" w:line="240" w:lineRule="auto"/>
    </w:pPr>
  </w:style>
  <w:style w:type="paragraph" w:styleId="5">
    <w:name w:val="header"/>
    <w:basedOn w:val="1"/>
    <w:link w:val="19"/>
    <w:unhideWhenUsed/>
    <w:uiPriority w:val="99"/>
    <w:pPr>
      <w:tabs>
        <w:tab w:val="center" w:pos="4513"/>
        <w:tab w:val="right" w:pos="9026"/>
      </w:tabs>
      <w:spacing w:after="0" w:line="240" w:lineRule="auto"/>
    </w:p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20"/>
    </w:pPr>
  </w:style>
  <w:style w:type="paragraph" w:styleId="8">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11">
    <w:name w:val="Hyperlink"/>
    <w:basedOn w:val="10"/>
    <w:unhideWhenUsed/>
    <w:uiPriority w:val="99"/>
    <w:rPr>
      <w:color w:val="0000FF"/>
      <w:u w:val="single"/>
    </w:rPr>
  </w:style>
  <w:style w:type="paragraph" w:styleId="12">
    <w:name w:val="List Paragraph"/>
    <w:basedOn w:val="1"/>
    <w:qFormat/>
    <w:uiPriority w:val="34"/>
    <w:pPr>
      <w:spacing w:after="0" w:line="240" w:lineRule="auto"/>
      <w:ind w:left="720"/>
      <w:contextualSpacing/>
    </w:pPr>
    <w:rPr>
      <w:rFonts w:ascii="Times New Roman" w:hAnsi="Times New Roman" w:eastAsia="Times New Roman" w:cs="Times New Roman"/>
      <w:sz w:val="20"/>
      <w:szCs w:val="20"/>
      <w:lang w:eastAsia="en-GB"/>
    </w:rPr>
  </w:style>
  <w:style w:type="character" w:customStyle="1" w:styleId="13">
    <w:name w:val="fontstyle01"/>
    <w:basedOn w:val="10"/>
    <w:uiPriority w:val="0"/>
    <w:rPr>
      <w:rFonts w:hint="default" w:ascii="Times-Roman" w:hAnsi="Times-Roman"/>
      <w:color w:val="000000"/>
      <w:sz w:val="24"/>
      <w:szCs w:val="24"/>
    </w:rPr>
  </w:style>
  <w:style w:type="character" w:customStyle="1" w:styleId="14">
    <w:name w:val="fontstyle21"/>
    <w:basedOn w:val="10"/>
    <w:uiPriority w:val="0"/>
    <w:rPr>
      <w:rFonts w:hint="default" w:ascii="Times-Italic" w:hAnsi="Times-Italic"/>
      <w:i/>
      <w:iCs/>
      <w:color w:val="000000"/>
      <w:sz w:val="24"/>
      <w:szCs w:val="24"/>
    </w:rPr>
  </w:style>
  <w:style w:type="paragraph" w:customStyle="1" w:styleId="15">
    <w:name w:val="chakra-text"/>
    <w:basedOn w:val="1"/>
    <w:uiPriority w:val="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customStyle="1" w:styleId="16">
    <w:name w:val="Heading 2 Char"/>
    <w:basedOn w:val="10"/>
    <w:link w:val="3"/>
    <w:uiPriority w:val="9"/>
    <w:rPr>
      <w:rFonts w:asciiTheme="majorHAnsi" w:hAnsiTheme="majorHAnsi" w:eastAsiaTheme="majorEastAsia" w:cstheme="majorBidi"/>
      <w:color w:val="2E75B6" w:themeColor="accent1" w:themeShade="BF"/>
      <w:sz w:val="26"/>
      <w:szCs w:val="26"/>
    </w:rPr>
  </w:style>
  <w:style w:type="character" w:customStyle="1" w:styleId="17">
    <w:name w:val="Unresolved Mention"/>
    <w:basedOn w:val="10"/>
    <w:semiHidden/>
    <w:unhideWhenUsed/>
    <w:uiPriority w:val="99"/>
    <w:rPr>
      <w:color w:val="605E5C"/>
      <w:shd w:val="clear" w:color="auto" w:fill="E1DFDD"/>
    </w:rPr>
  </w:style>
  <w:style w:type="character" w:customStyle="1" w:styleId="18">
    <w:name w:val="Heading 1 Char"/>
    <w:basedOn w:val="10"/>
    <w:link w:val="2"/>
    <w:uiPriority w:val="9"/>
    <w:rPr>
      <w:rFonts w:asciiTheme="majorHAnsi" w:hAnsiTheme="majorHAnsi" w:eastAsiaTheme="majorEastAsia" w:cstheme="majorBidi"/>
      <w:color w:val="2E75B6" w:themeColor="accent1" w:themeShade="BF"/>
      <w:sz w:val="32"/>
      <w:szCs w:val="32"/>
    </w:rPr>
  </w:style>
  <w:style w:type="character" w:customStyle="1" w:styleId="19">
    <w:name w:val="Header Char"/>
    <w:basedOn w:val="10"/>
    <w:link w:val="5"/>
    <w:uiPriority w:val="99"/>
  </w:style>
  <w:style w:type="character" w:customStyle="1" w:styleId="20">
    <w:name w:val="Footer Char"/>
    <w:basedOn w:val="10"/>
    <w:link w:val="4"/>
    <w:uiPriority w:val="99"/>
  </w:style>
  <w:style w:type="paragraph" w:customStyle="1" w:styleId="21">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image" Target="media/image2.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3675</Words>
  <Characters>20953</Characters>
  <Lines>174</Lines>
  <Paragraphs>49</Paragraphs>
  <TotalTime>0</TotalTime>
  <ScaleCrop>false</ScaleCrop>
  <LinksUpToDate>false</LinksUpToDate>
  <CharactersWithSpaces>24579</CharactersWithSpaces>
  <Application>WPS Office_6.2.2.8394_F1E327BC-269C-435d-A152-05C5408002CA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2024-01-08T07:59:00Z</dcterms:created>
  <dc:creator>Data</dc:creator>
  <cp:lastModifiedBy>贾棋涵</cp:lastModifiedBy>
  <dcterms:modified xsi:type="dcterms:W3CDTF">2024-01-17T03:13:09Z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2052-6.2.2.8394</vt:lpwstr>
  </property>
  <property fmtid="{D5CDD505-2E9C-101B-9397-08002B2CF9AE}" pid="3" name="ICV">
    <vt:lpwstr>BBE73E7815D91055AF68A065E692D43B_42</vt:lpwstr>
  </property>
</Properties>
</file>