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8C9A" w14:textId="33E00FC4" w:rsidR="00D65D33" w:rsidRPr="0006765D" w:rsidRDefault="00D65D33" w:rsidP="00D65D33">
      <w:pPr>
        <w:spacing w:after="0" w:line="360" w:lineRule="auto"/>
        <w:jc w:val="center"/>
        <w:rPr>
          <w:rFonts w:ascii="Arial" w:hAnsi="Arial" w:cs="Arial"/>
          <w:b/>
          <w:sz w:val="36"/>
          <w:szCs w:val="36"/>
        </w:rPr>
      </w:pPr>
      <w:r w:rsidRPr="0006765D">
        <w:rPr>
          <w:rFonts w:ascii="Arial" w:hAnsi="Arial" w:cs="Arial"/>
          <w:b/>
          <w:sz w:val="36"/>
          <w:szCs w:val="36"/>
        </w:rPr>
        <w:t>LCLM600</w:t>
      </w:r>
      <w:r w:rsidRPr="0006765D">
        <w:rPr>
          <w:rFonts w:ascii="Arial" w:hAnsi="Arial" w:cs="Arial"/>
          <w:b/>
          <w:sz w:val="36"/>
          <w:szCs w:val="36"/>
        </w:rPr>
        <w:t>3</w:t>
      </w:r>
      <w:r w:rsidRPr="0006765D">
        <w:rPr>
          <w:rFonts w:ascii="Arial" w:hAnsi="Arial" w:cs="Arial"/>
          <w:b/>
          <w:sz w:val="36"/>
          <w:szCs w:val="36"/>
        </w:rPr>
        <w:t xml:space="preserve"> – </w:t>
      </w:r>
      <w:r w:rsidRPr="0006765D">
        <w:rPr>
          <w:rFonts w:ascii="Arial" w:eastAsia="Times New Roman" w:hAnsi="Arial" w:cs="Arial"/>
          <w:b/>
          <w:bCs/>
          <w:sz w:val="36"/>
          <w:szCs w:val="36"/>
          <w:lang w:eastAsia="en-GB"/>
        </w:rPr>
        <w:t>Leading and Implementing Change</w:t>
      </w:r>
    </w:p>
    <w:p w14:paraId="77A5E14F" w14:textId="77777777" w:rsidR="00D65D33" w:rsidRPr="0006765D" w:rsidRDefault="00D65D33" w:rsidP="00D65D33">
      <w:pPr>
        <w:spacing w:after="0" w:line="360" w:lineRule="auto"/>
        <w:jc w:val="center"/>
        <w:rPr>
          <w:rFonts w:ascii="Arial" w:hAnsi="Arial" w:cs="Arial"/>
          <w:b/>
          <w:sz w:val="24"/>
          <w:szCs w:val="24"/>
        </w:rPr>
      </w:pPr>
    </w:p>
    <w:p w14:paraId="31C18D29" w14:textId="77777777" w:rsidR="00D65D33" w:rsidRPr="0006765D" w:rsidRDefault="00D65D33" w:rsidP="00D65D33">
      <w:pPr>
        <w:spacing w:after="0" w:line="360" w:lineRule="auto"/>
        <w:jc w:val="center"/>
        <w:rPr>
          <w:rFonts w:ascii="Arial" w:hAnsi="Arial" w:cs="Arial"/>
          <w:b/>
          <w:sz w:val="24"/>
          <w:szCs w:val="24"/>
        </w:rPr>
      </w:pPr>
    </w:p>
    <w:p w14:paraId="6951224D" w14:textId="77777777" w:rsidR="00D65D33" w:rsidRPr="0006765D" w:rsidRDefault="00D65D33" w:rsidP="00D65D33">
      <w:pPr>
        <w:spacing w:after="0" w:line="360" w:lineRule="auto"/>
        <w:jc w:val="center"/>
        <w:rPr>
          <w:rFonts w:ascii="Arial" w:hAnsi="Arial" w:cs="Arial"/>
          <w:b/>
          <w:sz w:val="24"/>
          <w:szCs w:val="24"/>
        </w:rPr>
      </w:pPr>
    </w:p>
    <w:p w14:paraId="689DDDF4" w14:textId="77777777" w:rsidR="00D65D33" w:rsidRPr="0006765D" w:rsidRDefault="00D65D33" w:rsidP="00D65D33">
      <w:pPr>
        <w:spacing w:after="0" w:line="360" w:lineRule="auto"/>
        <w:jc w:val="center"/>
        <w:rPr>
          <w:rFonts w:ascii="Arial" w:hAnsi="Arial" w:cs="Arial"/>
          <w:b/>
          <w:sz w:val="24"/>
          <w:szCs w:val="24"/>
        </w:rPr>
      </w:pPr>
    </w:p>
    <w:p w14:paraId="0B58CEC2" w14:textId="77777777" w:rsidR="00D65D33" w:rsidRPr="0006765D" w:rsidRDefault="00D65D33" w:rsidP="00D65D33">
      <w:pPr>
        <w:spacing w:after="0" w:line="360" w:lineRule="auto"/>
        <w:jc w:val="center"/>
        <w:rPr>
          <w:rFonts w:ascii="Arial" w:hAnsi="Arial" w:cs="Arial"/>
          <w:b/>
          <w:sz w:val="24"/>
          <w:szCs w:val="24"/>
        </w:rPr>
      </w:pPr>
    </w:p>
    <w:p w14:paraId="69009847" w14:textId="77777777" w:rsidR="00D65D33" w:rsidRPr="0006765D" w:rsidRDefault="00D65D33" w:rsidP="00D65D33">
      <w:pPr>
        <w:spacing w:after="0" w:line="360" w:lineRule="auto"/>
        <w:jc w:val="center"/>
        <w:rPr>
          <w:rFonts w:ascii="Arial" w:hAnsi="Arial" w:cs="Arial"/>
          <w:b/>
          <w:sz w:val="24"/>
          <w:szCs w:val="24"/>
        </w:rPr>
      </w:pPr>
    </w:p>
    <w:p w14:paraId="56DED7A6" w14:textId="77777777" w:rsidR="00D65D33" w:rsidRPr="0006765D" w:rsidRDefault="00D65D33" w:rsidP="00D65D33">
      <w:pPr>
        <w:spacing w:after="0" w:line="360" w:lineRule="auto"/>
        <w:jc w:val="center"/>
        <w:rPr>
          <w:rFonts w:ascii="Arial" w:hAnsi="Arial" w:cs="Arial"/>
          <w:b/>
          <w:i/>
          <w:iCs/>
          <w:sz w:val="24"/>
          <w:szCs w:val="24"/>
          <w:u w:val="single"/>
        </w:rPr>
      </w:pPr>
    </w:p>
    <w:p w14:paraId="3E03DECF" w14:textId="4068A361" w:rsidR="00D65D33" w:rsidRPr="0006765D" w:rsidRDefault="00D65D33" w:rsidP="00D65D33">
      <w:pPr>
        <w:spacing w:after="0" w:line="360" w:lineRule="auto"/>
        <w:jc w:val="center"/>
        <w:rPr>
          <w:rFonts w:ascii="Arial" w:hAnsi="Arial" w:cs="Arial"/>
          <w:b/>
          <w:i/>
          <w:iCs/>
          <w:sz w:val="44"/>
          <w:szCs w:val="44"/>
          <w:u w:val="single"/>
        </w:rPr>
      </w:pPr>
      <w:r w:rsidRPr="0006765D">
        <w:rPr>
          <w:rFonts w:ascii="Arial" w:hAnsi="Arial" w:cs="Arial"/>
          <w:b/>
          <w:i/>
          <w:iCs/>
          <w:sz w:val="44"/>
          <w:szCs w:val="44"/>
          <w:u w:val="single"/>
        </w:rPr>
        <w:t>Title: Responding to Digital Disruption, Online Marketplaces, and AI-Driven Transformation in the UK Construction Supply Sector</w:t>
      </w:r>
      <w:r w:rsidRPr="0006765D">
        <w:rPr>
          <w:rFonts w:ascii="Arial" w:hAnsi="Arial" w:cs="Arial"/>
          <w:b/>
          <w:i/>
          <w:iCs/>
          <w:sz w:val="44"/>
          <w:szCs w:val="44"/>
          <w:u w:val="single"/>
        </w:rPr>
        <w:t xml:space="preserve"> – C</w:t>
      </w:r>
      <w:r w:rsidR="007D5C8C">
        <w:rPr>
          <w:rFonts w:ascii="Arial" w:hAnsi="Arial" w:cs="Arial"/>
          <w:b/>
          <w:i/>
          <w:iCs/>
          <w:sz w:val="44"/>
          <w:szCs w:val="44"/>
          <w:u w:val="single"/>
        </w:rPr>
        <w:t>HH</w:t>
      </w:r>
      <w:r w:rsidRPr="0006765D">
        <w:rPr>
          <w:rFonts w:ascii="Arial" w:hAnsi="Arial" w:cs="Arial"/>
          <w:b/>
          <w:i/>
          <w:iCs/>
          <w:sz w:val="44"/>
          <w:szCs w:val="44"/>
          <w:u w:val="single"/>
        </w:rPr>
        <w:t xml:space="preserve"> Conex case study</w:t>
      </w:r>
    </w:p>
    <w:p w14:paraId="35878D6E" w14:textId="77777777" w:rsidR="00D65D33" w:rsidRPr="0006765D" w:rsidRDefault="00D65D33" w:rsidP="00D65D33">
      <w:pPr>
        <w:spacing w:after="0" w:line="360" w:lineRule="auto"/>
        <w:jc w:val="center"/>
        <w:rPr>
          <w:rFonts w:ascii="Arial" w:hAnsi="Arial" w:cs="Arial"/>
          <w:b/>
          <w:sz w:val="44"/>
          <w:szCs w:val="44"/>
        </w:rPr>
      </w:pPr>
    </w:p>
    <w:p w14:paraId="2C4993D2" w14:textId="77777777" w:rsidR="00D65D33" w:rsidRPr="0006765D" w:rsidRDefault="00D65D33" w:rsidP="00D65D33">
      <w:pPr>
        <w:spacing w:after="0" w:line="360" w:lineRule="auto"/>
        <w:jc w:val="center"/>
        <w:rPr>
          <w:rFonts w:ascii="Arial" w:hAnsi="Arial" w:cs="Arial"/>
          <w:b/>
          <w:sz w:val="44"/>
          <w:szCs w:val="44"/>
        </w:rPr>
      </w:pPr>
    </w:p>
    <w:p w14:paraId="1DB8B77B" w14:textId="77777777" w:rsidR="00D65D33" w:rsidRPr="0006765D" w:rsidRDefault="00D65D33" w:rsidP="00D65D33">
      <w:pPr>
        <w:spacing w:after="0" w:line="360" w:lineRule="auto"/>
        <w:jc w:val="center"/>
        <w:rPr>
          <w:rFonts w:ascii="Arial" w:hAnsi="Arial" w:cs="Arial"/>
          <w:b/>
          <w:sz w:val="24"/>
          <w:szCs w:val="24"/>
        </w:rPr>
      </w:pPr>
    </w:p>
    <w:p w14:paraId="5263BB81" w14:textId="77777777" w:rsidR="00D65D33" w:rsidRPr="0006765D" w:rsidRDefault="00D65D33" w:rsidP="00D65D33">
      <w:pPr>
        <w:spacing w:after="0" w:line="360" w:lineRule="auto"/>
        <w:jc w:val="center"/>
        <w:rPr>
          <w:rFonts w:ascii="Arial" w:hAnsi="Arial" w:cs="Arial"/>
          <w:b/>
          <w:sz w:val="24"/>
          <w:szCs w:val="24"/>
        </w:rPr>
      </w:pPr>
    </w:p>
    <w:p w14:paraId="571D2B30" w14:textId="77777777" w:rsidR="00D65D33" w:rsidRPr="0006765D" w:rsidRDefault="00D65D33" w:rsidP="00D65D33">
      <w:pPr>
        <w:spacing w:after="0" w:line="360" w:lineRule="auto"/>
        <w:jc w:val="center"/>
        <w:rPr>
          <w:rFonts w:ascii="Arial" w:hAnsi="Arial" w:cs="Arial"/>
          <w:b/>
          <w:sz w:val="24"/>
          <w:szCs w:val="24"/>
        </w:rPr>
      </w:pPr>
    </w:p>
    <w:p w14:paraId="150EBCC9" w14:textId="77777777" w:rsidR="00D65D33" w:rsidRPr="0006765D" w:rsidRDefault="00D65D33" w:rsidP="00D65D33">
      <w:pPr>
        <w:spacing w:after="0" w:line="360" w:lineRule="auto"/>
        <w:jc w:val="center"/>
        <w:rPr>
          <w:rFonts w:ascii="Arial" w:hAnsi="Arial" w:cs="Arial"/>
          <w:b/>
          <w:sz w:val="24"/>
          <w:szCs w:val="24"/>
        </w:rPr>
      </w:pPr>
    </w:p>
    <w:p w14:paraId="716D3785" w14:textId="77777777" w:rsidR="00D65D33" w:rsidRPr="0006765D" w:rsidRDefault="00D65D33" w:rsidP="00D65D33">
      <w:pPr>
        <w:spacing w:after="0" w:line="360" w:lineRule="auto"/>
        <w:jc w:val="center"/>
        <w:rPr>
          <w:rFonts w:ascii="Arial" w:hAnsi="Arial" w:cs="Arial"/>
          <w:b/>
          <w:sz w:val="24"/>
          <w:szCs w:val="24"/>
        </w:rPr>
      </w:pPr>
    </w:p>
    <w:p w14:paraId="05F7D49E" w14:textId="77777777" w:rsidR="00D65D33" w:rsidRPr="0006765D" w:rsidRDefault="00D65D33" w:rsidP="00D65D33">
      <w:pPr>
        <w:spacing w:after="0" w:line="360" w:lineRule="auto"/>
        <w:jc w:val="center"/>
        <w:rPr>
          <w:rFonts w:ascii="Arial" w:hAnsi="Arial" w:cs="Arial"/>
          <w:b/>
          <w:sz w:val="24"/>
          <w:szCs w:val="24"/>
        </w:rPr>
      </w:pPr>
      <w:r w:rsidRPr="0006765D">
        <w:rPr>
          <w:rFonts w:ascii="Arial" w:hAnsi="Arial" w:cs="Arial"/>
          <w:b/>
          <w:sz w:val="24"/>
          <w:szCs w:val="24"/>
        </w:rPr>
        <w:t xml:space="preserve">Student: </w:t>
      </w:r>
      <w:r w:rsidRPr="0006765D">
        <w:rPr>
          <w:rFonts w:ascii="Arial" w:hAnsi="Arial" w:cs="Arial"/>
          <w:sz w:val="24"/>
          <w:szCs w:val="24"/>
        </w:rPr>
        <w:t>Dumitru Alexandru Dumitru</w:t>
      </w:r>
    </w:p>
    <w:p w14:paraId="0FA46913" w14:textId="77777777" w:rsidR="00D65D33" w:rsidRPr="0006765D" w:rsidRDefault="00D65D33" w:rsidP="00D65D33">
      <w:pPr>
        <w:spacing w:after="0" w:line="360" w:lineRule="auto"/>
        <w:jc w:val="center"/>
        <w:rPr>
          <w:rFonts w:ascii="Arial" w:hAnsi="Arial" w:cs="Arial"/>
          <w:sz w:val="24"/>
          <w:szCs w:val="24"/>
        </w:rPr>
      </w:pPr>
      <w:r w:rsidRPr="0006765D">
        <w:rPr>
          <w:rFonts w:ascii="Arial" w:hAnsi="Arial" w:cs="Arial"/>
          <w:b/>
          <w:sz w:val="24"/>
          <w:szCs w:val="24"/>
        </w:rPr>
        <w:t xml:space="preserve">Student ID: </w:t>
      </w:r>
      <w:r w:rsidRPr="0006765D">
        <w:rPr>
          <w:rFonts w:ascii="Arial" w:hAnsi="Arial" w:cs="Arial"/>
          <w:sz w:val="24"/>
          <w:szCs w:val="24"/>
        </w:rPr>
        <w:t>2309588</w:t>
      </w:r>
    </w:p>
    <w:p w14:paraId="315FAFCE" w14:textId="01809FD8" w:rsidR="00D65D33" w:rsidRPr="007D5C8C" w:rsidRDefault="00D65D33" w:rsidP="00D65D33">
      <w:pPr>
        <w:spacing w:after="0" w:line="360" w:lineRule="auto"/>
        <w:jc w:val="center"/>
        <w:rPr>
          <w:rFonts w:ascii="Arial" w:hAnsi="Arial" w:cs="Arial"/>
          <w:sz w:val="24"/>
          <w:szCs w:val="24"/>
        </w:rPr>
      </w:pPr>
      <w:r w:rsidRPr="0006765D">
        <w:rPr>
          <w:rFonts w:ascii="Arial" w:hAnsi="Arial" w:cs="Arial"/>
          <w:b/>
          <w:bCs/>
          <w:sz w:val="24"/>
          <w:szCs w:val="24"/>
        </w:rPr>
        <w:t xml:space="preserve">Word count: </w:t>
      </w:r>
      <w:r w:rsidR="007D5C8C">
        <w:rPr>
          <w:rFonts w:ascii="Arial" w:hAnsi="Arial" w:cs="Arial"/>
          <w:sz w:val="24"/>
          <w:szCs w:val="24"/>
        </w:rPr>
        <w:t>3963</w:t>
      </w:r>
    </w:p>
    <w:p w14:paraId="5FE1C3D0" w14:textId="77777777" w:rsidR="00D65D33" w:rsidRPr="0006765D" w:rsidRDefault="00D65D33" w:rsidP="00D65D33">
      <w:pPr>
        <w:spacing w:after="0" w:line="360" w:lineRule="auto"/>
        <w:jc w:val="center"/>
        <w:rPr>
          <w:rFonts w:ascii="Arial" w:hAnsi="Arial" w:cs="Arial"/>
          <w:b/>
          <w:bCs/>
          <w:sz w:val="24"/>
          <w:szCs w:val="24"/>
        </w:rPr>
      </w:pPr>
    </w:p>
    <w:p w14:paraId="788C44FF" w14:textId="77777777" w:rsidR="00D65D33" w:rsidRPr="0006765D" w:rsidRDefault="00D65D33" w:rsidP="00D65D33">
      <w:pPr>
        <w:spacing w:after="0" w:line="360" w:lineRule="auto"/>
        <w:jc w:val="center"/>
        <w:rPr>
          <w:rFonts w:ascii="Arial" w:hAnsi="Arial" w:cs="Arial"/>
          <w:b/>
          <w:bCs/>
          <w:sz w:val="24"/>
          <w:szCs w:val="24"/>
        </w:rPr>
      </w:pPr>
    </w:p>
    <w:p w14:paraId="0555208C" w14:textId="77777777" w:rsidR="00D65D33" w:rsidRPr="0006765D" w:rsidRDefault="00D65D33" w:rsidP="00D65D33">
      <w:pPr>
        <w:spacing w:after="0" w:line="360" w:lineRule="auto"/>
        <w:jc w:val="center"/>
        <w:rPr>
          <w:rFonts w:ascii="Arial" w:hAnsi="Arial" w:cs="Arial"/>
          <w:b/>
          <w:bCs/>
          <w:sz w:val="24"/>
          <w:szCs w:val="24"/>
        </w:rPr>
      </w:pPr>
    </w:p>
    <w:p w14:paraId="60AE133F" w14:textId="77777777" w:rsidR="00D65D33" w:rsidRDefault="00D65D33" w:rsidP="00D65D33">
      <w:pPr>
        <w:spacing w:after="0" w:line="360" w:lineRule="auto"/>
        <w:jc w:val="center"/>
        <w:rPr>
          <w:rFonts w:ascii="Arial" w:hAnsi="Arial" w:cs="Arial"/>
          <w:b/>
          <w:bCs/>
          <w:sz w:val="24"/>
          <w:szCs w:val="24"/>
        </w:rPr>
      </w:pPr>
    </w:p>
    <w:p w14:paraId="25412ACE" w14:textId="400346DD" w:rsidR="007D5C8C" w:rsidRDefault="007D5C8C" w:rsidP="007D5C8C">
      <w:pPr>
        <w:spacing w:after="0" w:line="360" w:lineRule="auto"/>
        <w:jc w:val="center"/>
        <w:rPr>
          <w:rFonts w:ascii="Arial" w:hAnsi="Arial" w:cs="Arial"/>
          <w:b/>
          <w:bCs/>
          <w:sz w:val="24"/>
          <w:szCs w:val="24"/>
        </w:rPr>
      </w:pPr>
      <w:r>
        <w:rPr>
          <w:rFonts w:ascii="Arial" w:hAnsi="Arial" w:cs="Arial"/>
          <w:b/>
          <w:bCs/>
          <w:sz w:val="24"/>
          <w:szCs w:val="24"/>
        </w:rPr>
        <w:lastRenderedPageBreak/>
        <w:t>Executive summary</w:t>
      </w:r>
    </w:p>
    <w:p w14:paraId="32146AFC" w14:textId="77777777" w:rsidR="007D5C8C" w:rsidRPr="007D5C8C" w:rsidRDefault="007D5C8C" w:rsidP="007D5C8C">
      <w:pPr>
        <w:spacing w:after="0" w:line="360" w:lineRule="auto"/>
        <w:jc w:val="both"/>
        <w:rPr>
          <w:rFonts w:ascii="Arial" w:hAnsi="Arial" w:cs="Arial"/>
          <w:sz w:val="24"/>
          <w:szCs w:val="24"/>
        </w:rPr>
      </w:pPr>
    </w:p>
    <w:p w14:paraId="4B459E8C" w14:textId="77777777"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Challenged by digital disruption, surging online purchasing behaviour, AI-enabled logistics, and intensifying competition in the UK construction supply industry, CHH Conex required a change management plan that it could roll out throughout their organisation. Concerned that its traditional branch model and legacy systems could not satisfy its customers’ changing need for speed, transparency and omni channel delivery, CHH Conex’s board of directors feared becoming obsolete, and ceasing to be competitive in the long term.</w:t>
      </w:r>
    </w:p>
    <w:p w14:paraId="4C617071" w14:textId="51238F5E"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 xml:space="preserve">This report seeks to analyse the internal and external changes that have taken place and are threatening to take place, and how </w:t>
      </w:r>
      <w:r w:rsidRPr="007D5C8C">
        <w:rPr>
          <w:rFonts w:ascii="Arial" w:hAnsi="Arial" w:cs="Arial"/>
          <w:sz w:val="24"/>
          <w:szCs w:val="24"/>
        </w:rPr>
        <w:t>these impact</w:t>
      </w:r>
      <w:r w:rsidRPr="007D5C8C">
        <w:rPr>
          <w:rFonts w:ascii="Arial" w:hAnsi="Arial" w:cs="Arial"/>
          <w:sz w:val="24"/>
          <w:szCs w:val="24"/>
        </w:rPr>
        <w:t xml:space="preserve"> on CHH Conex to highlight the strategic risks that can arise in these contexts. The importance of conceptual frameworks in change management processes is noted, and some of the frameworks from this more theoretical section are brought forward to attract how they can help inform a more solidly integrated and well-considered framework for change. </w:t>
      </w:r>
    </w:p>
    <w:p w14:paraId="56EA1F89" w14:textId="6086191D"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 xml:space="preserve">The next subsection looks at how leadership and culture play a larger role in enabling change or preventing change, and how transactional leadership and an organisational culture that favours being risk </w:t>
      </w:r>
      <w:r w:rsidRPr="007D5C8C">
        <w:rPr>
          <w:rFonts w:ascii="Arial" w:hAnsi="Arial" w:cs="Arial"/>
          <w:sz w:val="24"/>
          <w:szCs w:val="24"/>
        </w:rPr>
        <w:t>adverse</w:t>
      </w:r>
      <w:r w:rsidRPr="007D5C8C">
        <w:rPr>
          <w:rFonts w:ascii="Arial" w:hAnsi="Arial" w:cs="Arial"/>
          <w:sz w:val="24"/>
          <w:szCs w:val="24"/>
        </w:rPr>
        <w:t xml:space="preserve"> stops innovation and puts brakes on being ready to change, where transformational and distributed leadership approaches fit better with digital and organisational transformation.</w:t>
      </w:r>
    </w:p>
    <w:p w14:paraId="7619788B" w14:textId="53AAB4E2"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Complete Change Management Plan setting out strategic goal, where financial investment will be prioritized, who will be communicated to, how and performance evaluation. Will enable CHH Conex to achieve sustainable growth, improved operational efficiency and enhanced customer experience in a digitally disrupted environment.</w:t>
      </w:r>
    </w:p>
    <w:p w14:paraId="70DDC484" w14:textId="77777777" w:rsidR="007D5C8C" w:rsidRDefault="007D5C8C" w:rsidP="007D5C8C">
      <w:pPr>
        <w:spacing w:after="0" w:line="360" w:lineRule="auto"/>
        <w:ind w:firstLine="720"/>
        <w:jc w:val="both"/>
        <w:rPr>
          <w:rFonts w:ascii="Arial" w:hAnsi="Arial" w:cs="Arial"/>
          <w:sz w:val="24"/>
          <w:szCs w:val="24"/>
        </w:rPr>
      </w:pPr>
    </w:p>
    <w:p w14:paraId="64D51B00" w14:textId="77777777" w:rsidR="007D5C8C" w:rsidRDefault="007D5C8C" w:rsidP="007D5C8C">
      <w:pPr>
        <w:spacing w:after="0" w:line="360" w:lineRule="auto"/>
        <w:ind w:firstLine="720"/>
        <w:jc w:val="both"/>
        <w:rPr>
          <w:rFonts w:ascii="Arial" w:hAnsi="Arial" w:cs="Arial"/>
          <w:sz w:val="24"/>
          <w:szCs w:val="24"/>
        </w:rPr>
      </w:pPr>
    </w:p>
    <w:p w14:paraId="00F7FC1C" w14:textId="77777777" w:rsidR="007D5C8C" w:rsidRDefault="007D5C8C" w:rsidP="007D5C8C">
      <w:pPr>
        <w:spacing w:after="0" w:line="360" w:lineRule="auto"/>
        <w:ind w:firstLine="720"/>
        <w:jc w:val="both"/>
        <w:rPr>
          <w:rFonts w:ascii="Arial" w:hAnsi="Arial" w:cs="Arial"/>
          <w:sz w:val="24"/>
          <w:szCs w:val="24"/>
        </w:rPr>
      </w:pPr>
    </w:p>
    <w:p w14:paraId="506083F3" w14:textId="77777777" w:rsidR="007D5C8C" w:rsidRDefault="007D5C8C" w:rsidP="007D5C8C">
      <w:pPr>
        <w:spacing w:after="0" w:line="360" w:lineRule="auto"/>
        <w:ind w:firstLine="720"/>
        <w:jc w:val="both"/>
        <w:rPr>
          <w:rFonts w:ascii="Arial" w:hAnsi="Arial" w:cs="Arial"/>
          <w:sz w:val="24"/>
          <w:szCs w:val="24"/>
        </w:rPr>
      </w:pPr>
    </w:p>
    <w:p w14:paraId="649B6A6F" w14:textId="77777777" w:rsidR="007D5C8C" w:rsidRPr="007D5C8C" w:rsidRDefault="007D5C8C" w:rsidP="007D5C8C">
      <w:pPr>
        <w:spacing w:after="0" w:line="360" w:lineRule="auto"/>
        <w:ind w:firstLine="720"/>
        <w:jc w:val="both"/>
        <w:rPr>
          <w:rFonts w:ascii="Arial" w:hAnsi="Arial" w:cs="Arial"/>
          <w:sz w:val="24"/>
          <w:szCs w:val="24"/>
        </w:rPr>
      </w:pPr>
    </w:p>
    <w:p w14:paraId="54186300" w14:textId="77777777" w:rsidR="007D5C8C" w:rsidRPr="0006765D" w:rsidRDefault="007D5C8C" w:rsidP="007D5C8C">
      <w:pPr>
        <w:spacing w:after="0" w:line="360" w:lineRule="auto"/>
        <w:jc w:val="center"/>
        <w:rPr>
          <w:rFonts w:ascii="Arial" w:hAnsi="Arial" w:cs="Arial"/>
          <w:b/>
          <w:bCs/>
          <w:sz w:val="24"/>
          <w:szCs w:val="24"/>
        </w:rPr>
      </w:pPr>
    </w:p>
    <w:sdt>
      <w:sdtPr>
        <w:rPr>
          <w:lang w:val="en-GB"/>
        </w:rPr>
        <w:id w:val="-1298448144"/>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6F2AD3C9" w14:textId="4B716C21" w:rsidR="00D65D33" w:rsidRPr="0006765D" w:rsidRDefault="00D65D33" w:rsidP="00D65D33">
          <w:pPr>
            <w:pStyle w:val="TOCHeading"/>
            <w:spacing w:before="0" w:line="360" w:lineRule="auto"/>
            <w:jc w:val="center"/>
            <w:rPr>
              <w:rFonts w:ascii="Arial" w:hAnsi="Arial" w:cs="Arial"/>
              <w:b/>
              <w:bCs/>
              <w:color w:val="000000" w:themeColor="text1"/>
              <w:lang w:val="en-GB"/>
            </w:rPr>
          </w:pPr>
          <w:r w:rsidRPr="0006765D">
            <w:rPr>
              <w:rFonts w:ascii="Arial" w:hAnsi="Arial" w:cs="Arial"/>
              <w:b/>
              <w:bCs/>
              <w:color w:val="000000" w:themeColor="text1"/>
              <w:lang w:val="en-GB"/>
            </w:rPr>
            <w:t>Contents</w:t>
          </w:r>
        </w:p>
        <w:p w14:paraId="220B8C7A" w14:textId="77777777" w:rsidR="00D65D33" w:rsidRPr="0006765D" w:rsidRDefault="00D65D33" w:rsidP="00D65D33"/>
        <w:p w14:paraId="07AEC247" w14:textId="24F0DCEA" w:rsidR="00D65D33" w:rsidRPr="0006765D" w:rsidRDefault="00D65D33">
          <w:pPr>
            <w:pStyle w:val="TOC1"/>
            <w:tabs>
              <w:tab w:val="right" w:leader="dot" w:pos="9350"/>
            </w:tabs>
            <w:rPr>
              <w:noProof/>
            </w:rPr>
          </w:pPr>
          <w:r w:rsidRPr="0006765D">
            <w:fldChar w:fldCharType="begin"/>
          </w:r>
          <w:r w:rsidRPr="0006765D">
            <w:instrText xml:space="preserve"> TOC \o "1-3" \h \z \u </w:instrText>
          </w:r>
          <w:r w:rsidRPr="0006765D">
            <w:fldChar w:fldCharType="separate"/>
          </w:r>
          <w:hyperlink w:anchor="_Toc222350044" w:history="1">
            <w:r w:rsidRPr="0006765D">
              <w:rPr>
                <w:rStyle w:val="Hyperlink"/>
                <w:rFonts w:ascii="Arial" w:hAnsi="Arial" w:cs="Arial"/>
                <w:noProof/>
              </w:rPr>
              <w:t xml:space="preserve">1. </w:t>
            </w:r>
            <w:r w:rsidRPr="0006765D">
              <w:rPr>
                <w:rStyle w:val="Hyperlink"/>
                <w:rFonts w:ascii="Arial" w:hAnsi="Arial" w:cs="Arial"/>
                <w:b/>
                <w:bCs/>
                <w:noProof/>
              </w:rPr>
              <w:t>Introduction to CHH Conex</w:t>
            </w:r>
            <w:r w:rsidRPr="0006765D">
              <w:rPr>
                <w:noProof/>
                <w:webHidden/>
              </w:rPr>
              <w:tab/>
            </w:r>
            <w:r w:rsidRPr="0006765D">
              <w:rPr>
                <w:noProof/>
                <w:webHidden/>
              </w:rPr>
              <w:fldChar w:fldCharType="begin"/>
            </w:r>
            <w:r w:rsidRPr="0006765D">
              <w:rPr>
                <w:noProof/>
                <w:webHidden/>
              </w:rPr>
              <w:instrText xml:space="preserve"> PAGEREF _Toc222350044 \h </w:instrText>
            </w:r>
            <w:r w:rsidRPr="0006765D">
              <w:rPr>
                <w:noProof/>
                <w:webHidden/>
              </w:rPr>
            </w:r>
            <w:r w:rsidRPr="0006765D">
              <w:rPr>
                <w:noProof/>
                <w:webHidden/>
              </w:rPr>
              <w:fldChar w:fldCharType="separate"/>
            </w:r>
            <w:r w:rsidR="005A699C">
              <w:rPr>
                <w:noProof/>
                <w:webHidden/>
              </w:rPr>
              <w:t>4</w:t>
            </w:r>
            <w:r w:rsidRPr="0006765D">
              <w:rPr>
                <w:noProof/>
                <w:webHidden/>
              </w:rPr>
              <w:fldChar w:fldCharType="end"/>
            </w:r>
          </w:hyperlink>
        </w:p>
        <w:p w14:paraId="565FD7B6" w14:textId="0D4D91DD" w:rsidR="00D65D33" w:rsidRPr="0006765D" w:rsidRDefault="00D65D33">
          <w:pPr>
            <w:pStyle w:val="TOC1"/>
            <w:tabs>
              <w:tab w:val="right" w:leader="dot" w:pos="9350"/>
            </w:tabs>
            <w:rPr>
              <w:noProof/>
            </w:rPr>
          </w:pPr>
          <w:hyperlink w:anchor="_Toc222350045" w:history="1">
            <w:r w:rsidRPr="0006765D">
              <w:rPr>
                <w:rStyle w:val="Hyperlink"/>
                <w:rFonts w:ascii="Arial" w:hAnsi="Arial" w:cs="Arial"/>
                <w:noProof/>
              </w:rPr>
              <w:t xml:space="preserve">2. </w:t>
            </w:r>
            <w:r w:rsidRPr="0006765D">
              <w:rPr>
                <w:rStyle w:val="Hyperlink"/>
                <w:rFonts w:ascii="Arial" w:hAnsi="Arial" w:cs="Arial"/>
                <w:b/>
                <w:bCs/>
                <w:noProof/>
              </w:rPr>
              <w:t>Analysis of Internal and External Environmental Changes</w:t>
            </w:r>
            <w:r w:rsidRPr="0006765D">
              <w:rPr>
                <w:noProof/>
                <w:webHidden/>
              </w:rPr>
              <w:tab/>
            </w:r>
            <w:r w:rsidRPr="0006765D">
              <w:rPr>
                <w:noProof/>
                <w:webHidden/>
              </w:rPr>
              <w:fldChar w:fldCharType="begin"/>
            </w:r>
            <w:r w:rsidRPr="0006765D">
              <w:rPr>
                <w:noProof/>
                <w:webHidden/>
              </w:rPr>
              <w:instrText xml:space="preserve"> PAGEREF _Toc222350045 \h </w:instrText>
            </w:r>
            <w:r w:rsidRPr="0006765D">
              <w:rPr>
                <w:noProof/>
                <w:webHidden/>
              </w:rPr>
            </w:r>
            <w:r w:rsidRPr="0006765D">
              <w:rPr>
                <w:noProof/>
                <w:webHidden/>
              </w:rPr>
              <w:fldChar w:fldCharType="separate"/>
            </w:r>
            <w:r w:rsidR="005A699C">
              <w:rPr>
                <w:noProof/>
                <w:webHidden/>
              </w:rPr>
              <w:t>5</w:t>
            </w:r>
            <w:r w:rsidRPr="0006765D">
              <w:rPr>
                <w:noProof/>
                <w:webHidden/>
              </w:rPr>
              <w:fldChar w:fldCharType="end"/>
            </w:r>
          </w:hyperlink>
        </w:p>
        <w:p w14:paraId="35E34A9E" w14:textId="2EEDD7D0" w:rsidR="00D65D33" w:rsidRPr="0006765D" w:rsidRDefault="00D65D33">
          <w:pPr>
            <w:pStyle w:val="TOC1"/>
            <w:tabs>
              <w:tab w:val="right" w:leader="dot" w:pos="9350"/>
            </w:tabs>
            <w:rPr>
              <w:noProof/>
            </w:rPr>
          </w:pPr>
          <w:hyperlink w:anchor="_Toc222350046" w:history="1">
            <w:r w:rsidRPr="0006765D">
              <w:rPr>
                <w:rStyle w:val="Hyperlink"/>
                <w:rFonts w:ascii="Arial" w:hAnsi="Arial" w:cs="Arial"/>
                <w:noProof/>
              </w:rPr>
              <w:t xml:space="preserve">3. </w:t>
            </w:r>
            <w:r w:rsidRPr="0006765D">
              <w:rPr>
                <w:rStyle w:val="Hyperlink"/>
                <w:rFonts w:ascii="Arial" w:hAnsi="Arial" w:cs="Arial"/>
                <w:b/>
                <w:bCs/>
                <w:noProof/>
              </w:rPr>
              <w:t>Evaluation of Change Management Models and Strategic Change</w:t>
            </w:r>
            <w:r w:rsidRPr="0006765D">
              <w:rPr>
                <w:noProof/>
                <w:webHidden/>
              </w:rPr>
              <w:tab/>
            </w:r>
            <w:r w:rsidRPr="0006765D">
              <w:rPr>
                <w:noProof/>
                <w:webHidden/>
              </w:rPr>
              <w:fldChar w:fldCharType="begin"/>
            </w:r>
            <w:r w:rsidRPr="0006765D">
              <w:rPr>
                <w:noProof/>
                <w:webHidden/>
              </w:rPr>
              <w:instrText xml:space="preserve"> PAGEREF _Toc222350046 \h </w:instrText>
            </w:r>
            <w:r w:rsidRPr="0006765D">
              <w:rPr>
                <w:noProof/>
                <w:webHidden/>
              </w:rPr>
            </w:r>
            <w:r w:rsidRPr="0006765D">
              <w:rPr>
                <w:noProof/>
                <w:webHidden/>
              </w:rPr>
              <w:fldChar w:fldCharType="separate"/>
            </w:r>
            <w:r w:rsidR="005A699C">
              <w:rPr>
                <w:noProof/>
                <w:webHidden/>
              </w:rPr>
              <w:t>9</w:t>
            </w:r>
            <w:r w:rsidRPr="0006765D">
              <w:rPr>
                <w:noProof/>
                <w:webHidden/>
              </w:rPr>
              <w:fldChar w:fldCharType="end"/>
            </w:r>
          </w:hyperlink>
        </w:p>
        <w:p w14:paraId="6BB25FA5" w14:textId="5948C402" w:rsidR="00D65D33" w:rsidRPr="0006765D" w:rsidRDefault="00D65D33">
          <w:pPr>
            <w:pStyle w:val="TOC1"/>
            <w:tabs>
              <w:tab w:val="right" w:leader="dot" w:pos="9350"/>
            </w:tabs>
            <w:rPr>
              <w:noProof/>
            </w:rPr>
          </w:pPr>
          <w:hyperlink w:anchor="_Toc222350047" w:history="1">
            <w:r w:rsidRPr="0006765D">
              <w:rPr>
                <w:rStyle w:val="Hyperlink"/>
                <w:rFonts w:ascii="Arial" w:hAnsi="Arial" w:cs="Arial"/>
                <w:noProof/>
              </w:rPr>
              <w:t xml:space="preserve">4. </w:t>
            </w:r>
            <w:r w:rsidRPr="0006765D">
              <w:rPr>
                <w:rStyle w:val="Hyperlink"/>
                <w:rFonts w:ascii="Arial" w:hAnsi="Arial" w:cs="Arial"/>
                <w:b/>
                <w:bCs/>
                <w:noProof/>
              </w:rPr>
              <w:t>Leadership Style and Organisational Culture in Managing Change</w:t>
            </w:r>
            <w:r w:rsidRPr="0006765D">
              <w:rPr>
                <w:noProof/>
                <w:webHidden/>
              </w:rPr>
              <w:tab/>
            </w:r>
            <w:r w:rsidRPr="0006765D">
              <w:rPr>
                <w:noProof/>
                <w:webHidden/>
              </w:rPr>
              <w:fldChar w:fldCharType="begin"/>
            </w:r>
            <w:r w:rsidRPr="0006765D">
              <w:rPr>
                <w:noProof/>
                <w:webHidden/>
              </w:rPr>
              <w:instrText xml:space="preserve"> PAGEREF _Toc222350047 \h </w:instrText>
            </w:r>
            <w:r w:rsidRPr="0006765D">
              <w:rPr>
                <w:noProof/>
                <w:webHidden/>
              </w:rPr>
            </w:r>
            <w:r w:rsidRPr="0006765D">
              <w:rPr>
                <w:noProof/>
                <w:webHidden/>
              </w:rPr>
              <w:fldChar w:fldCharType="separate"/>
            </w:r>
            <w:r w:rsidR="005A699C">
              <w:rPr>
                <w:noProof/>
                <w:webHidden/>
              </w:rPr>
              <w:t>15</w:t>
            </w:r>
            <w:r w:rsidRPr="0006765D">
              <w:rPr>
                <w:noProof/>
                <w:webHidden/>
              </w:rPr>
              <w:fldChar w:fldCharType="end"/>
            </w:r>
          </w:hyperlink>
        </w:p>
        <w:p w14:paraId="350C2B63" w14:textId="7157BEDD" w:rsidR="00D65D33" w:rsidRPr="0006765D" w:rsidRDefault="00D65D33">
          <w:pPr>
            <w:pStyle w:val="TOC1"/>
            <w:tabs>
              <w:tab w:val="right" w:leader="dot" w:pos="9350"/>
            </w:tabs>
            <w:rPr>
              <w:noProof/>
            </w:rPr>
          </w:pPr>
          <w:hyperlink w:anchor="_Toc222350048" w:history="1">
            <w:r w:rsidRPr="0006765D">
              <w:rPr>
                <w:rStyle w:val="Hyperlink"/>
                <w:rFonts w:ascii="Arial" w:hAnsi="Arial" w:cs="Arial"/>
                <w:noProof/>
              </w:rPr>
              <w:t xml:space="preserve">6. </w:t>
            </w:r>
            <w:r w:rsidRPr="0006765D">
              <w:rPr>
                <w:rStyle w:val="Hyperlink"/>
                <w:rFonts w:ascii="Arial" w:hAnsi="Arial" w:cs="Arial"/>
                <w:b/>
                <w:bCs/>
                <w:noProof/>
              </w:rPr>
              <w:t>Proposed Change Management Plan</w:t>
            </w:r>
            <w:r w:rsidRPr="0006765D">
              <w:rPr>
                <w:noProof/>
                <w:webHidden/>
              </w:rPr>
              <w:tab/>
            </w:r>
            <w:r w:rsidRPr="0006765D">
              <w:rPr>
                <w:noProof/>
                <w:webHidden/>
              </w:rPr>
              <w:fldChar w:fldCharType="begin"/>
            </w:r>
            <w:r w:rsidRPr="0006765D">
              <w:rPr>
                <w:noProof/>
                <w:webHidden/>
              </w:rPr>
              <w:instrText xml:space="preserve"> PAGEREF _Toc222350048 \h </w:instrText>
            </w:r>
            <w:r w:rsidRPr="0006765D">
              <w:rPr>
                <w:noProof/>
                <w:webHidden/>
              </w:rPr>
            </w:r>
            <w:r w:rsidRPr="0006765D">
              <w:rPr>
                <w:noProof/>
                <w:webHidden/>
              </w:rPr>
              <w:fldChar w:fldCharType="separate"/>
            </w:r>
            <w:r w:rsidR="005A699C">
              <w:rPr>
                <w:noProof/>
                <w:webHidden/>
              </w:rPr>
              <w:t>18</w:t>
            </w:r>
            <w:r w:rsidRPr="0006765D">
              <w:rPr>
                <w:noProof/>
                <w:webHidden/>
              </w:rPr>
              <w:fldChar w:fldCharType="end"/>
            </w:r>
          </w:hyperlink>
        </w:p>
        <w:p w14:paraId="2EE944EA" w14:textId="572607B2" w:rsidR="00D65D33" w:rsidRPr="0006765D" w:rsidRDefault="00D65D33">
          <w:pPr>
            <w:pStyle w:val="TOC1"/>
            <w:tabs>
              <w:tab w:val="right" w:leader="dot" w:pos="9350"/>
            </w:tabs>
            <w:rPr>
              <w:noProof/>
            </w:rPr>
          </w:pPr>
          <w:hyperlink w:anchor="_Toc222350049" w:history="1">
            <w:r w:rsidRPr="0006765D">
              <w:rPr>
                <w:rStyle w:val="Hyperlink"/>
                <w:rFonts w:ascii="Arial" w:hAnsi="Arial" w:cs="Arial"/>
                <w:noProof/>
              </w:rPr>
              <w:t xml:space="preserve">7. </w:t>
            </w:r>
            <w:r w:rsidRPr="0006765D">
              <w:rPr>
                <w:rStyle w:val="Hyperlink"/>
                <w:rFonts w:ascii="Arial" w:hAnsi="Arial" w:cs="Arial"/>
                <w:b/>
                <w:bCs/>
                <w:noProof/>
              </w:rPr>
              <w:t>Conclusion</w:t>
            </w:r>
            <w:r w:rsidRPr="0006765D">
              <w:rPr>
                <w:noProof/>
                <w:webHidden/>
              </w:rPr>
              <w:tab/>
            </w:r>
            <w:r w:rsidRPr="0006765D">
              <w:rPr>
                <w:noProof/>
                <w:webHidden/>
              </w:rPr>
              <w:fldChar w:fldCharType="begin"/>
            </w:r>
            <w:r w:rsidRPr="0006765D">
              <w:rPr>
                <w:noProof/>
                <w:webHidden/>
              </w:rPr>
              <w:instrText xml:space="preserve"> PAGEREF _Toc222350049 \h </w:instrText>
            </w:r>
            <w:r w:rsidRPr="0006765D">
              <w:rPr>
                <w:noProof/>
                <w:webHidden/>
              </w:rPr>
            </w:r>
            <w:r w:rsidRPr="0006765D">
              <w:rPr>
                <w:noProof/>
                <w:webHidden/>
              </w:rPr>
              <w:fldChar w:fldCharType="separate"/>
            </w:r>
            <w:r w:rsidR="005A699C">
              <w:rPr>
                <w:noProof/>
                <w:webHidden/>
              </w:rPr>
              <w:t>21</w:t>
            </w:r>
            <w:r w:rsidRPr="0006765D">
              <w:rPr>
                <w:noProof/>
                <w:webHidden/>
              </w:rPr>
              <w:fldChar w:fldCharType="end"/>
            </w:r>
          </w:hyperlink>
        </w:p>
        <w:p w14:paraId="46059794" w14:textId="1071A783" w:rsidR="00D65D33" w:rsidRPr="0006765D" w:rsidRDefault="00D65D33">
          <w:pPr>
            <w:pStyle w:val="TOC1"/>
            <w:tabs>
              <w:tab w:val="right" w:leader="dot" w:pos="9350"/>
            </w:tabs>
            <w:rPr>
              <w:noProof/>
            </w:rPr>
          </w:pPr>
          <w:hyperlink w:anchor="_Toc222350050" w:history="1">
            <w:r w:rsidRPr="0006765D">
              <w:rPr>
                <w:rStyle w:val="Hyperlink"/>
                <w:rFonts w:ascii="Arial" w:hAnsi="Arial" w:cs="Arial"/>
                <w:b/>
                <w:bCs/>
                <w:noProof/>
              </w:rPr>
              <w:t>References</w:t>
            </w:r>
            <w:r w:rsidRPr="0006765D">
              <w:rPr>
                <w:noProof/>
                <w:webHidden/>
              </w:rPr>
              <w:tab/>
            </w:r>
            <w:r w:rsidRPr="0006765D">
              <w:rPr>
                <w:noProof/>
                <w:webHidden/>
              </w:rPr>
              <w:fldChar w:fldCharType="begin"/>
            </w:r>
            <w:r w:rsidRPr="0006765D">
              <w:rPr>
                <w:noProof/>
                <w:webHidden/>
              </w:rPr>
              <w:instrText xml:space="preserve"> PAGEREF _Toc222350050 \h </w:instrText>
            </w:r>
            <w:r w:rsidRPr="0006765D">
              <w:rPr>
                <w:noProof/>
                <w:webHidden/>
              </w:rPr>
            </w:r>
            <w:r w:rsidRPr="0006765D">
              <w:rPr>
                <w:noProof/>
                <w:webHidden/>
              </w:rPr>
              <w:fldChar w:fldCharType="separate"/>
            </w:r>
            <w:r w:rsidR="005A699C">
              <w:rPr>
                <w:noProof/>
                <w:webHidden/>
              </w:rPr>
              <w:t>22</w:t>
            </w:r>
            <w:r w:rsidRPr="0006765D">
              <w:rPr>
                <w:noProof/>
                <w:webHidden/>
              </w:rPr>
              <w:fldChar w:fldCharType="end"/>
            </w:r>
          </w:hyperlink>
        </w:p>
        <w:p w14:paraId="590BAE9E" w14:textId="598B2E05" w:rsidR="00D65D33" w:rsidRPr="0006765D" w:rsidRDefault="00D65D33">
          <w:r w:rsidRPr="0006765D">
            <w:rPr>
              <w:b/>
              <w:bCs/>
            </w:rPr>
            <w:fldChar w:fldCharType="end"/>
          </w:r>
        </w:p>
      </w:sdtContent>
    </w:sdt>
    <w:p w14:paraId="43F725B9" w14:textId="77777777" w:rsidR="00D65D33" w:rsidRPr="0006765D" w:rsidRDefault="00D65D33" w:rsidP="00D65D33">
      <w:pPr>
        <w:spacing w:after="0" w:line="360" w:lineRule="auto"/>
        <w:jc w:val="center"/>
        <w:rPr>
          <w:rFonts w:ascii="Arial" w:hAnsi="Arial" w:cs="Arial"/>
          <w:b/>
          <w:bCs/>
          <w:sz w:val="24"/>
          <w:szCs w:val="24"/>
        </w:rPr>
      </w:pPr>
    </w:p>
    <w:p w14:paraId="46F87DCE" w14:textId="77777777" w:rsidR="00D65D33" w:rsidRPr="0006765D" w:rsidRDefault="00D65D33" w:rsidP="00D65D33">
      <w:pPr>
        <w:spacing w:after="0" w:line="360" w:lineRule="auto"/>
        <w:jc w:val="center"/>
        <w:rPr>
          <w:rFonts w:ascii="Arial" w:hAnsi="Arial" w:cs="Arial"/>
          <w:b/>
          <w:bCs/>
          <w:sz w:val="24"/>
          <w:szCs w:val="24"/>
        </w:rPr>
      </w:pPr>
    </w:p>
    <w:p w14:paraId="6568B64A" w14:textId="77777777" w:rsidR="00D65D33" w:rsidRPr="0006765D" w:rsidRDefault="00D65D33" w:rsidP="00D65D33">
      <w:pPr>
        <w:spacing w:after="0" w:line="360" w:lineRule="auto"/>
        <w:jc w:val="center"/>
        <w:rPr>
          <w:rFonts w:ascii="Arial" w:hAnsi="Arial" w:cs="Arial"/>
          <w:b/>
          <w:bCs/>
          <w:sz w:val="24"/>
          <w:szCs w:val="24"/>
        </w:rPr>
      </w:pPr>
    </w:p>
    <w:p w14:paraId="5A8B6AA5" w14:textId="77777777" w:rsidR="00D65D33" w:rsidRPr="0006765D" w:rsidRDefault="00D65D33" w:rsidP="00D65D33">
      <w:pPr>
        <w:spacing w:after="0" w:line="360" w:lineRule="auto"/>
        <w:jc w:val="center"/>
        <w:rPr>
          <w:rFonts w:ascii="Arial" w:hAnsi="Arial" w:cs="Arial"/>
          <w:b/>
          <w:bCs/>
          <w:sz w:val="24"/>
          <w:szCs w:val="24"/>
        </w:rPr>
      </w:pPr>
    </w:p>
    <w:p w14:paraId="035DCB40" w14:textId="77777777" w:rsidR="00D65D33" w:rsidRPr="0006765D" w:rsidRDefault="00D65D33" w:rsidP="00D65D33">
      <w:pPr>
        <w:spacing w:after="0" w:line="360" w:lineRule="auto"/>
        <w:jc w:val="center"/>
        <w:rPr>
          <w:rFonts w:ascii="Arial" w:hAnsi="Arial" w:cs="Arial"/>
          <w:b/>
          <w:bCs/>
          <w:sz w:val="24"/>
          <w:szCs w:val="24"/>
        </w:rPr>
      </w:pPr>
    </w:p>
    <w:p w14:paraId="4AB02221" w14:textId="77777777" w:rsidR="00D65D33" w:rsidRPr="0006765D" w:rsidRDefault="00D65D33" w:rsidP="00D65D33">
      <w:pPr>
        <w:spacing w:after="0" w:line="360" w:lineRule="auto"/>
        <w:jc w:val="center"/>
        <w:rPr>
          <w:rFonts w:ascii="Arial" w:hAnsi="Arial" w:cs="Arial"/>
          <w:b/>
          <w:bCs/>
          <w:sz w:val="24"/>
          <w:szCs w:val="24"/>
        </w:rPr>
      </w:pPr>
    </w:p>
    <w:p w14:paraId="3E152C7C" w14:textId="77777777" w:rsidR="00D65D33" w:rsidRPr="0006765D" w:rsidRDefault="00D65D33" w:rsidP="00D65D33">
      <w:pPr>
        <w:spacing w:after="0" w:line="360" w:lineRule="auto"/>
        <w:jc w:val="center"/>
        <w:rPr>
          <w:rFonts w:ascii="Arial" w:hAnsi="Arial" w:cs="Arial"/>
          <w:b/>
          <w:bCs/>
          <w:sz w:val="24"/>
          <w:szCs w:val="24"/>
        </w:rPr>
      </w:pPr>
    </w:p>
    <w:p w14:paraId="111AEBF5" w14:textId="77777777" w:rsidR="00D65D33" w:rsidRPr="0006765D" w:rsidRDefault="00D65D33" w:rsidP="00D65D33">
      <w:pPr>
        <w:spacing w:after="0" w:line="360" w:lineRule="auto"/>
        <w:jc w:val="center"/>
        <w:rPr>
          <w:rFonts w:ascii="Arial" w:hAnsi="Arial" w:cs="Arial"/>
          <w:b/>
          <w:bCs/>
          <w:sz w:val="24"/>
          <w:szCs w:val="24"/>
        </w:rPr>
      </w:pPr>
    </w:p>
    <w:p w14:paraId="7A624E58" w14:textId="77777777" w:rsidR="00D65D33" w:rsidRPr="0006765D" w:rsidRDefault="00D65D33" w:rsidP="00D65D33">
      <w:pPr>
        <w:spacing w:after="0" w:line="360" w:lineRule="auto"/>
        <w:jc w:val="center"/>
        <w:rPr>
          <w:rFonts w:ascii="Arial" w:hAnsi="Arial" w:cs="Arial"/>
          <w:b/>
          <w:bCs/>
          <w:sz w:val="24"/>
          <w:szCs w:val="24"/>
        </w:rPr>
      </w:pPr>
    </w:p>
    <w:p w14:paraId="0C50230F" w14:textId="77777777" w:rsidR="00D65D33" w:rsidRPr="0006765D" w:rsidRDefault="00D65D33" w:rsidP="00D65D33">
      <w:pPr>
        <w:spacing w:after="0" w:line="360" w:lineRule="auto"/>
        <w:jc w:val="center"/>
        <w:rPr>
          <w:rFonts w:ascii="Arial" w:hAnsi="Arial" w:cs="Arial"/>
          <w:b/>
          <w:bCs/>
          <w:sz w:val="24"/>
          <w:szCs w:val="24"/>
        </w:rPr>
      </w:pPr>
    </w:p>
    <w:p w14:paraId="0D972A99" w14:textId="77777777" w:rsidR="00D65D33" w:rsidRPr="0006765D" w:rsidRDefault="00D65D33" w:rsidP="00D65D33">
      <w:pPr>
        <w:spacing w:after="0" w:line="360" w:lineRule="auto"/>
        <w:jc w:val="center"/>
        <w:rPr>
          <w:rFonts w:ascii="Arial" w:hAnsi="Arial" w:cs="Arial"/>
          <w:b/>
          <w:bCs/>
          <w:sz w:val="24"/>
          <w:szCs w:val="24"/>
        </w:rPr>
      </w:pPr>
    </w:p>
    <w:p w14:paraId="72461228" w14:textId="77777777" w:rsidR="00D65D33" w:rsidRPr="0006765D" w:rsidRDefault="00D65D33" w:rsidP="00D65D33">
      <w:pPr>
        <w:spacing w:after="0" w:line="360" w:lineRule="auto"/>
        <w:jc w:val="center"/>
        <w:rPr>
          <w:rFonts w:ascii="Arial" w:hAnsi="Arial" w:cs="Arial"/>
          <w:b/>
          <w:bCs/>
          <w:sz w:val="24"/>
          <w:szCs w:val="24"/>
        </w:rPr>
      </w:pPr>
    </w:p>
    <w:p w14:paraId="47B5044D" w14:textId="77777777" w:rsidR="00D65D33" w:rsidRPr="0006765D" w:rsidRDefault="00D65D33" w:rsidP="00D65D33">
      <w:pPr>
        <w:spacing w:after="0" w:line="360" w:lineRule="auto"/>
        <w:jc w:val="center"/>
        <w:rPr>
          <w:rFonts w:ascii="Arial" w:hAnsi="Arial" w:cs="Arial"/>
          <w:b/>
          <w:bCs/>
          <w:sz w:val="24"/>
          <w:szCs w:val="24"/>
        </w:rPr>
      </w:pPr>
    </w:p>
    <w:p w14:paraId="6C738377" w14:textId="77777777" w:rsidR="00D65D33" w:rsidRPr="0006765D" w:rsidRDefault="00D65D33" w:rsidP="00D65D33">
      <w:pPr>
        <w:spacing w:after="0" w:line="360" w:lineRule="auto"/>
        <w:jc w:val="center"/>
        <w:rPr>
          <w:rFonts w:ascii="Arial" w:hAnsi="Arial" w:cs="Arial"/>
          <w:b/>
          <w:bCs/>
          <w:sz w:val="24"/>
          <w:szCs w:val="24"/>
        </w:rPr>
      </w:pPr>
    </w:p>
    <w:p w14:paraId="42841D81" w14:textId="77777777" w:rsidR="00D65D33" w:rsidRPr="0006765D" w:rsidRDefault="00D65D33" w:rsidP="00D65D33">
      <w:pPr>
        <w:spacing w:after="0" w:line="360" w:lineRule="auto"/>
        <w:jc w:val="center"/>
        <w:rPr>
          <w:rFonts w:ascii="Arial" w:hAnsi="Arial" w:cs="Arial"/>
          <w:b/>
          <w:bCs/>
          <w:sz w:val="24"/>
          <w:szCs w:val="24"/>
        </w:rPr>
      </w:pPr>
    </w:p>
    <w:p w14:paraId="218894CF" w14:textId="77777777" w:rsidR="00D65D33" w:rsidRPr="0006765D" w:rsidRDefault="00D65D33" w:rsidP="00D65D33">
      <w:pPr>
        <w:spacing w:after="0" w:line="360" w:lineRule="auto"/>
        <w:jc w:val="center"/>
        <w:rPr>
          <w:rFonts w:ascii="Arial" w:hAnsi="Arial" w:cs="Arial"/>
          <w:b/>
          <w:bCs/>
          <w:sz w:val="24"/>
          <w:szCs w:val="24"/>
        </w:rPr>
      </w:pPr>
    </w:p>
    <w:p w14:paraId="0E31BB01" w14:textId="77777777" w:rsidR="00D65D33" w:rsidRPr="0006765D" w:rsidRDefault="00D65D33" w:rsidP="00D65D33">
      <w:pPr>
        <w:spacing w:after="0" w:line="360" w:lineRule="auto"/>
        <w:jc w:val="center"/>
        <w:rPr>
          <w:rFonts w:ascii="Arial" w:hAnsi="Arial" w:cs="Arial"/>
          <w:b/>
          <w:bCs/>
          <w:sz w:val="24"/>
          <w:szCs w:val="24"/>
        </w:rPr>
      </w:pPr>
    </w:p>
    <w:p w14:paraId="46617C25" w14:textId="77777777" w:rsidR="00D65D33" w:rsidRPr="0006765D" w:rsidRDefault="00D65D33" w:rsidP="00D65D33">
      <w:pPr>
        <w:spacing w:after="0" w:line="360" w:lineRule="auto"/>
        <w:jc w:val="center"/>
        <w:rPr>
          <w:rFonts w:ascii="Arial" w:hAnsi="Arial" w:cs="Arial"/>
          <w:b/>
          <w:bCs/>
          <w:sz w:val="24"/>
          <w:szCs w:val="24"/>
        </w:rPr>
      </w:pPr>
    </w:p>
    <w:p w14:paraId="1D05EF15" w14:textId="77777777" w:rsidR="00D65D33" w:rsidRPr="0006765D" w:rsidRDefault="00D65D33" w:rsidP="00D65D33">
      <w:pPr>
        <w:spacing w:after="0" w:line="360" w:lineRule="auto"/>
        <w:jc w:val="center"/>
        <w:rPr>
          <w:rFonts w:ascii="Arial" w:hAnsi="Arial" w:cs="Arial"/>
          <w:b/>
          <w:bCs/>
          <w:sz w:val="24"/>
          <w:szCs w:val="24"/>
        </w:rPr>
      </w:pPr>
    </w:p>
    <w:p w14:paraId="095096B6" w14:textId="77777777" w:rsidR="007D5C8C" w:rsidRDefault="007D5C8C" w:rsidP="00D65D33">
      <w:pPr>
        <w:pStyle w:val="Heading1"/>
        <w:spacing w:before="0" w:after="0" w:line="360" w:lineRule="auto"/>
        <w:jc w:val="center"/>
        <w:rPr>
          <w:rFonts w:ascii="Arial" w:hAnsi="Arial" w:cs="Arial"/>
          <w:b/>
          <w:bCs/>
          <w:color w:val="000000" w:themeColor="text1"/>
          <w:sz w:val="24"/>
          <w:szCs w:val="24"/>
        </w:rPr>
        <w:sectPr w:rsidR="007D5C8C">
          <w:footerReference w:type="default" r:id="rId6"/>
          <w:pgSz w:w="12240" w:h="15840"/>
          <w:pgMar w:top="1440" w:right="1440" w:bottom="1440" w:left="1440" w:header="720" w:footer="720" w:gutter="0"/>
          <w:cols w:space="720"/>
          <w:docGrid w:linePitch="360"/>
        </w:sectPr>
      </w:pPr>
      <w:bookmarkStart w:id="0" w:name="_Toc222350044"/>
    </w:p>
    <w:p w14:paraId="75B4C644" w14:textId="42A08523" w:rsidR="00D65D33" w:rsidRPr="0006765D" w:rsidRDefault="00D65D33" w:rsidP="00D65D33">
      <w:pPr>
        <w:pStyle w:val="Heading1"/>
        <w:spacing w:before="0" w:after="0" w:line="360" w:lineRule="auto"/>
        <w:jc w:val="center"/>
        <w:rPr>
          <w:rFonts w:ascii="Arial" w:hAnsi="Arial" w:cs="Arial"/>
          <w:b/>
          <w:bCs/>
          <w:color w:val="000000" w:themeColor="text1"/>
          <w:sz w:val="24"/>
          <w:szCs w:val="24"/>
        </w:rPr>
      </w:pPr>
      <w:r w:rsidRPr="0006765D">
        <w:rPr>
          <w:rFonts w:ascii="Arial" w:hAnsi="Arial" w:cs="Arial"/>
          <w:b/>
          <w:bCs/>
          <w:color w:val="000000" w:themeColor="text1"/>
          <w:sz w:val="24"/>
          <w:szCs w:val="24"/>
        </w:rPr>
        <w:lastRenderedPageBreak/>
        <w:t xml:space="preserve">1. </w:t>
      </w:r>
      <w:r w:rsidRPr="00D65D33">
        <w:rPr>
          <w:rFonts w:ascii="Arial" w:hAnsi="Arial" w:cs="Arial"/>
          <w:b/>
          <w:bCs/>
          <w:color w:val="000000" w:themeColor="text1"/>
          <w:sz w:val="24"/>
          <w:szCs w:val="24"/>
        </w:rPr>
        <w:t>Introduction to CHH Conex</w:t>
      </w:r>
      <w:bookmarkEnd w:id="0"/>
    </w:p>
    <w:p w14:paraId="3183A93F" w14:textId="77777777" w:rsidR="00D65D33" w:rsidRDefault="00D65D33" w:rsidP="00D65D33">
      <w:pPr>
        <w:rPr>
          <w:b/>
          <w:bCs/>
        </w:rPr>
      </w:pPr>
    </w:p>
    <w:p w14:paraId="268D71D6" w14:textId="01157589"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 xml:space="preserve">CHH Conex is a medium-sized construction and building materials supply firm operating in the UK construction and home improvements sector. It supplies materials as well as some fixtures and fittings to construction contractors and retail customers alike. It sits within that space between traditional </w:t>
      </w:r>
      <w:r w:rsidRPr="007D5C8C">
        <w:rPr>
          <w:rFonts w:ascii="Arial" w:hAnsi="Arial" w:cs="Arial"/>
          <w:sz w:val="24"/>
          <w:szCs w:val="24"/>
        </w:rPr>
        <w:t>builders’</w:t>
      </w:r>
      <w:r w:rsidRPr="007D5C8C">
        <w:rPr>
          <w:rFonts w:ascii="Arial" w:hAnsi="Arial" w:cs="Arial"/>
          <w:sz w:val="24"/>
          <w:szCs w:val="24"/>
        </w:rPr>
        <w:t xml:space="preserve"> merchants and more modern omnichannel suppliers to the construction trades and DIY. It operates within a fragmented and cutthroat market and is facing digital disruption and online competition as well as the same pressures on speed and transparency and quality of service (Christopher, 2016; Slack, Brandon-Jones </w:t>
      </w:r>
      <w:r>
        <w:rPr>
          <w:rFonts w:ascii="Arial" w:hAnsi="Arial" w:cs="Arial"/>
          <w:sz w:val="24"/>
          <w:szCs w:val="24"/>
        </w:rPr>
        <w:t>and</w:t>
      </w:r>
      <w:r w:rsidRPr="007D5C8C">
        <w:rPr>
          <w:rFonts w:ascii="Arial" w:hAnsi="Arial" w:cs="Arial"/>
          <w:sz w:val="24"/>
          <w:szCs w:val="24"/>
        </w:rPr>
        <w:t xml:space="preserve"> Johnston, 2019).</w:t>
      </w:r>
    </w:p>
    <w:p w14:paraId="1E12B044" w14:textId="02201053"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 xml:space="preserve">The UK construction supply chain has been buffeted by labour shortages, cost inflation, sustainability regulation and technological change (RICS, 2022). Digital platforms, e-procurement systems and AI-enabled logistics tools are changing how customers search for products, order goods and trace deliveries. (Vial, 2019; Ivanov, Tsipoulanidis </w:t>
      </w:r>
      <w:r>
        <w:rPr>
          <w:rFonts w:ascii="Arial" w:hAnsi="Arial" w:cs="Arial"/>
          <w:sz w:val="24"/>
          <w:szCs w:val="24"/>
        </w:rPr>
        <w:t>and</w:t>
      </w:r>
      <w:r w:rsidRPr="007D5C8C">
        <w:rPr>
          <w:rFonts w:ascii="Arial" w:hAnsi="Arial" w:cs="Arial"/>
          <w:sz w:val="24"/>
          <w:szCs w:val="24"/>
        </w:rPr>
        <w:t xml:space="preserve"> Schönberger, 2019) For CHH Conex, this presented a strategic dilemma of modernising its legacy systems and process to improve efficiency and realise the omnichannel promise while also maintaining a steadfast service orientation. Branch-based sales teams are increasingly complemented or displaced by online ordering tools, presaging radical organisational and cultural change (Chaffey </w:t>
      </w:r>
      <w:r>
        <w:rPr>
          <w:rFonts w:ascii="Arial" w:hAnsi="Arial" w:cs="Arial"/>
          <w:sz w:val="24"/>
          <w:szCs w:val="24"/>
        </w:rPr>
        <w:t>and</w:t>
      </w:r>
      <w:r w:rsidRPr="007D5C8C">
        <w:rPr>
          <w:rFonts w:ascii="Arial" w:hAnsi="Arial" w:cs="Arial"/>
          <w:sz w:val="24"/>
          <w:szCs w:val="24"/>
        </w:rPr>
        <w:t xml:space="preserve"> Ellis-Chadwick, 2019).</w:t>
      </w:r>
    </w:p>
    <w:p w14:paraId="09D32E0A" w14:textId="77777777"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 xml:space="preserve">Further, competitive pressure from new multinational suppliers as well as a more “digitally native” set of competitors is depressing price and increasing the likelihood of customers switching suppliers. Customers also now expect some visibility of stock at all times and want fast delivery as well as personalised service which means CHH Conex has to invest more heavily in digital (Kotler, Kartajaya </w:t>
      </w:r>
      <w:r>
        <w:rPr>
          <w:rFonts w:ascii="Arial" w:hAnsi="Arial" w:cs="Arial"/>
          <w:sz w:val="24"/>
          <w:szCs w:val="24"/>
        </w:rPr>
        <w:t>and</w:t>
      </w:r>
      <w:r w:rsidRPr="007D5C8C">
        <w:rPr>
          <w:rFonts w:ascii="Arial" w:hAnsi="Arial" w:cs="Arial"/>
          <w:sz w:val="24"/>
          <w:szCs w:val="24"/>
        </w:rPr>
        <w:t xml:space="preserve"> Setiawan, 2021</w:t>
      </w:r>
      <w:r>
        <w:rPr>
          <w:rFonts w:ascii="Arial" w:hAnsi="Arial" w:cs="Arial"/>
          <w:sz w:val="24"/>
          <w:szCs w:val="24"/>
        </w:rPr>
        <w:t>).</w:t>
      </w:r>
    </w:p>
    <w:p w14:paraId="31F917ED" w14:textId="7F84A6D4" w:rsidR="00DC11C9" w:rsidRPr="007D5C8C" w:rsidRDefault="007D5C8C" w:rsidP="007D5C8C">
      <w:pPr>
        <w:spacing w:after="0" w:line="360" w:lineRule="auto"/>
        <w:ind w:firstLine="720"/>
        <w:jc w:val="both"/>
        <w:rPr>
          <w:rFonts w:ascii="Arial" w:hAnsi="Arial" w:cs="Arial"/>
          <w:sz w:val="24"/>
          <w:szCs w:val="24"/>
        </w:rPr>
      </w:pPr>
      <w:r>
        <w:rPr>
          <w:rFonts w:ascii="Arial" w:hAnsi="Arial" w:cs="Arial"/>
          <w:sz w:val="24"/>
          <w:szCs w:val="24"/>
        </w:rPr>
        <w:t>The</w:t>
      </w:r>
      <w:r w:rsidRPr="007D5C8C">
        <w:rPr>
          <w:rFonts w:ascii="Arial" w:hAnsi="Arial" w:cs="Arial"/>
          <w:sz w:val="24"/>
          <w:szCs w:val="24"/>
        </w:rPr>
        <w:t xml:space="preserve"> Change Manager construct</w:t>
      </w:r>
      <w:r>
        <w:rPr>
          <w:rFonts w:ascii="Arial" w:hAnsi="Arial" w:cs="Arial"/>
          <w:sz w:val="24"/>
          <w:szCs w:val="24"/>
        </w:rPr>
        <w:t>s</w:t>
      </w:r>
      <w:r w:rsidRPr="007D5C8C">
        <w:rPr>
          <w:rFonts w:ascii="Arial" w:hAnsi="Arial" w:cs="Arial"/>
          <w:sz w:val="24"/>
          <w:szCs w:val="24"/>
        </w:rPr>
        <w:t xml:space="preserve"> a deliberate overt cycling process plan for how CHH Conex will make planned and deliberate digital triggers in this form of environment to keep organisational capabilities, leadership practices and ultimately culture aligned with being the kind of company that is best in the world over time in order to afford the best job and the best day for its people in the long haul.</w:t>
      </w:r>
    </w:p>
    <w:p w14:paraId="38B86B50" w14:textId="77777777" w:rsidR="00D65D33" w:rsidRPr="00D65D33" w:rsidRDefault="00D65D33" w:rsidP="00D65D33">
      <w:pPr>
        <w:rPr>
          <w:b/>
          <w:bCs/>
        </w:rPr>
      </w:pPr>
    </w:p>
    <w:p w14:paraId="332708A7" w14:textId="20D3270D" w:rsidR="00D65D33" w:rsidRPr="0006765D" w:rsidRDefault="00D65D33" w:rsidP="00D65D33">
      <w:pPr>
        <w:pStyle w:val="Heading1"/>
        <w:spacing w:before="0" w:after="0" w:line="360" w:lineRule="auto"/>
        <w:jc w:val="center"/>
        <w:rPr>
          <w:rFonts w:ascii="Arial" w:hAnsi="Arial" w:cs="Arial"/>
          <w:b/>
          <w:bCs/>
          <w:color w:val="000000" w:themeColor="text1"/>
          <w:sz w:val="24"/>
          <w:szCs w:val="24"/>
        </w:rPr>
      </w:pPr>
      <w:bookmarkStart w:id="1" w:name="_Toc222350045"/>
      <w:r w:rsidRPr="0006765D">
        <w:rPr>
          <w:rFonts w:ascii="Arial" w:hAnsi="Arial" w:cs="Arial"/>
          <w:b/>
          <w:bCs/>
          <w:color w:val="000000" w:themeColor="text1"/>
          <w:sz w:val="24"/>
          <w:szCs w:val="24"/>
        </w:rPr>
        <w:lastRenderedPageBreak/>
        <w:t xml:space="preserve">2. </w:t>
      </w:r>
      <w:r w:rsidRPr="00D65D33">
        <w:rPr>
          <w:rFonts w:ascii="Arial" w:hAnsi="Arial" w:cs="Arial"/>
          <w:b/>
          <w:bCs/>
          <w:color w:val="000000" w:themeColor="text1"/>
          <w:sz w:val="24"/>
          <w:szCs w:val="24"/>
        </w:rPr>
        <w:t>Analysis of Internal and External Environmental Changes</w:t>
      </w:r>
      <w:bookmarkEnd w:id="1"/>
    </w:p>
    <w:p w14:paraId="2590C9F1" w14:textId="77777777" w:rsidR="00D65D33" w:rsidRDefault="00D65D33" w:rsidP="00D65D33">
      <w:pPr>
        <w:rPr>
          <w:b/>
          <w:bCs/>
        </w:rPr>
      </w:pPr>
    </w:p>
    <w:p w14:paraId="5B5D2BD0" w14:textId="2ADC3B05"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For CHH Conex, the last ten years have brought reality to bear in an increasingly volatile and digitally disrupted landscape. The UK construction industry has faced a fluctuating demand environment affected by economic uncertainty in the wake of Brexit and consequent supply chain disruption, ongoing worries regarding a labour shortage and inflationary pressures on materials and logistics (Christopher, 2016; Slack, Brandon-Jones </w:t>
      </w:r>
      <w:r>
        <w:rPr>
          <w:rFonts w:ascii="Arial" w:hAnsi="Arial" w:cs="Arial"/>
          <w:sz w:val="24"/>
          <w:szCs w:val="24"/>
        </w:rPr>
        <w:t>and</w:t>
      </w:r>
      <w:r w:rsidRPr="00DC11C9">
        <w:rPr>
          <w:rFonts w:ascii="Arial" w:hAnsi="Arial" w:cs="Arial"/>
          <w:sz w:val="24"/>
          <w:szCs w:val="24"/>
        </w:rPr>
        <w:t xml:space="preserve"> Johnston, 2019). These macro-environmental variables have impacted CHH Conex’s operational performance, cost base and strategic focus. With a traditional business model relying on physical branches and sales via personal relationships, the decline in footfall and customer migration to alternative purchasing patterns via online procurement platforms mirrors wider B2B and B2C e-commerce trends (Chaffey </w:t>
      </w:r>
      <w:r>
        <w:rPr>
          <w:rFonts w:ascii="Arial" w:hAnsi="Arial" w:cs="Arial"/>
          <w:sz w:val="24"/>
          <w:szCs w:val="24"/>
        </w:rPr>
        <w:t>and</w:t>
      </w:r>
      <w:r w:rsidRPr="00DC11C9">
        <w:rPr>
          <w:rFonts w:ascii="Arial" w:hAnsi="Arial" w:cs="Arial"/>
          <w:sz w:val="24"/>
          <w:szCs w:val="24"/>
        </w:rPr>
        <w:t xml:space="preserve"> Ellis-Chadwick, 2019).</w:t>
      </w:r>
    </w:p>
    <w:p w14:paraId="0D94564D"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The impact of digital disruption on customer expectations in construction materials has meant that online ordering, real-time stock status, multiple delivery options and transparent pricing have become the norms. Digital native competitors along with large multinational do-it-yourself suppliers have heavily invested in e-commerce platforms, data analytics, and automated logistics systems, enabling faster fulfilment and enhanced customer experience (Kotler, Kartajaya </w:t>
      </w:r>
      <w:r>
        <w:rPr>
          <w:rFonts w:ascii="Arial" w:hAnsi="Arial" w:cs="Arial"/>
          <w:sz w:val="24"/>
          <w:szCs w:val="24"/>
        </w:rPr>
        <w:t>and</w:t>
      </w:r>
      <w:r w:rsidRPr="00DC11C9">
        <w:rPr>
          <w:rFonts w:ascii="Arial" w:hAnsi="Arial" w:cs="Arial"/>
          <w:sz w:val="24"/>
          <w:szCs w:val="24"/>
        </w:rPr>
        <w:t xml:space="preserve"> Setiawan, 2021; Richards, 2020). Legacy IT systems and siloed data architecture has constrained CHH Conex’s ability to provide comparable digital offerings resulting in a strategic gap between customer expectations and the organisation's operational capabilities. This has led to the loss of sales, longer order processing cycles, and lower customer retention in a challenging market environment (Vial, 2019).</w:t>
      </w:r>
    </w:p>
    <w:p w14:paraId="68EC4AF4"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Likewise, the boom in ecommerce is changing customer purchasing behaviour elsewhere in the economy. The construction supply sector, often transactionally reliant on people and branches, expects its customers to do more digitally and to move seamlessly across digital and physical channels, ordering products at a time and in a way that suits them, though oftentimes being limited by the brand in terms of digital options available and the ability to buy with confidence (Chaffey </w:t>
      </w:r>
      <w:r>
        <w:rPr>
          <w:rFonts w:ascii="Arial" w:hAnsi="Arial" w:cs="Arial"/>
          <w:sz w:val="24"/>
          <w:szCs w:val="24"/>
        </w:rPr>
        <w:t>and</w:t>
      </w:r>
      <w:r w:rsidRPr="00DC11C9">
        <w:rPr>
          <w:rFonts w:ascii="Arial" w:hAnsi="Arial" w:cs="Arial"/>
          <w:sz w:val="24"/>
          <w:szCs w:val="24"/>
        </w:rPr>
        <w:t xml:space="preserve"> Ellis-Chadwick, 2019). While demand for smaller construction scale projects, like small contractors and trade </w:t>
      </w:r>
      <w:r w:rsidRPr="00DC11C9">
        <w:rPr>
          <w:rFonts w:ascii="Arial" w:hAnsi="Arial" w:cs="Arial"/>
          <w:sz w:val="24"/>
          <w:szCs w:val="24"/>
        </w:rPr>
        <w:lastRenderedPageBreak/>
        <w:t>customers expecting fast and more convenient supply has transformed how customers want to behave, CHH Conex's slow arrival into an omnichannel world limits its ability to grow digitally-enabled demand particularly amongst small contractors, as well as making the experience on the equivalent cheap stock supply more frustrating for customers (Slack et al., 2019).</w:t>
      </w:r>
    </w:p>
    <w:p w14:paraId="5A39D444" w14:textId="77777777" w:rsidR="005A699C"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AI and data-driven techniques are likewise impacting the realms of logistics, demand forecasting and inventory within the construction supply chain. Ai-enabled forecasting tools and predictive analytics enable more effective demand planning, minimising stockouts and more efficient warehouse management (Ivanov, Tsipoulanidis </w:t>
      </w:r>
      <w:r>
        <w:rPr>
          <w:rFonts w:ascii="Arial" w:hAnsi="Arial" w:cs="Arial"/>
          <w:sz w:val="24"/>
          <w:szCs w:val="24"/>
        </w:rPr>
        <w:t>and</w:t>
      </w:r>
      <w:r w:rsidRPr="00DC11C9">
        <w:rPr>
          <w:rFonts w:ascii="Arial" w:hAnsi="Arial" w:cs="Arial"/>
          <w:sz w:val="24"/>
          <w:szCs w:val="24"/>
        </w:rPr>
        <w:t xml:space="preserve"> Schönberger, 2019; Waller </w:t>
      </w:r>
      <w:r>
        <w:rPr>
          <w:rFonts w:ascii="Arial" w:hAnsi="Arial" w:cs="Arial"/>
          <w:sz w:val="24"/>
          <w:szCs w:val="24"/>
        </w:rPr>
        <w:t>and</w:t>
      </w:r>
      <w:r w:rsidRPr="00DC11C9">
        <w:rPr>
          <w:rFonts w:ascii="Arial" w:hAnsi="Arial" w:cs="Arial"/>
          <w:sz w:val="24"/>
          <w:szCs w:val="24"/>
        </w:rPr>
        <w:t xml:space="preserve"> Fawcett, 2014). “AI,” advocates state, “represents the future of effective and intelligent logistics operations,” and its absence “can have dire consequences for businesses in an ever-competitive marketplace. </w:t>
      </w:r>
    </w:p>
    <w:p w14:paraId="44F35F9A" w14:textId="542994AF"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But CHH Conex has struggled to embrace these technologies, such as those invented by Locus just five years ago. Limited digital maturity, gaps in skills and resourced talent, and resistance to change from operational staff have meant a continued reliance on manual forecasting and reactive inventory management, ramping up working capital and hindering operational agility” (Richards, 2020).</w:t>
      </w:r>
    </w:p>
    <w:p w14:paraId="1B8BDA3C"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Internally, CHH Conex has exhibited signs of a departmental silo structure, limited collaboration, and a historic risk-adverse culture. These cultural attributes can inhibit innovation and slow the pace of digital transformation, with employees viewing technological change as disturbing and, possibly, threatening (Alvesson &amp; Sveningsson, 2015; Vial, 2019). Leadership has historically favoured cost control to capability development, limiting investment in digital skills, process redesign, and change-management infrastructure. This “short-termism” restricts the ability of the organisational to react strategically to environmental change, and enhances pressures on performance in </w:t>
      </w:r>
      <w:r w:rsidRPr="00DC11C9">
        <w:rPr>
          <w:rFonts w:ascii="Arial" w:hAnsi="Arial" w:cs="Arial"/>
          <w:sz w:val="24"/>
          <w:szCs w:val="24"/>
        </w:rPr>
        <w:t>a</w:t>
      </w:r>
      <w:r w:rsidRPr="00DC11C9">
        <w:rPr>
          <w:rFonts w:ascii="Arial" w:hAnsi="Arial" w:cs="Arial"/>
          <w:sz w:val="24"/>
          <w:szCs w:val="24"/>
        </w:rPr>
        <w:t xml:space="preserve"> moving </w:t>
      </w:r>
      <w:r w:rsidRPr="00DC11C9">
        <w:rPr>
          <w:rFonts w:ascii="Arial" w:hAnsi="Arial" w:cs="Arial"/>
          <w:sz w:val="24"/>
          <w:szCs w:val="24"/>
        </w:rPr>
        <w:t>impenitently</w:t>
      </w:r>
      <w:r w:rsidRPr="00DC11C9">
        <w:rPr>
          <w:rFonts w:ascii="Arial" w:hAnsi="Arial" w:cs="Arial"/>
          <w:sz w:val="24"/>
          <w:szCs w:val="24"/>
        </w:rPr>
        <w:t xml:space="preserve"> competitive environment (Kotter, 2012).</w:t>
      </w:r>
    </w:p>
    <w:p w14:paraId="3B72AFE4"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From a strategic standpoint, CHH Conex has found itself under siege from larger national builders’ merchants and international suppliers with advanced, digital-mature backers. Focusing on user interfaces, aggregate data, economies of scale, access to automated distribution centres and websites, global supplier management systems, and building customer relationship deal farms, these rivals have the capacity to offer better </w:t>
      </w:r>
      <w:r w:rsidRPr="00DC11C9">
        <w:rPr>
          <w:rFonts w:ascii="Arial" w:hAnsi="Arial" w:cs="Arial"/>
          <w:sz w:val="24"/>
          <w:szCs w:val="24"/>
        </w:rPr>
        <w:lastRenderedPageBreak/>
        <w:t xml:space="preserve">service levels and at lower costs (Bowersox, Closs </w:t>
      </w:r>
      <w:r>
        <w:rPr>
          <w:rFonts w:ascii="Arial" w:hAnsi="Arial" w:cs="Arial"/>
          <w:sz w:val="24"/>
          <w:szCs w:val="24"/>
        </w:rPr>
        <w:t>and</w:t>
      </w:r>
      <w:r w:rsidRPr="00DC11C9">
        <w:rPr>
          <w:rFonts w:ascii="Arial" w:hAnsi="Arial" w:cs="Arial"/>
          <w:sz w:val="24"/>
          <w:szCs w:val="24"/>
        </w:rPr>
        <w:t xml:space="preserve"> Cooper, 2019; Christopher, 2016). Compared to these players, CHH Conex’s smaller scale, shallower pockets, and fragmented systems lower its dependent bargaining with suppliers and increasing streams of low-cost competitor attacks on its pricing = resulting in eroded profit margins, and putting pressure on the board to rethink its strategy and operating model.</w:t>
      </w:r>
    </w:p>
    <w:p w14:paraId="38C23246"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The COVID-19 pandemic acted as a catalyst for further accelerating digital adoption and remote procurement across the construction sector, surfacing the importance of digital resilience and supply chain visibility (Gove et al., 2021). Firms with higher levels of digitalisation were better able to adapt to disruption, re-direct source chains, and communicate with customers (Ivanov et al., 2019). CHH Conex’s limited digital offering creaked during operational disruption, illuminating weaknesses in information flow, inventory visibility, and customer communication. This experience heightened concern at board level over the organisation’s future competitiveness and resilience.</w:t>
      </w:r>
    </w:p>
    <w:p w14:paraId="4D8EA702"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Environmental and sustainability pressures have similarly altered customer expectations and industry standards in the construction trade. Clients frequently demand sustainable sourcing, traceable supply chains, and environmentally conscious logistics practices (Kotler et al., 2021). CHH Conex has faced difficulties in aligning sustainability requirements into its operations as a result of a lack of awareness through being unable to access the necessary data. The lack of integrated, digital systems has hindered its ability to monitor carbon emissions, supplier compliance, and sustainability performance, resulting in challenges meeting regulatory and market expectations (Vial, 2019; Richards, 2020).</w:t>
      </w:r>
    </w:p>
    <w:p w14:paraId="1521D95F" w14:textId="394EFE9D" w:rsidR="00D65D33" w:rsidRDefault="00DC11C9" w:rsidP="007D5C8C">
      <w:pPr>
        <w:spacing w:after="0" w:line="360" w:lineRule="auto"/>
        <w:ind w:firstLine="720"/>
        <w:jc w:val="both"/>
        <w:rPr>
          <w:rFonts w:ascii="Arial" w:hAnsi="Arial" w:cs="Arial"/>
          <w:sz w:val="24"/>
          <w:szCs w:val="24"/>
        </w:rPr>
      </w:pPr>
      <w:r w:rsidRPr="00DC11C9">
        <w:rPr>
          <w:rFonts w:ascii="Arial" w:hAnsi="Arial" w:cs="Arial"/>
          <w:sz w:val="24"/>
          <w:szCs w:val="24"/>
        </w:rPr>
        <w:t>Together these changes in the internal and external environment have made a good case for change at CHH Conex. The digital disruption, online shopping, AI-enabled logistics, competition and cultural inertia have all conspired to threaten the organisation’s productivity, efficiency, customer service and ultimately long-term competitiveness. The board’s worry reveals that they believe that a quicker implementation of existing changes is not the answer, but rather a full-blown strategic change management programme is needed to modernise its digital capabilities, restructure processes and realign culture with its vision for a successful future (Kotter, 2012; Slack et al., 2019).</w:t>
      </w:r>
    </w:p>
    <w:p w14:paraId="1ACFB274" w14:textId="77777777"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lastRenderedPageBreak/>
        <w:t>Alongside technology and competition, regulation and workforce issues are amplifying demand-side pressures for change at CHH Conex. Regulatory requirements for sustainability, carbon reporting, and responsible sourcing are creating ripples through procurement and logistics rules in the construction supply chain. More organisations are being asked to shout about their supply chains and be dumber with all that claptrap, but that means increasing demand for visibility of data and systematised reporting (Teece, 2018; Vial, 2019). CHH Conex has yet to pull itself together in terms of monitoring sustainability performance, it trails regulation and weakens its offer to environmentally-minded buyers.</w:t>
      </w:r>
    </w:p>
    <w:p w14:paraId="025C4EAA" w14:textId="2D3B3F72" w:rsidR="007D5C8C" w:rsidRDefault="007D5C8C" w:rsidP="007D5C8C">
      <w:pPr>
        <w:spacing w:after="0" w:line="360" w:lineRule="auto"/>
        <w:ind w:firstLine="720"/>
        <w:jc w:val="both"/>
        <w:rPr>
          <w:rFonts w:ascii="Arial" w:hAnsi="Arial" w:cs="Arial"/>
          <w:sz w:val="24"/>
          <w:szCs w:val="24"/>
        </w:rPr>
      </w:pPr>
      <w:r w:rsidRPr="007D5C8C">
        <w:rPr>
          <w:rFonts w:ascii="Arial" w:hAnsi="Arial" w:cs="Arial"/>
          <w:sz w:val="24"/>
          <w:szCs w:val="24"/>
        </w:rPr>
        <w:t xml:space="preserve">Workforce dynamics represent a further internal risk and barrier, with a shortage of staff with sufficient digital skills, data analysis, and supply chain optimisation capabilities jeopardising CHH Conex’s ability to drive and successfully exploit technological change. In parallel, resistance to digital change from older employees reflects not only job security attitudes but skills fear - inhibiting the </w:t>
      </w:r>
      <w:r w:rsidRPr="007D5C8C">
        <w:rPr>
          <w:rFonts w:ascii="Arial" w:hAnsi="Arial" w:cs="Arial"/>
          <w:sz w:val="24"/>
          <w:szCs w:val="24"/>
        </w:rPr>
        <w:t>take-up</w:t>
      </w:r>
      <w:r w:rsidRPr="007D5C8C">
        <w:rPr>
          <w:rFonts w:ascii="Arial" w:hAnsi="Arial" w:cs="Arial"/>
          <w:sz w:val="24"/>
          <w:szCs w:val="24"/>
        </w:rPr>
        <w:t xml:space="preserve"> of new digital tools and workflows (Burnes, 2017). The implication here is further that workforce development and change readiness considerations should be built into the strategic transformation programme. CHH Conex cannot afford to simply ignore these staff issues and run the risk of rupturing the long-term success of the digital transformation and repositioning strategy.</w:t>
      </w:r>
    </w:p>
    <w:p w14:paraId="237E7294" w14:textId="77777777" w:rsidR="007D5C8C" w:rsidRDefault="007D5C8C" w:rsidP="007D5C8C">
      <w:pPr>
        <w:spacing w:after="0" w:line="360" w:lineRule="auto"/>
        <w:ind w:firstLine="720"/>
        <w:jc w:val="both"/>
        <w:rPr>
          <w:rFonts w:ascii="Arial" w:hAnsi="Arial" w:cs="Arial"/>
          <w:sz w:val="24"/>
          <w:szCs w:val="24"/>
        </w:rPr>
      </w:pPr>
    </w:p>
    <w:p w14:paraId="6DE9550B" w14:textId="77777777" w:rsidR="007D5C8C" w:rsidRDefault="007D5C8C" w:rsidP="007D5C8C">
      <w:pPr>
        <w:spacing w:after="0" w:line="360" w:lineRule="auto"/>
        <w:ind w:firstLine="720"/>
        <w:jc w:val="both"/>
        <w:rPr>
          <w:rFonts w:ascii="Arial" w:hAnsi="Arial" w:cs="Arial"/>
          <w:sz w:val="24"/>
          <w:szCs w:val="24"/>
        </w:rPr>
      </w:pPr>
    </w:p>
    <w:p w14:paraId="35579214" w14:textId="77777777" w:rsidR="007D5C8C" w:rsidRDefault="007D5C8C" w:rsidP="007D5C8C">
      <w:pPr>
        <w:spacing w:after="0" w:line="360" w:lineRule="auto"/>
        <w:ind w:firstLine="720"/>
        <w:jc w:val="both"/>
        <w:rPr>
          <w:rFonts w:ascii="Arial" w:hAnsi="Arial" w:cs="Arial"/>
          <w:sz w:val="24"/>
          <w:szCs w:val="24"/>
        </w:rPr>
      </w:pPr>
    </w:p>
    <w:p w14:paraId="67D0DAA9" w14:textId="77777777" w:rsidR="007D5C8C" w:rsidRDefault="007D5C8C" w:rsidP="007D5C8C">
      <w:pPr>
        <w:spacing w:after="0" w:line="360" w:lineRule="auto"/>
        <w:ind w:firstLine="720"/>
        <w:jc w:val="both"/>
        <w:rPr>
          <w:rFonts w:ascii="Arial" w:hAnsi="Arial" w:cs="Arial"/>
          <w:sz w:val="24"/>
          <w:szCs w:val="24"/>
        </w:rPr>
      </w:pPr>
    </w:p>
    <w:p w14:paraId="02D5ABE7" w14:textId="77777777" w:rsidR="007D5C8C" w:rsidRDefault="007D5C8C" w:rsidP="007D5C8C">
      <w:pPr>
        <w:spacing w:after="0" w:line="360" w:lineRule="auto"/>
        <w:ind w:firstLine="720"/>
        <w:jc w:val="both"/>
        <w:rPr>
          <w:rFonts w:ascii="Arial" w:hAnsi="Arial" w:cs="Arial"/>
          <w:sz w:val="24"/>
          <w:szCs w:val="24"/>
        </w:rPr>
      </w:pPr>
    </w:p>
    <w:p w14:paraId="50401310" w14:textId="77777777" w:rsidR="007D5C8C" w:rsidRDefault="007D5C8C" w:rsidP="007D5C8C">
      <w:pPr>
        <w:spacing w:after="0" w:line="360" w:lineRule="auto"/>
        <w:ind w:firstLine="720"/>
        <w:jc w:val="both"/>
        <w:rPr>
          <w:rFonts w:ascii="Arial" w:hAnsi="Arial" w:cs="Arial"/>
          <w:sz w:val="24"/>
          <w:szCs w:val="24"/>
        </w:rPr>
      </w:pPr>
    </w:p>
    <w:p w14:paraId="05315C94" w14:textId="77777777" w:rsidR="007D5C8C" w:rsidRDefault="007D5C8C" w:rsidP="007D5C8C">
      <w:pPr>
        <w:spacing w:after="0" w:line="360" w:lineRule="auto"/>
        <w:ind w:firstLine="720"/>
        <w:jc w:val="both"/>
        <w:rPr>
          <w:rFonts w:ascii="Arial" w:hAnsi="Arial" w:cs="Arial"/>
          <w:sz w:val="24"/>
          <w:szCs w:val="24"/>
        </w:rPr>
      </w:pPr>
    </w:p>
    <w:p w14:paraId="7D483891" w14:textId="77777777" w:rsidR="007D5C8C" w:rsidRDefault="007D5C8C" w:rsidP="007D5C8C">
      <w:pPr>
        <w:spacing w:after="0" w:line="360" w:lineRule="auto"/>
        <w:ind w:firstLine="720"/>
        <w:jc w:val="both"/>
        <w:rPr>
          <w:rFonts w:ascii="Arial" w:hAnsi="Arial" w:cs="Arial"/>
          <w:sz w:val="24"/>
          <w:szCs w:val="24"/>
        </w:rPr>
      </w:pPr>
    </w:p>
    <w:p w14:paraId="5A8E210C" w14:textId="77777777" w:rsidR="007D5C8C" w:rsidRDefault="007D5C8C" w:rsidP="007D5C8C">
      <w:pPr>
        <w:spacing w:after="0" w:line="360" w:lineRule="auto"/>
        <w:ind w:firstLine="720"/>
        <w:jc w:val="both"/>
        <w:rPr>
          <w:rFonts w:ascii="Arial" w:hAnsi="Arial" w:cs="Arial"/>
          <w:sz w:val="24"/>
          <w:szCs w:val="24"/>
        </w:rPr>
      </w:pPr>
    </w:p>
    <w:p w14:paraId="7CE43633" w14:textId="77777777" w:rsidR="007D5C8C" w:rsidRDefault="007D5C8C" w:rsidP="007D5C8C">
      <w:pPr>
        <w:spacing w:after="0" w:line="360" w:lineRule="auto"/>
        <w:ind w:firstLine="720"/>
        <w:jc w:val="both"/>
        <w:rPr>
          <w:rFonts w:ascii="Arial" w:hAnsi="Arial" w:cs="Arial"/>
          <w:sz w:val="24"/>
          <w:szCs w:val="24"/>
        </w:rPr>
      </w:pPr>
    </w:p>
    <w:p w14:paraId="19EB1F8D" w14:textId="77777777" w:rsidR="007D5C8C" w:rsidRPr="00D65D33" w:rsidRDefault="007D5C8C" w:rsidP="007D5C8C">
      <w:pPr>
        <w:spacing w:after="0" w:line="360" w:lineRule="auto"/>
        <w:ind w:firstLine="720"/>
        <w:jc w:val="both"/>
        <w:rPr>
          <w:rFonts w:ascii="Arial" w:hAnsi="Arial" w:cs="Arial"/>
          <w:sz w:val="24"/>
          <w:szCs w:val="24"/>
        </w:rPr>
      </w:pPr>
    </w:p>
    <w:p w14:paraId="7B83C282" w14:textId="26B9EE54" w:rsidR="00D65D33" w:rsidRPr="0006765D" w:rsidRDefault="00D65D33" w:rsidP="00D65D33">
      <w:pPr>
        <w:pStyle w:val="Heading1"/>
        <w:spacing w:before="0" w:after="0" w:line="360" w:lineRule="auto"/>
        <w:jc w:val="center"/>
        <w:rPr>
          <w:rFonts w:ascii="Arial" w:hAnsi="Arial" w:cs="Arial"/>
          <w:b/>
          <w:bCs/>
          <w:color w:val="000000" w:themeColor="text1"/>
          <w:sz w:val="24"/>
          <w:szCs w:val="24"/>
        </w:rPr>
      </w:pPr>
      <w:bookmarkStart w:id="2" w:name="_Toc222350046"/>
      <w:r w:rsidRPr="0006765D">
        <w:rPr>
          <w:rFonts w:ascii="Arial" w:hAnsi="Arial" w:cs="Arial"/>
          <w:b/>
          <w:bCs/>
          <w:color w:val="000000" w:themeColor="text1"/>
          <w:sz w:val="24"/>
          <w:szCs w:val="24"/>
        </w:rPr>
        <w:lastRenderedPageBreak/>
        <w:t xml:space="preserve">3. </w:t>
      </w:r>
      <w:r w:rsidRPr="00D65D33">
        <w:rPr>
          <w:rFonts w:ascii="Arial" w:hAnsi="Arial" w:cs="Arial"/>
          <w:b/>
          <w:bCs/>
          <w:color w:val="000000" w:themeColor="text1"/>
          <w:sz w:val="24"/>
          <w:szCs w:val="24"/>
        </w:rPr>
        <w:t>Evaluation of Change Management Models and Strategic Change</w:t>
      </w:r>
      <w:bookmarkEnd w:id="2"/>
    </w:p>
    <w:p w14:paraId="0B4F7364" w14:textId="77777777" w:rsidR="00D65D33" w:rsidRDefault="00D65D33" w:rsidP="00D65D33">
      <w:pPr>
        <w:rPr>
          <w:b/>
          <w:bCs/>
        </w:rPr>
      </w:pPr>
    </w:p>
    <w:p w14:paraId="6F8FBD3A"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Strategic Change at CHH Conex takes place in the context of managing the complex combination of organisational, technical, and cultural change required to respond to digital disruption, online shopping, and the implementation of AI-enabled logistics systems. Change management models are valuable for how organisations learn to transition from legacy operating models to digitally enabled, customer centred business models with minimum resistance and disruption (Kotter, 2012; Burnes, 2017). This section evaluates relevant change management models for relevance to the strategic change at CHH Conex.</w:t>
      </w:r>
    </w:p>
    <w:p w14:paraId="03E4E374"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Kotter’s Eight-Step Change Model is one of the most popular frameworks for leading large-scale change initiatives. The eight steps emphasise the importance of creating urgency, forming a guiding coalition, creating a vision, communicating the vision, empowering others to act on the vision, generating short-term wins, consolidating improvements, and anchoring the change in the culture (Kotter, 2012). At CHH Conex, this model highlights the importance of directors’ leadership to communicate the urgency created the combination of digital disruption and reduced competitiveness. </w:t>
      </w:r>
    </w:p>
    <w:p w14:paraId="52F68402" w14:textId="56332A26"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A lack of urgency around the need for change may explain the slow pace of adoption of digital initiatives in previous transformation projects. However, Kotter’s model has been critiqued for taking a top-down linear approach to change that overlooks the challenges and iterative nature of many digital transformations, particularly since they often occur in environments where change is continuous rather than through discrete programmes (Burnes, 2017; Hayes, 2018). At CHH Conex perhaps a more agile approach is required, since many of the digital initiatives may run in parallel.</w:t>
      </w:r>
    </w:p>
    <w:p w14:paraId="675C880B" w14:textId="65FD52D0" w:rsidR="00DC11C9" w:rsidRDefault="00DC11C9" w:rsidP="00DC11C9">
      <w:pPr>
        <w:spacing w:after="0"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330320F" wp14:editId="75B8A47D">
            <wp:extent cx="3867150" cy="5133975"/>
            <wp:effectExtent l="0" t="0" r="0" b="9525"/>
            <wp:docPr id="5800326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67150" cy="5133975"/>
                    </a:xfrm>
                    <a:prstGeom prst="rect">
                      <a:avLst/>
                    </a:prstGeom>
                    <a:noFill/>
                  </pic:spPr>
                </pic:pic>
              </a:graphicData>
            </a:graphic>
          </wp:inline>
        </w:drawing>
      </w:r>
    </w:p>
    <w:p w14:paraId="76979088"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Although providing a generic basis for looking at behavioural change, Lewin’s Three</w:t>
      </w:r>
      <w:r>
        <w:rPr>
          <w:rFonts w:ascii="Arial" w:hAnsi="Arial" w:cs="Arial"/>
          <w:sz w:val="24"/>
          <w:szCs w:val="24"/>
        </w:rPr>
        <w:t xml:space="preserve"> </w:t>
      </w:r>
      <w:r w:rsidRPr="00DC11C9">
        <w:rPr>
          <w:rFonts w:ascii="Arial" w:hAnsi="Arial" w:cs="Arial"/>
          <w:sz w:val="24"/>
          <w:szCs w:val="24"/>
        </w:rPr>
        <w:t>Stage Model (unfreeze–change–refreeze) emphasises the need to unsettle existing ruts before introducing new practices and then embedding them into the organisational subconscious (Burnes, 2017). For CHH Conex, “unfreezing” entails addressing entrenched branch-based sales practices and risk-averse cultural biases curtailing digitally-based innovation, but the assumption of stable end points is unrealistic in digitally-disrupted environments characterised by continuous change (Hayes, 2018). “Refreezing” can also be counter-intuitive in a digital transformation environment.</w:t>
      </w:r>
    </w:p>
    <w:p w14:paraId="725F5E88" w14:textId="77777777" w:rsidR="00DC11C9" w:rsidRDefault="00DC11C9" w:rsidP="00DC11C9">
      <w:pPr>
        <w:spacing w:after="0" w:line="360" w:lineRule="auto"/>
        <w:jc w:val="both"/>
        <w:rPr>
          <w:rFonts w:ascii="Arial" w:hAnsi="Arial" w:cs="Arial"/>
          <w:sz w:val="24"/>
          <w:szCs w:val="24"/>
        </w:rPr>
      </w:pPr>
    </w:p>
    <w:p w14:paraId="42C03FA5" w14:textId="77777777" w:rsidR="00DC11C9" w:rsidRDefault="00DC11C9" w:rsidP="00DC11C9">
      <w:pPr>
        <w:spacing w:after="0" w:line="360" w:lineRule="auto"/>
        <w:jc w:val="both"/>
        <w:rPr>
          <w:rFonts w:ascii="Arial" w:hAnsi="Arial" w:cs="Arial"/>
          <w:sz w:val="24"/>
          <w:szCs w:val="24"/>
        </w:rPr>
      </w:pPr>
    </w:p>
    <w:p w14:paraId="66706D4C" w14:textId="77777777" w:rsidR="00DC11C9" w:rsidRDefault="00DC11C9" w:rsidP="00DC11C9">
      <w:pPr>
        <w:spacing w:after="0" w:line="360" w:lineRule="auto"/>
        <w:jc w:val="both"/>
        <w:rPr>
          <w:rFonts w:ascii="Arial" w:hAnsi="Arial" w:cs="Arial"/>
          <w:sz w:val="24"/>
          <w:szCs w:val="24"/>
        </w:rPr>
      </w:pPr>
    </w:p>
    <w:p w14:paraId="50CF47E2" w14:textId="16097E0C" w:rsidR="00DC11C9" w:rsidRDefault="00DC11C9" w:rsidP="00DC11C9">
      <w:pPr>
        <w:spacing w:after="0"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24C5AB96" wp14:editId="7C196806">
            <wp:extent cx="5667375" cy="3819525"/>
            <wp:effectExtent l="0" t="0" r="9525" b="9525"/>
            <wp:docPr id="9245253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67375" cy="3819525"/>
                    </a:xfrm>
                    <a:prstGeom prst="rect">
                      <a:avLst/>
                    </a:prstGeom>
                    <a:noFill/>
                  </pic:spPr>
                </pic:pic>
              </a:graphicData>
            </a:graphic>
          </wp:inline>
        </w:drawing>
      </w:r>
    </w:p>
    <w:p w14:paraId="00A12497" w14:textId="41056F4D"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McKinsey 7S Framework. It provides a valuable tool for assessing alignment during strategic changes and transformation, focusing on the interplay of strategy, structure, systems, shared values, style, staff, and skills (Waterman, Peters &amp; Phillips, 1980; Hayes, 2018). It highlights how CHH Conex’s digital transformation strategy faces misalignment within its systems (outdated IT legacy), skills (digital limitations), and style (deference for risk). For a technological change to succeed, it requires alignment of strategy and organisational elements, rather than efforts entailing just isolated computer upgrades.</w:t>
      </w:r>
    </w:p>
    <w:p w14:paraId="48ADF013" w14:textId="1969885D"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Yet, the 7S model has been criticized as more of a diagnostic than a prescriptive tool, failing to provide extensive guidance on “how” to sequence and lead change (Burnes 2017), which at CHH Conex implies that OT needs to be supported by change process models like Kotter’s model.</w:t>
      </w:r>
    </w:p>
    <w:p w14:paraId="1AA80725" w14:textId="77777777" w:rsidR="00DC11C9" w:rsidRDefault="00DC11C9" w:rsidP="00DC11C9">
      <w:pPr>
        <w:spacing w:after="0" w:line="360" w:lineRule="auto"/>
        <w:jc w:val="both"/>
        <w:rPr>
          <w:rFonts w:ascii="Arial" w:hAnsi="Arial" w:cs="Arial"/>
          <w:sz w:val="24"/>
          <w:szCs w:val="24"/>
        </w:rPr>
      </w:pPr>
    </w:p>
    <w:p w14:paraId="5C0B77CC" w14:textId="77777777" w:rsidR="00DC11C9" w:rsidRDefault="00DC11C9" w:rsidP="00DC11C9">
      <w:pPr>
        <w:spacing w:after="0" w:line="360" w:lineRule="auto"/>
        <w:jc w:val="both"/>
        <w:rPr>
          <w:rFonts w:ascii="Arial" w:hAnsi="Arial" w:cs="Arial"/>
          <w:sz w:val="24"/>
          <w:szCs w:val="24"/>
        </w:rPr>
      </w:pPr>
    </w:p>
    <w:p w14:paraId="73A5A810" w14:textId="77777777" w:rsidR="00DC11C9" w:rsidRDefault="00DC11C9" w:rsidP="00DC11C9">
      <w:pPr>
        <w:spacing w:after="0" w:line="360" w:lineRule="auto"/>
        <w:jc w:val="both"/>
        <w:rPr>
          <w:rFonts w:ascii="Arial" w:hAnsi="Arial" w:cs="Arial"/>
          <w:sz w:val="24"/>
          <w:szCs w:val="24"/>
        </w:rPr>
      </w:pPr>
    </w:p>
    <w:p w14:paraId="29FC6B8C" w14:textId="77777777" w:rsidR="00DC11C9" w:rsidRDefault="00DC11C9" w:rsidP="00DC11C9">
      <w:pPr>
        <w:spacing w:after="0" w:line="360" w:lineRule="auto"/>
        <w:jc w:val="both"/>
        <w:rPr>
          <w:rFonts w:ascii="Arial" w:hAnsi="Arial" w:cs="Arial"/>
          <w:sz w:val="24"/>
          <w:szCs w:val="24"/>
        </w:rPr>
      </w:pPr>
    </w:p>
    <w:p w14:paraId="21BCDB5A" w14:textId="087CE4C8" w:rsidR="00DC11C9" w:rsidRPr="00DC11C9" w:rsidRDefault="00DC11C9" w:rsidP="00DC11C9">
      <w:pPr>
        <w:spacing w:after="0"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191925DA" wp14:editId="7404ED88">
            <wp:extent cx="4914900" cy="3305175"/>
            <wp:effectExtent l="0" t="0" r="0" b="9525"/>
            <wp:docPr id="540597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14900" cy="3305175"/>
                    </a:xfrm>
                    <a:prstGeom prst="rect">
                      <a:avLst/>
                    </a:prstGeom>
                    <a:noFill/>
                  </pic:spPr>
                </pic:pic>
              </a:graphicData>
            </a:graphic>
          </wp:inline>
        </w:drawing>
      </w:r>
    </w:p>
    <w:p w14:paraId="7119BBE8"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The ADKAR model, which represents Awareness, Desire, Knowledge, Ability, and Reinforcement, is another change management framework that concentrates more on changes at the individual level and highlights the behavioural and capabilities aspects of organizational change (Hiatt, 2006). This is particularly pertinent for the staff at CHH Conex where the organizational resistance to digital technologies and AI-enabled systems is indicative of low levels of awareness, desire, and ability. </w:t>
      </w:r>
    </w:p>
    <w:p w14:paraId="637FB926"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The stated focus of ADKAR on individual readiness for change implies two primary things: on-going training, effective communication, and reinforcement mechanisms to foster adoption of digital processes by employees. However, the focus on individual behaviour may underplay important structural and strategic elements, such as organizational design and resource allocation, that are equally important to CHH Conex’s transformation (Hayes, 2018).</w:t>
      </w:r>
    </w:p>
    <w:p w14:paraId="2AEADC48" w14:textId="77777777" w:rsidR="00DC11C9" w:rsidRDefault="00DC11C9" w:rsidP="00DC11C9">
      <w:pPr>
        <w:spacing w:after="0" w:line="360" w:lineRule="auto"/>
        <w:jc w:val="both"/>
        <w:rPr>
          <w:rFonts w:ascii="Arial" w:hAnsi="Arial" w:cs="Arial"/>
          <w:sz w:val="24"/>
          <w:szCs w:val="24"/>
        </w:rPr>
      </w:pPr>
    </w:p>
    <w:p w14:paraId="2B27F0DA" w14:textId="77777777" w:rsidR="00DC11C9" w:rsidRDefault="00DC11C9" w:rsidP="00DC11C9">
      <w:pPr>
        <w:spacing w:after="0" w:line="360" w:lineRule="auto"/>
        <w:jc w:val="both"/>
        <w:rPr>
          <w:rFonts w:ascii="Arial" w:hAnsi="Arial" w:cs="Arial"/>
          <w:sz w:val="24"/>
          <w:szCs w:val="24"/>
        </w:rPr>
      </w:pPr>
    </w:p>
    <w:p w14:paraId="27C78FA3" w14:textId="77777777" w:rsidR="00DC11C9" w:rsidRDefault="00DC11C9" w:rsidP="00DC11C9">
      <w:pPr>
        <w:spacing w:after="0" w:line="360" w:lineRule="auto"/>
        <w:jc w:val="both"/>
        <w:rPr>
          <w:rFonts w:ascii="Arial" w:hAnsi="Arial" w:cs="Arial"/>
          <w:sz w:val="24"/>
          <w:szCs w:val="24"/>
        </w:rPr>
      </w:pPr>
    </w:p>
    <w:p w14:paraId="3F4F54D0" w14:textId="77777777" w:rsidR="00DC11C9" w:rsidRDefault="00DC11C9" w:rsidP="00DC11C9">
      <w:pPr>
        <w:spacing w:after="0" w:line="360" w:lineRule="auto"/>
        <w:jc w:val="both"/>
        <w:rPr>
          <w:rFonts w:ascii="Arial" w:hAnsi="Arial" w:cs="Arial"/>
          <w:sz w:val="24"/>
          <w:szCs w:val="24"/>
        </w:rPr>
      </w:pPr>
    </w:p>
    <w:p w14:paraId="74F70828" w14:textId="77777777" w:rsidR="00DC11C9" w:rsidRDefault="00DC11C9" w:rsidP="00DC11C9">
      <w:pPr>
        <w:spacing w:after="0" w:line="360" w:lineRule="auto"/>
        <w:jc w:val="both"/>
        <w:rPr>
          <w:rFonts w:ascii="Arial" w:hAnsi="Arial" w:cs="Arial"/>
          <w:sz w:val="24"/>
          <w:szCs w:val="24"/>
        </w:rPr>
      </w:pPr>
    </w:p>
    <w:p w14:paraId="6FF15F71" w14:textId="77777777" w:rsidR="00DC11C9" w:rsidRDefault="00DC11C9" w:rsidP="00DC11C9">
      <w:pPr>
        <w:spacing w:after="0" w:line="360" w:lineRule="auto"/>
        <w:jc w:val="both"/>
        <w:rPr>
          <w:rFonts w:ascii="Arial" w:hAnsi="Arial" w:cs="Arial"/>
          <w:sz w:val="24"/>
          <w:szCs w:val="24"/>
        </w:rPr>
      </w:pPr>
    </w:p>
    <w:p w14:paraId="5AF808BF" w14:textId="0B2FE1C4" w:rsidR="00DC11C9" w:rsidRDefault="00DC11C9" w:rsidP="00DC11C9">
      <w:pPr>
        <w:spacing w:after="0"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090133DF" wp14:editId="3C17B198">
            <wp:extent cx="3638550" cy="5105400"/>
            <wp:effectExtent l="0" t="0" r="0" b="0"/>
            <wp:docPr id="9498844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38550" cy="5105400"/>
                    </a:xfrm>
                    <a:prstGeom prst="rect">
                      <a:avLst/>
                    </a:prstGeom>
                    <a:noFill/>
                  </pic:spPr>
                </pic:pic>
              </a:graphicData>
            </a:graphic>
          </wp:inline>
        </w:drawing>
      </w:r>
    </w:p>
    <w:p w14:paraId="159437EF" w14:textId="27578573"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Johnson, Scholes and Whittington’s strategy process model discusses the importance of aligning strategic intent with organisational capabilities and environmental conditions (Johnson, Scholes </w:t>
      </w:r>
      <w:r w:rsidR="005A699C">
        <w:rPr>
          <w:rFonts w:ascii="Arial" w:hAnsi="Arial" w:cs="Arial"/>
          <w:sz w:val="24"/>
          <w:szCs w:val="24"/>
        </w:rPr>
        <w:t>and</w:t>
      </w:r>
      <w:r w:rsidRPr="00DC11C9">
        <w:rPr>
          <w:rFonts w:ascii="Arial" w:hAnsi="Arial" w:cs="Arial"/>
          <w:sz w:val="24"/>
          <w:szCs w:val="24"/>
        </w:rPr>
        <w:t xml:space="preserve"> Whittington, 2017). In CHH Conex’s case, the strategic intent to leverage omnichannel, and AI-driven logistics capabilities has not been matched with the requisite investment in systems integration, digital skills and cultural changes. This kind of disconnection between strategy and operational practice dominates many strategic change management efforts (Hayes, 2018) and has contributed to the lack of traction with CHH Conex’s digital initiatives.</w:t>
      </w:r>
    </w:p>
    <w:p w14:paraId="7BFCD6EC" w14:textId="77777777" w:rsid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 xml:space="preserve">Change readiness and organisational capacity for change are also critical success factors in digital transformation. Armenakis and Harris (2009) highlight that employee readiness, leadership credibility and perceived appropriateness of change are important </w:t>
      </w:r>
      <w:r w:rsidRPr="00DC11C9">
        <w:rPr>
          <w:rFonts w:ascii="Arial" w:hAnsi="Arial" w:cs="Arial"/>
          <w:sz w:val="24"/>
          <w:szCs w:val="24"/>
        </w:rPr>
        <w:lastRenderedPageBreak/>
        <w:t>drivers of change outcomes. At CHH Conex, limited communication about why digital transformation is desirable and beneficial has led to scepticism and passive resistance from employees. Future change initiatives should focus on sense-making, engagement, and participation (Burnes, 2017; Kotter, 2012) that builds commitment and reduces resistance.</w:t>
      </w:r>
    </w:p>
    <w:p w14:paraId="6368E86F" w14:textId="4ECF264A" w:rsidR="00DC11C9" w:rsidRPr="00DC11C9" w:rsidRDefault="00DC11C9" w:rsidP="00DC11C9">
      <w:pPr>
        <w:spacing w:after="0" w:line="360" w:lineRule="auto"/>
        <w:ind w:firstLine="720"/>
        <w:jc w:val="both"/>
        <w:rPr>
          <w:rFonts w:ascii="Arial" w:hAnsi="Arial" w:cs="Arial"/>
          <w:sz w:val="24"/>
          <w:szCs w:val="24"/>
        </w:rPr>
      </w:pPr>
      <w:r w:rsidRPr="00DC11C9">
        <w:rPr>
          <w:rFonts w:ascii="Arial" w:hAnsi="Arial" w:cs="Arial"/>
          <w:sz w:val="24"/>
          <w:szCs w:val="24"/>
        </w:rPr>
        <w:t>Despite the presence of models to guide change, there is evidently no single model that can appropriately manage a complex digital transformation. Digital disruption demands a messy, iterative, adaptive change process that marries strategy with learning and experimentation (Hayes, 2018). For CHH Conex a hybrid model is required, meshing Kotter’s emphasis on leadership and urgency with the 7S framework’s need for holistic alignment with ADKAR’s focus on individual adoption. The importance of addressing the structural aspects as well as the behavioural aspects of change greatly increases the odds of successful delivery of sustainable transformation in the face of digital disruption, online shopping behaviour, and AI-driven operational innovation.</w:t>
      </w:r>
    </w:p>
    <w:p w14:paraId="65295DC4" w14:textId="77777777" w:rsidR="00D65D33" w:rsidRDefault="00D65D33" w:rsidP="00D65D33">
      <w:pPr>
        <w:rPr>
          <w:b/>
          <w:bCs/>
        </w:rPr>
      </w:pPr>
    </w:p>
    <w:p w14:paraId="53F37BE3" w14:textId="77777777" w:rsidR="00DC11C9" w:rsidRDefault="00DC11C9" w:rsidP="00D65D33">
      <w:pPr>
        <w:rPr>
          <w:b/>
          <w:bCs/>
        </w:rPr>
      </w:pPr>
    </w:p>
    <w:p w14:paraId="2F7B9932" w14:textId="77777777" w:rsidR="007D5C8C" w:rsidRDefault="007D5C8C" w:rsidP="00D65D33">
      <w:pPr>
        <w:rPr>
          <w:b/>
          <w:bCs/>
        </w:rPr>
      </w:pPr>
    </w:p>
    <w:p w14:paraId="33725DF9" w14:textId="77777777" w:rsidR="007D5C8C" w:rsidRDefault="007D5C8C" w:rsidP="00D65D33">
      <w:pPr>
        <w:rPr>
          <w:b/>
          <w:bCs/>
        </w:rPr>
      </w:pPr>
    </w:p>
    <w:p w14:paraId="21FF1EF1" w14:textId="77777777" w:rsidR="007D5C8C" w:rsidRDefault="007D5C8C" w:rsidP="00D65D33">
      <w:pPr>
        <w:rPr>
          <w:b/>
          <w:bCs/>
        </w:rPr>
      </w:pPr>
    </w:p>
    <w:p w14:paraId="2BBC65BF" w14:textId="77777777" w:rsidR="007D5C8C" w:rsidRDefault="007D5C8C" w:rsidP="00D65D33">
      <w:pPr>
        <w:rPr>
          <w:b/>
          <w:bCs/>
        </w:rPr>
      </w:pPr>
    </w:p>
    <w:p w14:paraId="6531F770" w14:textId="77777777" w:rsidR="007D5C8C" w:rsidRDefault="007D5C8C" w:rsidP="00D65D33">
      <w:pPr>
        <w:rPr>
          <w:b/>
          <w:bCs/>
        </w:rPr>
      </w:pPr>
    </w:p>
    <w:p w14:paraId="7C1C4EFD" w14:textId="77777777" w:rsidR="007D5C8C" w:rsidRDefault="007D5C8C" w:rsidP="00D65D33">
      <w:pPr>
        <w:rPr>
          <w:b/>
          <w:bCs/>
        </w:rPr>
      </w:pPr>
    </w:p>
    <w:p w14:paraId="11ABD1DC" w14:textId="77777777" w:rsidR="007D5C8C" w:rsidRDefault="007D5C8C" w:rsidP="00D65D33">
      <w:pPr>
        <w:rPr>
          <w:b/>
          <w:bCs/>
        </w:rPr>
      </w:pPr>
    </w:p>
    <w:p w14:paraId="6A85B002" w14:textId="77777777" w:rsidR="007D5C8C" w:rsidRDefault="007D5C8C" w:rsidP="00D65D33">
      <w:pPr>
        <w:rPr>
          <w:b/>
          <w:bCs/>
        </w:rPr>
      </w:pPr>
    </w:p>
    <w:p w14:paraId="0CAA79DB" w14:textId="77777777" w:rsidR="007D5C8C" w:rsidRDefault="007D5C8C" w:rsidP="00D65D33">
      <w:pPr>
        <w:rPr>
          <w:b/>
          <w:bCs/>
        </w:rPr>
      </w:pPr>
    </w:p>
    <w:p w14:paraId="4ED17078" w14:textId="77777777" w:rsidR="007D5C8C" w:rsidRDefault="007D5C8C" w:rsidP="00D65D33">
      <w:pPr>
        <w:rPr>
          <w:b/>
          <w:bCs/>
        </w:rPr>
      </w:pPr>
    </w:p>
    <w:p w14:paraId="1C436E2A" w14:textId="77777777" w:rsidR="007D5C8C" w:rsidRDefault="007D5C8C" w:rsidP="00D65D33">
      <w:pPr>
        <w:rPr>
          <w:b/>
          <w:bCs/>
        </w:rPr>
      </w:pPr>
    </w:p>
    <w:p w14:paraId="613E98CF" w14:textId="77777777" w:rsidR="00DC11C9" w:rsidRPr="00D65D33" w:rsidRDefault="00DC11C9" w:rsidP="00D65D33">
      <w:pPr>
        <w:rPr>
          <w:b/>
          <w:bCs/>
        </w:rPr>
      </w:pPr>
    </w:p>
    <w:p w14:paraId="08C9FF40" w14:textId="2A6A8E38" w:rsidR="00D65D33" w:rsidRPr="0006765D" w:rsidRDefault="00D65D33" w:rsidP="00D65D33">
      <w:pPr>
        <w:pStyle w:val="Heading1"/>
        <w:spacing w:before="0" w:after="0" w:line="360" w:lineRule="auto"/>
        <w:jc w:val="center"/>
        <w:rPr>
          <w:rFonts w:ascii="Arial" w:hAnsi="Arial" w:cs="Arial"/>
          <w:b/>
          <w:bCs/>
          <w:color w:val="000000" w:themeColor="text1"/>
          <w:sz w:val="24"/>
          <w:szCs w:val="24"/>
        </w:rPr>
      </w:pPr>
      <w:bookmarkStart w:id="3" w:name="_Toc222350047"/>
      <w:r w:rsidRPr="0006765D">
        <w:rPr>
          <w:rFonts w:ascii="Arial" w:hAnsi="Arial" w:cs="Arial"/>
          <w:b/>
          <w:bCs/>
          <w:color w:val="000000" w:themeColor="text1"/>
          <w:sz w:val="24"/>
          <w:szCs w:val="24"/>
        </w:rPr>
        <w:lastRenderedPageBreak/>
        <w:t xml:space="preserve">4. </w:t>
      </w:r>
      <w:r w:rsidRPr="00D65D33">
        <w:rPr>
          <w:rFonts w:ascii="Arial" w:hAnsi="Arial" w:cs="Arial"/>
          <w:b/>
          <w:bCs/>
          <w:color w:val="000000" w:themeColor="text1"/>
          <w:sz w:val="24"/>
          <w:szCs w:val="24"/>
        </w:rPr>
        <w:t>Leadership Style and Organisational Culture in Managing Change</w:t>
      </w:r>
      <w:bookmarkEnd w:id="3"/>
    </w:p>
    <w:p w14:paraId="5217197D" w14:textId="77777777" w:rsidR="00D65D33" w:rsidRDefault="00D65D33" w:rsidP="00D65D33">
      <w:pPr>
        <w:rPr>
          <w:b/>
          <w:bCs/>
        </w:rPr>
      </w:pPr>
    </w:p>
    <w:p w14:paraId="02C6F4B0" w14:textId="77777777"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Leadership is key to the success or failure of strategic change, especially in situations like that encountered by CHH Conex undergoing digital transformation and organizational restructuring. Good leadership provides direction, engenders commitment and helps employees make sense of the uncertainty and disruption of technological and process change (Northouse, 2021; Yukl, 2013). In the case of CHH Conex, the behaviour of leaders has impacted employee receptiveness to digital disruption, the integration of online sales, and the adoption of AI enabled logistics systems.</w:t>
      </w:r>
    </w:p>
    <w:p w14:paraId="606EDB35" w14:textId="77777777"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Transformational leadership theory is also pertinent to the change challenges at CHH Conex. Transformational leaders create a vision of desired change, encouraging employees to adopt different ways of working and create an environment of innovation and learning (Burns, 2012; Northouse, 2021). </w:t>
      </w:r>
    </w:p>
    <w:p w14:paraId="25E27A2A" w14:textId="77777777"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Where no clear, consistent vision of digital transformation has been put forward in CHH Conex, employees have been confused and resistant to change. Where leadership communication has been sporadic or sporadic, employees have struggled to see the strategic justification of digital investments, lessening commitment and engagement with change efforts. Transformational leadership behaviours, such as inspirational motivation and intellectual stimulation, will be important for cultivating employee support for digital transformation and omnichannel efforts (Yukl, 2013).</w:t>
      </w:r>
    </w:p>
    <w:p w14:paraId="06DE1230" w14:textId="77777777"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Transactional leadership emphasising performance management through rewards and corrective actions has been the mainstay of leadership practice at CHH Conex (Northouse, 2021. While this approach has served operational efficiency and cost control purposes, it has also perpetuated a focus on short-term performance over long-term capability building. Transactional leadership can discourage experimentation and risk-taking, which are vital for digital innovation and process redesign (Burns, 2012). At CHH Conex, this has manifested in a cautious approach towards technology adoption and a lack of empowered decision-making by employees, limiting the organisation’s ability to fully capitalize on digital opportunities.</w:t>
      </w:r>
    </w:p>
    <w:p w14:paraId="0F4C5D94" w14:textId="77777777"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Adaptive and distributed leadership comes into play in terms of leading through complex change, with distributed leadership emphasising shared identity and networking </w:t>
      </w:r>
      <w:r w:rsidRPr="0006765D">
        <w:rPr>
          <w:rFonts w:ascii="Arial" w:hAnsi="Arial" w:cs="Arial"/>
          <w:sz w:val="24"/>
          <w:szCs w:val="24"/>
        </w:rPr>
        <w:lastRenderedPageBreak/>
        <w:t>across levels of the organisation. This enables faster responses to change in the environment and a greater sense of ownership by employees of transformation initiatives (Yukl, 2013). For CHH Conex, a more distributed leadership approach might enable collaboration between IT and operations people, sales and logistics, addressing some of the siloed structures that stand in the way of digitalisation. Empowering middle managers and supervisors to act as champions of change might enhance the capacity of the organisation to embed digital practice into the daily routine (Burnes, 2017).</w:t>
      </w:r>
    </w:p>
    <w:p w14:paraId="6D0D63F1" w14:textId="26B3D86A"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Organisational culture then mediates the relationship between leadership and whether change projects succeed or fail. Culture is about intense and particular shared ideas about, and patterns of responding to uncertainty. Uncertainty disrupts patterns that culture encourages and requires, engaging anxiety, and heightening concerns about loss of relational connectedness and social standing. How employees attend to change initiatives is often coloured by these dominant shared ideas (Alvesson </w:t>
      </w:r>
      <w:r w:rsidR="007D5C8C">
        <w:rPr>
          <w:rFonts w:ascii="Arial" w:hAnsi="Arial" w:cs="Arial"/>
          <w:sz w:val="24"/>
          <w:szCs w:val="24"/>
        </w:rPr>
        <w:t>and</w:t>
      </w:r>
      <w:r w:rsidRPr="0006765D">
        <w:rPr>
          <w:rFonts w:ascii="Arial" w:hAnsi="Arial" w:cs="Arial"/>
          <w:sz w:val="24"/>
          <w:szCs w:val="24"/>
        </w:rPr>
        <w:t xml:space="preserve"> Sveningsson, 2015). </w:t>
      </w:r>
    </w:p>
    <w:p w14:paraId="212B3E0A" w14:textId="77777777" w:rsidR="007D5C8C"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The risk-averse, cautious culture of CHH Conex has problematised experimentation and learning, fuelling resistance to digitalisation. This reflects, at one remove, the actions and mindsets of leadership whose inclinations exaggerate the need for control through stability. This cultural inertia provides the prime grounds for poor utilisation of digital tools and theoretical understanding of subsequent change tasks (Vial, 2019).</w:t>
      </w:r>
    </w:p>
    <w:p w14:paraId="355D04E8" w14:textId="7DD2F332" w:rsidR="007D5C8C"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Cultural change, then, is part of CHH Conex’s broad agenda of transformation. Leaders control the reins of socialising different norms into the culture, choosing the behaviours they value, rewarding for innovation, legitimising those who “fail” but learn (Kotter, 2012). To do this</w:t>
      </w:r>
      <w:r w:rsidR="007D5C8C">
        <w:rPr>
          <w:rFonts w:ascii="Arial" w:hAnsi="Arial" w:cs="Arial"/>
          <w:sz w:val="24"/>
          <w:szCs w:val="24"/>
        </w:rPr>
        <w:t xml:space="preserve">, </w:t>
      </w:r>
      <w:r w:rsidRPr="0006765D">
        <w:rPr>
          <w:rFonts w:ascii="Arial" w:hAnsi="Arial" w:cs="Arial"/>
          <w:sz w:val="24"/>
          <w:szCs w:val="24"/>
        </w:rPr>
        <w:t xml:space="preserve">leaders need to project behaviours that indicate the desired behaviours of the culture—openness, collaboration, customer-friendliness—to make that transformation “stick” (Alvesson </w:t>
      </w:r>
      <w:r w:rsidR="007D5C8C">
        <w:rPr>
          <w:rFonts w:ascii="Arial" w:hAnsi="Arial" w:cs="Arial"/>
          <w:sz w:val="24"/>
          <w:szCs w:val="24"/>
        </w:rPr>
        <w:t>and</w:t>
      </w:r>
      <w:r w:rsidRPr="0006765D">
        <w:rPr>
          <w:rFonts w:ascii="Arial" w:hAnsi="Arial" w:cs="Arial"/>
          <w:sz w:val="24"/>
          <w:szCs w:val="24"/>
        </w:rPr>
        <w:t xml:space="preserve"> Sveningsson, 2015). Otherwise, the investment in technology gets ignored, or plops into a corner, with little to no impact on performance.</w:t>
      </w:r>
    </w:p>
    <w:p w14:paraId="5C84F445" w14:textId="77777777" w:rsidR="007D5C8C"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Leadership communication: a leadership determinant of success is how transparently and consistently leaders communicate during changes. They are critical for </w:t>
      </w:r>
      <w:r w:rsidR="007D5C8C" w:rsidRPr="0006765D">
        <w:rPr>
          <w:rFonts w:ascii="Arial" w:hAnsi="Arial" w:cs="Arial"/>
          <w:sz w:val="24"/>
          <w:szCs w:val="24"/>
        </w:rPr>
        <w:t>employees’</w:t>
      </w:r>
      <w:r w:rsidRPr="0006765D">
        <w:rPr>
          <w:rFonts w:ascii="Arial" w:hAnsi="Arial" w:cs="Arial"/>
          <w:sz w:val="24"/>
          <w:szCs w:val="24"/>
        </w:rPr>
        <w:t xml:space="preserve"> sense-making ability and reducing uncertainty (Kotter, 2012). Communication around what success looks like strategically and what employees should expect has been </w:t>
      </w:r>
      <w:r w:rsidRPr="0006765D">
        <w:rPr>
          <w:rFonts w:ascii="Arial" w:hAnsi="Arial" w:cs="Arial"/>
          <w:sz w:val="24"/>
          <w:szCs w:val="24"/>
        </w:rPr>
        <w:lastRenderedPageBreak/>
        <w:t>limited at CHH Conex meaning they were unclear where they were going (and have voiced scepticism and reluctance) leaders need to spend time communicating, not only to employees but giving them the opportunity to great feedback and being a part of the change process. This opens up psychological safety and builds trust in leaders (Yukl, 2013).</w:t>
      </w:r>
    </w:p>
    <w:p w14:paraId="3BD93EBD" w14:textId="77777777" w:rsidR="007D5C8C"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The dynamic interplay between leadership and organisational culture also informs the organisation’s capacity for ongoing change. In an era of digital disruption, organisations need to move from episodic change programmes to cultures of continuous improvement and learning (Burnes, 2017). This suggests an adjustment of leadership practices in CHH Conex, from episodic top-down change management to ongoing active engagement with employees, experimenting and learning in an iterative fashion, as well as ongoing capability development. </w:t>
      </w:r>
    </w:p>
    <w:p w14:paraId="7F2F1472" w14:textId="77777777" w:rsidR="007D5C8C"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Leaders are thereby left with the dilemma of creating both operational discipline, and adaptive capacity, enabling the organisation to be more forward-leaning in the face of future technology- and market-driven change (Northouse, 2021; Vial, 2019).</w:t>
      </w:r>
    </w:p>
    <w:p w14:paraId="77944100" w14:textId="77777777" w:rsidR="007D5C8C"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In conclusion, leadership style and organisation culture cohere together at CHH Conex to determine the success or otherwise of change management. Leadership behaviours shape how employees perceive change, while the culture determines if perceptions yield engagement or disengagement. </w:t>
      </w:r>
    </w:p>
    <w:p w14:paraId="4CAC94A5" w14:textId="4C3064B5" w:rsidR="0006765D" w:rsidRP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Leadership at CHH Conex has tended towards transactional leadership rooted in control of operations, cost efficiencies and short-term performance indicators. While a transactional leadership style is effective for CAB to retain the stability of branch delivery, its narrower focus on experimentation and cross-functional collaboration is less amenable to digital transformation and omnichannel delivery (Burns, 2012; Northouse, 2021).</w:t>
      </w:r>
    </w:p>
    <w:p w14:paraId="4FAC7AC1" w14:textId="77777777" w:rsidR="00D65D33" w:rsidRDefault="00D65D33" w:rsidP="00D65D33">
      <w:pPr>
        <w:rPr>
          <w:b/>
          <w:bCs/>
        </w:rPr>
      </w:pPr>
    </w:p>
    <w:p w14:paraId="34C133BD" w14:textId="77777777" w:rsidR="007D5C8C" w:rsidRDefault="007D5C8C" w:rsidP="00D65D33">
      <w:pPr>
        <w:rPr>
          <w:b/>
          <w:bCs/>
        </w:rPr>
      </w:pPr>
    </w:p>
    <w:p w14:paraId="2D9F4D95" w14:textId="77777777" w:rsidR="007D5C8C" w:rsidRDefault="007D5C8C" w:rsidP="00D65D33">
      <w:pPr>
        <w:rPr>
          <w:b/>
          <w:bCs/>
        </w:rPr>
      </w:pPr>
    </w:p>
    <w:p w14:paraId="2CDB6DE7" w14:textId="77777777" w:rsidR="007D5C8C" w:rsidRDefault="007D5C8C" w:rsidP="00D65D33">
      <w:pPr>
        <w:rPr>
          <w:b/>
          <w:bCs/>
        </w:rPr>
      </w:pPr>
    </w:p>
    <w:p w14:paraId="6FF058DB" w14:textId="77777777" w:rsidR="007D5C8C" w:rsidRPr="00D65D33" w:rsidRDefault="007D5C8C" w:rsidP="00D65D33">
      <w:pPr>
        <w:rPr>
          <w:b/>
          <w:bCs/>
        </w:rPr>
      </w:pPr>
    </w:p>
    <w:p w14:paraId="4851DDD7" w14:textId="32CD179F" w:rsidR="00D65D33" w:rsidRPr="0006765D" w:rsidRDefault="00D65D33" w:rsidP="00D65D33">
      <w:pPr>
        <w:pStyle w:val="Heading1"/>
        <w:spacing w:before="0" w:after="0" w:line="360" w:lineRule="auto"/>
        <w:jc w:val="center"/>
        <w:rPr>
          <w:rFonts w:ascii="Arial" w:hAnsi="Arial" w:cs="Arial"/>
          <w:b/>
          <w:bCs/>
          <w:color w:val="000000" w:themeColor="text1"/>
          <w:sz w:val="24"/>
          <w:szCs w:val="24"/>
        </w:rPr>
      </w:pPr>
      <w:bookmarkStart w:id="4" w:name="_Toc222350048"/>
      <w:r w:rsidRPr="0006765D">
        <w:rPr>
          <w:rFonts w:ascii="Arial" w:hAnsi="Arial" w:cs="Arial"/>
          <w:b/>
          <w:bCs/>
          <w:color w:val="000000" w:themeColor="text1"/>
          <w:sz w:val="24"/>
          <w:szCs w:val="24"/>
        </w:rPr>
        <w:lastRenderedPageBreak/>
        <w:t xml:space="preserve">6. </w:t>
      </w:r>
      <w:r w:rsidRPr="00D65D33">
        <w:rPr>
          <w:rFonts w:ascii="Arial" w:hAnsi="Arial" w:cs="Arial"/>
          <w:b/>
          <w:bCs/>
          <w:color w:val="000000" w:themeColor="text1"/>
          <w:sz w:val="24"/>
          <w:szCs w:val="24"/>
        </w:rPr>
        <w:t>Proposed Change Management Plan</w:t>
      </w:r>
      <w:bookmarkEnd w:id="4"/>
    </w:p>
    <w:p w14:paraId="2B04E751" w14:textId="77777777" w:rsidR="00D65D33" w:rsidRPr="0006765D" w:rsidRDefault="00D65D33" w:rsidP="0006765D">
      <w:pPr>
        <w:spacing w:after="0" w:line="360" w:lineRule="auto"/>
        <w:jc w:val="both"/>
        <w:rPr>
          <w:rFonts w:ascii="Arial" w:hAnsi="Arial" w:cs="Arial"/>
          <w:sz w:val="24"/>
          <w:szCs w:val="24"/>
        </w:rPr>
      </w:pPr>
    </w:p>
    <w:p w14:paraId="0FAA11E9" w14:textId="7A89BE26"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The planned change management programme for CHH Conex seeks to respond to the key environmental triggers detailed above of digital disruption, online shopping growth, AI-enabled logistics, and customer expectation growth. The desired change is for CHH Conex to be a digitally enabled, customer-centred, and operationally agile organisation with financial viability and staff engagement (Kotter, 2012; Hayes, 2018).</w:t>
      </w:r>
    </w:p>
    <w:p w14:paraId="4744EDBB" w14:textId="77777777" w:rsidR="0006765D" w:rsidRPr="0006765D" w:rsidRDefault="0006765D" w:rsidP="0006765D">
      <w:pPr>
        <w:spacing w:after="0" w:line="360" w:lineRule="auto"/>
        <w:ind w:firstLine="720"/>
        <w:jc w:val="both"/>
        <w:rPr>
          <w:rFonts w:ascii="Arial" w:hAnsi="Arial" w:cs="Arial"/>
          <w:sz w:val="24"/>
          <w:szCs w:val="24"/>
        </w:rPr>
      </w:pPr>
    </w:p>
    <w:p w14:paraId="6F07F737" w14:textId="77777777" w:rsidR="0006765D" w:rsidRPr="0006765D" w:rsidRDefault="0006765D" w:rsidP="0006765D">
      <w:pPr>
        <w:spacing w:after="0" w:line="360" w:lineRule="auto"/>
        <w:jc w:val="center"/>
        <w:rPr>
          <w:rFonts w:ascii="Arial" w:hAnsi="Arial" w:cs="Arial"/>
          <w:sz w:val="24"/>
          <w:szCs w:val="24"/>
          <w:lang w:val="en-US"/>
        </w:rPr>
      </w:pPr>
      <w:r w:rsidRPr="0006765D">
        <w:rPr>
          <w:rFonts w:ascii="Arial" w:hAnsi="Arial" w:cs="Arial"/>
          <w:sz w:val="24"/>
          <w:szCs w:val="24"/>
          <w:lang w:val="en-US"/>
        </w:rPr>
        <w:t>Table 1: Proposed Strategic Change Objectives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49"/>
        <w:gridCol w:w="3515"/>
        <w:gridCol w:w="1613"/>
        <w:gridCol w:w="1773"/>
      </w:tblGrid>
      <w:tr w:rsidR="0006765D" w:rsidRPr="0006765D" w14:paraId="6CB726A5" w14:textId="77777777" w:rsidTr="0006765D">
        <w:trPr>
          <w:tblHeader/>
          <w:tblCellSpacing w:w="15" w:type="dxa"/>
        </w:trPr>
        <w:tc>
          <w:tcPr>
            <w:tcW w:w="0" w:type="auto"/>
            <w:vAlign w:val="center"/>
            <w:hideMark/>
          </w:tcPr>
          <w:p w14:paraId="1FA3DEA9" w14:textId="77777777" w:rsidR="0006765D" w:rsidRPr="0006765D" w:rsidRDefault="0006765D" w:rsidP="0006765D">
            <w:pPr>
              <w:spacing w:after="0" w:line="360" w:lineRule="auto"/>
              <w:rPr>
                <w:rFonts w:ascii="Arial" w:hAnsi="Arial" w:cs="Arial"/>
                <w:b/>
                <w:bCs/>
                <w:sz w:val="24"/>
                <w:szCs w:val="24"/>
                <w:lang w:val="en-US"/>
              </w:rPr>
            </w:pPr>
            <w:r w:rsidRPr="0006765D">
              <w:rPr>
                <w:rFonts w:ascii="Arial" w:hAnsi="Arial" w:cs="Arial"/>
                <w:b/>
                <w:bCs/>
                <w:sz w:val="24"/>
                <w:szCs w:val="24"/>
                <w:lang w:val="en-US"/>
              </w:rPr>
              <w:t>Objective</w:t>
            </w:r>
          </w:p>
        </w:tc>
        <w:tc>
          <w:tcPr>
            <w:tcW w:w="0" w:type="auto"/>
            <w:vAlign w:val="center"/>
            <w:hideMark/>
          </w:tcPr>
          <w:p w14:paraId="6CA1BF9A" w14:textId="77777777" w:rsidR="0006765D" w:rsidRPr="0006765D" w:rsidRDefault="0006765D" w:rsidP="0006765D">
            <w:pPr>
              <w:spacing w:after="0" w:line="360" w:lineRule="auto"/>
              <w:rPr>
                <w:rFonts w:ascii="Arial" w:hAnsi="Arial" w:cs="Arial"/>
                <w:b/>
                <w:bCs/>
                <w:sz w:val="24"/>
                <w:szCs w:val="24"/>
                <w:lang w:val="en-US"/>
              </w:rPr>
            </w:pPr>
            <w:r w:rsidRPr="0006765D">
              <w:rPr>
                <w:rFonts w:ascii="Arial" w:hAnsi="Arial" w:cs="Arial"/>
                <w:b/>
                <w:bCs/>
                <w:sz w:val="24"/>
                <w:szCs w:val="24"/>
                <w:lang w:val="en-US"/>
              </w:rPr>
              <w:t>Description</w:t>
            </w:r>
          </w:p>
        </w:tc>
        <w:tc>
          <w:tcPr>
            <w:tcW w:w="0" w:type="auto"/>
            <w:vAlign w:val="center"/>
            <w:hideMark/>
          </w:tcPr>
          <w:p w14:paraId="1440585B" w14:textId="77777777" w:rsidR="0006765D" w:rsidRPr="0006765D" w:rsidRDefault="0006765D" w:rsidP="0006765D">
            <w:pPr>
              <w:spacing w:after="0" w:line="360" w:lineRule="auto"/>
              <w:rPr>
                <w:rFonts w:ascii="Arial" w:hAnsi="Arial" w:cs="Arial"/>
                <w:b/>
                <w:bCs/>
                <w:sz w:val="24"/>
                <w:szCs w:val="24"/>
                <w:lang w:val="en-US"/>
              </w:rPr>
            </w:pPr>
            <w:r w:rsidRPr="0006765D">
              <w:rPr>
                <w:rFonts w:ascii="Arial" w:hAnsi="Arial" w:cs="Arial"/>
                <w:b/>
                <w:bCs/>
                <w:sz w:val="24"/>
                <w:szCs w:val="24"/>
                <w:lang w:val="en-US"/>
              </w:rPr>
              <w:t>Timescale</w:t>
            </w:r>
          </w:p>
        </w:tc>
        <w:tc>
          <w:tcPr>
            <w:tcW w:w="0" w:type="auto"/>
            <w:vAlign w:val="center"/>
            <w:hideMark/>
          </w:tcPr>
          <w:p w14:paraId="038A53A2" w14:textId="77777777" w:rsidR="0006765D" w:rsidRPr="0006765D" w:rsidRDefault="0006765D" w:rsidP="0006765D">
            <w:pPr>
              <w:spacing w:after="0" w:line="360" w:lineRule="auto"/>
              <w:rPr>
                <w:rFonts w:ascii="Arial" w:hAnsi="Arial" w:cs="Arial"/>
                <w:b/>
                <w:bCs/>
                <w:sz w:val="24"/>
                <w:szCs w:val="24"/>
                <w:lang w:val="en-US"/>
              </w:rPr>
            </w:pPr>
            <w:r w:rsidRPr="0006765D">
              <w:rPr>
                <w:rFonts w:ascii="Arial" w:hAnsi="Arial" w:cs="Arial"/>
                <w:b/>
                <w:bCs/>
                <w:sz w:val="24"/>
                <w:szCs w:val="24"/>
                <w:lang w:val="en-US"/>
              </w:rPr>
              <w:t>Key Owner</w:t>
            </w:r>
          </w:p>
        </w:tc>
      </w:tr>
      <w:tr w:rsidR="0006765D" w:rsidRPr="0006765D" w14:paraId="12205E55" w14:textId="77777777" w:rsidTr="0006765D">
        <w:trPr>
          <w:tblCellSpacing w:w="15" w:type="dxa"/>
        </w:trPr>
        <w:tc>
          <w:tcPr>
            <w:tcW w:w="0" w:type="auto"/>
            <w:vAlign w:val="center"/>
            <w:hideMark/>
          </w:tcPr>
          <w:p w14:paraId="49527C01"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Digital Transformation</w:t>
            </w:r>
          </w:p>
        </w:tc>
        <w:tc>
          <w:tcPr>
            <w:tcW w:w="0" w:type="auto"/>
            <w:vAlign w:val="center"/>
            <w:hideMark/>
          </w:tcPr>
          <w:p w14:paraId="7C6C1A23"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Implement integrated e-commerce platform and ERP system</w:t>
            </w:r>
          </w:p>
        </w:tc>
        <w:tc>
          <w:tcPr>
            <w:tcW w:w="0" w:type="auto"/>
            <w:vAlign w:val="center"/>
            <w:hideMark/>
          </w:tcPr>
          <w:p w14:paraId="5A33A082"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12–18 months</w:t>
            </w:r>
          </w:p>
        </w:tc>
        <w:tc>
          <w:tcPr>
            <w:tcW w:w="0" w:type="auto"/>
            <w:vAlign w:val="center"/>
            <w:hideMark/>
          </w:tcPr>
          <w:p w14:paraId="09A1755E"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CIO / Change Manager</w:t>
            </w:r>
          </w:p>
        </w:tc>
      </w:tr>
      <w:tr w:rsidR="0006765D" w:rsidRPr="0006765D" w14:paraId="15E02766" w14:textId="77777777" w:rsidTr="0006765D">
        <w:trPr>
          <w:tblCellSpacing w:w="15" w:type="dxa"/>
        </w:trPr>
        <w:tc>
          <w:tcPr>
            <w:tcW w:w="0" w:type="auto"/>
            <w:vAlign w:val="center"/>
            <w:hideMark/>
          </w:tcPr>
          <w:p w14:paraId="7ECFABC8"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Operational Efficiency</w:t>
            </w:r>
          </w:p>
        </w:tc>
        <w:tc>
          <w:tcPr>
            <w:tcW w:w="0" w:type="auto"/>
            <w:vAlign w:val="center"/>
            <w:hideMark/>
          </w:tcPr>
          <w:p w14:paraId="7FFE0DBD"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Introduce AI-enabled demand forecasting and inventory management</w:t>
            </w:r>
          </w:p>
        </w:tc>
        <w:tc>
          <w:tcPr>
            <w:tcW w:w="0" w:type="auto"/>
            <w:vAlign w:val="center"/>
            <w:hideMark/>
          </w:tcPr>
          <w:p w14:paraId="5062160D"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12 months</w:t>
            </w:r>
          </w:p>
        </w:tc>
        <w:tc>
          <w:tcPr>
            <w:tcW w:w="0" w:type="auto"/>
            <w:vAlign w:val="center"/>
            <w:hideMark/>
          </w:tcPr>
          <w:p w14:paraId="5DF4DD71"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Operations Director</w:t>
            </w:r>
          </w:p>
        </w:tc>
      </w:tr>
      <w:tr w:rsidR="0006765D" w:rsidRPr="0006765D" w14:paraId="628CF761" w14:textId="77777777" w:rsidTr="0006765D">
        <w:trPr>
          <w:tblCellSpacing w:w="15" w:type="dxa"/>
        </w:trPr>
        <w:tc>
          <w:tcPr>
            <w:tcW w:w="0" w:type="auto"/>
            <w:vAlign w:val="center"/>
            <w:hideMark/>
          </w:tcPr>
          <w:p w14:paraId="53542462"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Omnichannel Customer Experience</w:t>
            </w:r>
          </w:p>
        </w:tc>
        <w:tc>
          <w:tcPr>
            <w:tcW w:w="0" w:type="auto"/>
            <w:vAlign w:val="center"/>
            <w:hideMark/>
          </w:tcPr>
          <w:p w14:paraId="5E04A382"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Integrate branch and online ordering systems</w:t>
            </w:r>
          </w:p>
        </w:tc>
        <w:tc>
          <w:tcPr>
            <w:tcW w:w="0" w:type="auto"/>
            <w:vAlign w:val="center"/>
            <w:hideMark/>
          </w:tcPr>
          <w:p w14:paraId="73019F3F"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9–12 months</w:t>
            </w:r>
          </w:p>
        </w:tc>
        <w:tc>
          <w:tcPr>
            <w:tcW w:w="0" w:type="auto"/>
            <w:vAlign w:val="center"/>
            <w:hideMark/>
          </w:tcPr>
          <w:p w14:paraId="204718BE"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Head of Sales</w:t>
            </w:r>
          </w:p>
        </w:tc>
      </w:tr>
      <w:tr w:rsidR="0006765D" w:rsidRPr="0006765D" w14:paraId="25435BEE" w14:textId="77777777" w:rsidTr="0006765D">
        <w:trPr>
          <w:tblCellSpacing w:w="15" w:type="dxa"/>
        </w:trPr>
        <w:tc>
          <w:tcPr>
            <w:tcW w:w="0" w:type="auto"/>
            <w:vAlign w:val="center"/>
            <w:hideMark/>
          </w:tcPr>
          <w:p w14:paraId="54FB3395"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Capability Development</w:t>
            </w:r>
          </w:p>
        </w:tc>
        <w:tc>
          <w:tcPr>
            <w:tcW w:w="0" w:type="auto"/>
            <w:vAlign w:val="center"/>
            <w:hideMark/>
          </w:tcPr>
          <w:p w14:paraId="43F6B1D2"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Upskill staff in digital tools and data-driven decision-making</w:t>
            </w:r>
          </w:p>
        </w:tc>
        <w:tc>
          <w:tcPr>
            <w:tcW w:w="0" w:type="auto"/>
            <w:vAlign w:val="center"/>
            <w:hideMark/>
          </w:tcPr>
          <w:p w14:paraId="6A10A532"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Ongoing (12 months)</w:t>
            </w:r>
          </w:p>
        </w:tc>
        <w:tc>
          <w:tcPr>
            <w:tcW w:w="0" w:type="auto"/>
            <w:vAlign w:val="center"/>
            <w:hideMark/>
          </w:tcPr>
          <w:p w14:paraId="1B9E5C30"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HR Director</w:t>
            </w:r>
          </w:p>
        </w:tc>
      </w:tr>
      <w:tr w:rsidR="0006765D" w:rsidRPr="0006765D" w14:paraId="47DE20E2" w14:textId="77777777" w:rsidTr="0006765D">
        <w:trPr>
          <w:tblCellSpacing w:w="15" w:type="dxa"/>
        </w:trPr>
        <w:tc>
          <w:tcPr>
            <w:tcW w:w="0" w:type="auto"/>
            <w:vAlign w:val="center"/>
            <w:hideMark/>
          </w:tcPr>
          <w:p w14:paraId="242A7FAC"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Cultural Change</w:t>
            </w:r>
          </w:p>
        </w:tc>
        <w:tc>
          <w:tcPr>
            <w:tcW w:w="0" w:type="auto"/>
            <w:vAlign w:val="center"/>
            <w:hideMark/>
          </w:tcPr>
          <w:p w14:paraId="0D70A488"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Shift towards innovation-led, collaborative culture</w:t>
            </w:r>
          </w:p>
        </w:tc>
        <w:tc>
          <w:tcPr>
            <w:tcW w:w="0" w:type="auto"/>
            <w:vAlign w:val="center"/>
            <w:hideMark/>
          </w:tcPr>
          <w:p w14:paraId="3564ADFA"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18–24 months</w:t>
            </w:r>
          </w:p>
        </w:tc>
        <w:tc>
          <w:tcPr>
            <w:tcW w:w="0" w:type="auto"/>
            <w:vAlign w:val="center"/>
            <w:hideMark/>
          </w:tcPr>
          <w:p w14:paraId="72732EFA" w14:textId="77777777" w:rsidR="0006765D" w:rsidRPr="0006765D" w:rsidRDefault="0006765D" w:rsidP="0006765D">
            <w:pPr>
              <w:spacing w:after="0" w:line="360" w:lineRule="auto"/>
              <w:rPr>
                <w:rFonts w:ascii="Arial" w:hAnsi="Arial" w:cs="Arial"/>
                <w:sz w:val="24"/>
                <w:szCs w:val="24"/>
                <w:lang w:val="en-US"/>
              </w:rPr>
            </w:pPr>
            <w:r w:rsidRPr="0006765D">
              <w:rPr>
                <w:rFonts w:ascii="Arial" w:hAnsi="Arial" w:cs="Arial"/>
                <w:sz w:val="24"/>
                <w:szCs w:val="24"/>
                <w:lang w:val="en-US"/>
              </w:rPr>
              <w:t>Senior Leadership Team</w:t>
            </w:r>
          </w:p>
        </w:tc>
      </w:tr>
    </w:tbl>
    <w:p w14:paraId="57FD5C2C" w14:textId="77777777" w:rsidR="0006765D" w:rsidRDefault="0006765D" w:rsidP="0006765D">
      <w:pPr>
        <w:rPr>
          <w:b/>
          <w:bCs/>
          <w:lang w:val="en-US"/>
        </w:rPr>
      </w:pPr>
    </w:p>
    <w:p w14:paraId="3687C658" w14:textId="35184244"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The financial plan focusses on investment in core digital infrastructure and workforce capability. This represents a big spend, but returns are expected in the longer term with lower operating inefficiencies, an improved customer retention rate, and better competitiveness (Richards, 2020; Christopher, 2016). </w:t>
      </w:r>
    </w:p>
    <w:p w14:paraId="7204AD7D" w14:textId="77777777" w:rsidR="0006765D" w:rsidRDefault="0006765D" w:rsidP="0006765D">
      <w:pPr>
        <w:spacing w:after="0" w:line="360" w:lineRule="auto"/>
        <w:ind w:firstLine="720"/>
        <w:jc w:val="both"/>
        <w:rPr>
          <w:rFonts w:ascii="Arial" w:hAnsi="Arial" w:cs="Arial"/>
          <w:sz w:val="24"/>
          <w:szCs w:val="24"/>
          <w:lang w:val="en-US"/>
        </w:rPr>
      </w:pPr>
    </w:p>
    <w:p w14:paraId="3137F6AE" w14:textId="77777777" w:rsidR="007D5C8C" w:rsidRPr="0006765D" w:rsidRDefault="007D5C8C" w:rsidP="0006765D">
      <w:pPr>
        <w:spacing w:after="0" w:line="360" w:lineRule="auto"/>
        <w:ind w:firstLine="720"/>
        <w:jc w:val="both"/>
        <w:rPr>
          <w:rFonts w:ascii="Arial" w:hAnsi="Arial" w:cs="Arial"/>
          <w:sz w:val="24"/>
          <w:szCs w:val="24"/>
          <w:lang w:val="en-US"/>
        </w:rPr>
      </w:pPr>
    </w:p>
    <w:p w14:paraId="2FA065E1" w14:textId="11D19851" w:rsidR="0006765D" w:rsidRPr="0006765D" w:rsidRDefault="0006765D" w:rsidP="0006765D">
      <w:pPr>
        <w:jc w:val="center"/>
        <w:rPr>
          <w:rFonts w:ascii="Arial" w:hAnsi="Arial" w:cs="Arial"/>
          <w:sz w:val="24"/>
          <w:szCs w:val="24"/>
          <w:lang w:val="en-US"/>
        </w:rPr>
      </w:pPr>
      <w:r w:rsidRPr="0006765D">
        <w:rPr>
          <w:rFonts w:ascii="Arial" w:hAnsi="Arial" w:cs="Arial"/>
          <w:sz w:val="24"/>
          <w:szCs w:val="24"/>
          <w:lang w:val="en-US"/>
        </w:rPr>
        <w:lastRenderedPageBreak/>
        <w:t xml:space="preserve">Table 2: High-Level Financial Plan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362"/>
        <w:gridCol w:w="2037"/>
        <w:gridCol w:w="3951"/>
      </w:tblGrid>
      <w:tr w:rsidR="0006765D" w:rsidRPr="0006765D" w14:paraId="651A8C15" w14:textId="77777777" w:rsidTr="0006765D">
        <w:trPr>
          <w:tblHeader/>
          <w:tblCellSpacing w:w="15" w:type="dxa"/>
        </w:trPr>
        <w:tc>
          <w:tcPr>
            <w:tcW w:w="0" w:type="auto"/>
            <w:vAlign w:val="center"/>
            <w:hideMark/>
          </w:tcPr>
          <w:p w14:paraId="3771322B"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Investment Area</w:t>
            </w:r>
          </w:p>
        </w:tc>
        <w:tc>
          <w:tcPr>
            <w:tcW w:w="0" w:type="auto"/>
            <w:vAlign w:val="center"/>
            <w:hideMark/>
          </w:tcPr>
          <w:p w14:paraId="0C9E75C3"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Estimated Cost (£)</w:t>
            </w:r>
          </w:p>
        </w:tc>
        <w:tc>
          <w:tcPr>
            <w:tcW w:w="0" w:type="auto"/>
            <w:vAlign w:val="center"/>
            <w:hideMark/>
          </w:tcPr>
          <w:p w14:paraId="36188106"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Expected Benefit</w:t>
            </w:r>
          </w:p>
        </w:tc>
      </w:tr>
      <w:tr w:rsidR="0006765D" w:rsidRPr="0006765D" w14:paraId="215D6164" w14:textId="77777777" w:rsidTr="0006765D">
        <w:trPr>
          <w:tblCellSpacing w:w="15" w:type="dxa"/>
        </w:trPr>
        <w:tc>
          <w:tcPr>
            <w:tcW w:w="0" w:type="auto"/>
            <w:vAlign w:val="center"/>
            <w:hideMark/>
          </w:tcPr>
          <w:p w14:paraId="467CF7B7" w14:textId="0B185C9D"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 xml:space="preserve">E-commerce </w:t>
            </w:r>
            <w:r w:rsidR="005A699C">
              <w:rPr>
                <w:rFonts w:ascii="Arial" w:hAnsi="Arial" w:cs="Arial"/>
                <w:sz w:val="24"/>
                <w:szCs w:val="24"/>
                <w:lang w:val="en-US"/>
              </w:rPr>
              <w:t>and</w:t>
            </w:r>
            <w:r w:rsidRPr="0006765D">
              <w:rPr>
                <w:rFonts w:ascii="Arial" w:hAnsi="Arial" w:cs="Arial"/>
                <w:sz w:val="24"/>
                <w:szCs w:val="24"/>
                <w:lang w:val="en-US"/>
              </w:rPr>
              <w:t xml:space="preserve"> ERP systems</w:t>
            </w:r>
          </w:p>
        </w:tc>
        <w:tc>
          <w:tcPr>
            <w:tcW w:w="0" w:type="auto"/>
            <w:vAlign w:val="center"/>
            <w:hideMark/>
          </w:tcPr>
          <w:p w14:paraId="43380B83"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450,000</w:t>
            </w:r>
          </w:p>
        </w:tc>
        <w:tc>
          <w:tcPr>
            <w:tcW w:w="0" w:type="auto"/>
            <w:vAlign w:val="center"/>
            <w:hideMark/>
          </w:tcPr>
          <w:p w14:paraId="581E66DF"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Faster order processing, stock accuracy</w:t>
            </w:r>
          </w:p>
        </w:tc>
      </w:tr>
      <w:tr w:rsidR="0006765D" w:rsidRPr="0006765D" w14:paraId="27FDDE43" w14:textId="77777777" w:rsidTr="0006765D">
        <w:trPr>
          <w:tblCellSpacing w:w="15" w:type="dxa"/>
        </w:trPr>
        <w:tc>
          <w:tcPr>
            <w:tcW w:w="0" w:type="auto"/>
            <w:vAlign w:val="center"/>
            <w:hideMark/>
          </w:tcPr>
          <w:p w14:paraId="166DEDC8"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AI forecasting tools</w:t>
            </w:r>
          </w:p>
        </w:tc>
        <w:tc>
          <w:tcPr>
            <w:tcW w:w="0" w:type="auto"/>
            <w:vAlign w:val="center"/>
            <w:hideMark/>
          </w:tcPr>
          <w:p w14:paraId="1247CAD4"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180,000</w:t>
            </w:r>
          </w:p>
        </w:tc>
        <w:tc>
          <w:tcPr>
            <w:tcW w:w="0" w:type="auto"/>
            <w:vAlign w:val="center"/>
            <w:hideMark/>
          </w:tcPr>
          <w:p w14:paraId="673CF131"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Reduced stockouts and overstock</w:t>
            </w:r>
          </w:p>
        </w:tc>
      </w:tr>
      <w:tr w:rsidR="0006765D" w:rsidRPr="0006765D" w14:paraId="51D3F44E" w14:textId="77777777" w:rsidTr="0006765D">
        <w:trPr>
          <w:tblCellSpacing w:w="15" w:type="dxa"/>
        </w:trPr>
        <w:tc>
          <w:tcPr>
            <w:tcW w:w="0" w:type="auto"/>
            <w:vAlign w:val="center"/>
            <w:hideMark/>
          </w:tcPr>
          <w:p w14:paraId="514474AC"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Staff training programmes</w:t>
            </w:r>
          </w:p>
        </w:tc>
        <w:tc>
          <w:tcPr>
            <w:tcW w:w="0" w:type="auto"/>
            <w:vAlign w:val="center"/>
            <w:hideMark/>
          </w:tcPr>
          <w:p w14:paraId="4A3CDD80"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95,000</w:t>
            </w:r>
          </w:p>
        </w:tc>
        <w:tc>
          <w:tcPr>
            <w:tcW w:w="0" w:type="auto"/>
            <w:vAlign w:val="center"/>
            <w:hideMark/>
          </w:tcPr>
          <w:p w14:paraId="1C0A4A60"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Improved digital capability</w:t>
            </w:r>
          </w:p>
        </w:tc>
      </w:tr>
      <w:tr w:rsidR="0006765D" w:rsidRPr="0006765D" w14:paraId="79A0D83F" w14:textId="77777777" w:rsidTr="0006765D">
        <w:trPr>
          <w:tblCellSpacing w:w="15" w:type="dxa"/>
        </w:trPr>
        <w:tc>
          <w:tcPr>
            <w:tcW w:w="0" w:type="auto"/>
            <w:vAlign w:val="center"/>
            <w:hideMark/>
          </w:tcPr>
          <w:p w14:paraId="4B502D5A" w14:textId="02A04B12"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 xml:space="preserve">Change management </w:t>
            </w:r>
            <w:r>
              <w:rPr>
                <w:rFonts w:ascii="Arial" w:hAnsi="Arial" w:cs="Arial"/>
                <w:sz w:val="24"/>
                <w:szCs w:val="24"/>
                <w:lang w:val="en-US"/>
              </w:rPr>
              <w:t>and</w:t>
            </w:r>
            <w:r w:rsidRPr="0006765D">
              <w:rPr>
                <w:rFonts w:ascii="Arial" w:hAnsi="Arial" w:cs="Arial"/>
                <w:sz w:val="24"/>
                <w:szCs w:val="24"/>
                <w:lang w:val="en-US"/>
              </w:rPr>
              <w:t xml:space="preserve"> comms</w:t>
            </w:r>
          </w:p>
        </w:tc>
        <w:tc>
          <w:tcPr>
            <w:tcW w:w="0" w:type="auto"/>
            <w:vAlign w:val="center"/>
            <w:hideMark/>
          </w:tcPr>
          <w:p w14:paraId="5DE8A771"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40,000</w:t>
            </w:r>
          </w:p>
        </w:tc>
        <w:tc>
          <w:tcPr>
            <w:tcW w:w="0" w:type="auto"/>
            <w:vAlign w:val="center"/>
            <w:hideMark/>
          </w:tcPr>
          <w:p w14:paraId="416C7A69"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Reduced resistance, higher adoption</w:t>
            </w:r>
          </w:p>
        </w:tc>
      </w:tr>
      <w:tr w:rsidR="0006765D" w:rsidRPr="0006765D" w14:paraId="57976BF1" w14:textId="77777777" w:rsidTr="0006765D">
        <w:trPr>
          <w:tblCellSpacing w:w="15" w:type="dxa"/>
        </w:trPr>
        <w:tc>
          <w:tcPr>
            <w:tcW w:w="0" w:type="auto"/>
            <w:vAlign w:val="center"/>
            <w:hideMark/>
          </w:tcPr>
          <w:p w14:paraId="2A94DB61"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Process redesign</w:t>
            </w:r>
          </w:p>
        </w:tc>
        <w:tc>
          <w:tcPr>
            <w:tcW w:w="0" w:type="auto"/>
            <w:vAlign w:val="center"/>
            <w:hideMark/>
          </w:tcPr>
          <w:p w14:paraId="2BB0E0B2"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60,000</w:t>
            </w:r>
          </w:p>
        </w:tc>
        <w:tc>
          <w:tcPr>
            <w:tcW w:w="0" w:type="auto"/>
            <w:vAlign w:val="center"/>
            <w:hideMark/>
          </w:tcPr>
          <w:p w14:paraId="3BA8D8F1"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Improved workflow efficiency</w:t>
            </w:r>
          </w:p>
        </w:tc>
      </w:tr>
      <w:tr w:rsidR="0006765D" w:rsidRPr="0006765D" w14:paraId="5E60C85D" w14:textId="77777777" w:rsidTr="0006765D">
        <w:trPr>
          <w:tblCellSpacing w:w="15" w:type="dxa"/>
        </w:trPr>
        <w:tc>
          <w:tcPr>
            <w:tcW w:w="0" w:type="auto"/>
            <w:vAlign w:val="center"/>
            <w:hideMark/>
          </w:tcPr>
          <w:p w14:paraId="6714E6F2"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Total</w:t>
            </w:r>
          </w:p>
        </w:tc>
        <w:tc>
          <w:tcPr>
            <w:tcW w:w="0" w:type="auto"/>
            <w:vAlign w:val="center"/>
            <w:hideMark/>
          </w:tcPr>
          <w:p w14:paraId="27ECCF6C"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£825,000</w:t>
            </w:r>
          </w:p>
        </w:tc>
        <w:tc>
          <w:tcPr>
            <w:tcW w:w="0" w:type="auto"/>
            <w:vAlign w:val="center"/>
            <w:hideMark/>
          </w:tcPr>
          <w:p w14:paraId="42DE1F3A"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Improved competitiveness and ROI</w:t>
            </w:r>
          </w:p>
        </w:tc>
      </w:tr>
    </w:tbl>
    <w:p w14:paraId="34C9FFB3" w14:textId="77777777" w:rsidR="0006765D" w:rsidRDefault="0006765D" w:rsidP="0006765D">
      <w:pPr>
        <w:rPr>
          <w:b/>
          <w:bCs/>
          <w:lang w:val="en-US"/>
        </w:rPr>
      </w:pPr>
    </w:p>
    <w:p w14:paraId="31FB9DD0" w14:textId="2815FD76"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Effective communication builds awareness and creates buy-in for change in line with change management best practice (Kotter, 2012; Burnes, 2017). Two-way communication channels will allow feedback, and support employee engagement. </w:t>
      </w:r>
    </w:p>
    <w:p w14:paraId="03A15D5A" w14:textId="77777777" w:rsidR="0006765D" w:rsidRPr="0006765D" w:rsidRDefault="0006765D" w:rsidP="0006765D">
      <w:pPr>
        <w:spacing w:after="0" w:line="360" w:lineRule="auto"/>
        <w:ind w:firstLine="720"/>
        <w:jc w:val="both"/>
        <w:rPr>
          <w:rFonts w:ascii="Arial" w:hAnsi="Arial" w:cs="Arial"/>
          <w:sz w:val="24"/>
          <w:szCs w:val="24"/>
          <w:lang w:val="en-US"/>
        </w:rPr>
      </w:pPr>
    </w:p>
    <w:p w14:paraId="3557A1E8" w14:textId="51B8C60B" w:rsidR="0006765D" w:rsidRPr="0006765D" w:rsidRDefault="0006765D" w:rsidP="0006765D">
      <w:pPr>
        <w:spacing w:after="0" w:line="360" w:lineRule="auto"/>
        <w:jc w:val="center"/>
        <w:rPr>
          <w:rFonts w:ascii="Arial" w:hAnsi="Arial" w:cs="Arial"/>
          <w:sz w:val="24"/>
          <w:szCs w:val="24"/>
          <w:lang w:val="en-US"/>
        </w:rPr>
      </w:pPr>
      <w:r w:rsidRPr="0006765D">
        <w:rPr>
          <w:rFonts w:ascii="Arial" w:hAnsi="Arial" w:cs="Arial"/>
          <w:sz w:val="24"/>
          <w:szCs w:val="24"/>
          <w:lang w:val="en-US"/>
        </w:rPr>
        <w:t>Table 3: Communication Plan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46"/>
        <w:gridCol w:w="3703"/>
        <w:gridCol w:w="2092"/>
        <w:gridCol w:w="1309"/>
      </w:tblGrid>
      <w:tr w:rsidR="0006765D" w:rsidRPr="0006765D" w14:paraId="78AA6619" w14:textId="77777777" w:rsidTr="0006765D">
        <w:trPr>
          <w:tblHeader/>
          <w:tblCellSpacing w:w="15" w:type="dxa"/>
        </w:trPr>
        <w:tc>
          <w:tcPr>
            <w:tcW w:w="0" w:type="auto"/>
            <w:vAlign w:val="center"/>
            <w:hideMark/>
          </w:tcPr>
          <w:p w14:paraId="7DEB1A25"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Audience</w:t>
            </w:r>
          </w:p>
        </w:tc>
        <w:tc>
          <w:tcPr>
            <w:tcW w:w="0" w:type="auto"/>
            <w:vAlign w:val="center"/>
            <w:hideMark/>
          </w:tcPr>
          <w:p w14:paraId="3F56E79D"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Key Message</w:t>
            </w:r>
          </w:p>
        </w:tc>
        <w:tc>
          <w:tcPr>
            <w:tcW w:w="0" w:type="auto"/>
            <w:vAlign w:val="center"/>
            <w:hideMark/>
          </w:tcPr>
          <w:p w14:paraId="04005AB7"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Channel</w:t>
            </w:r>
          </w:p>
        </w:tc>
        <w:tc>
          <w:tcPr>
            <w:tcW w:w="0" w:type="auto"/>
            <w:vAlign w:val="center"/>
            <w:hideMark/>
          </w:tcPr>
          <w:p w14:paraId="1CA4C871"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Frequency</w:t>
            </w:r>
          </w:p>
        </w:tc>
      </w:tr>
      <w:tr w:rsidR="0006765D" w:rsidRPr="0006765D" w14:paraId="2A18E5F6" w14:textId="77777777" w:rsidTr="0006765D">
        <w:trPr>
          <w:tblCellSpacing w:w="15" w:type="dxa"/>
        </w:trPr>
        <w:tc>
          <w:tcPr>
            <w:tcW w:w="0" w:type="auto"/>
            <w:vAlign w:val="center"/>
            <w:hideMark/>
          </w:tcPr>
          <w:p w14:paraId="3C1BBF20" w14:textId="48AE004C"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 xml:space="preserve">Board </w:t>
            </w:r>
            <w:r>
              <w:rPr>
                <w:rFonts w:ascii="Arial" w:hAnsi="Arial" w:cs="Arial"/>
                <w:sz w:val="24"/>
                <w:szCs w:val="24"/>
                <w:lang w:val="en-US"/>
              </w:rPr>
              <w:t>and</w:t>
            </w:r>
            <w:r w:rsidRPr="0006765D">
              <w:rPr>
                <w:rFonts w:ascii="Arial" w:hAnsi="Arial" w:cs="Arial"/>
                <w:sz w:val="24"/>
                <w:szCs w:val="24"/>
                <w:lang w:val="en-US"/>
              </w:rPr>
              <w:t xml:space="preserve"> Senior Leaders</w:t>
            </w:r>
          </w:p>
        </w:tc>
        <w:tc>
          <w:tcPr>
            <w:tcW w:w="0" w:type="auto"/>
            <w:vAlign w:val="center"/>
            <w:hideMark/>
          </w:tcPr>
          <w:p w14:paraId="0F7FF3C9"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Strategic progress and risks</w:t>
            </w:r>
          </w:p>
        </w:tc>
        <w:tc>
          <w:tcPr>
            <w:tcW w:w="0" w:type="auto"/>
            <w:vAlign w:val="center"/>
            <w:hideMark/>
          </w:tcPr>
          <w:p w14:paraId="3AB83299"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Monthly briefings</w:t>
            </w:r>
          </w:p>
        </w:tc>
        <w:tc>
          <w:tcPr>
            <w:tcW w:w="0" w:type="auto"/>
            <w:vAlign w:val="center"/>
            <w:hideMark/>
          </w:tcPr>
          <w:p w14:paraId="4779E37C"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Monthly</w:t>
            </w:r>
          </w:p>
        </w:tc>
      </w:tr>
      <w:tr w:rsidR="0006765D" w:rsidRPr="0006765D" w14:paraId="4AEBBF10" w14:textId="77777777" w:rsidTr="0006765D">
        <w:trPr>
          <w:tblCellSpacing w:w="15" w:type="dxa"/>
        </w:trPr>
        <w:tc>
          <w:tcPr>
            <w:tcW w:w="0" w:type="auto"/>
            <w:vAlign w:val="center"/>
            <w:hideMark/>
          </w:tcPr>
          <w:p w14:paraId="183AE703"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Managers</w:t>
            </w:r>
          </w:p>
        </w:tc>
        <w:tc>
          <w:tcPr>
            <w:tcW w:w="0" w:type="auto"/>
            <w:vAlign w:val="center"/>
            <w:hideMark/>
          </w:tcPr>
          <w:p w14:paraId="26BD0CFF"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Implementation updates and role expectations</w:t>
            </w:r>
          </w:p>
        </w:tc>
        <w:tc>
          <w:tcPr>
            <w:tcW w:w="0" w:type="auto"/>
            <w:vAlign w:val="center"/>
            <w:hideMark/>
          </w:tcPr>
          <w:p w14:paraId="3DA8613D"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Workshops / MS Teams</w:t>
            </w:r>
          </w:p>
        </w:tc>
        <w:tc>
          <w:tcPr>
            <w:tcW w:w="0" w:type="auto"/>
            <w:vAlign w:val="center"/>
            <w:hideMark/>
          </w:tcPr>
          <w:p w14:paraId="7FA72963"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Fortnightly</w:t>
            </w:r>
          </w:p>
        </w:tc>
      </w:tr>
      <w:tr w:rsidR="0006765D" w:rsidRPr="0006765D" w14:paraId="34AC3E51" w14:textId="77777777" w:rsidTr="0006765D">
        <w:trPr>
          <w:tblCellSpacing w:w="15" w:type="dxa"/>
        </w:trPr>
        <w:tc>
          <w:tcPr>
            <w:tcW w:w="0" w:type="auto"/>
            <w:vAlign w:val="center"/>
            <w:hideMark/>
          </w:tcPr>
          <w:p w14:paraId="510DABA4"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Employees</w:t>
            </w:r>
          </w:p>
        </w:tc>
        <w:tc>
          <w:tcPr>
            <w:tcW w:w="0" w:type="auto"/>
            <w:vAlign w:val="center"/>
            <w:hideMark/>
          </w:tcPr>
          <w:p w14:paraId="147EA2D3"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Why change is needed and how it affects roles</w:t>
            </w:r>
          </w:p>
        </w:tc>
        <w:tc>
          <w:tcPr>
            <w:tcW w:w="0" w:type="auto"/>
            <w:vAlign w:val="center"/>
            <w:hideMark/>
          </w:tcPr>
          <w:p w14:paraId="59392FE0"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Town halls, intranet</w:t>
            </w:r>
          </w:p>
        </w:tc>
        <w:tc>
          <w:tcPr>
            <w:tcW w:w="0" w:type="auto"/>
            <w:vAlign w:val="center"/>
            <w:hideMark/>
          </w:tcPr>
          <w:p w14:paraId="01EE7933"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Monthly</w:t>
            </w:r>
          </w:p>
        </w:tc>
      </w:tr>
      <w:tr w:rsidR="0006765D" w:rsidRPr="0006765D" w14:paraId="4755CF76" w14:textId="77777777" w:rsidTr="0006765D">
        <w:trPr>
          <w:tblCellSpacing w:w="15" w:type="dxa"/>
        </w:trPr>
        <w:tc>
          <w:tcPr>
            <w:tcW w:w="0" w:type="auto"/>
            <w:vAlign w:val="center"/>
            <w:hideMark/>
          </w:tcPr>
          <w:p w14:paraId="4EDF8A62"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Customers</w:t>
            </w:r>
          </w:p>
        </w:tc>
        <w:tc>
          <w:tcPr>
            <w:tcW w:w="0" w:type="auto"/>
            <w:vAlign w:val="center"/>
            <w:hideMark/>
          </w:tcPr>
          <w:p w14:paraId="70CCC417"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Improved service capabilities</w:t>
            </w:r>
          </w:p>
        </w:tc>
        <w:tc>
          <w:tcPr>
            <w:tcW w:w="0" w:type="auto"/>
            <w:vAlign w:val="center"/>
            <w:hideMark/>
          </w:tcPr>
          <w:p w14:paraId="7A8B952C"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Email, website, social</w:t>
            </w:r>
          </w:p>
        </w:tc>
        <w:tc>
          <w:tcPr>
            <w:tcW w:w="0" w:type="auto"/>
            <w:vAlign w:val="center"/>
            <w:hideMark/>
          </w:tcPr>
          <w:p w14:paraId="57E6ABB3"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Quarterly</w:t>
            </w:r>
          </w:p>
        </w:tc>
      </w:tr>
    </w:tbl>
    <w:p w14:paraId="0F9E94A2" w14:textId="77777777" w:rsidR="0006765D" w:rsidRDefault="0006765D" w:rsidP="0006765D">
      <w:pPr>
        <w:rPr>
          <w:b/>
          <w:bCs/>
          <w:lang w:val="en-US"/>
        </w:rPr>
      </w:pPr>
    </w:p>
    <w:p w14:paraId="37AFAC05" w14:textId="456903BE" w:rsidR="0006765D" w:rsidRP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lastRenderedPageBreak/>
        <w:t>Regular review will keep the change initiative on track with its strategic objectives, and enable timely corrective action (Hayes, 2018). This structured plan weaves together strategic objectives, outlay of financial resources, communication, and evaluation to support sustainable transformation at CHH Conex.</w:t>
      </w:r>
    </w:p>
    <w:p w14:paraId="2666B1E0" w14:textId="77777777" w:rsidR="0006765D" w:rsidRPr="0006765D" w:rsidRDefault="0006765D" w:rsidP="0006765D">
      <w:pPr>
        <w:spacing w:after="0" w:line="360" w:lineRule="auto"/>
        <w:ind w:firstLine="720"/>
        <w:jc w:val="both"/>
        <w:rPr>
          <w:rFonts w:ascii="Arial" w:hAnsi="Arial" w:cs="Arial"/>
          <w:lang w:val="en-US"/>
        </w:rPr>
      </w:pPr>
    </w:p>
    <w:p w14:paraId="4D8A5EEE" w14:textId="25FDAB3A" w:rsidR="0006765D" w:rsidRPr="0006765D" w:rsidRDefault="0006765D" w:rsidP="0006765D">
      <w:pPr>
        <w:spacing w:after="0" w:line="360" w:lineRule="auto"/>
        <w:jc w:val="center"/>
        <w:rPr>
          <w:rFonts w:ascii="Arial" w:hAnsi="Arial" w:cs="Arial"/>
          <w:sz w:val="24"/>
          <w:szCs w:val="24"/>
          <w:lang w:val="en-US"/>
        </w:rPr>
      </w:pPr>
      <w:r w:rsidRPr="0006765D">
        <w:rPr>
          <w:rFonts w:ascii="Arial" w:hAnsi="Arial" w:cs="Arial"/>
          <w:sz w:val="24"/>
          <w:szCs w:val="24"/>
          <w:lang w:val="en-US"/>
        </w:rPr>
        <w:t>Table 4: Evaluation and Performance Monitoring</w:t>
      </w:r>
    </w:p>
    <w:tbl>
      <w:tblPr>
        <w:tblW w:w="5000" w:type="pct"/>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21"/>
        <w:gridCol w:w="3368"/>
        <w:gridCol w:w="3061"/>
      </w:tblGrid>
      <w:tr w:rsidR="0006765D" w:rsidRPr="0006765D" w14:paraId="3F125857" w14:textId="77777777" w:rsidTr="0006765D">
        <w:trPr>
          <w:tblHeader/>
          <w:tblCellSpacing w:w="15" w:type="dxa"/>
          <w:jc w:val="center"/>
        </w:trPr>
        <w:tc>
          <w:tcPr>
            <w:tcW w:w="1534" w:type="pct"/>
            <w:vAlign w:val="center"/>
            <w:hideMark/>
          </w:tcPr>
          <w:p w14:paraId="5068B0AB"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KPI</w:t>
            </w:r>
          </w:p>
        </w:tc>
        <w:tc>
          <w:tcPr>
            <w:tcW w:w="1780" w:type="pct"/>
            <w:vAlign w:val="center"/>
            <w:hideMark/>
          </w:tcPr>
          <w:p w14:paraId="5B4E72A7"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Measurement Method</w:t>
            </w:r>
          </w:p>
        </w:tc>
        <w:tc>
          <w:tcPr>
            <w:tcW w:w="1609" w:type="pct"/>
            <w:vAlign w:val="center"/>
            <w:hideMark/>
          </w:tcPr>
          <w:p w14:paraId="6B914509" w14:textId="77777777" w:rsidR="0006765D" w:rsidRPr="0006765D" w:rsidRDefault="0006765D" w:rsidP="0006765D">
            <w:pPr>
              <w:rPr>
                <w:rFonts w:ascii="Arial" w:hAnsi="Arial" w:cs="Arial"/>
                <w:b/>
                <w:bCs/>
                <w:sz w:val="24"/>
                <w:szCs w:val="24"/>
                <w:lang w:val="en-US"/>
              </w:rPr>
            </w:pPr>
            <w:r w:rsidRPr="0006765D">
              <w:rPr>
                <w:rFonts w:ascii="Arial" w:hAnsi="Arial" w:cs="Arial"/>
                <w:b/>
                <w:bCs/>
                <w:sz w:val="24"/>
                <w:szCs w:val="24"/>
                <w:lang w:val="en-US"/>
              </w:rPr>
              <w:t>Target</w:t>
            </w:r>
          </w:p>
        </w:tc>
      </w:tr>
      <w:tr w:rsidR="0006765D" w:rsidRPr="0006765D" w14:paraId="2A14A365" w14:textId="77777777" w:rsidTr="0006765D">
        <w:trPr>
          <w:tblCellSpacing w:w="15" w:type="dxa"/>
          <w:jc w:val="center"/>
        </w:trPr>
        <w:tc>
          <w:tcPr>
            <w:tcW w:w="1534" w:type="pct"/>
            <w:vAlign w:val="center"/>
            <w:hideMark/>
          </w:tcPr>
          <w:p w14:paraId="3DD3D500"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Online sales growth</w:t>
            </w:r>
          </w:p>
        </w:tc>
        <w:tc>
          <w:tcPr>
            <w:tcW w:w="1780" w:type="pct"/>
            <w:vAlign w:val="center"/>
            <w:hideMark/>
          </w:tcPr>
          <w:p w14:paraId="029F4136"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Sales data</w:t>
            </w:r>
          </w:p>
        </w:tc>
        <w:tc>
          <w:tcPr>
            <w:tcW w:w="1609" w:type="pct"/>
            <w:vAlign w:val="center"/>
            <w:hideMark/>
          </w:tcPr>
          <w:p w14:paraId="329570C9"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+20% within 12 months</w:t>
            </w:r>
          </w:p>
        </w:tc>
      </w:tr>
      <w:tr w:rsidR="0006765D" w:rsidRPr="0006765D" w14:paraId="054C5292" w14:textId="77777777" w:rsidTr="0006765D">
        <w:trPr>
          <w:tblCellSpacing w:w="15" w:type="dxa"/>
          <w:jc w:val="center"/>
        </w:trPr>
        <w:tc>
          <w:tcPr>
            <w:tcW w:w="1534" w:type="pct"/>
            <w:vAlign w:val="center"/>
            <w:hideMark/>
          </w:tcPr>
          <w:p w14:paraId="74CD1209"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Order accuracy</w:t>
            </w:r>
          </w:p>
        </w:tc>
        <w:tc>
          <w:tcPr>
            <w:tcW w:w="1780" w:type="pct"/>
            <w:vAlign w:val="center"/>
            <w:hideMark/>
          </w:tcPr>
          <w:p w14:paraId="7A39D3E2"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Error rate reports</w:t>
            </w:r>
          </w:p>
        </w:tc>
        <w:tc>
          <w:tcPr>
            <w:tcW w:w="1609" w:type="pct"/>
            <w:vAlign w:val="center"/>
            <w:hideMark/>
          </w:tcPr>
          <w:p w14:paraId="1782859B"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&lt;2% error rate</w:t>
            </w:r>
          </w:p>
        </w:tc>
      </w:tr>
      <w:tr w:rsidR="0006765D" w:rsidRPr="0006765D" w14:paraId="0C548937" w14:textId="77777777" w:rsidTr="0006765D">
        <w:trPr>
          <w:tblCellSpacing w:w="15" w:type="dxa"/>
          <w:jc w:val="center"/>
        </w:trPr>
        <w:tc>
          <w:tcPr>
            <w:tcW w:w="1534" w:type="pct"/>
            <w:vAlign w:val="center"/>
            <w:hideMark/>
          </w:tcPr>
          <w:p w14:paraId="5C08548C"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Inventory turnover</w:t>
            </w:r>
          </w:p>
        </w:tc>
        <w:tc>
          <w:tcPr>
            <w:tcW w:w="1780" w:type="pct"/>
            <w:vAlign w:val="center"/>
            <w:hideMark/>
          </w:tcPr>
          <w:p w14:paraId="46A070D3"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Stock turnover ratio</w:t>
            </w:r>
          </w:p>
        </w:tc>
        <w:tc>
          <w:tcPr>
            <w:tcW w:w="1609" w:type="pct"/>
            <w:vAlign w:val="center"/>
            <w:hideMark/>
          </w:tcPr>
          <w:p w14:paraId="1415330F"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+15% improvement</w:t>
            </w:r>
          </w:p>
        </w:tc>
      </w:tr>
      <w:tr w:rsidR="0006765D" w:rsidRPr="0006765D" w14:paraId="62A5D376" w14:textId="77777777" w:rsidTr="0006765D">
        <w:trPr>
          <w:tblCellSpacing w:w="15" w:type="dxa"/>
          <w:jc w:val="center"/>
        </w:trPr>
        <w:tc>
          <w:tcPr>
            <w:tcW w:w="1534" w:type="pct"/>
            <w:vAlign w:val="center"/>
            <w:hideMark/>
          </w:tcPr>
          <w:p w14:paraId="2220B064"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Employee adoption</w:t>
            </w:r>
          </w:p>
        </w:tc>
        <w:tc>
          <w:tcPr>
            <w:tcW w:w="1780" w:type="pct"/>
            <w:vAlign w:val="center"/>
            <w:hideMark/>
          </w:tcPr>
          <w:p w14:paraId="5B1BA2A6"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Training completion rates</w:t>
            </w:r>
          </w:p>
        </w:tc>
        <w:tc>
          <w:tcPr>
            <w:tcW w:w="1609" w:type="pct"/>
            <w:vAlign w:val="center"/>
            <w:hideMark/>
          </w:tcPr>
          <w:p w14:paraId="4E3BAE98"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90% completion</w:t>
            </w:r>
          </w:p>
        </w:tc>
      </w:tr>
      <w:tr w:rsidR="0006765D" w:rsidRPr="0006765D" w14:paraId="7677893B" w14:textId="77777777" w:rsidTr="0006765D">
        <w:trPr>
          <w:tblCellSpacing w:w="15" w:type="dxa"/>
          <w:jc w:val="center"/>
        </w:trPr>
        <w:tc>
          <w:tcPr>
            <w:tcW w:w="1534" w:type="pct"/>
            <w:vAlign w:val="center"/>
            <w:hideMark/>
          </w:tcPr>
          <w:p w14:paraId="0EAE3255"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Customer satisfaction</w:t>
            </w:r>
          </w:p>
        </w:tc>
        <w:tc>
          <w:tcPr>
            <w:tcW w:w="1780" w:type="pct"/>
            <w:vAlign w:val="center"/>
            <w:hideMark/>
          </w:tcPr>
          <w:p w14:paraId="4BCD9FE6"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Survey scores</w:t>
            </w:r>
          </w:p>
        </w:tc>
        <w:tc>
          <w:tcPr>
            <w:tcW w:w="1609" w:type="pct"/>
            <w:vAlign w:val="center"/>
            <w:hideMark/>
          </w:tcPr>
          <w:p w14:paraId="2A7C1D29" w14:textId="77777777" w:rsidR="0006765D" w:rsidRPr="0006765D" w:rsidRDefault="0006765D" w:rsidP="0006765D">
            <w:pPr>
              <w:rPr>
                <w:rFonts w:ascii="Arial" w:hAnsi="Arial" w:cs="Arial"/>
                <w:sz w:val="24"/>
                <w:szCs w:val="24"/>
                <w:lang w:val="en-US"/>
              </w:rPr>
            </w:pPr>
            <w:r w:rsidRPr="0006765D">
              <w:rPr>
                <w:rFonts w:ascii="Arial" w:hAnsi="Arial" w:cs="Arial"/>
                <w:sz w:val="24"/>
                <w:szCs w:val="24"/>
                <w:lang w:val="en-US"/>
              </w:rPr>
              <w:t>+15% improvement</w:t>
            </w:r>
          </w:p>
        </w:tc>
      </w:tr>
    </w:tbl>
    <w:p w14:paraId="7C16D43E" w14:textId="77777777" w:rsidR="0006765D" w:rsidRPr="0006765D" w:rsidRDefault="0006765D" w:rsidP="00D65D33">
      <w:pPr>
        <w:rPr>
          <w:b/>
          <w:bCs/>
        </w:rPr>
      </w:pPr>
    </w:p>
    <w:p w14:paraId="66D28DBC" w14:textId="77777777" w:rsidR="00D65D33" w:rsidRDefault="00D65D33" w:rsidP="00D65D33">
      <w:pPr>
        <w:rPr>
          <w:b/>
          <w:bCs/>
        </w:rPr>
      </w:pPr>
    </w:p>
    <w:p w14:paraId="36D309B3" w14:textId="77777777" w:rsidR="007D5C8C" w:rsidRDefault="007D5C8C" w:rsidP="00D65D33">
      <w:pPr>
        <w:rPr>
          <w:b/>
          <w:bCs/>
        </w:rPr>
      </w:pPr>
    </w:p>
    <w:p w14:paraId="6951C788" w14:textId="77777777" w:rsidR="007D5C8C" w:rsidRDefault="007D5C8C" w:rsidP="00D65D33">
      <w:pPr>
        <w:rPr>
          <w:b/>
          <w:bCs/>
        </w:rPr>
      </w:pPr>
    </w:p>
    <w:p w14:paraId="723FFF27" w14:textId="77777777" w:rsidR="007D5C8C" w:rsidRDefault="007D5C8C" w:rsidP="00D65D33">
      <w:pPr>
        <w:rPr>
          <w:b/>
          <w:bCs/>
        </w:rPr>
      </w:pPr>
    </w:p>
    <w:p w14:paraId="48B5EB97" w14:textId="77777777" w:rsidR="007D5C8C" w:rsidRDefault="007D5C8C" w:rsidP="00D65D33">
      <w:pPr>
        <w:rPr>
          <w:b/>
          <w:bCs/>
        </w:rPr>
      </w:pPr>
    </w:p>
    <w:p w14:paraId="2F3088D3" w14:textId="77777777" w:rsidR="007D5C8C" w:rsidRDefault="007D5C8C" w:rsidP="00D65D33">
      <w:pPr>
        <w:rPr>
          <w:b/>
          <w:bCs/>
        </w:rPr>
      </w:pPr>
    </w:p>
    <w:p w14:paraId="10F71FB5" w14:textId="77777777" w:rsidR="007D5C8C" w:rsidRDefault="007D5C8C" w:rsidP="00D65D33">
      <w:pPr>
        <w:rPr>
          <w:b/>
          <w:bCs/>
        </w:rPr>
      </w:pPr>
    </w:p>
    <w:p w14:paraId="5F1678C6" w14:textId="77777777" w:rsidR="007D5C8C" w:rsidRDefault="007D5C8C" w:rsidP="00D65D33">
      <w:pPr>
        <w:rPr>
          <w:b/>
          <w:bCs/>
        </w:rPr>
      </w:pPr>
    </w:p>
    <w:p w14:paraId="1AA2415D" w14:textId="77777777" w:rsidR="007D5C8C" w:rsidRDefault="007D5C8C" w:rsidP="00D65D33">
      <w:pPr>
        <w:rPr>
          <w:b/>
          <w:bCs/>
        </w:rPr>
      </w:pPr>
    </w:p>
    <w:p w14:paraId="27133FE8" w14:textId="77777777" w:rsidR="007D5C8C" w:rsidRDefault="007D5C8C" w:rsidP="00D65D33">
      <w:pPr>
        <w:rPr>
          <w:b/>
          <w:bCs/>
        </w:rPr>
      </w:pPr>
    </w:p>
    <w:p w14:paraId="2F5A606D" w14:textId="77777777" w:rsidR="007D5C8C" w:rsidRDefault="007D5C8C" w:rsidP="00D65D33">
      <w:pPr>
        <w:rPr>
          <w:b/>
          <w:bCs/>
        </w:rPr>
      </w:pPr>
    </w:p>
    <w:p w14:paraId="345B1408" w14:textId="77777777" w:rsidR="007D5C8C" w:rsidRPr="00D65D33" w:rsidRDefault="007D5C8C" w:rsidP="00D65D33">
      <w:pPr>
        <w:rPr>
          <w:b/>
          <w:bCs/>
        </w:rPr>
      </w:pPr>
    </w:p>
    <w:p w14:paraId="07B865AA" w14:textId="2B07BB2D" w:rsidR="00D65D33" w:rsidRPr="0006765D" w:rsidRDefault="00D65D33" w:rsidP="00D65D33">
      <w:pPr>
        <w:pStyle w:val="Heading1"/>
        <w:spacing w:before="0" w:after="0" w:line="360" w:lineRule="auto"/>
        <w:jc w:val="center"/>
        <w:rPr>
          <w:rFonts w:ascii="Arial" w:hAnsi="Arial" w:cs="Arial"/>
          <w:b/>
          <w:bCs/>
          <w:color w:val="000000" w:themeColor="text1"/>
          <w:sz w:val="24"/>
          <w:szCs w:val="24"/>
        </w:rPr>
      </w:pPr>
      <w:bookmarkStart w:id="5" w:name="_Toc222350049"/>
      <w:r w:rsidRPr="0006765D">
        <w:rPr>
          <w:rFonts w:ascii="Arial" w:hAnsi="Arial" w:cs="Arial"/>
          <w:b/>
          <w:bCs/>
          <w:color w:val="000000" w:themeColor="text1"/>
          <w:sz w:val="24"/>
          <w:szCs w:val="24"/>
        </w:rPr>
        <w:lastRenderedPageBreak/>
        <w:t xml:space="preserve">7. </w:t>
      </w:r>
      <w:r w:rsidRPr="00D65D33">
        <w:rPr>
          <w:rFonts w:ascii="Arial" w:hAnsi="Arial" w:cs="Arial"/>
          <w:b/>
          <w:bCs/>
          <w:color w:val="000000" w:themeColor="text1"/>
          <w:sz w:val="24"/>
          <w:szCs w:val="24"/>
        </w:rPr>
        <w:t>Conclusion</w:t>
      </w:r>
      <w:bookmarkEnd w:id="5"/>
    </w:p>
    <w:p w14:paraId="0A063AC2" w14:textId="77777777" w:rsidR="0006765D" w:rsidRDefault="0006765D" w:rsidP="0006765D">
      <w:pPr>
        <w:spacing w:after="0" w:line="360" w:lineRule="auto"/>
        <w:jc w:val="both"/>
        <w:rPr>
          <w:rFonts w:ascii="Arial" w:hAnsi="Arial" w:cs="Arial"/>
        </w:rPr>
      </w:pPr>
    </w:p>
    <w:p w14:paraId="5361F92F" w14:textId="77777777"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This report has provided a strategic change management plan for CHH Conex in response to intense pressures from both the internal and external environment, such as digital disruption, growth in online shopping, move toward AI-enabled logistics and increases in customer expectations. </w:t>
      </w:r>
    </w:p>
    <w:p w14:paraId="7F647FF3" w14:textId="72737BD1"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Analysis established that CHH Conex had a traditional branch based operating model and using old legacy systems, which hold back their ability to successfully compete in an increasingly digital and aggressive construction supply vertical. The evaluation of change management models showed that they need a broad and hybrid approach, not prescriptive or strict but a combination of a guided structure with the flexibility required to manage continual digital transformation.</w:t>
      </w:r>
    </w:p>
    <w:p w14:paraId="31EAD55D" w14:textId="77777777" w:rsid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Leadership style and organisational culture proved to be vital enablers of the successful change. The dominance of transactional leadership and risk averse culture have stifled innovation and stalled digital adoption. Transformational and shared leadership styles with a collaborative and learning culture better supports CHH Conex’s goals of becoming a digitally enabled customer centric organisation.</w:t>
      </w:r>
    </w:p>
    <w:p w14:paraId="0F3710C3" w14:textId="67278703" w:rsidR="00D65D33" w:rsidRPr="0006765D" w:rsidRDefault="0006765D" w:rsidP="0006765D">
      <w:pPr>
        <w:spacing w:after="0" w:line="360" w:lineRule="auto"/>
        <w:ind w:firstLine="720"/>
        <w:jc w:val="both"/>
        <w:rPr>
          <w:rFonts w:ascii="Arial" w:hAnsi="Arial" w:cs="Arial"/>
          <w:sz w:val="24"/>
          <w:szCs w:val="24"/>
        </w:rPr>
      </w:pPr>
      <w:r w:rsidRPr="0006765D">
        <w:rPr>
          <w:rFonts w:ascii="Arial" w:hAnsi="Arial" w:cs="Arial"/>
          <w:sz w:val="24"/>
          <w:szCs w:val="24"/>
        </w:rPr>
        <w:t xml:space="preserve">This plan for managing change outlines a clear vision for metamorphosis from one state to another, with defined objectives, a capital outlay, communication methods, acceptable control metrics. If used wisely, this plan will bolster operational efficiency, improve the customer experience and enhance CHH Conex’s </w:t>
      </w:r>
      <w:r w:rsidRPr="0006765D">
        <w:rPr>
          <w:rFonts w:ascii="Arial" w:hAnsi="Arial" w:cs="Arial"/>
          <w:sz w:val="24"/>
          <w:szCs w:val="24"/>
        </w:rPr>
        <w:t>longer-term</w:t>
      </w:r>
      <w:r w:rsidRPr="0006765D">
        <w:rPr>
          <w:rFonts w:ascii="Arial" w:hAnsi="Arial" w:cs="Arial"/>
          <w:sz w:val="24"/>
          <w:szCs w:val="24"/>
        </w:rPr>
        <w:t xml:space="preserve"> competitiveness.</w:t>
      </w:r>
    </w:p>
    <w:p w14:paraId="3B953F07" w14:textId="77777777" w:rsidR="00D65D33" w:rsidRDefault="00D65D33" w:rsidP="00D65D33">
      <w:pPr>
        <w:rPr>
          <w:sz w:val="24"/>
          <w:szCs w:val="24"/>
        </w:rPr>
      </w:pPr>
    </w:p>
    <w:p w14:paraId="3F9BB50B" w14:textId="77777777" w:rsidR="007D5C8C" w:rsidRDefault="007D5C8C" w:rsidP="00D65D33">
      <w:pPr>
        <w:rPr>
          <w:sz w:val="24"/>
          <w:szCs w:val="24"/>
        </w:rPr>
      </w:pPr>
    </w:p>
    <w:p w14:paraId="216C7544" w14:textId="77777777" w:rsidR="007D5C8C" w:rsidRDefault="007D5C8C" w:rsidP="00D65D33">
      <w:pPr>
        <w:rPr>
          <w:sz w:val="24"/>
          <w:szCs w:val="24"/>
        </w:rPr>
      </w:pPr>
    </w:p>
    <w:p w14:paraId="2135C4FE" w14:textId="77777777" w:rsidR="007D5C8C" w:rsidRDefault="007D5C8C" w:rsidP="00D65D33">
      <w:pPr>
        <w:rPr>
          <w:sz w:val="24"/>
          <w:szCs w:val="24"/>
        </w:rPr>
      </w:pPr>
    </w:p>
    <w:p w14:paraId="485A48C7" w14:textId="77777777" w:rsidR="007D5C8C" w:rsidRDefault="007D5C8C" w:rsidP="00D65D33">
      <w:pPr>
        <w:rPr>
          <w:sz w:val="24"/>
          <w:szCs w:val="24"/>
        </w:rPr>
      </w:pPr>
    </w:p>
    <w:p w14:paraId="20E54AE1" w14:textId="77777777" w:rsidR="007D5C8C" w:rsidRDefault="007D5C8C" w:rsidP="00D65D33">
      <w:pPr>
        <w:rPr>
          <w:sz w:val="24"/>
          <w:szCs w:val="24"/>
        </w:rPr>
      </w:pPr>
    </w:p>
    <w:p w14:paraId="54BAAB76" w14:textId="77777777" w:rsidR="007D5C8C" w:rsidRPr="00D65D33" w:rsidRDefault="007D5C8C" w:rsidP="00D65D33">
      <w:pPr>
        <w:rPr>
          <w:sz w:val="24"/>
          <w:szCs w:val="24"/>
        </w:rPr>
      </w:pPr>
    </w:p>
    <w:p w14:paraId="4820D518" w14:textId="1623B84F" w:rsidR="00D65D33" w:rsidRPr="00D65D33" w:rsidRDefault="00D65D33" w:rsidP="00D65D33">
      <w:pPr>
        <w:pStyle w:val="Heading1"/>
        <w:spacing w:before="0" w:after="0" w:line="360" w:lineRule="auto"/>
        <w:jc w:val="center"/>
        <w:rPr>
          <w:rFonts w:ascii="Arial" w:hAnsi="Arial" w:cs="Arial"/>
          <w:color w:val="000000" w:themeColor="text1"/>
          <w:sz w:val="24"/>
          <w:szCs w:val="24"/>
        </w:rPr>
      </w:pPr>
      <w:bookmarkStart w:id="6" w:name="_Toc222350050"/>
      <w:r w:rsidRPr="00D65D33">
        <w:rPr>
          <w:rFonts w:ascii="Arial" w:hAnsi="Arial" w:cs="Arial"/>
          <w:b/>
          <w:bCs/>
          <w:color w:val="000000" w:themeColor="text1"/>
          <w:sz w:val="24"/>
          <w:szCs w:val="24"/>
        </w:rPr>
        <w:lastRenderedPageBreak/>
        <w:t>Reference</w:t>
      </w:r>
      <w:r w:rsidRPr="0006765D">
        <w:rPr>
          <w:rFonts w:ascii="Arial" w:hAnsi="Arial" w:cs="Arial"/>
          <w:b/>
          <w:bCs/>
          <w:color w:val="000000" w:themeColor="text1"/>
          <w:sz w:val="24"/>
          <w:szCs w:val="24"/>
        </w:rPr>
        <w:t>s</w:t>
      </w:r>
      <w:bookmarkEnd w:id="6"/>
    </w:p>
    <w:p w14:paraId="5CD74862" w14:textId="77777777" w:rsidR="00D65D33" w:rsidRPr="0006765D" w:rsidRDefault="00D65D33" w:rsidP="00D65D33">
      <w:pPr>
        <w:spacing w:after="0" w:line="360" w:lineRule="auto"/>
        <w:jc w:val="center"/>
        <w:rPr>
          <w:rFonts w:ascii="Arial" w:hAnsi="Arial" w:cs="Arial"/>
          <w:sz w:val="24"/>
          <w:szCs w:val="24"/>
        </w:rPr>
      </w:pPr>
    </w:p>
    <w:p w14:paraId="30B8A08A"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Alvesson, M. and Sveningsson, S. (2015) </w:t>
      </w:r>
      <w:r w:rsidRPr="0006765D">
        <w:rPr>
          <w:rFonts w:ascii="Arial" w:hAnsi="Arial" w:cs="Arial"/>
          <w:i/>
          <w:iCs/>
          <w:sz w:val="24"/>
          <w:szCs w:val="24"/>
        </w:rPr>
        <w:t>Changing Organizational Culture: Cultural Change Work in Progress</w:t>
      </w:r>
      <w:r w:rsidRPr="0006765D">
        <w:rPr>
          <w:rFonts w:ascii="Arial" w:hAnsi="Arial" w:cs="Arial"/>
          <w:sz w:val="24"/>
          <w:szCs w:val="24"/>
        </w:rPr>
        <w:t>. 2nd edn. London: Routledge.</w:t>
      </w:r>
    </w:p>
    <w:p w14:paraId="35F39730"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Armenakis, A.A. and Harris, S.G. (2009) ‘Reflections: Our journey in organizational change research’, </w:t>
      </w:r>
      <w:r w:rsidRPr="0006765D">
        <w:rPr>
          <w:rFonts w:ascii="Arial" w:hAnsi="Arial" w:cs="Arial"/>
          <w:i/>
          <w:iCs/>
          <w:sz w:val="24"/>
          <w:szCs w:val="24"/>
        </w:rPr>
        <w:t>Journal of Change Management</w:t>
      </w:r>
      <w:r w:rsidRPr="0006765D">
        <w:rPr>
          <w:rFonts w:ascii="Arial" w:hAnsi="Arial" w:cs="Arial"/>
          <w:sz w:val="24"/>
          <w:szCs w:val="24"/>
        </w:rPr>
        <w:t>, 9(2), pp. 127–142.</w:t>
      </w:r>
    </w:p>
    <w:p w14:paraId="5CFBEA19"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Bowersox, D.J., Closs, D.J. and Cooper, M.B. (2019) </w:t>
      </w:r>
      <w:r w:rsidRPr="0006765D">
        <w:rPr>
          <w:rFonts w:ascii="Arial" w:hAnsi="Arial" w:cs="Arial"/>
          <w:i/>
          <w:iCs/>
          <w:sz w:val="24"/>
          <w:szCs w:val="24"/>
        </w:rPr>
        <w:t>Supply Chain Logistics Management</w:t>
      </w:r>
      <w:r w:rsidRPr="0006765D">
        <w:rPr>
          <w:rFonts w:ascii="Arial" w:hAnsi="Arial" w:cs="Arial"/>
          <w:sz w:val="24"/>
          <w:szCs w:val="24"/>
        </w:rPr>
        <w:t>. 5th edn. New York: McGraw-Hill Education.</w:t>
      </w:r>
    </w:p>
    <w:p w14:paraId="47509CDE"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Burnes, B. (2017) </w:t>
      </w:r>
      <w:r w:rsidRPr="0006765D">
        <w:rPr>
          <w:rFonts w:ascii="Arial" w:hAnsi="Arial" w:cs="Arial"/>
          <w:i/>
          <w:iCs/>
          <w:sz w:val="24"/>
          <w:szCs w:val="24"/>
        </w:rPr>
        <w:t>Managing Change</w:t>
      </w:r>
      <w:r w:rsidRPr="0006765D">
        <w:rPr>
          <w:rFonts w:ascii="Arial" w:hAnsi="Arial" w:cs="Arial"/>
          <w:sz w:val="24"/>
          <w:szCs w:val="24"/>
        </w:rPr>
        <w:t>. 7th edn. Harlow: Pearson Education.</w:t>
      </w:r>
    </w:p>
    <w:p w14:paraId="7A9EDE0A"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Burns, J.M. (2012) </w:t>
      </w:r>
      <w:r w:rsidRPr="0006765D">
        <w:rPr>
          <w:rFonts w:ascii="Arial" w:hAnsi="Arial" w:cs="Arial"/>
          <w:i/>
          <w:iCs/>
          <w:sz w:val="24"/>
          <w:szCs w:val="24"/>
        </w:rPr>
        <w:t>Leadership</w:t>
      </w:r>
      <w:r w:rsidRPr="0006765D">
        <w:rPr>
          <w:rFonts w:ascii="Arial" w:hAnsi="Arial" w:cs="Arial"/>
          <w:sz w:val="24"/>
          <w:szCs w:val="24"/>
        </w:rPr>
        <w:t>. New York: Harper Perennial.</w:t>
      </w:r>
    </w:p>
    <w:p w14:paraId="3BB92D54"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Chaffey, D. and Ellis-Chadwick, F. (2019) </w:t>
      </w:r>
      <w:r w:rsidRPr="0006765D">
        <w:rPr>
          <w:rFonts w:ascii="Arial" w:hAnsi="Arial" w:cs="Arial"/>
          <w:i/>
          <w:iCs/>
          <w:sz w:val="24"/>
          <w:szCs w:val="24"/>
        </w:rPr>
        <w:t>Digital Marketing: Strategy, Implementation and Practice</w:t>
      </w:r>
      <w:r w:rsidRPr="0006765D">
        <w:rPr>
          <w:rFonts w:ascii="Arial" w:hAnsi="Arial" w:cs="Arial"/>
          <w:sz w:val="24"/>
          <w:szCs w:val="24"/>
        </w:rPr>
        <w:t>. 7th edn. Harlow: Pearson Education.</w:t>
      </w:r>
    </w:p>
    <w:p w14:paraId="4A0CC78E"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Christopher, M. (2016) </w:t>
      </w:r>
      <w:r w:rsidRPr="0006765D">
        <w:rPr>
          <w:rFonts w:ascii="Arial" w:hAnsi="Arial" w:cs="Arial"/>
          <w:i/>
          <w:iCs/>
          <w:sz w:val="24"/>
          <w:szCs w:val="24"/>
        </w:rPr>
        <w:t>Logistics and Supply Chain Management</w:t>
      </w:r>
      <w:r w:rsidRPr="0006765D">
        <w:rPr>
          <w:rFonts w:ascii="Arial" w:hAnsi="Arial" w:cs="Arial"/>
          <w:sz w:val="24"/>
          <w:szCs w:val="24"/>
        </w:rPr>
        <w:t>. 5th edn. Harlow: Pearson Education.</w:t>
      </w:r>
    </w:p>
    <w:p w14:paraId="67507CD5"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Grant, R.M. (2016) </w:t>
      </w:r>
      <w:r w:rsidRPr="0006765D">
        <w:rPr>
          <w:rFonts w:ascii="Arial" w:hAnsi="Arial" w:cs="Arial"/>
          <w:i/>
          <w:iCs/>
          <w:sz w:val="24"/>
          <w:szCs w:val="24"/>
        </w:rPr>
        <w:t>Contemporary Strategy Analysis</w:t>
      </w:r>
      <w:r w:rsidRPr="0006765D">
        <w:rPr>
          <w:rFonts w:ascii="Arial" w:hAnsi="Arial" w:cs="Arial"/>
          <w:sz w:val="24"/>
          <w:szCs w:val="24"/>
        </w:rPr>
        <w:t>. 9th edn. Chichester: Wiley.</w:t>
      </w:r>
    </w:p>
    <w:p w14:paraId="15D1E6F3"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Hamel, G. and Zanini, M. (2020) </w:t>
      </w:r>
      <w:r w:rsidRPr="0006765D">
        <w:rPr>
          <w:rFonts w:ascii="Arial" w:hAnsi="Arial" w:cs="Arial"/>
          <w:i/>
          <w:iCs/>
          <w:sz w:val="24"/>
          <w:szCs w:val="24"/>
        </w:rPr>
        <w:t>Humanocracy: Creating Organizations as Amazing as the People Inside Them</w:t>
      </w:r>
      <w:r w:rsidRPr="0006765D">
        <w:rPr>
          <w:rFonts w:ascii="Arial" w:hAnsi="Arial" w:cs="Arial"/>
          <w:sz w:val="24"/>
          <w:szCs w:val="24"/>
        </w:rPr>
        <w:t>. Boston, MA: Harvard Business Review Press.</w:t>
      </w:r>
    </w:p>
    <w:p w14:paraId="3095BD83"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Hayes, J. (2018) </w:t>
      </w:r>
      <w:r w:rsidRPr="0006765D">
        <w:rPr>
          <w:rFonts w:ascii="Arial" w:hAnsi="Arial" w:cs="Arial"/>
          <w:i/>
          <w:iCs/>
          <w:sz w:val="24"/>
          <w:szCs w:val="24"/>
        </w:rPr>
        <w:t>The Theory and Practice of Change Management</w:t>
      </w:r>
      <w:r w:rsidRPr="0006765D">
        <w:rPr>
          <w:rFonts w:ascii="Arial" w:hAnsi="Arial" w:cs="Arial"/>
          <w:sz w:val="24"/>
          <w:szCs w:val="24"/>
        </w:rPr>
        <w:t>. 5th edn. London: Palgrave Macmillan.</w:t>
      </w:r>
    </w:p>
    <w:p w14:paraId="7B941E22"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Hiatt, J.M. (2006) </w:t>
      </w:r>
      <w:r w:rsidRPr="0006765D">
        <w:rPr>
          <w:rFonts w:ascii="Arial" w:hAnsi="Arial" w:cs="Arial"/>
          <w:i/>
          <w:iCs/>
          <w:sz w:val="24"/>
          <w:szCs w:val="24"/>
        </w:rPr>
        <w:t>ADKAR: A Model for Change in Business, Government and Our Community</w:t>
      </w:r>
      <w:r w:rsidRPr="0006765D">
        <w:rPr>
          <w:rFonts w:ascii="Arial" w:hAnsi="Arial" w:cs="Arial"/>
          <w:sz w:val="24"/>
          <w:szCs w:val="24"/>
        </w:rPr>
        <w:t>. Loveland, CO: Prosci.</w:t>
      </w:r>
    </w:p>
    <w:p w14:paraId="7C54EC7E" w14:textId="398BAD8F"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Ivanov, D.,</w:t>
      </w:r>
      <w:r w:rsidRPr="0006765D">
        <w:rPr>
          <w:rFonts w:ascii="Arial" w:hAnsi="Arial" w:cs="Arial"/>
          <w:sz w:val="24"/>
          <w:szCs w:val="24"/>
        </w:rPr>
        <w:t xml:space="preserve"> </w:t>
      </w:r>
      <w:r w:rsidRPr="0006765D">
        <w:rPr>
          <w:rFonts w:ascii="Arial" w:hAnsi="Arial" w:cs="Arial"/>
          <w:sz w:val="24"/>
          <w:szCs w:val="24"/>
        </w:rPr>
        <w:t xml:space="preserve">Tsipoulanidis, A. and Schönberger, J. (2019) </w:t>
      </w:r>
      <w:r w:rsidRPr="0006765D">
        <w:rPr>
          <w:rFonts w:ascii="Arial" w:hAnsi="Arial" w:cs="Arial"/>
          <w:i/>
          <w:iCs/>
          <w:sz w:val="24"/>
          <w:szCs w:val="24"/>
        </w:rPr>
        <w:t>Global Supply Chain and Operations Management</w:t>
      </w:r>
      <w:r w:rsidRPr="0006765D">
        <w:rPr>
          <w:rFonts w:ascii="Arial" w:hAnsi="Arial" w:cs="Arial"/>
          <w:sz w:val="24"/>
          <w:szCs w:val="24"/>
        </w:rPr>
        <w:t>. 2nd edn. Cham: Springer.</w:t>
      </w:r>
    </w:p>
    <w:p w14:paraId="61019E93"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Johnson, G., Scholes, K. and Whittington, R. (2017) </w:t>
      </w:r>
      <w:r w:rsidRPr="0006765D">
        <w:rPr>
          <w:rFonts w:ascii="Arial" w:hAnsi="Arial" w:cs="Arial"/>
          <w:i/>
          <w:iCs/>
          <w:sz w:val="24"/>
          <w:szCs w:val="24"/>
        </w:rPr>
        <w:t>Exploring Strategy</w:t>
      </w:r>
      <w:r w:rsidRPr="0006765D">
        <w:rPr>
          <w:rFonts w:ascii="Arial" w:hAnsi="Arial" w:cs="Arial"/>
          <w:sz w:val="24"/>
          <w:szCs w:val="24"/>
        </w:rPr>
        <w:t>. 11th edn. Harlow: Pearson Education.</w:t>
      </w:r>
    </w:p>
    <w:p w14:paraId="162D5089"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Kotler, P., Kartajaya, H. and Setiawan, I. (2021) </w:t>
      </w:r>
      <w:r w:rsidRPr="0006765D">
        <w:rPr>
          <w:rFonts w:ascii="Arial" w:hAnsi="Arial" w:cs="Arial"/>
          <w:i/>
          <w:iCs/>
          <w:sz w:val="24"/>
          <w:szCs w:val="24"/>
        </w:rPr>
        <w:t>Marketing 5.0: Technology for Humanity</w:t>
      </w:r>
      <w:r w:rsidRPr="0006765D">
        <w:rPr>
          <w:rFonts w:ascii="Arial" w:hAnsi="Arial" w:cs="Arial"/>
          <w:sz w:val="24"/>
          <w:szCs w:val="24"/>
        </w:rPr>
        <w:t>. Hoboken, NJ: Wiley.</w:t>
      </w:r>
    </w:p>
    <w:p w14:paraId="63775728"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Kotter, J.P. (2012) </w:t>
      </w:r>
      <w:r w:rsidRPr="0006765D">
        <w:rPr>
          <w:rFonts w:ascii="Arial" w:hAnsi="Arial" w:cs="Arial"/>
          <w:i/>
          <w:iCs/>
          <w:sz w:val="24"/>
          <w:szCs w:val="24"/>
        </w:rPr>
        <w:t>Leading Change</w:t>
      </w:r>
      <w:r w:rsidRPr="0006765D">
        <w:rPr>
          <w:rFonts w:ascii="Arial" w:hAnsi="Arial" w:cs="Arial"/>
          <w:sz w:val="24"/>
          <w:szCs w:val="24"/>
        </w:rPr>
        <w:t>. Boston, MA: Harvard Business Review Press.</w:t>
      </w:r>
    </w:p>
    <w:p w14:paraId="74578CFE"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Kotter, J.P. and Cohen, D.S. (2012) </w:t>
      </w:r>
      <w:r w:rsidRPr="0006765D">
        <w:rPr>
          <w:rFonts w:ascii="Arial" w:hAnsi="Arial" w:cs="Arial"/>
          <w:i/>
          <w:iCs/>
          <w:sz w:val="24"/>
          <w:szCs w:val="24"/>
        </w:rPr>
        <w:t>The Heart of Change</w:t>
      </w:r>
      <w:r w:rsidRPr="0006765D">
        <w:rPr>
          <w:rFonts w:ascii="Arial" w:hAnsi="Arial" w:cs="Arial"/>
          <w:sz w:val="24"/>
          <w:szCs w:val="24"/>
        </w:rPr>
        <w:t>. Boston, MA: Harvard Business Review Press.</w:t>
      </w:r>
    </w:p>
    <w:p w14:paraId="5DC8E8F4"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lastRenderedPageBreak/>
        <w:t xml:space="preserve">Meyer, C.B. and Stensaker, I.G. (2019) </w:t>
      </w:r>
      <w:r w:rsidRPr="0006765D">
        <w:rPr>
          <w:rFonts w:ascii="Arial" w:hAnsi="Arial" w:cs="Arial"/>
          <w:i/>
          <w:iCs/>
          <w:sz w:val="24"/>
          <w:szCs w:val="24"/>
        </w:rPr>
        <w:t>Developing Capacity for Change</w:t>
      </w:r>
      <w:r w:rsidRPr="0006765D">
        <w:rPr>
          <w:rFonts w:ascii="Arial" w:hAnsi="Arial" w:cs="Arial"/>
          <w:sz w:val="24"/>
          <w:szCs w:val="24"/>
        </w:rPr>
        <w:t>. 2nd edn. London: Routledge.</w:t>
      </w:r>
    </w:p>
    <w:p w14:paraId="7F9DBC11"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Northouse, P.G. (2021) </w:t>
      </w:r>
      <w:r w:rsidRPr="0006765D">
        <w:rPr>
          <w:rFonts w:ascii="Arial" w:hAnsi="Arial" w:cs="Arial"/>
          <w:i/>
          <w:iCs/>
          <w:sz w:val="24"/>
          <w:szCs w:val="24"/>
        </w:rPr>
        <w:t>Leadership: Theory and Practice</w:t>
      </w:r>
      <w:r w:rsidRPr="0006765D">
        <w:rPr>
          <w:rFonts w:ascii="Arial" w:hAnsi="Arial" w:cs="Arial"/>
          <w:sz w:val="24"/>
          <w:szCs w:val="24"/>
        </w:rPr>
        <w:t>. 9th edn. Thousand Oaks, CA: Sage Publications.</w:t>
      </w:r>
    </w:p>
    <w:p w14:paraId="6144D9CD"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Porter, M.E. (2008) </w:t>
      </w:r>
      <w:r w:rsidRPr="0006765D">
        <w:rPr>
          <w:rFonts w:ascii="Arial" w:hAnsi="Arial" w:cs="Arial"/>
          <w:i/>
          <w:iCs/>
          <w:sz w:val="24"/>
          <w:szCs w:val="24"/>
        </w:rPr>
        <w:t>On Competition</w:t>
      </w:r>
      <w:r w:rsidRPr="0006765D">
        <w:rPr>
          <w:rFonts w:ascii="Arial" w:hAnsi="Arial" w:cs="Arial"/>
          <w:sz w:val="24"/>
          <w:szCs w:val="24"/>
        </w:rPr>
        <w:t>. Boston, MA: Harvard Business School Press.</w:t>
      </w:r>
    </w:p>
    <w:p w14:paraId="2964709B"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Richards, G. (2020) </w:t>
      </w:r>
      <w:r w:rsidRPr="0006765D">
        <w:rPr>
          <w:rFonts w:ascii="Arial" w:hAnsi="Arial" w:cs="Arial"/>
          <w:i/>
          <w:iCs/>
          <w:sz w:val="24"/>
          <w:szCs w:val="24"/>
        </w:rPr>
        <w:t>Warehouse Management: A Complete Guide to Improving Efficiency and Minimising Costs in the Modern Warehouse</w:t>
      </w:r>
      <w:r w:rsidRPr="0006765D">
        <w:rPr>
          <w:rFonts w:ascii="Arial" w:hAnsi="Arial" w:cs="Arial"/>
          <w:sz w:val="24"/>
          <w:szCs w:val="24"/>
        </w:rPr>
        <w:t>. 3rd edn. London: Kogan Page.</w:t>
      </w:r>
    </w:p>
    <w:p w14:paraId="0D40A9B4"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Rushton, A., Croucher, P. and Baker, P. (2022) </w:t>
      </w:r>
      <w:r w:rsidRPr="0006765D">
        <w:rPr>
          <w:rFonts w:ascii="Arial" w:hAnsi="Arial" w:cs="Arial"/>
          <w:i/>
          <w:iCs/>
          <w:sz w:val="24"/>
          <w:szCs w:val="24"/>
        </w:rPr>
        <w:t>The Handbook of Logistics and Distribution Management</w:t>
      </w:r>
      <w:r w:rsidRPr="0006765D">
        <w:rPr>
          <w:rFonts w:ascii="Arial" w:hAnsi="Arial" w:cs="Arial"/>
          <w:sz w:val="24"/>
          <w:szCs w:val="24"/>
        </w:rPr>
        <w:t>. 7th edn. London: Kogan Page.</w:t>
      </w:r>
    </w:p>
    <w:p w14:paraId="04BB0522"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Slack, N., Brandon-Jones, A. and Johnston, R. (2019) </w:t>
      </w:r>
      <w:r w:rsidRPr="0006765D">
        <w:rPr>
          <w:rFonts w:ascii="Arial" w:hAnsi="Arial" w:cs="Arial"/>
          <w:i/>
          <w:iCs/>
          <w:sz w:val="24"/>
          <w:szCs w:val="24"/>
        </w:rPr>
        <w:t>Operations Management</w:t>
      </w:r>
      <w:r w:rsidRPr="0006765D">
        <w:rPr>
          <w:rFonts w:ascii="Arial" w:hAnsi="Arial" w:cs="Arial"/>
          <w:sz w:val="24"/>
          <w:szCs w:val="24"/>
        </w:rPr>
        <w:t>. 9th edn. Harlow: Pearson Education.</w:t>
      </w:r>
    </w:p>
    <w:p w14:paraId="15C0994F"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Teece, D.J. (2018) ‘Business models and dynamic capabilities’, </w:t>
      </w:r>
      <w:r w:rsidRPr="0006765D">
        <w:rPr>
          <w:rFonts w:ascii="Arial" w:hAnsi="Arial" w:cs="Arial"/>
          <w:i/>
          <w:iCs/>
          <w:sz w:val="24"/>
          <w:szCs w:val="24"/>
        </w:rPr>
        <w:t>Long Range Planning</w:t>
      </w:r>
      <w:r w:rsidRPr="0006765D">
        <w:rPr>
          <w:rFonts w:ascii="Arial" w:hAnsi="Arial" w:cs="Arial"/>
          <w:sz w:val="24"/>
          <w:szCs w:val="24"/>
        </w:rPr>
        <w:t>, 51(1), pp. 40–49.</w:t>
      </w:r>
    </w:p>
    <w:p w14:paraId="18C628C5"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Vial, G. (2019) ‘Understanding digital transformation: A review and a research agenda’, </w:t>
      </w:r>
      <w:r w:rsidRPr="0006765D">
        <w:rPr>
          <w:rFonts w:ascii="Arial" w:hAnsi="Arial" w:cs="Arial"/>
          <w:i/>
          <w:iCs/>
          <w:sz w:val="24"/>
          <w:szCs w:val="24"/>
        </w:rPr>
        <w:t>The Journal of Strategic Information Systems</w:t>
      </w:r>
      <w:r w:rsidRPr="0006765D">
        <w:rPr>
          <w:rFonts w:ascii="Arial" w:hAnsi="Arial" w:cs="Arial"/>
          <w:sz w:val="24"/>
          <w:szCs w:val="24"/>
        </w:rPr>
        <w:t>, 28(2), pp. 118–144.</w:t>
      </w:r>
    </w:p>
    <w:p w14:paraId="0516C278"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Waller, M.A. and Fawcett, S.E. (2014) ‘Data science, predictive analytics, and big data: A revolution that will transform supply chain design and management’, </w:t>
      </w:r>
      <w:r w:rsidRPr="0006765D">
        <w:rPr>
          <w:rFonts w:ascii="Arial" w:hAnsi="Arial" w:cs="Arial"/>
          <w:i/>
          <w:iCs/>
          <w:sz w:val="24"/>
          <w:szCs w:val="24"/>
        </w:rPr>
        <w:t>Journal of Business Logistics</w:t>
      </w:r>
      <w:r w:rsidRPr="0006765D">
        <w:rPr>
          <w:rFonts w:ascii="Arial" w:hAnsi="Arial" w:cs="Arial"/>
          <w:sz w:val="24"/>
          <w:szCs w:val="24"/>
        </w:rPr>
        <w:t>, 34(2), pp. 77–84.</w:t>
      </w:r>
    </w:p>
    <w:p w14:paraId="552F3236"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Waterman, R.H., Peters, T.J. and Phillips, J.R. (1980) ‘Structure is not organization’, </w:t>
      </w:r>
      <w:r w:rsidRPr="0006765D">
        <w:rPr>
          <w:rFonts w:ascii="Arial" w:hAnsi="Arial" w:cs="Arial"/>
          <w:i/>
          <w:iCs/>
          <w:sz w:val="24"/>
          <w:szCs w:val="24"/>
        </w:rPr>
        <w:t>Business Horizons</w:t>
      </w:r>
      <w:r w:rsidRPr="0006765D">
        <w:rPr>
          <w:rFonts w:ascii="Arial" w:hAnsi="Arial" w:cs="Arial"/>
          <w:sz w:val="24"/>
          <w:szCs w:val="24"/>
        </w:rPr>
        <w:t>, 23(3), pp. 14–26.</w:t>
      </w:r>
    </w:p>
    <w:p w14:paraId="0EA61970" w14:textId="77777777" w:rsidR="0006765D" w:rsidRPr="0006765D" w:rsidRDefault="0006765D" w:rsidP="0006765D">
      <w:pPr>
        <w:spacing w:after="0" w:line="360" w:lineRule="auto"/>
        <w:ind w:left="720" w:hanging="720"/>
        <w:jc w:val="both"/>
        <w:rPr>
          <w:rFonts w:ascii="Arial" w:hAnsi="Arial" w:cs="Arial"/>
          <w:sz w:val="24"/>
          <w:szCs w:val="24"/>
        </w:rPr>
      </w:pPr>
      <w:r w:rsidRPr="0006765D">
        <w:rPr>
          <w:rFonts w:ascii="Arial" w:hAnsi="Arial" w:cs="Arial"/>
          <w:sz w:val="24"/>
          <w:szCs w:val="24"/>
        </w:rPr>
        <w:t xml:space="preserve">Yukl, G. (2013) </w:t>
      </w:r>
      <w:r w:rsidRPr="0006765D">
        <w:rPr>
          <w:rFonts w:ascii="Arial" w:hAnsi="Arial" w:cs="Arial"/>
          <w:i/>
          <w:iCs/>
          <w:sz w:val="24"/>
          <w:szCs w:val="24"/>
        </w:rPr>
        <w:t>Leadership in Organizations</w:t>
      </w:r>
      <w:r w:rsidRPr="0006765D">
        <w:rPr>
          <w:rFonts w:ascii="Arial" w:hAnsi="Arial" w:cs="Arial"/>
          <w:sz w:val="24"/>
          <w:szCs w:val="24"/>
        </w:rPr>
        <w:t>. 8th edn. Harlow: Pearson Education.</w:t>
      </w:r>
    </w:p>
    <w:p w14:paraId="0944FF35" w14:textId="77777777" w:rsidR="00D65D33" w:rsidRPr="0006765D" w:rsidRDefault="00D65D33" w:rsidP="00D65D33">
      <w:pPr>
        <w:spacing w:after="0" w:line="360" w:lineRule="auto"/>
        <w:jc w:val="center"/>
        <w:rPr>
          <w:rFonts w:ascii="Arial" w:hAnsi="Arial" w:cs="Arial"/>
          <w:sz w:val="24"/>
          <w:szCs w:val="24"/>
        </w:rPr>
      </w:pPr>
    </w:p>
    <w:p w14:paraId="4F25786D" w14:textId="77777777" w:rsidR="004171D6" w:rsidRDefault="004171D6"/>
    <w:sectPr w:rsidR="004171D6" w:rsidSect="007D5C8C">
      <w:footerReference w:type="default" r:id="rId11"/>
      <w:pgSz w:w="12240" w:h="15840"/>
      <w:pgMar w:top="1440" w:right="1440" w:bottom="1440" w:left="1440" w:header="720" w:footer="720" w:gutter="0"/>
      <w:pgNumType w:start="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F3E75" w14:textId="77777777" w:rsidR="0055180F" w:rsidRDefault="0055180F" w:rsidP="007D5C8C">
      <w:pPr>
        <w:spacing w:after="0" w:line="240" w:lineRule="auto"/>
      </w:pPr>
      <w:r>
        <w:separator/>
      </w:r>
    </w:p>
  </w:endnote>
  <w:endnote w:type="continuationSeparator" w:id="0">
    <w:p w14:paraId="72313712" w14:textId="77777777" w:rsidR="0055180F" w:rsidRDefault="0055180F" w:rsidP="007D5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D5DF25" w14:textId="0C3A5A4C" w:rsidR="007D5C8C" w:rsidRDefault="007D5C8C">
    <w:pPr>
      <w:pStyle w:val="Footer"/>
      <w:jc w:val="center"/>
    </w:pPr>
  </w:p>
  <w:p w14:paraId="7D9F3B33" w14:textId="77777777" w:rsidR="007D5C8C" w:rsidRDefault="007D5C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1395529"/>
      <w:docPartObj>
        <w:docPartGallery w:val="Page Numbers (Bottom of Page)"/>
        <w:docPartUnique/>
      </w:docPartObj>
    </w:sdtPr>
    <w:sdtEndPr>
      <w:rPr>
        <w:noProof/>
      </w:rPr>
    </w:sdtEndPr>
    <w:sdtContent>
      <w:p w14:paraId="3A179E42" w14:textId="77777777" w:rsidR="007D5C8C" w:rsidRDefault="007D5C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F1CFF" w14:textId="77777777" w:rsidR="007D5C8C" w:rsidRDefault="007D5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E0179" w14:textId="77777777" w:rsidR="0055180F" w:rsidRDefault="0055180F" w:rsidP="007D5C8C">
      <w:pPr>
        <w:spacing w:after="0" w:line="240" w:lineRule="auto"/>
      </w:pPr>
      <w:r>
        <w:separator/>
      </w:r>
    </w:p>
  </w:footnote>
  <w:footnote w:type="continuationSeparator" w:id="0">
    <w:p w14:paraId="1B49019A" w14:textId="77777777" w:rsidR="0055180F" w:rsidRDefault="0055180F" w:rsidP="007D5C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047"/>
    <w:rsid w:val="0000753D"/>
    <w:rsid w:val="0002483A"/>
    <w:rsid w:val="00050BB9"/>
    <w:rsid w:val="0006765D"/>
    <w:rsid w:val="000B414E"/>
    <w:rsid w:val="00154C45"/>
    <w:rsid w:val="001A5483"/>
    <w:rsid w:val="002152C0"/>
    <w:rsid w:val="00303839"/>
    <w:rsid w:val="00357283"/>
    <w:rsid w:val="00377C82"/>
    <w:rsid w:val="003F736B"/>
    <w:rsid w:val="004171D6"/>
    <w:rsid w:val="0045723F"/>
    <w:rsid w:val="00472C65"/>
    <w:rsid w:val="004F5C64"/>
    <w:rsid w:val="004F76F2"/>
    <w:rsid w:val="0051798A"/>
    <w:rsid w:val="00524867"/>
    <w:rsid w:val="005366F5"/>
    <w:rsid w:val="0055180F"/>
    <w:rsid w:val="005609AF"/>
    <w:rsid w:val="005803E1"/>
    <w:rsid w:val="005A699C"/>
    <w:rsid w:val="00616640"/>
    <w:rsid w:val="006167E1"/>
    <w:rsid w:val="00644B49"/>
    <w:rsid w:val="006C5CAE"/>
    <w:rsid w:val="0072387E"/>
    <w:rsid w:val="0076780F"/>
    <w:rsid w:val="007B3D09"/>
    <w:rsid w:val="007C57ED"/>
    <w:rsid w:val="007D5C8C"/>
    <w:rsid w:val="00852CE6"/>
    <w:rsid w:val="008746C3"/>
    <w:rsid w:val="00882047"/>
    <w:rsid w:val="00927F8B"/>
    <w:rsid w:val="0094066F"/>
    <w:rsid w:val="00941BAC"/>
    <w:rsid w:val="00963021"/>
    <w:rsid w:val="0098747B"/>
    <w:rsid w:val="009B2AC9"/>
    <w:rsid w:val="009E7168"/>
    <w:rsid w:val="009F4C34"/>
    <w:rsid w:val="009F6B2E"/>
    <w:rsid w:val="009F7F8E"/>
    <w:rsid w:val="00AC59C6"/>
    <w:rsid w:val="00B2735D"/>
    <w:rsid w:val="00BA4E16"/>
    <w:rsid w:val="00BB74BD"/>
    <w:rsid w:val="00C2087F"/>
    <w:rsid w:val="00C67745"/>
    <w:rsid w:val="00CB0CAC"/>
    <w:rsid w:val="00CE750D"/>
    <w:rsid w:val="00D25CCE"/>
    <w:rsid w:val="00D46DD3"/>
    <w:rsid w:val="00D65D33"/>
    <w:rsid w:val="00DA62C6"/>
    <w:rsid w:val="00DA7955"/>
    <w:rsid w:val="00DC11C9"/>
    <w:rsid w:val="00E9305F"/>
    <w:rsid w:val="00F35A8C"/>
    <w:rsid w:val="00F41EE0"/>
    <w:rsid w:val="00F51377"/>
    <w:rsid w:val="00F863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3CAA5"/>
  <w15:chartTrackingRefBased/>
  <w15:docId w15:val="{7F292B9F-C0C8-4EF1-8AB4-4EDFD5516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D33"/>
    <w:pPr>
      <w:spacing w:after="200" w:line="276" w:lineRule="auto"/>
    </w:pPr>
    <w:rPr>
      <w:rFonts w:eastAsiaTheme="minorEastAsia"/>
      <w:kern w:val="0"/>
      <w:sz w:val="22"/>
      <w:szCs w:val="22"/>
      <w:lang w:val="en-GB"/>
      <w14:ligatures w14:val="none"/>
    </w:rPr>
  </w:style>
  <w:style w:type="paragraph" w:styleId="Heading1">
    <w:name w:val="heading 1"/>
    <w:basedOn w:val="Normal"/>
    <w:next w:val="Normal"/>
    <w:link w:val="Heading1Char"/>
    <w:uiPriority w:val="9"/>
    <w:qFormat/>
    <w:rsid w:val="008820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820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20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20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820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82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047"/>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882047"/>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882047"/>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82047"/>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82047"/>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882047"/>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82047"/>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882047"/>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8204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882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047"/>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82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04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82047"/>
    <w:pPr>
      <w:spacing w:before="160"/>
      <w:jc w:val="center"/>
    </w:pPr>
    <w:rPr>
      <w:i/>
      <w:iCs/>
      <w:color w:val="404040" w:themeColor="text1" w:themeTint="BF"/>
    </w:rPr>
  </w:style>
  <w:style w:type="character" w:customStyle="1" w:styleId="QuoteChar">
    <w:name w:val="Quote Char"/>
    <w:basedOn w:val="DefaultParagraphFont"/>
    <w:link w:val="Quote"/>
    <w:uiPriority w:val="29"/>
    <w:rsid w:val="00882047"/>
    <w:rPr>
      <w:i/>
      <w:iCs/>
      <w:color w:val="404040" w:themeColor="text1" w:themeTint="BF"/>
      <w:lang w:val="en-GB"/>
    </w:rPr>
  </w:style>
  <w:style w:type="paragraph" w:styleId="ListParagraph">
    <w:name w:val="List Paragraph"/>
    <w:basedOn w:val="Normal"/>
    <w:uiPriority w:val="34"/>
    <w:qFormat/>
    <w:rsid w:val="00882047"/>
    <w:pPr>
      <w:ind w:left="720"/>
      <w:contextualSpacing/>
    </w:pPr>
  </w:style>
  <w:style w:type="character" w:styleId="IntenseEmphasis">
    <w:name w:val="Intense Emphasis"/>
    <w:basedOn w:val="DefaultParagraphFont"/>
    <w:uiPriority w:val="21"/>
    <w:qFormat/>
    <w:rsid w:val="00882047"/>
    <w:rPr>
      <w:i/>
      <w:iCs/>
      <w:color w:val="2F5496" w:themeColor="accent1" w:themeShade="BF"/>
    </w:rPr>
  </w:style>
  <w:style w:type="paragraph" w:styleId="IntenseQuote">
    <w:name w:val="Intense Quote"/>
    <w:basedOn w:val="Normal"/>
    <w:next w:val="Normal"/>
    <w:link w:val="IntenseQuoteChar"/>
    <w:uiPriority w:val="30"/>
    <w:qFormat/>
    <w:rsid w:val="008820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82047"/>
    <w:rPr>
      <w:i/>
      <w:iCs/>
      <w:color w:val="2F5496" w:themeColor="accent1" w:themeShade="BF"/>
      <w:lang w:val="en-GB"/>
    </w:rPr>
  </w:style>
  <w:style w:type="character" w:styleId="IntenseReference">
    <w:name w:val="Intense Reference"/>
    <w:basedOn w:val="DefaultParagraphFont"/>
    <w:uiPriority w:val="32"/>
    <w:qFormat/>
    <w:rsid w:val="00882047"/>
    <w:rPr>
      <w:b/>
      <w:bCs/>
      <w:smallCaps/>
      <w:color w:val="2F5496" w:themeColor="accent1" w:themeShade="BF"/>
      <w:spacing w:val="5"/>
    </w:rPr>
  </w:style>
  <w:style w:type="paragraph" w:styleId="TOCHeading">
    <w:name w:val="TOC Heading"/>
    <w:basedOn w:val="Heading1"/>
    <w:next w:val="Normal"/>
    <w:uiPriority w:val="39"/>
    <w:unhideWhenUsed/>
    <w:qFormat/>
    <w:rsid w:val="00D65D33"/>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D65D33"/>
    <w:pPr>
      <w:spacing w:after="100"/>
    </w:pPr>
  </w:style>
  <w:style w:type="character" w:styleId="Hyperlink">
    <w:name w:val="Hyperlink"/>
    <w:basedOn w:val="DefaultParagraphFont"/>
    <w:uiPriority w:val="99"/>
    <w:unhideWhenUsed/>
    <w:rsid w:val="00D65D33"/>
    <w:rPr>
      <w:color w:val="0563C1" w:themeColor="hyperlink"/>
      <w:u w:val="single"/>
    </w:rPr>
  </w:style>
  <w:style w:type="paragraph" w:styleId="Header">
    <w:name w:val="header"/>
    <w:basedOn w:val="Normal"/>
    <w:link w:val="HeaderChar"/>
    <w:uiPriority w:val="99"/>
    <w:unhideWhenUsed/>
    <w:rsid w:val="007D5C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5C8C"/>
    <w:rPr>
      <w:rFonts w:eastAsiaTheme="minorEastAsia"/>
      <w:kern w:val="0"/>
      <w:sz w:val="22"/>
      <w:szCs w:val="22"/>
      <w:lang w:val="en-GB"/>
      <w14:ligatures w14:val="none"/>
    </w:rPr>
  </w:style>
  <w:style w:type="paragraph" w:styleId="Footer">
    <w:name w:val="footer"/>
    <w:basedOn w:val="Normal"/>
    <w:link w:val="FooterChar"/>
    <w:uiPriority w:val="99"/>
    <w:unhideWhenUsed/>
    <w:rsid w:val="007D5C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C8C"/>
    <w:rPr>
      <w:rFonts w:eastAsiaTheme="minorEastAsia"/>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23</Pages>
  <Words>5211</Words>
  <Characters>29704</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2026-02-18T21:17:00Z</dcterms:created>
  <dcterms:modified xsi:type="dcterms:W3CDTF">2026-02-18T22:07:00Z</dcterms:modified>
</cp:coreProperties>
</file>