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D6DA5" w14:textId="77777777" w:rsidR="00094C21" w:rsidRDefault="00000000">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STAKEHOLDER MANAGEMENT PLAN PORTFOLIO</w:t>
      </w:r>
    </w:p>
    <w:p w14:paraId="0E742D15" w14:textId="77777777" w:rsidR="00094C21" w:rsidRDefault="00094C21">
      <w:pPr>
        <w:spacing w:line="360" w:lineRule="auto"/>
        <w:jc w:val="center"/>
        <w:rPr>
          <w:rFonts w:ascii="Times New Roman" w:hAnsi="Times New Roman" w:cs="Times New Roman"/>
          <w:b/>
          <w:bCs/>
          <w:sz w:val="36"/>
          <w:szCs w:val="36"/>
        </w:rPr>
      </w:pPr>
    </w:p>
    <w:p w14:paraId="19F245D0" w14:textId="77777777" w:rsidR="00094C21" w:rsidRDefault="00000000">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PROPOSED LOCAL INFRASTRUCTURE PROJECT: DEVELOPMENT OF A NEW PUBLIC PARK</w:t>
      </w:r>
    </w:p>
    <w:p w14:paraId="7E6D0577" w14:textId="77777777" w:rsidR="00094C21" w:rsidRDefault="00094C21">
      <w:pPr>
        <w:spacing w:line="360" w:lineRule="auto"/>
        <w:jc w:val="center"/>
        <w:rPr>
          <w:rFonts w:ascii="Times New Roman" w:hAnsi="Times New Roman" w:cs="Times New Roman"/>
          <w:b/>
          <w:bCs/>
          <w:sz w:val="36"/>
          <w:szCs w:val="36"/>
        </w:rPr>
      </w:pPr>
    </w:p>
    <w:p w14:paraId="37779C51" w14:textId="77777777" w:rsidR="00094C21" w:rsidRDefault="00000000">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LCBB4013 STAKEHOLDER MANAGEMENT</w:t>
      </w:r>
    </w:p>
    <w:p w14:paraId="02B4B376" w14:textId="77777777" w:rsidR="00094C21" w:rsidRDefault="00094C21">
      <w:pPr>
        <w:spacing w:line="360" w:lineRule="auto"/>
        <w:jc w:val="center"/>
        <w:rPr>
          <w:rFonts w:ascii="Times New Roman" w:hAnsi="Times New Roman" w:cs="Times New Roman"/>
          <w:b/>
          <w:bCs/>
          <w:sz w:val="36"/>
          <w:szCs w:val="36"/>
        </w:rPr>
      </w:pPr>
    </w:p>
    <w:p w14:paraId="695555C9" w14:textId="77777777" w:rsidR="00094C21" w:rsidRDefault="00000000">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GRUIA CRAESCU</w:t>
      </w:r>
    </w:p>
    <w:p w14:paraId="09C8E867" w14:textId="15CDE0E7" w:rsidR="00094C21" w:rsidRDefault="00000000">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w:t>
      </w:r>
      <w:r w:rsidR="002A1A1B">
        <w:rPr>
          <w:rFonts w:ascii="Times New Roman" w:hAnsi="Times New Roman" w:cs="Times New Roman"/>
          <w:b/>
          <w:bCs/>
          <w:sz w:val="36"/>
          <w:szCs w:val="36"/>
        </w:rPr>
        <w:t xml:space="preserve"> </w:t>
      </w:r>
      <w:r w:rsidR="00B93576">
        <w:rPr>
          <w:rFonts w:ascii="Times New Roman" w:hAnsi="Times New Roman" w:cs="Times New Roman"/>
          <w:b/>
          <w:bCs/>
          <w:sz w:val="36"/>
          <w:szCs w:val="36"/>
        </w:rPr>
        <w:t>2237626</w:t>
      </w:r>
    </w:p>
    <w:p w14:paraId="7B885C81" w14:textId="77777777" w:rsidR="00094C21" w:rsidRDefault="00094C21"/>
    <w:p w14:paraId="62872A66" w14:textId="3E02ADD7" w:rsidR="00445132" w:rsidRDefault="00000000" w:rsidP="00445132">
      <w:r>
        <w:br w:type="page"/>
      </w:r>
    </w:p>
    <w:sdt>
      <w:sdtPr>
        <w:rPr>
          <w:rFonts w:ascii="Times New Roman" w:hAnsi="Times New Roman" w:cs="Times New Roman"/>
          <w:b/>
          <w:bCs/>
          <w:color w:val="000000" w:themeColor="text1"/>
        </w:rPr>
        <w:id w:val="23598378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6727FDD" w14:textId="6044521B" w:rsidR="00445132" w:rsidRDefault="00445132" w:rsidP="00445132">
          <w:pPr>
            <w:pStyle w:val="TOCHeading"/>
            <w:jc w:val="center"/>
            <w:rPr>
              <w:rFonts w:ascii="Times New Roman" w:hAnsi="Times New Roman" w:cs="Times New Roman"/>
              <w:b/>
              <w:bCs/>
              <w:color w:val="000000" w:themeColor="text1"/>
            </w:rPr>
          </w:pPr>
          <w:r w:rsidRPr="00445132">
            <w:rPr>
              <w:rFonts w:ascii="Times New Roman" w:hAnsi="Times New Roman" w:cs="Times New Roman"/>
              <w:b/>
              <w:bCs/>
              <w:color w:val="000000" w:themeColor="text1"/>
            </w:rPr>
            <w:t>TABLE OF CONTENTS</w:t>
          </w:r>
        </w:p>
        <w:p w14:paraId="2A89B4C7" w14:textId="77777777" w:rsidR="00445132" w:rsidRPr="00445132" w:rsidRDefault="00445132" w:rsidP="00445132">
          <w:pPr>
            <w:rPr>
              <w:lang w:val="en-US"/>
            </w:rPr>
          </w:pPr>
        </w:p>
        <w:p w14:paraId="75AEFF6D" w14:textId="3DE45D49" w:rsidR="00445132" w:rsidRPr="00445132" w:rsidRDefault="00445132">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216742611" w:history="1">
            <w:r w:rsidRPr="00445132">
              <w:rPr>
                <w:rStyle w:val="Hyperlink"/>
                <w:rFonts w:ascii="Times New Roman" w:hAnsi="Times New Roman" w:cs="Times New Roman"/>
                <w:b/>
                <w:bCs/>
                <w:noProof/>
                <w:sz w:val="24"/>
                <w:szCs w:val="24"/>
              </w:rPr>
              <w:t>ELEMENT 1: INTRODUCTION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_Toc216742611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3</w:t>
            </w:r>
            <w:r w:rsidRPr="00445132">
              <w:rPr>
                <w:rFonts w:ascii="Times New Roman" w:hAnsi="Times New Roman" w:cs="Times New Roman"/>
                <w:noProof/>
                <w:webHidden/>
                <w:sz w:val="24"/>
                <w:szCs w:val="24"/>
              </w:rPr>
              <w:fldChar w:fldCharType="end"/>
            </w:r>
          </w:hyperlink>
        </w:p>
        <w:p w14:paraId="5589DC2D" w14:textId="2F730A65" w:rsidR="00445132" w:rsidRPr="00445132" w:rsidRDefault="00445132">
          <w:pPr>
            <w:pStyle w:val="TOC1"/>
            <w:tabs>
              <w:tab w:val="right" w:leader="dot" w:pos="9016"/>
            </w:tabs>
            <w:rPr>
              <w:rFonts w:ascii="Times New Roman" w:hAnsi="Times New Roman" w:cs="Times New Roman"/>
              <w:noProof/>
              <w:sz w:val="24"/>
              <w:szCs w:val="24"/>
            </w:rPr>
          </w:pPr>
          <w:hyperlink w:anchor="_Toc216742612" w:history="1">
            <w:r w:rsidRPr="00445132">
              <w:rPr>
                <w:rStyle w:val="Hyperlink"/>
                <w:rFonts w:ascii="Times New Roman" w:hAnsi="Times New Roman" w:cs="Times New Roman"/>
                <w:b/>
                <w:bCs/>
                <w:noProof/>
                <w:sz w:val="24"/>
                <w:szCs w:val="24"/>
              </w:rPr>
              <w:t>ELEMENT 2: APPLICATION INCLUDING STAKEHOLDER MANAGEMENT STRATEGIES</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_Toc216742612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4</w:t>
            </w:r>
            <w:r w:rsidRPr="00445132">
              <w:rPr>
                <w:rFonts w:ascii="Times New Roman" w:hAnsi="Times New Roman" w:cs="Times New Roman"/>
                <w:noProof/>
                <w:webHidden/>
                <w:sz w:val="24"/>
                <w:szCs w:val="24"/>
              </w:rPr>
              <w:fldChar w:fldCharType="end"/>
            </w:r>
          </w:hyperlink>
        </w:p>
        <w:p w14:paraId="24D093A0" w14:textId="6CFC8F84" w:rsidR="00445132" w:rsidRPr="00445132" w:rsidRDefault="00445132">
          <w:pPr>
            <w:pStyle w:val="TOC2"/>
            <w:tabs>
              <w:tab w:val="right" w:leader="dot" w:pos="9016"/>
            </w:tabs>
            <w:rPr>
              <w:rFonts w:ascii="Times New Roman" w:hAnsi="Times New Roman" w:cs="Times New Roman"/>
              <w:noProof/>
              <w:sz w:val="24"/>
              <w:szCs w:val="24"/>
            </w:rPr>
          </w:pPr>
          <w:hyperlink w:anchor="_Toc216742613" w:history="1">
            <w:r w:rsidRPr="00445132">
              <w:rPr>
                <w:rStyle w:val="Hyperlink"/>
                <w:rFonts w:ascii="Times New Roman" w:hAnsi="Times New Roman" w:cs="Times New Roman"/>
                <w:b/>
                <w:bCs/>
                <w:noProof/>
                <w:sz w:val="24"/>
                <w:szCs w:val="24"/>
              </w:rPr>
              <w:t>2.1 OVERVIEW OF STAKEHOLDER ENGAGEMENT IN INFRASTRUCTURE PROJECTS</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_Toc216742613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4</w:t>
            </w:r>
            <w:r w:rsidRPr="00445132">
              <w:rPr>
                <w:rFonts w:ascii="Times New Roman" w:hAnsi="Times New Roman" w:cs="Times New Roman"/>
                <w:noProof/>
                <w:webHidden/>
                <w:sz w:val="24"/>
                <w:szCs w:val="24"/>
              </w:rPr>
              <w:fldChar w:fldCharType="end"/>
            </w:r>
          </w:hyperlink>
        </w:p>
        <w:p w14:paraId="70BC1C77" w14:textId="4F839B0C" w:rsidR="00445132" w:rsidRPr="00445132" w:rsidRDefault="00445132">
          <w:pPr>
            <w:pStyle w:val="TOC2"/>
            <w:tabs>
              <w:tab w:val="right" w:leader="dot" w:pos="9016"/>
            </w:tabs>
            <w:rPr>
              <w:rFonts w:ascii="Times New Roman" w:hAnsi="Times New Roman" w:cs="Times New Roman"/>
              <w:noProof/>
              <w:sz w:val="24"/>
              <w:szCs w:val="24"/>
            </w:rPr>
          </w:pPr>
          <w:hyperlink w:anchor="_Toc216742614" w:history="1">
            <w:r w:rsidRPr="00445132">
              <w:rPr>
                <w:rStyle w:val="Hyperlink"/>
                <w:rFonts w:ascii="Times New Roman" w:hAnsi="Times New Roman" w:cs="Times New Roman"/>
                <w:b/>
                <w:bCs/>
                <w:noProof/>
                <w:sz w:val="24"/>
                <w:szCs w:val="24"/>
              </w:rPr>
              <w:t>2.2 POWER, INFLUENCE AND INTEREST ANALYSIS</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_Toc216742614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5</w:t>
            </w:r>
            <w:r w:rsidRPr="00445132">
              <w:rPr>
                <w:rFonts w:ascii="Times New Roman" w:hAnsi="Times New Roman" w:cs="Times New Roman"/>
                <w:noProof/>
                <w:webHidden/>
                <w:sz w:val="24"/>
                <w:szCs w:val="24"/>
              </w:rPr>
              <w:fldChar w:fldCharType="end"/>
            </w:r>
          </w:hyperlink>
        </w:p>
        <w:p w14:paraId="7B9CFC09" w14:textId="03817EB5" w:rsidR="00445132" w:rsidRPr="00445132" w:rsidRDefault="00445132">
          <w:pPr>
            <w:pStyle w:val="TOC2"/>
            <w:tabs>
              <w:tab w:val="right" w:leader="dot" w:pos="9016"/>
            </w:tabs>
            <w:rPr>
              <w:rFonts w:ascii="Times New Roman" w:hAnsi="Times New Roman" w:cs="Times New Roman"/>
              <w:noProof/>
              <w:sz w:val="24"/>
              <w:szCs w:val="24"/>
            </w:rPr>
          </w:pPr>
          <w:hyperlink w:anchor="_Toc216742615" w:history="1">
            <w:r w:rsidRPr="00445132">
              <w:rPr>
                <w:rStyle w:val="Hyperlink"/>
                <w:rFonts w:ascii="Times New Roman" w:hAnsi="Times New Roman" w:cs="Times New Roman"/>
                <w:b/>
                <w:bCs/>
                <w:noProof/>
                <w:sz w:val="24"/>
                <w:szCs w:val="24"/>
              </w:rPr>
              <w:t>2.3 STAKEHOLDER MAPPING AND QUADRANT JUSTFIFICATION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_Toc216742615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6</w:t>
            </w:r>
            <w:r w:rsidRPr="00445132">
              <w:rPr>
                <w:rFonts w:ascii="Times New Roman" w:hAnsi="Times New Roman" w:cs="Times New Roman"/>
                <w:noProof/>
                <w:webHidden/>
                <w:sz w:val="24"/>
                <w:szCs w:val="24"/>
              </w:rPr>
              <w:fldChar w:fldCharType="end"/>
            </w:r>
          </w:hyperlink>
        </w:p>
        <w:p w14:paraId="507DDA62" w14:textId="125B630F" w:rsidR="00445132" w:rsidRPr="00445132" w:rsidRDefault="00445132">
          <w:pPr>
            <w:pStyle w:val="TOC2"/>
            <w:tabs>
              <w:tab w:val="right" w:leader="dot" w:pos="9016"/>
            </w:tabs>
            <w:rPr>
              <w:rFonts w:ascii="Times New Roman" w:hAnsi="Times New Roman" w:cs="Times New Roman"/>
              <w:noProof/>
              <w:sz w:val="24"/>
              <w:szCs w:val="24"/>
            </w:rPr>
          </w:pPr>
          <w:hyperlink w:anchor="_Toc216742616" w:history="1">
            <w:r w:rsidRPr="00445132">
              <w:rPr>
                <w:rStyle w:val="Hyperlink"/>
                <w:rFonts w:ascii="Times New Roman" w:hAnsi="Times New Roman" w:cs="Times New Roman"/>
                <w:b/>
                <w:bCs/>
                <w:noProof/>
                <w:sz w:val="24"/>
                <w:szCs w:val="24"/>
              </w:rPr>
              <w:t>2.4 COMMUNICATION PLAN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_Toc216742616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8</w:t>
            </w:r>
            <w:r w:rsidRPr="00445132">
              <w:rPr>
                <w:rFonts w:ascii="Times New Roman" w:hAnsi="Times New Roman" w:cs="Times New Roman"/>
                <w:noProof/>
                <w:webHidden/>
                <w:sz w:val="24"/>
                <w:szCs w:val="24"/>
              </w:rPr>
              <w:fldChar w:fldCharType="end"/>
            </w:r>
          </w:hyperlink>
        </w:p>
        <w:p w14:paraId="072FB7D9" w14:textId="02AEB338" w:rsidR="00445132" w:rsidRPr="00445132" w:rsidRDefault="00445132">
          <w:pPr>
            <w:pStyle w:val="TOC2"/>
            <w:tabs>
              <w:tab w:val="right" w:leader="dot" w:pos="9016"/>
            </w:tabs>
            <w:rPr>
              <w:rFonts w:ascii="Times New Roman" w:hAnsi="Times New Roman" w:cs="Times New Roman"/>
              <w:noProof/>
              <w:sz w:val="24"/>
              <w:szCs w:val="24"/>
            </w:rPr>
          </w:pPr>
          <w:hyperlink w:anchor="_Toc216742617" w:history="1">
            <w:r w:rsidRPr="00445132">
              <w:rPr>
                <w:rStyle w:val="Hyperlink"/>
                <w:rFonts w:ascii="Times New Roman" w:hAnsi="Times New Roman" w:cs="Times New Roman"/>
                <w:b/>
                <w:bCs/>
                <w:noProof/>
                <w:sz w:val="24"/>
                <w:szCs w:val="24"/>
              </w:rPr>
              <w:t>2.5 CONSULTATION STRATEGY AND JUSTIFICATION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_Toc216742617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9</w:t>
            </w:r>
            <w:r w:rsidRPr="00445132">
              <w:rPr>
                <w:rFonts w:ascii="Times New Roman" w:hAnsi="Times New Roman" w:cs="Times New Roman"/>
                <w:noProof/>
                <w:webHidden/>
                <w:sz w:val="24"/>
                <w:szCs w:val="24"/>
              </w:rPr>
              <w:fldChar w:fldCharType="end"/>
            </w:r>
          </w:hyperlink>
        </w:p>
        <w:p w14:paraId="4CACB5EE" w14:textId="15B2BEF8" w:rsidR="00445132" w:rsidRPr="00445132" w:rsidRDefault="00445132">
          <w:pPr>
            <w:pStyle w:val="TOC1"/>
            <w:tabs>
              <w:tab w:val="right" w:leader="dot" w:pos="9016"/>
            </w:tabs>
            <w:rPr>
              <w:rFonts w:ascii="Times New Roman" w:hAnsi="Times New Roman" w:cs="Times New Roman"/>
              <w:noProof/>
              <w:sz w:val="24"/>
              <w:szCs w:val="24"/>
            </w:rPr>
          </w:pPr>
          <w:hyperlink w:anchor="_Toc216742618" w:history="1">
            <w:r w:rsidRPr="00445132">
              <w:rPr>
                <w:rStyle w:val="Hyperlink"/>
                <w:rFonts w:ascii="Times New Roman" w:hAnsi="Times New Roman" w:cs="Times New Roman"/>
                <w:b/>
                <w:bCs/>
                <w:noProof/>
                <w:sz w:val="24"/>
                <w:szCs w:val="24"/>
              </w:rPr>
              <w:t>ELEMENT 3: ETHICAL CONSIDERATIONS IN STAKEHOLDER CONSULTATION, PARTICIPATION AND FEEDBACK</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_Toc216742618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10</w:t>
            </w:r>
            <w:r w:rsidRPr="00445132">
              <w:rPr>
                <w:rFonts w:ascii="Times New Roman" w:hAnsi="Times New Roman" w:cs="Times New Roman"/>
                <w:noProof/>
                <w:webHidden/>
                <w:sz w:val="24"/>
                <w:szCs w:val="24"/>
              </w:rPr>
              <w:fldChar w:fldCharType="end"/>
            </w:r>
          </w:hyperlink>
        </w:p>
        <w:p w14:paraId="18CC4AD9" w14:textId="4B8C38DE" w:rsidR="00445132" w:rsidRPr="00445132" w:rsidRDefault="00445132">
          <w:pPr>
            <w:pStyle w:val="TOC1"/>
            <w:tabs>
              <w:tab w:val="right" w:leader="dot" w:pos="9016"/>
            </w:tabs>
            <w:rPr>
              <w:rFonts w:ascii="Times New Roman" w:hAnsi="Times New Roman" w:cs="Times New Roman"/>
              <w:noProof/>
              <w:sz w:val="24"/>
              <w:szCs w:val="24"/>
            </w:rPr>
          </w:pPr>
          <w:hyperlink w:anchor="_Toc216742619" w:history="1">
            <w:r w:rsidRPr="00445132">
              <w:rPr>
                <w:rStyle w:val="Hyperlink"/>
                <w:rFonts w:ascii="Times New Roman" w:hAnsi="Times New Roman" w:cs="Times New Roman"/>
                <w:b/>
                <w:bCs/>
                <w:noProof/>
                <w:sz w:val="24"/>
                <w:szCs w:val="24"/>
              </w:rPr>
              <w:t>ELEMENT 4: CONCLUSION AND REFLECTION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_Toc216742619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13</w:t>
            </w:r>
            <w:r w:rsidRPr="00445132">
              <w:rPr>
                <w:rFonts w:ascii="Times New Roman" w:hAnsi="Times New Roman" w:cs="Times New Roman"/>
                <w:noProof/>
                <w:webHidden/>
                <w:sz w:val="24"/>
                <w:szCs w:val="24"/>
              </w:rPr>
              <w:fldChar w:fldCharType="end"/>
            </w:r>
          </w:hyperlink>
        </w:p>
        <w:p w14:paraId="70602312" w14:textId="214BC6C4" w:rsidR="00445132" w:rsidRPr="00445132" w:rsidRDefault="00445132">
          <w:pPr>
            <w:pStyle w:val="TOC2"/>
            <w:tabs>
              <w:tab w:val="right" w:leader="dot" w:pos="9016"/>
            </w:tabs>
            <w:rPr>
              <w:rFonts w:ascii="Times New Roman" w:hAnsi="Times New Roman" w:cs="Times New Roman"/>
              <w:noProof/>
              <w:sz w:val="24"/>
              <w:szCs w:val="24"/>
            </w:rPr>
          </w:pPr>
          <w:hyperlink w:anchor="_Toc216742620" w:history="1">
            <w:r w:rsidRPr="00445132">
              <w:rPr>
                <w:rStyle w:val="Hyperlink"/>
                <w:rFonts w:ascii="Times New Roman" w:hAnsi="Times New Roman" w:cs="Times New Roman"/>
                <w:b/>
                <w:bCs/>
                <w:noProof/>
                <w:sz w:val="24"/>
                <w:szCs w:val="24"/>
              </w:rPr>
              <w:t>4.1 CONCLUSION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_Toc216742620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13</w:t>
            </w:r>
            <w:r w:rsidRPr="00445132">
              <w:rPr>
                <w:rFonts w:ascii="Times New Roman" w:hAnsi="Times New Roman" w:cs="Times New Roman"/>
                <w:noProof/>
                <w:webHidden/>
                <w:sz w:val="24"/>
                <w:szCs w:val="24"/>
              </w:rPr>
              <w:fldChar w:fldCharType="end"/>
            </w:r>
          </w:hyperlink>
        </w:p>
        <w:p w14:paraId="332E6B3E" w14:textId="0FEAF41B" w:rsidR="00445132" w:rsidRPr="00445132" w:rsidRDefault="00445132">
          <w:pPr>
            <w:pStyle w:val="TOC2"/>
            <w:tabs>
              <w:tab w:val="right" w:leader="dot" w:pos="9016"/>
            </w:tabs>
            <w:rPr>
              <w:rFonts w:ascii="Times New Roman" w:hAnsi="Times New Roman" w:cs="Times New Roman"/>
              <w:noProof/>
              <w:sz w:val="24"/>
              <w:szCs w:val="24"/>
            </w:rPr>
          </w:pPr>
          <w:hyperlink w:anchor="_Toc216742621" w:history="1">
            <w:r w:rsidRPr="00445132">
              <w:rPr>
                <w:rStyle w:val="Hyperlink"/>
                <w:rFonts w:ascii="Times New Roman" w:hAnsi="Times New Roman" w:cs="Times New Roman"/>
                <w:b/>
                <w:bCs/>
                <w:noProof/>
                <w:sz w:val="24"/>
                <w:szCs w:val="24"/>
              </w:rPr>
              <w:t>4.2 REFLECTION</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_Toc216742621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13</w:t>
            </w:r>
            <w:r w:rsidRPr="00445132">
              <w:rPr>
                <w:rFonts w:ascii="Times New Roman" w:hAnsi="Times New Roman" w:cs="Times New Roman"/>
                <w:noProof/>
                <w:webHidden/>
                <w:sz w:val="24"/>
                <w:szCs w:val="24"/>
              </w:rPr>
              <w:fldChar w:fldCharType="end"/>
            </w:r>
          </w:hyperlink>
        </w:p>
        <w:p w14:paraId="16D4ED30" w14:textId="6450341E" w:rsidR="00445132" w:rsidRPr="00445132" w:rsidRDefault="00445132">
          <w:pPr>
            <w:pStyle w:val="TOC1"/>
            <w:tabs>
              <w:tab w:val="right" w:leader="dot" w:pos="9016"/>
            </w:tabs>
            <w:rPr>
              <w:rFonts w:ascii="Times New Roman" w:hAnsi="Times New Roman" w:cs="Times New Roman"/>
              <w:noProof/>
              <w:sz w:val="24"/>
              <w:szCs w:val="24"/>
            </w:rPr>
          </w:pPr>
          <w:hyperlink w:anchor="_Toc216742622" w:history="1">
            <w:r w:rsidRPr="00445132">
              <w:rPr>
                <w:rStyle w:val="Hyperlink"/>
                <w:rFonts w:ascii="Times New Roman" w:hAnsi="Times New Roman" w:cs="Times New Roman"/>
                <w:b/>
                <w:bCs/>
                <w:noProof/>
                <w:sz w:val="24"/>
                <w:szCs w:val="24"/>
              </w:rPr>
              <w:t>REFERENCES</w:t>
            </w:r>
            <w:r w:rsidRPr="00445132">
              <w:rPr>
                <w:rFonts w:ascii="Times New Roman" w:hAnsi="Times New Roman" w:cs="Times New Roman"/>
                <w:noProof/>
                <w:webHidden/>
                <w:sz w:val="24"/>
                <w:szCs w:val="24"/>
              </w:rPr>
              <w:tab/>
            </w:r>
            <w:r w:rsidRPr="00445132">
              <w:rPr>
                <w:rFonts w:ascii="Times New Roman" w:hAnsi="Times New Roman" w:cs="Times New Roman"/>
                <w:noProof/>
                <w:webHidden/>
                <w:sz w:val="24"/>
                <w:szCs w:val="24"/>
              </w:rPr>
              <w:fldChar w:fldCharType="begin"/>
            </w:r>
            <w:r w:rsidRPr="00445132">
              <w:rPr>
                <w:rFonts w:ascii="Times New Roman" w:hAnsi="Times New Roman" w:cs="Times New Roman"/>
                <w:noProof/>
                <w:webHidden/>
                <w:sz w:val="24"/>
                <w:szCs w:val="24"/>
              </w:rPr>
              <w:instrText xml:space="preserve"> PAGEREF _Toc216742622 \h </w:instrText>
            </w:r>
            <w:r w:rsidRPr="00445132">
              <w:rPr>
                <w:rFonts w:ascii="Times New Roman" w:hAnsi="Times New Roman" w:cs="Times New Roman"/>
                <w:noProof/>
                <w:webHidden/>
                <w:sz w:val="24"/>
                <w:szCs w:val="24"/>
              </w:rPr>
            </w:r>
            <w:r w:rsidRPr="00445132">
              <w:rPr>
                <w:rFonts w:ascii="Times New Roman" w:hAnsi="Times New Roman" w:cs="Times New Roman"/>
                <w:noProof/>
                <w:webHidden/>
                <w:sz w:val="24"/>
                <w:szCs w:val="24"/>
              </w:rPr>
              <w:fldChar w:fldCharType="separate"/>
            </w:r>
            <w:r w:rsidRPr="00445132">
              <w:rPr>
                <w:rFonts w:ascii="Times New Roman" w:hAnsi="Times New Roman" w:cs="Times New Roman"/>
                <w:noProof/>
                <w:webHidden/>
                <w:sz w:val="24"/>
                <w:szCs w:val="24"/>
              </w:rPr>
              <w:t>14</w:t>
            </w:r>
            <w:r w:rsidRPr="00445132">
              <w:rPr>
                <w:rFonts w:ascii="Times New Roman" w:hAnsi="Times New Roman" w:cs="Times New Roman"/>
                <w:noProof/>
                <w:webHidden/>
                <w:sz w:val="24"/>
                <w:szCs w:val="24"/>
              </w:rPr>
              <w:fldChar w:fldCharType="end"/>
            </w:r>
          </w:hyperlink>
        </w:p>
        <w:p w14:paraId="21A0484F" w14:textId="73EC41D4" w:rsidR="00445132" w:rsidRDefault="00445132">
          <w:r>
            <w:rPr>
              <w:b/>
              <w:bCs/>
              <w:noProof/>
            </w:rPr>
            <w:fldChar w:fldCharType="end"/>
          </w:r>
        </w:p>
      </w:sdtContent>
    </w:sdt>
    <w:p w14:paraId="718D72F2" w14:textId="77777777" w:rsidR="00094C21" w:rsidRDefault="00094C21"/>
    <w:p w14:paraId="4DA70A00" w14:textId="77777777" w:rsidR="00445132" w:rsidRDefault="00445132">
      <w:pPr>
        <w:pStyle w:val="Heading1"/>
        <w:rPr>
          <w:rFonts w:ascii="Times New Roman" w:hAnsi="Times New Roman" w:cs="Times New Roman"/>
          <w:b/>
          <w:bCs/>
          <w:color w:val="auto"/>
          <w:sz w:val="24"/>
          <w:szCs w:val="24"/>
        </w:rPr>
      </w:pPr>
      <w:bookmarkStart w:id="0" w:name="_Toc216742611"/>
    </w:p>
    <w:p w14:paraId="169F83E7" w14:textId="77777777" w:rsidR="00445132" w:rsidRDefault="00445132">
      <w:pPr>
        <w:pStyle w:val="Heading1"/>
        <w:rPr>
          <w:rFonts w:ascii="Times New Roman" w:hAnsi="Times New Roman" w:cs="Times New Roman"/>
          <w:b/>
          <w:bCs/>
          <w:color w:val="auto"/>
          <w:sz w:val="24"/>
          <w:szCs w:val="24"/>
        </w:rPr>
      </w:pPr>
    </w:p>
    <w:p w14:paraId="4694AD5D" w14:textId="77777777" w:rsidR="00445132" w:rsidRDefault="00445132">
      <w:pPr>
        <w:pStyle w:val="Heading1"/>
        <w:rPr>
          <w:rFonts w:ascii="Times New Roman" w:hAnsi="Times New Roman" w:cs="Times New Roman"/>
          <w:b/>
          <w:bCs/>
          <w:color w:val="auto"/>
          <w:sz w:val="24"/>
          <w:szCs w:val="24"/>
        </w:rPr>
      </w:pPr>
    </w:p>
    <w:p w14:paraId="2C73108F" w14:textId="77777777" w:rsidR="00445132" w:rsidRDefault="00445132">
      <w:pPr>
        <w:pStyle w:val="Heading1"/>
        <w:rPr>
          <w:rFonts w:ascii="Times New Roman" w:hAnsi="Times New Roman" w:cs="Times New Roman"/>
          <w:b/>
          <w:bCs/>
          <w:color w:val="auto"/>
          <w:sz w:val="24"/>
          <w:szCs w:val="24"/>
        </w:rPr>
      </w:pPr>
    </w:p>
    <w:p w14:paraId="5505E0ED" w14:textId="77777777" w:rsidR="00445132" w:rsidRDefault="00445132">
      <w:pPr>
        <w:pStyle w:val="Heading1"/>
        <w:rPr>
          <w:rFonts w:ascii="Times New Roman" w:hAnsi="Times New Roman" w:cs="Times New Roman"/>
          <w:b/>
          <w:bCs/>
          <w:color w:val="auto"/>
          <w:sz w:val="24"/>
          <w:szCs w:val="24"/>
        </w:rPr>
      </w:pPr>
    </w:p>
    <w:p w14:paraId="63847B3A" w14:textId="77777777" w:rsidR="00445132" w:rsidRDefault="00445132">
      <w:pPr>
        <w:pStyle w:val="Heading1"/>
        <w:rPr>
          <w:rFonts w:ascii="Times New Roman" w:hAnsi="Times New Roman" w:cs="Times New Roman"/>
          <w:b/>
          <w:bCs/>
          <w:color w:val="auto"/>
          <w:sz w:val="24"/>
          <w:szCs w:val="24"/>
        </w:rPr>
      </w:pPr>
    </w:p>
    <w:p w14:paraId="5C6944C5" w14:textId="77777777" w:rsidR="00445132" w:rsidRDefault="00445132">
      <w:pPr>
        <w:pStyle w:val="Heading1"/>
        <w:rPr>
          <w:rFonts w:ascii="Times New Roman" w:hAnsi="Times New Roman" w:cs="Times New Roman"/>
          <w:b/>
          <w:bCs/>
          <w:color w:val="auto"/>
          <w:sz w:val="24"/>
          <w:szCs w:val="24"/>
        </w:rPr>
      </w:pPr>
    </w:p>
    <w:p w14:paraId="48BCA8B1" w14:textId="77777777" w:rsidR="00445132" w:rsidRDefault="00445132">
      <w:pPr>
        <w:pStyle w:val="Heading1"/>
        <w:rPr>
          <w:rFonts w:ascii="Times New Roman" w:hAnsi="Times New Roman" w:cs="Times New Roman"/>
          <w:b/>
          <w:bCs/>
          <w:color w:val="auto"/>
          <w:sz w:val="24"/>
          <w:szCs w:val="24"/>
        </w:rPr>
      </w:pPr>
    </w:p>
    <w:p w14:paraId="4A7BE93A" w14:textId="77777777" w:rsidR="00445132" w:rsidRDefault="00445132">
      <w:pPr>
        <w:pStyle w:val="Heading1"/>
        <w:rPr>
          <w:rFonts w:ascii="Times New Roman" w:hAnsi="Times New Roman" w:cs="Times New Roman"/>
          <w:b/>
          <w:bCs/>
          <w:color w:val="auto"/>
          <w:sz w:val="24"/>
          <w:szCs w:val="24"/>
        </w:rPr>
      </w:pPr>
    </w:p>
    <w:p w14:paraId="722CAB0C" w14:textId="52E889FE" w:rsidR="00445132" w:rsidRPr="00445132" w:rsidRDefault="00445132" w:rsidP="00445132"/>
    <w:p w14:paraId="0FE720D2" w14:textId="65D8D54D" w:rsidR="00094C21" w:rsidRDefault="00000000">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ELEMENT 1: INTRODUCTION</w:t>
      </w:r>
      <w:bookmarkEnd w:id="0"/>
    </w:p>
    <w:p w14:paraId="30E2D2E2" w14:textId="77777777" w:rsidR="00094C21" w:rsidRDefault="00094C21">
      <w:pPr>
        <w:spacing w:line="360" w:lineRule="auto"/>
        <w:rPr>
          <w:rFonts w:ascii="Times New Roman" w:hAnsi="Times New Roman" w:cs="Times New Roman"/>
          <w:b/>
          <w:bCs/>
          <w:sz w:val="24"/>
          <w:szCs w:val="24"/>
        </w:rPr>
      </w:pPr>
    </w:p>
    <w:p w14:paraId="08C10398" w14:textId="2F828943"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Local infrastructure projects serve as essential development tools which help communities achieve sustainability through their work to build better living environments and their efforts to unite communities. The Junior Stakeholder Manager at this consultancy firm created this portfolio which includes a complete Stakeholder Management Plan for the proposed New Public Park in the local urban community. Public parks serve as essential infrastructure because they deliver vital advantages which safeguard human health</w:t>
      </w:r>
      <w:r w:rsidR="0093660D">
        <w:rPr>
          <w:rFonts w:ascii="Times New Roman" w:hAnsi="Times New Roman" w:cs="Times New Roman"/>
          <w:sz w:val="24"/>
          <w:szCs w:val="24"/>
        </w:rPr>
        <w:t>,</w:t>
      </w:r>
      <w:r>
        <w:rPr>
          <w:rFonts w:ascii="Times New Roman" w:hAnsi="Times New Roman" w:cs="Times New Roman"/>
          <w:sz w:val="24"/>
          <w:szCs w:val="24"/>
        </w:rPr>
        <w:t xml:space="preserve"> mental well-being</w:t>
      </w:r>
      <w:r w:rsidR="0093660D">
        <w:rPr>
          <w:rFonts w:ascii="Times New Roman" w:hAnsi="Times New Roman" w:cs="Times New Roman"/>
          <w:sz w:val="24"/>
          <w:szCs w:val="24"/>
        </w:rPr>
        <w:t>,</w:t>
      </w:r>
      <w:r>
        <w:rPr>
          <w:rFonts w:ascii="Times New Roman" w:hAnsi="Times New Roman" w:cs="Times New Roman"/>
          <w:sz w:val="24"/>
          <w:szCs w:val="24"/>
        </w:rPr>
        <w:t xml:space="preserve"> maintain environmental health and enable people to meet others (World Health Organization, 2021).</w:t>
      </w:r>
    </w:p>
    <w:p w14:paraId="6FB38960" w14:textId="71A97DD1"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proposed project aims to transform a vacant brownfield area into a public park which will feature multiple areas including green spaces</w:t>
      </w:r>
      <w:r w:rsidR="0093660D">
        <w:rPr>
          <w:rFonts w:ascii="Times New Roman" w:hAnsi="Times New Roman" w:cs="Times New Roman"/>
          <w:sz w:val="24"/>
          <w:szCs w:val="24"/>
        </w:rPr>
        <w:t>,</w:t>
      </w:r>
      <w:r>
        <w:rPr>
          <w:rFonts w:ascii="Times New Roman" w:hAnsi="Times New Roman" w:cs="Times New Roman"/>
          <w:sz w:val="24"/>
          <w:szCs w:val="24"/>
        </w:rPr>
        <w:t xml:space="preserve"> children's play zones</w:t>
      </w:r>
      <w:r w:rsidR="0093660D">
        <w:rPr>
          <w:rFonts w:ascii="Times New Roman" w:hAnsi="Times New Roman" w:cs="Times New Roman"/>
          <w:sz w:val="24"/>
          <w:szCs w:val="24"/>
        </w:rPr>
        <w:t xml:space="preserve">, </w:t>
      </w:r>
      <w:r>
        <w:rPr>
          <w:rFonts w:ascii="Times New Roman" w:hAnsi="Times New Roman" w:cs="Times New Roman"/>
          <w:sz w:val="24"/>
          <w:szCs w:val="24"/>
        </w:rPr>
        <w:t>walking and cycling routes</w:t>
      </w:r>
      <w:r w:rsidR="0093660D">
        <w:rPr>
          <w:rFonts w:ascii="Times New Roman" w:hAnsi="Times New Roman" w:cs="Times New Roman"/>
          <w:sz w:val="24"/>
          <w:szCs w:val="24"/>
        </w:rPr>
        <w:t xml:space="preserve">, </w:t>
      </w:r>
      <w:r>
        <w:rPr>
          <w:rFonts w:ascii="Times New Roman" w:hAnsi="Times New Roman" w:cs="Times New Roman"/>
          <w:sz w:val="24"/>
          <w:szCs w:val="24"/>
        </w:rPr>
        <w:t>seating areas and community event facilities. The project supports local authority goals which focus on urban renewal</w:t>
      </w:r>
      <w:r w:rsidR="0093660D">
        <w:rPr>
          <w:rFonts w:ascii="Times New Roman" w:hAnsi="Times New Roman" w:cs="Times New Roman"/>
          <w:sz w:val="24"/>
          <w:szCs w:val="24"/>
        </w:rPr>
        <w:t xml:space="preserve">, </w:t>
      </w:r>
      <w:r>
        <w:rPr>
          <w:rFonts w:ascii="Times New Roman" w:hAnsi="Times New Roman" w:cs="Times New Roman"/>
          <w:sz w:val="24"/>
          <w:szCs w:val="24"/>
        </w:rPr>
        <w:t>environmental enhancement and community development for all residents. The UK Government (2022) established this initiative to achieve three core policy targets which focus on sustainability</w:t>
      </w:r>
      <w:r w:rsidR="0093660D">
        <w:rPr>
          <w:rFonts w:ascii="Times New Roman" w:hAnsi="Times New Roman" w:cs="Times New Roman"/>
          <w:sz w:val="24"/>
          <w:szCs w:val="24"/>
        </w:rPr>
        <w:t xml:space="preserve">, </w:t>
      </w:r>
      <w:r>
        <w:rPr>
          <w:rFonts w:ascii="Times New Roman" w:hAnsi="Times New Roman" w:cs="Times New Roman"/>
          <w:sz w:val="24"/>
          <w:szCs w:val="24"/>
        </w:rPr>
        <w:t>public health improvement and social fairness.</w:t>
      </w:r>
    </w:p>
    <w:p w14:paraId="55AA19B1" w14:textId="73464876"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project requires stakeholder engagement because public parks affect various groups who possess distinct interests</w:t>
      </w:r>
      <w:r w:rsidR="0093660D">
        <w:rPr>
          <w:rFonts w:ascii="Times New Roman" w:hAnsi="Times New Roman" w:cs="Times New Roman"/>
          <w:sz w:val="24"/>
          <w:szCs w:val="24"/>
        </w:rPr>
        <w:t xml:space="preserve">, </w:t>
      </w:r>
      <w:r>
        <w:rPr>
          <w:rFonts w:ascii="Times New Roman" w:hAnsi="Times New Roman" w:cs="Times New Roman"/>
          <w:sz w:val="24"/>
          <w:szCs w:val="24"/>
        </w:rPr>
        <w:t>different levels of influence and anticipated results. Freeman (1984) defines stakeholders as individuals or groups who can affect or are affected by the achievement of organisational objectives. Public sector infrastructure projects need active relationship management because this method enables organisations to stop conflicts while building trust-based relationships which produce enduring project results.</w:t>
      </w:r>
    </w:p>
    <w:p w14:paraId="79A871D7"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project needs to determine which six stakeholder groups will directly benefit from this initiative:</w:t>
      </w:r>
    </w:p>
    <w:p w14:paraId="4E243D71"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t>Residents</w:t>
      </w:r>
      <w:r>
        <w:rPr>
          <w:rFonts w:ascii="Times New Roman" w:hAnsi="Times New Roman" w:cs="Times New Roman"/>
          <w:sz w:val="24"/>
          <w:szCs w:val="24"/>
        </w:rPr>
        <w:t xml:space="preserve"> - Benefit from better green space accessibility which will lead to improved health and better property marketability.</w:t>
      </w:r>
    </w:p>
    <w:p w14:paraId="5F55E719"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t>The Local Authority (Council)</w:t>
      </w:r>
      <w:r>
        <w:rPr>
          <w:rFonts w:ascii="Times New Roman" w:hAnsi="Times New Roman" w:cs="Times New Roman"/>
          <w:sz w:val="24"/>
          <w:szCs w:val="24"/>
        </w:rPr>
        <w:t xml:space="preserve"> – Will aim to achieve a better reputation while fulfilling its policy requirements and enhancing resident happiness.</w:t>
      </w:r>
    </w:p>
    <w:p w14:paraId="7D8F9C1F"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t>Environmental Organisations</w:t>
      </w:r>
      <w:r>
        <w:rPr>
          <w:rFonts w:ascii="Times New Roman" w:hAnsi="Times New Roman" w:cs="Times New Roman"/>
          <w:sz w:val="24"/>
          <w:szCs w:val="24"/>
        </w:rPr>
        <w:t xml:space="preserve"> – Benefit from biodiversity enhancement, conservation opportunities, and sustainable land use.</w:t>
      </w:r>
    </w:p>
    <w:p w14:paraId="09653CA3"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lastRenderedPageBreak/>
        <w:t>Local Businesses</w:t>
      </w:r>
      <w:r>
        <w:rPr>
          <w:rFonts w:ascii="Times New Roman" w:hAnsi="Times New Roman" w:cs="Times New Roman"/>
          <w:sz w:val="24"/>
          <w:szCs w:val="24"/>
        </w:rPr>
        <w:t xml:space="preserve"> – The rising number of visitors creates more economic activity which results in increased customer traffic at local businesses.</w:t>
      </w:r>
    </w:p>
    <w:p w14:paraId="0BD3F7EF"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t>Community Groups and Charities</w:t>
      </w:r>
      <w:r>
        <w:rPr>
          <w:rFonts w:ascii="Times New Roman" w:hAnsi="Times New Roman" w:cs="Times New Roman"/>
          <w:sz w:val="24"/>
          <w:szCs w:val="24"/>
        </w:rPr>
        <w:t xml:space="preserve"> – The organisation will obtain facilities which can be used for social activities and events and outreach programs.</w:t>
      </w:r>
    </w:p>
    <w:p w14:paraId="5DDB4092" w14:textId="77777777" w:rsidR="00094C21" w:rsidRDefault="0000000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b/>
          <w:bCs/>
          <w:sz w:val="24"/>
          <w:szCs w:val="24"/>
        </w:rPr>
        <w:t>Construction and Maintenance Contractors</w:t>
      </w:r>
      <w:r>
        <w:rPr>
          <w:rFonts w:ascii="Times New Roman" w:hAnsi="Times New Roman" w:cs="Times New Roman"/>
          <w:sz w:val="24"/>
          <w:szCs w:val="24"/>
        </w:rPr>
        <w:t xml:space="preserve"> – Benefit from employment opportunities and long-term service contracts.</w:t>
      </w:r>
    </w:p>
    <w:p w14:paraId="3F491C72" w14:textId="77777777" w:rsidR="00094C21" w:rsidRDefault="00094C21">
      <w:pPr>
        <w:pStyle w:val="ListParagraph"/>
        <w:spacing w:line="360" w:lineRule="auto"/>
        <w:rPr>
          <w:rFonts w:ascii="Times New Roman" w:hAnsi="Times New Roman" w:cs="Times New Roman"/>
          <w:sz w:val="24"/>
          <w:szCs w:val="24"/>
        </w:rPr>
      </w:pPr>
    </w:p>
    <w:p w14:paraId="72D52178" w14:textId="171F5B1E"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portfolio aims to apply stakeholder engagement theories with operational tools to analyse stakeholder power relationships</w:t>
      </w:r>
      <w:r w:rsidR="0093660D">
        <w:rPr>
          <w:rFonts w:ascii="Times New Roman" w:hAnsi="Times New Roman" w:cs="Times New Roman"/>
          <w:sz w:val="24"/>
          <w:szCs w:val="24"/>
        </w:rPr>
        <w:t xml:space="preserve">, </w:t>
      </w:r>
      <w:r>
        <w:rPr>
          <w:rFonts w:ascii="Times New Roman" w:hAnsi="Times New Roman" w:cs="Times New Roman"/>
          <w:sz w:val="24"/>
          <w:szCs w:val="24"/>
        </w:rPr>
        <w:t>their interests</w:t>
      </w:r>
      <w:r w:rsidR="0093660D">
        <w:rPr>
          <w:rFonts w:ascii="Times New Roman" w:hAnsi="Times New Roman" w:cs="Times New Roman"/>
          <w:sz w:val="24"/>
          <w:szCs w:val="24"/>
        </w:rPr>
        <w:t xml:space="preserve">, </w:t>
      </w:r>
      <w:r>
        <w:rPr>
          <w:rFonts w:ascii="Times New Roman" w:hAnsi="Times New Roman" w:cs="Times New Roman"/>
          <w:sz w:val="24"/>
          <w:szCs w:val="24"/>
        </w:rPr>
        <w:t>influence levels</w:t>
      </w:r>
      <w:r w:rsidR="0093660D">
        <w:rPr>
          <w:rFonts w:ascii="Times New Roman" w:hAnsi="Times New Roman" w:cs="Times New Roman"/>
          <w:sz w:val="24"/>
          <w:szCs w:val="24"/>
        </w:rPr>
        <w:t xml:space="preserve">, </w:t>
      </w:r>
      <w:r>
        <w:rPr>
          <w:rFonts w:ascii="Times New Roman" w:hAnsi="Times New Roman" w:cs="Times New Roman"/>
          <w:sz w:val="24"/>
          <w:szCs w:val="24"/>
        </w:rPr>
        <w:t>develop communication strategies</w:t>
      </w:r>
      <w:r w:rsidR="0093660D">
        <w:rPr>
          <w:rFonts w:ascii="Times New Roman" w:hAnsi="Times New Roman" w:cs="Times New Roman"/>
          <w:sz w:val="24"/>
          <w:szCs w:val="24"/>
        </w:rPr>
        <w:t xml:space="preserve">, </w:t>
      </w:r>
      <w:r>
        <w:rPr>
          <w:rFonts w:ascii="Times New Roman" w:hAnsi="Times New Roman" w:cs="Times New Roman"/>
          <w:sz w:val="24"/>
          <w:szCs w:val="24"/>
        </w:rPr>
        <w:t>consultation methods and evaluate ethical considerations. The research investigates how effective stakeholder management produces successful projects which create social value that results in sustainable community development.</w:t>
      </w:r>
    </w:p>
    <w:p w14:paraId="7571F38C" w14:textId="77777777" w:rsidR="00094C21" w:rsidRDefault="00094C21">
      <w:pPr>
        <w:spacing w:line="360" w:lineRule="auto"/>
        <w:rPr>
          <w:rFonts w:ascii="Times New Roman" w:hAnsi="Times New Roman" w:cs="Times New Roman"/>
          <w:sz w:val="24"/>
          <w:szCs w:val="24"/>
        </w:rPr>
      </w:pPr>
    </w:p>
    <w:p w14:paraId="2F9944E9" w14:textId="77777777" w:rsidR="00094C21" w:rsidRDefault="00000000">
      <w:pPr>
        <w:pStyle w:val="Heading1"/>
        <w:spacing w:line="360" w:lineRule="auto"/>
        <w:rPr>
          <w:rFonts w:ascii="Times New Roman" w:hAnsi="Times New Roman" w:cs="Times New Roman"/>
          <w:b/>
          <w:bCs/>
          <w:color w:val="auto"/>
          <w:sz w:val="24"/>
          <w:szCs w:val="24"/>
        </w:rPr>
      </w:pPr>
      <w:bookmarkStart w:id="1" w:name="_Toc216742612"/>
      <w:r>
        <w:rPr>
          <w:rFonts w:ascii="Times New Roman" w:hAnsi="Times New Roman" w:cs="Times New Roman"/>
          <w:b/>
          <w:bCs/>
          <w:color w:val="auto"/>
          <w:sz w:val="24"/>
          <w:szCs w:val="24"/>
        </w:rPr>
        <w:t>ELEMENT 2: APPLICATION INCLUDING STAKEHOLDER MANAGEMENT STRATEGIES</w:t>
      </w:r>
      <w:bookmarkEnd w:id="1"/>
      <w:r>
        <w:rPr>
          <w:rFonts w:ascii="Times New Roman" w:hAnsi="Times New Roman" w:cs="Times New Roman"/>
          <w:b/>
          <w:bCs/>
          <w:color w:val="auto"/>
          <w:sz w:val="24"/>
          <w:szCs w:val="24"/>
        </w:rPr>
        <w:t xml:space="preserve"> </w:t>
      </w:r>
    </w:p>
    <w:p w14:paraId="25F56CA6" w14:textId="77777777" w:rsidR="00094C21" w:rsidRDefault="00094C21"/>
    <w:p w14:paraId="5355D327" w14:textId="77777777" w:rsidR="00094C21" w:rsidRDefault="00000000">
      <w:pPr>
        <w:pStyle w:val="Heading2"/>
        <w:rPr>
          <w:rFonts w:ascii="Times New Roman" w:hAnsi="Times New Roman" w:cs="Times New Roman"/>
          <w:b/>
          <w:bCs/>
          <w:color w:val="auto"/>
          <w:sz w:val="24"/>
          <w:szCs w:val="24"/>
        </w:rPr>
      </w:pPr>
      <w:bookmarkStart w:id="2" w:name="_Toc216742613"/>
      <w:r>
        <w:rPr>
          <w:rFonts w:ascii="Times New Roman" w:hAnsi="Times New Roman" w:cs="Times New Roman"/>
          <w:b/>
          <w:bCs/>
          <w:color w:val="auto"/>
          <w:sz w:val="24"/>
          <w:szCs w:val="24"/>
        </w:rPr>
        <w:t>2.1 OVERVIEW OF STAKEHOLDER ENGAGEMENT IN INFRASTRUCTURE PROJECTS</w:t>
      </w:r>
      <w:bookmarkEnd w:id="2"/>
    </w:p>
    <w:p w14:paraId="1E925783" w14:textId="77777777" w:rsidR="00094C21" w:rsidRDefault="00094C21">
      <w:pPr>
        <w:spacing w:line="360" w:lineRule="auto"/>
      </w:pPr>
    </w:p>
    <w:p w14:paraId="6F33F5FB" w14:textId="1EA8FE0C"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stakeholder engagement process uses a defined methodology which helps project teams to detect and study all stakeholders who will impact their work activities or experience their effects (Freeman, 1984). The local community needs to participate in stakeholder engagement for public park infrastructure projects because these projects produce visible results from public funds which affect residents directly. The method of effective engagement leads to improved decision-making because it provides better information for decision-making while it reduces project resistance</w:t>
      </w:r>
      <w:r w:rsidR="0093660D">
        <w:rPr>
          <w:rFonts w:ascii="Times New Roman" w:hAnsi="Times New Roman" w:cs="Times New Roman"/>
          <w:sz w:val="24"/>
          <w:szCs w:val="24"/>
        </w:rPr>
        <w:t>,</w:t>
      </w:r>
      <w:r>
        <w:rPr>
          <w:rFonts w:ascii="Times New Roman" w:hAnsi="Times New Roman" w:cs="Times New Roman"/>
          <w:sz w:val="24"/>
          <w:szCs w:val="24"/>
        </w:rPr>
        <w:t xml:space="preserve"> enhances project legitimacy and supports ongoing project sustainability (Bryson, 2018).</w:t>
      </w:r>
    </w:p>
    <w:p w14:paraId="3770A3A2"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proposed public park development, stakeholder engagement strategies have been designed to reflect varying levels of stakeholder power, interest and influence. The power–interest–influence matrix and stakeholder mapping tools help organisations create engagement strategies which match their resources while maintaining ethical standards and </w:t>
      </w:r>
      <w:r>
        <w:rPr>
          <w:rFonts w:ascii="Times New Roman" w:hAnsi="Times New Roman" w:cs="Times New Roman"/>
          <w:sz w:val="24"/>
          <w:szCs w:val="24"/>
        </w:rPr>
        <w:lastRenderedPageBreak/>
        <w:t>focused objectives. The following section demonstrates the detailed application of these tools which guide the development of communication and consultation plans.</w:t>
      </w:r>
    </w:p>
    <w:p w14:paraId="774244A8" w14:textId="77777777" w:rsidR="00094C21" w:rsidRDefault="00094C21">
      <w:pPr>
        <w:spacing w:line="360" w:lineRule="auto"/>
      </w:pPr>
    </w:p>
    <w:p w14:paraId="4450D3D2" w14:textId="77777777" w:rsidR="00094C21" w:rsidRDefault="00000000">
      <w:pPr>
        <w:pStyle w:val="Heading2"/>
        <w:spacing w:line="360" w:lineRule="auto"/>
        <w:rPr>
          <w:rFonts w:ascii="Times New Roman" w:hAnsi="Times New Roman" w:cs="Times New Roman"/>
          <w:b/>
          <w:bCs/>
          <w:color w:val="auto"/>
          <w:sz w:val="24"/>
          <w:szCs w:val="24"/>
        </w:rPr>
      </w:pPr>
      <w:bookmarkStart w:id="3" w:name="_Toc216742614"/>
      <w:r>
        <w:rPr>
          <w:rFonts w:ascii="Times New Roman" w:hAnsi="Times New Roman" w:cs="Times New Roman"/>
          <w:b/>
          <w:bCs/>
          <w:color w:val="auto"/>
          <w:sz w:val="24"/>
          <w:szCs w:val="24"/>
        </w:rPr>
        <w:t>2.2 POWER, INFLUENCE AND INTEREST ANALYSIS</w:t>
      </w:r>
      <w:bookmarkEnd w:id="3"/>
    </w:p>
    <w:p w14:paraId="6BDB039E" w14:textId="77777777" w:rsidR="00094C21" w:rsidRDefault="00094C21"/>
    <w:p w14:paraId="4C26A68E"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Project managers can determine their priority stakeholders by analysing power influence and interest of stakeholders to understand their relationships. Aaltonen and Kujala (2016) identify power as the first element of stakeholder analysis which shows decisional influence and interest as the second element which indicates stakeholder involvement and influence as the third element which demonstrates their power to shape project results.</w:t>
      </w:r>
    </w:p>
    <w:tbl>
      <w:tblPr>
        <w:tblStyle w:val="TableGrid"/>
        <w:tblW w:w="0" w:type="auto"/>
        <w:tblLook w:val="04A0" w:firstRow="1" w:lastRow="0" w:firstColumn="1" w:lastColumn="0" w:noHBand="0" w:noVBand="1"/>
      </w:tblPr>
      <w:tblGrid>
        <w:gridCol w:w="2070"/>
        <w:gridCol w:w="1492"/>
        <w:gridCol w:w="1633"/>
        <w:gridCol w:w="1724"/>
        <w:gridCol w:w="2097"/>
      </w:tblGrid>
      <w:tr w:rsidR="00094C21" w14:paraId="7B17DF97" w14:textId="77777777">
        <w:tc>
          <w:tcPr>
            <w:tcW w:w="1803" w:type="dxa"/>
          </w:tcPr>
          <w:p w14:paraId="01D06DA1"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STAKEHOLDER</w:t>
            </w:r>
          </w:p>
        </w:tc>
        <w:tc>
          <w:tcPr>
            <w:tcW w:w="1803" w:type="dxa"/>
          </w:tcPr>
          <w:p w14:paraId="340A7D60"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POWER</w:t>
            </w:r>
          </w:p>
        </w:tc>
        <w:tc>
          <w:tcPr>
            <w:tcW w:w="1803" w:type="dxa"/>
          </w:tcPr>
          <w:p w14:paraId="11789516"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 xml:space="preserve">INTEREST </w:t>
            </w:r>
          </w:p>
        </w:tc>
        <w:tc>
          <w:tcPr>
            <w:tcW w:w="1803" w:type="dxa"/>
          </w:tcPr>
          <w:p w14:paraId="59FC22DD" w14:textId="2585D7C3" w:rsidR="00094C21" w:rsidRDefault="0093660D">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INFLUENCE</w:t>
            </w:r>
          </w:p>
        </w:tc>
        <w:tc>
          <w:tcPr>
            <w:tcW w:w="1804" w:type="dxa"/>
          </w:tcPr>
          <w:p w14:paraId="38D26921"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JUSTIFICATION</w:t>
            </w:r>
          </w:p>
        </w:tc>
      </w:tr>
      <w:tr w:rsidR="00094C21" w14:paraId="1E55296D" w14:textId="77777777">
        <w:tc>
          <w:tcPr>
            <w:tcW w:w="1803" w:type="dxa"/>
          </w:tcPr>
          <w:p w14:paraId="5DE9A46E"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03" w:type="dxa"/>
          </w:tcPr>
          <w:p w14:paraId="67560479"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69F6811A"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30C3B8E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5F997CCA"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Responsible for funding, approvals, and strategic oversight</w:t>
            </w:r>
          </w:p>
        </w:tc>
      </w:tr>
      <w:tr w:rsidR="00094C21" w14:paraId="2BF06CFA" w14:textId="77777777">
        <w:tc>
          <w:tcPr>
            <w:tcW w:w="1803" w:type="dxa"/>
          </w:tcPr>
          <w:p w14:paraId="4422FE7C"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Residents</w:t>
            </w:r>
          </w:p>
        </w:tc>
        <w:tc>
          <w:tcPr>
            <w:tcW w:w="1803" w:type="dxa"/>
          </w:tcPr>
          <w:p w14:paraId="0D89A441"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746F16D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64CC5660"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0E1A8F19"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Directly affected users with collective influence</w:t>
            </w:r>
          </w:p>
        </w:tc>
      </w:tr>
      <w:tr w:rsidR="00094C21" w14:paraId="19227281" w14:textId="77777777">
        <w:tc>
          <w:tcPr>
            <w:tcW w:w="1803" w:type="dxa"/>
          </w:tcPr>
          <w:p w14:paraId="419183D1"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Environmental Organisations</w:t>
            </w:r>
          </w:p>
        </w:tc>
        <w:tc>
          <w:tcPr>
            <w:tcW w:w="1803" w:type="dxa"/>
          </w:tcPr>
          <w:p w14:paraId="067AD055"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3096F37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2A070AFA"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6B3CDE20"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Advocacy power and expertise in sustainability</w:t>
            </w:r>
          </w:p>
        </w:tc>
      </w:tr>
      <w:tr w:rsidR="00094C21" w14:paraId="71D1913A" w14:textId="77777777">
        <w:tc>
          <w:tcPr>
            <w:tcW w:w="1803" w:type="dxa"/>
          </w:tcPr>
          <w:p w14:paraId="598F8286"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1803" w:type="dxa"/>
          </w:tcPr>
          <w:p w14:paraId="718F2957"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1C31E691"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41671B2C"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2B8A404D"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Economic interest and local lobbying potential</w:t>
            </w:r>
          </w:p>
        </w:tc>
      </w:tr>
      <w:tr w:rsidR="00094C21" w14:paraId="272963C6" w14:textId="77777777">
        <w:tc>
          <w:tcPr>
            <w:tcW w:w="1803" w:type="dxa"/>
          </w:tcPr>
          <w:p w14:paraId="0FBD544F"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Community Groups</w:t>
            </w:r>
          </w:p>
        </w:tc>
        <w:tc>
          <w:tcPr>
            <w:tcW w:w="1803" w:type="dxa"/>
          </w:tcPr>
          <w:p w14:paraId="6D582673"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69C7FC1E"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381FEBEE"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4" w:type="dxa"/>
          </w:tcPr>
          <w:p w14:paraId="3BAAEBEB"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Limited formal power but social value contribution</w:t>
            </w:r>
          </w:p>
        </w:tc>
      </w:tr>
      <w:tr w:rsidR="00094C21" w14:paraId="2036FDFA" w14:textId="77777777">
        <w:tc>
          <w:tcPr>
            <w:tcW w:w="1803" w:type="dxa"/>
          </w:tcPr>
          <w:p w14:paraId="79E56EC1"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Contractors</w:t>
            </w:r>
          </w:p>
        </w:tc>
        <w:tc>
          <w:tcPr>
            <w:tcW w:w="1803" w:type="dxa"/>
          </w:tcPr>
          <w:p w14:paraId="71D6DB6B"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5AAC9B1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3" w:type="dxa"/>
          </w:tcPr>
          <w:p w14:paraId="2AC5DD7A"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03CE664B"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Operational influence during construction</w:t>
            </w:r>
          </w:p>
        </w:tc>
      </w:tr>
    </w:tbl>
    <w:p w14:paraId="78BA122B" w14:textId="77777777" w:rsidR="00094C21" w:rsidRDefault="00094C21">
      <w:pPr>
        <w:spacing w:line="360" w:lineRule="auto"/>
        <w:rPr>
          <w:rFonts w:ascii="Times New Roman" w:hAnsi="Times New Roman" w:cs="Times New Roman"/>
          <w:sz w:val="24"/>
          <w:szCs w:val="24"/>
        </w:rPr>
      </w:pPr>
    </w:p>
    <w:p w14:paraId="1557FE39" w14:textId="538AD6BF"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local authority is categorised as having high power, interest and influence due to its statutory responsibilities for land use, funding approval and long-term asset management. The council's project sponsor role determines all project elements because they need to follow the council's established priorities. The UK Government (2022) states that organisations need to maintain ongoing participation because this approach helps them stay connected to their political </w:t>
      </w:r>
      <w:r w:rsidR="0093660D">
        <w:rPr>
          <w:rFonts w:ascii="Times New Roman" w:hAnsi="Times New Roman" w:cs="Times New Roman"/>
          <w:sz w:val="24"/>
          <w:szCs w:val="24"/>
        </w:rPr>
        <w:t xml:space="preserve">and </w:t>
      </w:r>
      <w:r>
        <w:rPr>
          <w:rFonts w:ascii="Times New Roman" w:hAnsi="Times New Roman" w:cs="Times New Roman"/>
          <w:sz w:val="24"/>
          <w:szCs w:val="24"/>
        </w:rPr>
        <w:t>policy-based targets.</w:t>
      </w:r>
    </w:p>
    <w:p w14:paraId="6BC09B42" w14:textId="666F5776"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park attracts strong interest from local people who will use its facilities as both the main users and beneficiaries of the park. Individual residents maintain limited formal authority yet their collective force from participating in consultations</w:t>
      </w:r>
      <w:r w:rsidR="0093660D">
        <w:rPr>
          <w:rFonts w:ascii="Times New Roman" w:hAnsi="Times New Roman" w:cs="Times New Roman"/>
          <w:sz w:val="24"/>
          <w:szCs w:val="24"/>
        </w:rPr>
        <w:t>,</w:t>
      </w:r>
      <w:r>
        <w:rPr>
          <w:rFonts w:ascii="Times New Roman" w:hAnsi="Times New Roman" w:cs="Times New Roman"/>
          <w:sz w:val="24"/>
          <w:szCs w:val="24"/>
        </w:rPr>
        <w:t xml:space="preserve"> submitting petitions and attending public meetings allows them to create major alterations in project selection. Research indicates that community members will fight against projects because they do not participate in decision-making processes, so developers need to establish authentic participation methods instead of conducting </w:t>
      </w:r>
      <w:r w:rsidR="0093660D">
        <w:rPr>
          <w:rFonts w:ascii="Times New Roman" w:hAnsi="Times New Roman" w:cs="Times New Roman"/>
          <w:sz w:val="24"/>
          <w:szCs w:val="24"/>
        </w:rPr>
        <w:t>tokenistic consultation</w:t>
      </w:r>
      <w:r>
        <w:rPr>
          <w:rFonts w:ascii="Times New Roman" w:hAnsi="Times New Roman" w:cs="Times New Roman"/>
          <w:sz w:val="24"/>
          <w:szCs w:val="24"/>
        </w:rPr>
        <w:t xml:space="preserve"> (Reed et al.,2018).</w:t>
      </w:r>
    </w:p>
    <w:p w14:paraId="571128EA"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Environmental organisations demonstrate high interest due to concerns surrounding biodiversity, land use and sustainability. The experts maintain restricted official authority, yet they achieve greater impact through their specialised expertise and their reputation with the public and their capacity to generate social support. Local businesses maintain average levels of influence which they use to address construction interruptions and new economic potential that results from higher customer numbers.</w:t>
      </w:r>
    </w:p>
    <w:p w14:paraId="485B6F40" w14:textId="77777777" w:rsidR="00094C21" w:rsidRDefault="00094C21">
      <w:pPr>
        <w:spacing w:line="360" w:lineRule="auto"/>
        <w:rPr>
          <w:rFonts w:ascii="Times New Roman" w:hAnsi="Times New Roman" w:cs="Times New Roman"/>
          <w:sz w:val="24"/>
          <w:szCs w:val="24"/>
        </w:rPr>
      </w:pPr>
    </w:p>
    <w:p w14:paraId="76C7C6B5" w14:textId="77777777" w:rsidR="00094C21" w:rsidRDefault="00000000">
      <w:pPr>
        <w:pStyle w:val="Heading2"/>
        <w:rPr>
          <w:rFonts w:ascii="Times New Roman" w:hAnsi="Times New Roman" w:cs="Times New Roman"/>
          <w:b/>
          <w:bCs/>
          <w:color w:val="auto"/>
          <w:sz w:val="24"/>
          <w:szCs w:val="24"/>
        </w:rPr>
      </w:pPr>
      <w:bookmarkStart w:id="4" w:name="_Toc216742615"/>
      <w:r>
        <w:rPr>
          <w:rFonts w:ascii="Times New Roman" w:hAnsi="Times New Roman" w:cs="Times New Roman"/>
          <w:b/>
          <w:bCs/>
          <w:color w:val="auto"/>
          <w:sz w:val="24"/>
          <w:szCs w:val="24"/>
        </w:rPr>
        <w:t>2.3 STAKEHOLDER MAPPING AND QUADRANT JUSTFIFICATION</w:t>
      </w:r>
      <w:bookmarkEnd w:id="4"/>
    </w:p>
    <w:p w14:paraId="691F1380" w14:textId="77777777" w:rsidR="00094C21" w:rsidRDefault="00094C21"/>
    <w:p w14:paraId="683BF82E" w14:textId="5F91A25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stakeholder mapping tool enables organisations to perform power-interest analysis through its systematic framework which helps them detect their stakeholder interaction levels and choose their management priorities. Mendelow (1991) organised stakeholders into four sections of his power–interest matrix which he named manage closely</w:t>
      </w:r>
      <w:r w:rsidR="0093660D">
        <w:rPr>
          <w:rFonts w:ascii="Times New Roman" w:hAnsi="Times New Roman" w:cs="Times New Roman"/>
          <w:sz w:val="24"/>
          <w:szCs w:val="24"/>
        </w:rPr>
        <w:t>,</w:t>
      </w:r>
      <w:r>
        <w:rPr>
          <w:rFonts w:ascii="Times New Roman" w:hAnsi="Times New Roman" w:cs="Times New Roman"/>
          <w:sz w:val="24"/>
          <w:szCs w:val="24"/>
        </w:rPr>
        <w:t xml:space="preserve"> keep satisfied</w:t>
      </w:r>
      <w:r w:rsidR="0093660D">
        <w:rPr>
          <w:rFonts w:ascii="Times New Roman" w:hAnsi="Times New Roman" w:cs="Times New Roman"/>
          <w:sz w:val="24"/>
          <w:szCs w:val="24"/>
        </w:rPr>
        <w:t xml:space="preserve">, </w:t>
      </w:r>
      <w:r>
        <w:rPr>
          <w:rFonts w:ascii="Times New Roman" w:hAnsi="Times New Roman" w:cs="Times New Roman"/>
          <w:sz w:val="24"/>
          <w:szCs w:val="24"/>
        </w:rPr>
        <w:t>keep informed and monitor.</w:t>
      </w:r>
    </w:p>
    <w:p w14:paraId="5FACDF04" w14:textId="62FD0655"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high power–high interest quadrant requires active and ongoing management of stakeholders because they maintain control over project decisions</w:t>
      </w:r>
      <w:r w:rsidR="0093660D">
        <w:rPr>
          <w:rFonts w:ascii="Times New Roman" w:hAnsi="Times New Roman" w:cs="Times New Roman"/>
          <w:sz w:val="24"/>
          <w:szCs w:val="24"/>
        </w:rPr>
        <w:t xml:space="preserve">, </w:t>
      </w:r>
      <w:r>
        <w:rPr>
          <w:rFonts w:ascii="Times New Roman" w:hAnsi="Times New Roman" w:cs="Times New Roman"/>
          <w:sz w:val="24"/>
          <w:szCs w:val="24"/>
        </w:rPr>
        <w:t>governance and approval processes. The organisation needs to establish formal engagement which occurs regularly and involves all stakeholders for achieving policy and financial targets.</w:t>
      </w:r>
    </w:p>
    <w:p w14:paraId="05F48249" w14:textId="13D8950E"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People who </w:t>
      </w:r>
      <w:proofErr w:type="gramStart"/>
      <w:r>
        <w:rPr>
          <w:rFonts w:ascii="Times New Roman" w:hAnsi="Times New Roman" w:cs="Times New Roman"/>
          <w:sz w:val="24"/>
          <w:szCs w:val="24"/>
        </w:rPr>
        <w:t>have the ability to</w:t>
      </w:r>
      <w:proofErr w:type="gramEnd"/>
      <w:r>
        <w:rPr>
          <w:rFonts w:ascii="Times New Roman" w:hAnsi="Times New Roman" w:cs="Times New Roman"/>
          <w:sz w:val="24"/>
          <w:szCs w:val="24"/>
        </w:rPr>
        <w:t xml:space="preserve"> affect project delivery strongly but only focus on meeting their contractual duties without lasting interest fall into the high power–low interest quadrant. The organisation needs to develop engagement strategies which will establish performance targets</w:t>
      </w:r>
      <w:r w:rsidR="0093660D">
        <w:rPr>
          <w:rFonts w:ascii="Times New Roman" w:hAnsi="Times New Roman" w:cs="Times New Roman"/>
          <w:sz w:val="24"/>
          <w:szCs w:val="24"/>
        </w:rPr>
        <w:t xml:space="preserve">, </w:t>
      </w:r>
      <w:r>
        <w:rPr>
          <w:rFonts w:ascii="Times New Roman" w:hAnsi="Times New Roman" w:cs="Times New Roman"/>
          <w:sz w:val="24"/>
          <w:szCs w:val="24"/>
        </w:rPr>
        <w:t>monitor results and handle problems right away to maintain operational stability.</w:t>
      </w:r>
    </w:p>
    <w:p w14:paraId="1036D83B" w14:textId="668B0923"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low power–high interest quadrant consists of stakeholders who experience significant project outcome effects yet do not hold official decision-making power. The OECD (2020) identifies that these groups need ongoing information exchange</w:t>
      </w:r>
      <w:r w:rsidR="0093660D">
        <w:rPr>
          <w:rFonts w:ascii="Times New Roman" w:hAnsi="Times New Roman" w:cs="Times New Roman"/>
          <w:sz w:val="24"/>
          <w:szCs w:val="24"/>
        </w:rPr>
        <w:t>, s</w:t>
      </w:r>
      <w:r>
        <w:rPr>
          <w:rFonts w:ascii="Times New Roman" w:hAnsi="Times New Roman" w:cs="Times New Roman"/>
          <w:sz w:val="24"/>
          <w:szCs w:val="24"/>
        </w:rPr>
        <w:t>ubstantial participation in decision-making processes to develop trust relationships and control project expectations and validate project authenticity.</w:t>
      </w:r>
    </w:p>
    <w:p w14:paraId="2311FB45"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stakeholders who have both low power and low interest need to be monitored through regular checks instead of receiving active involvement. The project team needs to keep their communication at a basic level because this allows them to monitor project advancement and identify potential problems which will assist them in managing stakeholders effectively. To support the prioritisation of stakeholder engagement strategies, a stakeholder power–interest matrix has been developed to visually represent the relative position of key stakeholders in relation to their ability to influence project outcomes and their level of interest in the proposed public park development.</w:t>
      </w:r>
    </w:p>
    <w:p w14:paraId="61EB278A" w14:textId="77777777" w:rsidR="0093660D" w:rsidRDefault="00000000" w:rsidP="0093660D">
      <w:pPr>
        <w:keepNext/>
        <w:spacing w:line="360" w:lineRule="auto"/>
      </w:pPr>
      <w:r>
        <w:rPr>
          <w:rFonts w:ascii="Times New Roman" w:hAnsi="Times New Roman" w:cs="Times New Roman"/>
          <w:noProof/>
          <w:sz w:val="24"/>
          <w:szCs w:val="24"/>
        </w:rPr>
        <w:drawing>
          <wp:inline distT="0" distB="0" distL="0" distR="0" wp14:anchorId="1987C72F" wp14:editId="08F11EFC">
            <wp:extent cx="3539490" cy="3539490"/>
            <wp:effectExtent l="0" t="0" r="3810" b="3810"/>
            <wp:docPr id="166370121" name="Picture 1" descr="Stakeholder map created by m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0121" name="Picture 1" descr="Stakeholder map created by me&#10;"/>
                    <pic:cNvPicPr>
                      <a:picLocks noChangeAspect="1"/>
                    </pic:cNvPicPr>
                  </pic:nvPicPr>
                  <pic:blipFill>
                    <a:blip r:embed="rId8"/>
                    <a:stretch>
                      <a:fillRect/>
                    </a:stretch>
                  </pic:blipFill>
                  <pic:spPr>
                    <a:xfrm>
                      <a:off x="0" y="0"/>
                      <a:ext cx="3545127" cy="3545127"/>
                    </a:xfrm>
                    <a:prstGeom prst="rect">
                      <a:avLst/>
                    </a:prstGeom>
                  </pic:spPr>
                </pic:pic>
              </a:graphicData>
            </a:graphic>
          </wp:inline>
        </w:drawing>
      </w:r>
    </w:p>
    <w:p w14:paraId="67845409" w14:textId="0FEA8002" w:rsidR="0093660D" w:rsidRPr="0093660D" w:rsidRDefault="0093660D" w:rsidP="0093660D">
      <w:pPr>
        <w:pStyle w:val="Caption"/>
        <w:rPr>
          <w:rFonts w:ascii="Times New Roman" w:hAnsi="Times New Roman" w:cs="Times New Roman"/>
        </w:rPr>
      </w:pPr>
      <w:r w:rsidRPr="0093660D">
        <w:rPr>
          <w:rFonts w:ascii="Times New Roman" w:hAnsi="Times New Roman" w:cs="Times New Roman"/>
        </w:rPr>
        <w:t xml:space="preserve">Figure </w:t>
      </w:r>
      <w:r w:rsidRPr="0093660D">
        <w:rPr>
          <w:rFonts w:ascii="Times New Roman" w:hAnsi="Times New Roman" w:cs="Times New Roman"/>
        </w:rPr>
        <w:fldChar w:fldCharType="begin"/>
      </w:r>
      <w:r w:rsidRPr="0093660D">
        <w:rPr>
          <w:rFonts w:ascii="Times New Roman" w:hAnsi="Times New Roman" w:cs="Times New Roman"/>
        </w:rPr>
        <w:instrText xml:space="preserve"> SEQ Figure \* ARABIC </w:instrText>
      </w:r>
      <w:r w:rsidRPr="0093660D">
        <w:rPr>
          <w:rFonts w:ascii="Times New Roman" w:hAnsi="Times New Roman" w:cs="Times New Roman"/>
        </w:rPr>
        <w:fldChar w:fldCharType="separate"/>
      </w:r>
      <w:r w:rsidRPr="0093660D">
        <w:rPr>
          <w:rFonts w:ascii="Times New Roman" w:hAnsi="Times New Roman" w:cs="Times New Roman"/>
          <w:noProof/>
        </w:rPr>
        <w:t>1</w:t>
      </w:r>
      <w:r w:rsidRPr="0093660D">
        <w:rPr>
          <w:rFonts w:ascii="Times New Roman" w:hAnsi="Times New Roman" w:cs="Times New Roman"/>
        </w:rPr>
        <w:fldChar w:fldCharType="end"/>
      </w:r>
      <w:r w:rsidRPr="0093660D">
        <w:rPr>
          <w:rFonts w:ascii="Times New Roman" w:hAnsi="Times New Roman" w:cs="Times New Roman"/>
        </w:rPr>
        <w:t xml:space="preserve"> Stakeholder Power–Interest Matrix for the Proposed Public Park Project (Author’s own, adapted from Mendelow, 1991)</w:t>
      </w:r>
    </w:p>
    <w:p w14:paraId="19705D79" w14:textId="7C3DBCE3" w:rsidR="00094C21" w:rsidRDefault="00000000">
      <w:pPr>
        <w:pStyle w:val="Heading2"/>
        <w:rPr>
          <w:rFonts w:ascii="Times New Roman" w:hAnsi="Times New Roman" w:cs="Times New Roman"/>
          <w:b/>
          <w:bCs/>
          <w:color w:val="auto"/>
          <w:sz w:val="24"/>
          <w:szCs w:val="24"/>
        </w:rPr>
      </w:pPr>
      <w:bookmarkStart w:id="5" w:name="_Toc216742616"/>
      <w:r>
        <w:rPr>
          <w:rFonts w:ascii="Times New Roman" w:hAnsi="Times New Roman" w:cs="Times New Roman"/>
          <w:b/>
          <w:bCs/>
          <w:color w:val="auto"/>
          <w:sz w:val="24"/>
          <w:szCs w:val="24"/>
        </w:rPr>
        <w:lastRenderedPageBreak/>
        <w:t>2.4 COMMUNICATION PLAN</w:t>
      </w:r>
      <w:bookmarkEnd w:id="5"/>
    </w:p>
    <w:p w14:paraId="06BE9E70" w14:textId="77777777" w:rsidR="00094C21" w:rsidRDefault="00094C21"/>
    <w:p w14:paraId="59D0D9FF"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A structured communication plan delivers stakeholders with information which they need to access during the correct time. The process of effective communication creates transparency while it helps control expectations which minimises the chances of developing misunderstandings or conflicts (Rowe and </w:t>
      </w:r>
      <w:proofErr w:type="spellStart"/>
      <w:r>
        <w:rPr>
          <w:rFonts w:ascii="Times New Roman" w:hAnsi="Times New Roman" w:cs="Times New Roman"/>
          <w:sz w:val="24"/>
          <w:szCs w:val="24"/>
        </w:rPr>
        <w:t>Frewer</w:t>
      </w:r>
      <w:proofErr w:type="spellEnd"/>
      <w:r>
        <w:rPr>
          <w:rFonts w:ascii="Times New Roman" w:hAnsi="Times New Roman" w:cs="Times New Roman"/>
          <w:sz w:val="24"/>
          <w:szCs w:val="24"/>
        </w:rPr>
        <w:t>, 2005).</w:t>
      </w:r>
    </w:p>
    <w:tbl>
      <w:tblPr>
        <w:tblStyle w:val="TableGrid"/>
        <w:tblW w:w="9640" w:type="dxa"/>
        <w:tblInd w:w="-289" w:type="dxa"/>
        <w:tblLook w:val="04A0" w:firstRow="1" w:lastRow="0" w:firstColumn="1" w:lastColumn="0" w:noHBand="0" w:noVBand="1"/>
      </w:tblPr>
      <w:tblGrid>
        <w:gridCol w:w="2070"/>
        <w:gridCol w:w="2003"/>
        <w:gridCol w:w="1403"/>
        <w:gridCol w:w="2430"/>
        <w:gridCol w:w="2097"/>
      </w:tblGrid>
      <w:tr w:rsidR="00094C21" w14:paraId="38F76D96" w14:textId="77777777">
        <w:tc>
          <w:tcPr>
            <w:tcW w:w="1916" w:type="dxa"/>
          </w:tcPr>
          <w:p w14:paraId="3C47E507"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STAKEHOLDER</w:t>
            </w:r>
          </w:p>
        </w:tc>
        <w:tc>
          <w:tcPr>
            <w:tcW w:w="1850" w:type="dxa"/>
          </w:tcPr>
          <w:p w14:paraId="2D2A0BC5"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INFORMATION SHARED</w:t>
            </w:r>
          </w:p>
        </w:tc>
        <w:tc>
          <w:tcPr>
            <w:tcW w:w="1371" w:type="dxa"/>
          </w:tcPr>
          <w:p w14:paraId="41125052"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TIMING</w:t>
            </w:r>
          </w:p>
        </w:tc>
        <w:tc>
          <w:tcPr>
            <w:tcW w:w="2253" w:type="dxa"/>
          </w:tcPr>
          <w:p w14:paraId="76A025C3"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COMMUNICATION MEDIUM</w:t>
            </w:r>
          </w:p>
        </w:tc>
        <w:tc>
          <w:tcPr>
            <w:tcW w:w="2250" w:type="dxa"/>
          </w:tcPr>
          <w:p w14:paraId="78D5B115" w14:textId="77777777" w:rsidR="00094C21" w:rsidRDefault="00000000">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JUSTIFICATION</w:t>
            </w:r>
          </w:p>
        </w:tc>
      </w:tr>
      <w:tr w:rsidR="00094C21" w14:paraId="3CF650E7" w14:textId="77777777">
        <w:tc>
          <w:tcPr>
            <w:tcW w:w="1916" w:type="dxa"/>
          </w:tcPr>
          <w:p w14:paraId="0733F02F"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50" w:type="dxa"/>
          </w:tcPr>
          <w:p w14:paraId="6E91E2A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Progress reports, budgets, risks</w:t>
            </w:r>
          </w:p>
        </w:tc>
        <w:tc>
          <w:tcPr>
            <w:tcW w:w="1371" w:type="dxa"/>
          </w:tcPr>
          <w:p w14:paraId="6DB05D74"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Monthly and key milestone</w:t>
            </w:r>
          </w:p>
        </w:tc>
        <w:tc>
          <w:tcPr>
            <w:tcW w:w="2253" w:type="dxa"/>
          </w:tcPr>
          <w:p w14:paraId="21FE2E0B"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Formal reports and meetings</w:t>
            </w:r>
          </w:p>
        </w:tc>
        <w:tc>
          <w:tcPr>
            <w:tcW w:w="2250" w:type="dxa"/>
          </w:tcPr>
          <w:p w14:paraId="2F391C10"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Supports governance and accountability</w:t>
            </w:r>
          </w:p>
        </w:tc>
      </w:tr>
      <w:tr w:rsidR="00094C21" w14:paraId="2374BCB1" w14:textId="77777777">
        <w:tc>
          <w:tcPr>
            <w:tcW w:w="1916" w:type="dxa"/>
          </w:tcPr>
          <w:p w14:paraId="508A858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Residents</w:t>
            </w:r>
          </w:p>
        </w:tc>
        <w:tc>
          <w:tcPr>
            <w:tcW w:w="1850" w:type="dxa"/>
          </w:tcPr>
          <w:p w14:paraId="6D30B307"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Design proposals, timelines, disruptions</w:t>
            </w:r>
          </w:p>
        </w:tc>
        <w:tc>
          <w:tcPr>
            <w:tcW w:w="1371" w:type="dxa"/>
          </w:tcPr>
          <w:p w14:paraId="0050F57A"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Design and construction phases</w:t>
            </w:r>
          </w:p>
        </w:tc>
        <w:tc>
          <w:tcPr>
            <w:tcW w:w="2253" w:type="dxa"/>
          </w:tcPr>
          <w:p w14:paraId="3CE60C6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Letters, public meetings, council website</w:t>
            </w:r>
          </w:p>
        </w:tc>
        <w:tc>
          <w:tcPr>
            <w:tcW w:w="2250" w:type="dxa"/>
          </w:tcPr>
          <w:p w14:paraId="6075D4E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Builds trust and acceptance</w:t>
            </w:r>
          </w:p>
        </w:tc>
      </w:tr>
      <w:tr w:rsidR="00094C21" w14:paraId="79F1B452" w14:textId="77777777">
        <w:tc>
          <w:tcPr>
            <w:tcW w:w="1916" w:type="dxa"/>
          </w:tcPr>
          <w:p w14:paraId="50779CEE"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Environmental Organisations</w:t>
            </w:r>
          </w:p>
        </w:tc>
        <w:tc>
          <w:tcPr>
            <w:tcW w:w="1850" w:type="dxa"/>
          </w:tcPr>
          <w:p w14:paraId="17CC2D0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Environmental assessments </w:t>
            </w:r>
          </w:p>
        </w:tc>
        <w:tc>
          <w:tcPr>
            <w:tcW w:w="1371" w:type="dxa"/>
          </w:tcPr>
          <w:p w14:paraId="0EE75157"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Design and review stages</w:t>
            </w:r>
          </w:p>
        </w:tc>
        <w:tc>
          <w:tcPr>
            <w:tcW w:w="2253" w:type="dxa"/>
          </w:tcPr>
          <w:p w14:paraId="5B281F24"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Email and workshops</w:t>
            </w:r>
          </w:p>
        </w:tc>
        <w:tc>
          <w:tcPr>
            <w:tcW w:w="2250" w:type="dxa"/>
          </w:tcPr>
          <w:p w14:paraId="2D3F8C2F"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Enables expert input</w:t>
            </w:r>
          </w:p>
        </w:tc>
      </w:tr>
      <w:tr w:rsidR="00094C21" w14:paraId="7A6293E2" w14:textId="77777777">
        <w:tc>
          <w:tcPr>
            <w:tcW w:w="1916" w:type="dxa"/>
          </w:tcPr>
          <w:p w14:paraId="489FB86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1850" w:type="dxa"/>
          </w:tcPr>
          <w:p w14:paraId="3272491F"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Construction schedules, access changes</w:t>
            </w:r>
          </w:p>
        </w:tc>
        <w:tc>
          <w:tcPr>
            <w:tcW w:w="1371" w:type="dxa"/>
          </w:tcPr>
          <w:p w14:paraId="656BEDD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Pre-construction and construction</w:t>
            </w:r>
          </w:p>
        </w:tc>
        <w:tc>
          <w:tcPr>
            <w:tcW w:w="2253" w:type="dxa"/>
          </w:tcPr>
          <w:p w14:paraId="78907186"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Email and local newspaper</w:t>
            </w:r>
          </w:p>
        </w:tc>
        <w:tc>
          <w:tcPr>
            <w:tcW w:w="2250" w:type="dxa"/>
          </w:tcPr>
          <w:p w14:paraId="58601DC3"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Minimises disruption concerns</w:t>
            </w:r>
          </w:p>
        </w:tc>
      </w:tr>
      <w:tr w:rsidR="00094C21" w14:paraId="30B80ED8" w14:textId="77777777">
        <w:tc>
          <w:tcPr>
            <w:tcW w:w="1916" w:type="dxa"/>
          </w:tcPr>
          <w:p w14:paraId="32D04155"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Community Groups</w:t>
            </w:r>
          </w:p>
        </w:tc>
        <w:tc>
          <w:tcPr>
            <w:tcW w:w="1850" w:type="dxa"/>
          </w:tcPr>
          <w:p w14:paraId="7A673A02"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Park usage opportunities</w:t>
            </w:r>
          </w:p>
        </w:tc>
        <w:tc>
          <w:tcPr>
            <w:tcW w:w="1371" w:type="dxa"/>
          </w:tcPr>
          <w:p w14:paraId="652960A6"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Post-completion</w:t>
            </w:r>
          </w:p>
        </w:tc>
        <w:tc>
          <w:tcPr>
            <w:tcW w:w="2253" w:type="dxa"/>
          </w:tcPr>
          <w:p w14:paraId="7F6DBF4E"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Social media and newsletters</w:t>
            </w:r>
          </w:p>
        </w:tc>
        <w:tc>
          <w:tcPr>
            <w:tcW w:w="2250" w:type="dxa"/>
          </w:tcPr>
          <w:p w14:paraId="30510EF8" w14:textId="77777777" w:rsidR="00094C21" w:rsidRDefault="00000000">
            <w:pPr>
              <w:spacing w:after="0" w:line="360" w:lineRule="auto"/>
              <w:rPr>
                <w:rFonts w:ascii="Times New Roman" w:hAnsi="Times New Roman" w:cs="Times New Roman"/>
                <w:sz w:val="24"/>
                <w:szCs w:val="24"/>
              </w:rPr>
            </w:pPr>
            <w:r>
              <w:rPr>
                <w:rFonts w:ascii="Times New Roman" w:hAnsi="Times New Roman" w:cs="Times New Roman"/>
                <w:sz w:val="24"/>
                <w:szCs w:val="24"/>
              </w:rPr>
              <w:t>Encourages social participation</w:t>
            </w:r>
          </w:p>
        </w:tc>
      </w:tr>
    </w:tbl>
    <w:p w14:paraId="201E4AA3" w14:textId="77777777" w:rsidR="00094C21" w:rsidRDefault="00094C21">
      <w:pPr>
        <w:spacing w:line="360" w:lineRule="auto"/>
        <w:rPr>
          <w:rFonts w:ascii="Times New Roman" w:hAnsi="Times New Roman" w:cs="Times New Roman"/>
          <w:sz w:val="24"/>
          <w:szCs w:val="24"/>
        </w:rPr>
      </w:pPr>
    </w:p>
    <w:p w14:paraId="452224B5"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system enables all stakeholders to access information equally through its digital and traditional communication channels which provide both accessibility and inclusivity.</w:t>
      </w:r>
    </w:p>
    <w:p w14:paraId="49E71742" w14:textId="77777777" w:rsidR="00094C21" w:rsidRDefault="00094C21">
      <w:pPr>
        <w:spacing w:line="360" w:lineRule="auto"/>
        <w:rPr>
          <w:rFonts w:ascii="Times New Roman" w:hAnsi="Times New Roman" w:cs="Times New Roman"/>
          <w:sz w:val="24"/>
          <w:szCs w:val="24"/>
        </w:rPr>
      </w:pPr>
    </w:p>
    <w:p w14:paraId="41742135" w14:textId="77777777" w:rsidR="00094C21" w:rsidRDefault="00094C21">
      <w:pPr>
        <w:spacing w:line="360" w:lineRule="auto"/>
        <w:rPr>
          <w:rFonts w:ascii="Times New Roman" w:hAnsi="Times New Roman" w:cs="Times New Roman"/>
          <w:sz w:val="24"/>
          <w:szCs w:val="24"/>
        </w:rPr>
      </w:pPr>
    </w:p>
    <w:p w14:paraId="1F2ACD1E" w14:textId="77777777" w:rsidR="00094C21" w:rsidRDefault="00094C21">
      <w:pPr>
        <w:spacing w:line="360" w:lineRule="auto"/>
        <w:rPr>
          <w:rFonts w:ascii="Times New Roman" w:hAnsi="Times New Roman" w:cs="Times New Roman"/>
          <w:sz w:val="24"/>
          <w:szCs w:val="24"/>
        </w:rPr>
      </w:pPr>
    </w:p>
    <w:p w14:paraId="480BA9BA" w14:textId="77777777" w:rsidR="00094C21" w:rsidRDefault="00094C21">
      <w:pPr>
        <w:spacing w:line="360" w:lineRule="auto"/>
        <w:rPr>
          <w:rFonts w:ascii="Times New Roman" w:hAnsi="Times New Roman" w:cs="Times New Roman"/>
          <w:sz w:val="24"/>
          <w:szCs w:val="24"/>
        </w:rPr>
      </w:pPr>
    </w:p>
    <w:p w14:paraId="027B1665" w14:textId="77777777" w:rsidR="00094C21" w:rsidRDefault="00094C21">
      <w:pPr>
        <w:spacing w:line="360" w:lineRule="auto"/>
        <w:rPr>
          <w:rFonts w:ascii="Times New Roman" w:hAnsi="Times New Roman" w:cs="Times New Roman"/>
          <w:sz w:val="24"/>
          <w:szCs w:val="24"/>
        </w:rPr>
      </w:pPr>
    </w:p>
    <w:p w14:paraId="4716E1A7" w14:textId="77777777" w:rsidR="00094C21" w:rsidRDefault="00000000">
      <w:pPr>
        <w:pStyle w:val="Heading2"/>
        <w:rPr>
          <w:rFonts w:ascii="Times New Roman" w:hAnsi="Times New Roman" w:cs="Times New Roman"/>
          <w:b/>
          <w:bCs/>
          <w:color w:val="auto"/>
          <w:sz w:val="24"/>
          <w:szCs w:val="24"/>
        </w:rPr>
      </w:pPr>
      <w:bookmarkStart w:id="6" w:name="_Toc216742617"/>
      <w:r>
        <w:rPr>
          <w:rFonts w:ascii="Times New Roman" w:hAnsi="Times New Roman" w:cs="Times New Roman"/>
          <w:b/>
          <w:bCs/>
          <w:color w:val="auto"/>
          <w:sz w:val="24"/>
          <w:szCs w:val="24"/>
        </w:rPr>
        <w:lastRenderedPageBreak/>
        <w:t>2.5 CONSULTATION STRATEGY AND JUSTIFICATION</w:t>
      </w:r>
      <w:bookmarkEnd w:id="6"/>
    </w:p>
    <w:p w14:paraId="53DBB004" w14:textId="77777777" w:rsidR="00094C21" w:rsidRDefault="00094C21"/>
    <w:p w14:paraId="2DFC6CF6"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fundamental element of successful stakeholder engagement consists of consultation because it creates open dialogue which allows stakeholders to actively participate in project choices instead of simply receiving updates. The public park development will achieve maximum stakeholder participation through mixed-method consultation approaches which will produce high-quality feedback.</w:t>
      </w:r>
    </w:p>
    <w:p w14:paraId="47ECD53C"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Public consultation meetings will be organised during the concept design and planning stages to provide opportunities for open dialogue between the project team and stakeholders. The forums serve as platforms which allow stakeholders to ask for information while they share their preferences and concerns to project representatives who will explain both project goals and limitations. Public meetings function as vital infrastructure project tools which use public funding because they enable organisations to establish trust relationships through their display of transparent practices (Rowe and </w:t>
      </w:r>
      <w:proofErr w:type="spellStart"/>
      <w:r>
        <w:rPr>
          <w:rFonts w:ascii="Times New Roman" w:hAnsi="Times New Roman" w:cs="Times New Roman"/>
          <w:sz w:val="24"/>
          <w:szCs w:val="24"/>
        </w:rPr>
        <w:t>Frewer</w:t>
      </w:r>
      <w:proofErr w:type="spellEnd"/>
      <w:r>
        <w:rPr>
          <w:rFonts w:ascii="Times New Roman" w:hAnsi="Times New Roman" w:cs="Times New Roman"/>
          <w:sz w:val="24"/>
          <w:szCs w:val="24"/>
        </w:rPr>
        <w:t>, 2005).</w:t>
      </w:r>
    </w:p>
    <w:p w14:paraId="63BD3DA7" w14:textId="65CAFA0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project will collect stakeholder feedback through online surveys because some participants face barriers to attend face-to-face events due to their time limitations</w:t>
      </w:r>
      <w:r w:rsidR="0093660D">
        <w:rPr>
          <w:rFonts w:ascii="Times New Roman" w:hAnsi="Times New Roman" w:cs="Times New Roman"/>
          <w:sz w:val="24"/>
          <w:szCs w:val="24"/>
        </w:rPr>
        <w:t xml:space="preserve">, </w:t>
      </w:r>
      <w:r>
        <w:rPr>
          <w:rFonts w:ascii="Times New Roman" w:hAnsi="Times New Roman" w:cs="Times New Roman"/>
          <w:sz w:val="24"/>
          <w:szCs w:val="24"/>
        </w:rPr>
        <w:t>mobility restrictions and accessibility challenges. The online consultation methods developed by Reed et al.</w:t>
      </w:r>
      <w:r w:rsidR="0093660D">
        <w:rPr>
          <w:rFonts w:ascii="Times New Roman" w:hAnsi="Times New Roman" w:cs="Times New Roman"/>
          <w:sz w:val="24"/>
          <w:szCs w:val="24"/>
        </w:rPr>
        <w:t xml:space="preserve"> (2018)</w:t>
      </w:r>
      <w:r>
        <w:rPr>
          <w:rFonts w:ascii="Times New Roman" w:hAnsi="Times New Roman" w:cs="Times New Roman"/>
          <w:sz w:val="24"/>
          <w:szCs w:val="24"/>
        </w:rPr>
        <w:t xml:space="preserve"> allow more people to participate while producing measurable data which organisations can apply to support their evidence-based decision-making process. The survey questions will contain neutral language to avoid any form of bias which will result in dependable responses from participants.</w:t>
      </w:r>
    </w:p>
    <w:p w14:paraId="6DF32E38" w14:textId="5097A718"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program will create workshops which focus on </w:t>
      </w:r>
      <w:r w:rsidR="0093660D">
        <w:rPr>
          <w:rFonts w:ascii="Times New Roman" w:hAnsi="Times New Roman" w:cs="Times New Roman"/>
          <w:sz w:val="24"/>
          <w:szCs w:val="24"/>
        </w:rPr>
        <w:t>stakeholder</w:t>
      </w:r>
      <w:r>
        <w:rPr>
          <w:rFonts w:ascii="Times New Roman" w:hAnsi="Times New Roman" w:cs="Times New Roman"/>
          <w:sz w:val="24"/>
          <w:szCs w:val="24"/>
        </w:rPr>
        <w:t xml:space="preserve"> groups including environmental organisations to help them develop better teamwork skills for handling intricate problems. These workshops will support the integration of specialist knowledge into park design, particularly in relation to biodiversity, sustainability and environmental impact mitigation.</w:t>
      </w:r>
    </w:p>
    <w:p w14:paraId="25411288" w14:textId="0595B39E"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project will perform consultation activities at three different project stages which include concept development</w:t>
      </w:r>
      <w:r w:rsidR="0093660D">
        <w:rPr>
          <w:rFonts w:ascii="Times New Roman" w:hAnsi="Times New Roman" w:cs="Times New Roman"/>
          <w:sz w:val="24"/>
          <w:szCs w:val="24"/>
        </w:rPr>
        <w:t xml:space="preserve">, </w:t>
      </w:r>
      <w:r>
        <w:rPr>
          <w:rFonts w:ascii="Times New Roman" w:hAnsi="Times New Roman" w:cs="Times New Roman"/>
          <w:sz w:val="24"/>
          <w:szCs w:val="24"/>
        </w:rPr>
        <w:t xml:space="preserve">detailed planning and post-completion evaluation. The system enables stakeholders to direct upcoming choices through their feedback which functions as directional input instead of running as an autonomous administrative system. The OECD (2020) demonstrates that projects which involve stakeholder consultation at various stages </w:t>
      </w:r>
      <w:r>
        <w:rPr>
          <w:rFonts w:ascii="Times New Roman" w:hAnsi="Times New Roman" w:cs="Times New Roman"/>
          <w:sz w:val="24"/>
          <w:szCs w:val="24"/>
        </w:rPr>
        <w:lastRenderedPageBreak/>
        <w:t>will achieve higher project legitimacy which results in reduced community resistance and sustained backing for sustainable development initiatives.</w:t>
      </w:r>
    </w:p>
    <w:p w14:paraId="4C70AC5E" w14:textId="77777777" w:rsidR="00094C21" w:rsidRDefault="00094C21">
      <w:pPr>
        <w:spacing w:line="360" w:lineRule="auto"/>
        <w:rPr>
          <w:rFonts w:ascii="Times New Roman" w:hAnsi="Times New Roman" w:cs="Times New Roman"/>
          <w:sz w:val="24"/>
          <w:szCs w:val="24"/>
        </w:rPr>
      </w:pPr>
    </w:p>
    <w:p w14:paraId="19917E7F" w14:textId="77777777" w:rsidR="00094C21" w:rsidRDefault="00000000">
      <w:pPr>
        <w:pStyle w:val="Heading1"/>
        <w:rPr>
          <w:rFonts w:ascii="Times New Roman" w:hAnsi="Times New Roman" w:cs="Times New Roman"/>
          <w:b/>
          <w:bCs/>
          <w:color w:val="auto"/>
          <w:sz w:val="24"/>
          <w:szCs w:val="24"/>
        </w:rPr>
      </w:pPr>
      <w:bookmarkStart w:id="7" w:name="_Toc216742618"/>
      <w:r>
        <w:rPr>
          <w:rFonts w:ascii="Times New Roman" w:hAnsi="Times New Roman" w:cs="Times New Roman"/>
          <w:b/>
          <w:bCs/>
          <w:color w:val="auto"/>
          <w:sz w:val="24"/>
          <w:szCs w:val="24"/>
        </w:rPr>
        <w:t>ELEMENT 3: ETHICAL CONSIDERATIONS IN STAKEHOLDER CONSULTATION, PARTICIPATION AND FEEDBACK</w:t>
      </w:r>
      <w:bookmarkEnd w:id="7"/>
    </w:p>
    <w:p w14:paraId="7DAE9AA3" w14:textId="77777777" w:rsidR="00094C21" w:rsidRDefault="00094C21"/>
    <w:p w14:paraId="2E6F4A83" w14:textId="0C7CFD7B"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process of stakeholder consultation and feedback needs ethical considerations because it affects publicly funded infrastructure projects which produce lasting social</w:t>
      </w:r>
      <w:r w:rsidR="002A1A1B">
        <w:rPr>
          <w:rFonts w:ascii="Times New Roman" w:hAnsi="Times New Roman" w:cs="Times New Roman"/>
          <w:sz w:val="24"/>
          <w:szCs w:val="24"/>
        </w:rPr>
        <w:t xml:space="preserve">, </w:t>
      </w:r>
      <w:r>
        <w:rPr>
          <w:rFonts w:ascii="Times New Roman" w:hAnsi="Times New Roman" w:cs="Times New Roman"/>
          <w:sz w:val="24"/>
          <w:szCs w:val="24"/>
        </w:rPr>
        <w:t>environmental and economic impacts. Ethical stakeholder engagement practices establish decision systems which protect fairness and transparency while enabling all participants to join and defend stakeholder rights</w:t>
      </w:r>
      <w:r w:rsidR="002A1A1B">
        <w:rPr>
          <w:rFonts w:ascii="Times New Roman" w:hAnsi="Times New Roman" w:cs="Times New Roman"/>
          <w:sz w:val="24"/>
          <w:szCs w:val="24"/>
        </w:rPr>
        <w:t xml:space="preserve">, as well as </w:t>
      </w:r>
      <w:r>
        <w:rPr>
          <w:rFonts w:ascii="Times New Roman" w:hAnsi="Times New Roman" w:cs="Times New Roman"/>
          <w:sz w:val="24"/>
          <w:szCs w:val="24"/>
        </w:rPr>
        <w:t>develop trust between project teams and their community (Crane and Matten, 2016). The proposed public park development requires ethical principles to guide all stakeholder interaction processes which will establish project legitimacy and maintain accountability while generating social value.</w:t>
      </w:r>
    </w:p>
    <w:p w14:paraId="7E8A619F" w14:textId="5735B72F"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Stakeholders need to receive all information before they can give their consent because ethical guidelines exist to govern the stakeholder consultation process. The stakeholders need to understand the reason behind consultation activities</w:t>
      </w:r>
      <w:r w:rsidR="002A1A1B">
        <w:rPr>
          <w:rFonts w:ascii="Times New Roman" w:hAnsi="Times New Roman" w:cs="Times New Roman"/>
          <w:sz w:val="24"/>
          <w:szCs w:val="24"/>
        </w:rPr>
        <w:t xml:space="preserve">, </w:t>
      </w:r>
      <w:r>
        <w:rPr>
          <w:rFonts w:ascii="Times New Roman" w:hAnsi="Times New Roman" w:cs="Times New Roman"/>
          <w:sz w:val="24"/>
          <w:szCs w:val="24"/>
        </w:rPr>
        <w:t>how their data and feedback will be utilised and what level of project decision influence they will have. The consultation methods which include public meetings</w:t>
      </w:r>
      <w:r w:rsidR="002A1A1B">
        <w:rPr>
          <w:rFonts w:ascii="Times New Roman" w:hAnsi="Times New Roman" w:cs="Times New Roman"/>
          <w:sz w:val="24"/>
          <w:szCs w:val="24"/>
        </w:rPr>
        <w:t xml:space="preserve">, </w:t>
      </w:r>
      <w:r>
        <w:rPr>
          <w:rFonts w:ascii="Times New Roman" w:hAnsi="Times New Roman" w:cs="Times New Roman"/>
          <w:sz w:val="24"/>
          <w:szCs w:val="24"/>
        </w:rPr>
        <w:t>surveys and workshops will provide detailed information about project goals</w:t>
      </w:r>
      <w:r w:rsidR="002A1A1B">
        <w:rPr>
          <w:rFonts w:ascii="Times New Roman" w:hAnsi="Times New Roman" w:cs="Times New Roman"/>
          <w:sz w:val="24"/>
          <w:szCs w:val="24"/>
        </w:rPr>
        <w:t xml:space="preserve">, </w:t>
      </w:r>
      <w:r>
        <w:rPr>
          <w:rFonts w:ascii="Times New Roman" w:hAnsi="Times New Roman" w:cs="Times New Roman"/>
          <w:sz w:val="24"/>
          <w:szCs w:val="24"/>
        </w:rPr>
        <w:t>decision limitations and data processing procedures. The research will conduct its study with participants who choose to participate while the British Sociological Association (2017) protects participants who want to leave the study at any time from negative consequences. The method allows stakeholders to keep their independence while researchers and stakeholders follow ethical guidelines for their research and engagement work.</w:t>
      </w:r>
    </w:p>
    <w:p w14:paraId="1DD00F65" w14:textId="5ED0D785"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protection of personal data together with maintaining confidentiality stands as a major ethical concern. People can express their personal information and their opinions through the feedback process which uses surveys</w:t>
      </w:r>
      <w:r w:rsidR="002A1A1B">
        <w:rPr>
          <w:rFonts w:ascii="Times New Roman" w:hAnsi="Times New Roman" w:cs="Times New Roman"/>
          <w:sz w:val="24"/>
          <w:szCs w:val="24"/>
        </w:rPr>
        <w:t xml:space="preserve">, </w:t>
      </w:r>
      <w:r>
        <w:rPr>
          <w:rFonts w:ascii="Times New Roman" w:hAnsi="Times New Roman" w:cs="Times New Roman"/>
          <w:sz w:val="24"/>
          <w:szCs w:val="24"/>
        </w:rPr>
        <w:t xml:space="preserve">online platforms and written submissions. The data handling process will follow data protection regulations through proper storage security measures and appropriate data anonymisation methods. The results will be presented to decision-makers and the public through aggregated data which protects all stakeholders from identification </w:t>
      </w:r>
      <w:r w:rsidR="002A1A1B">
        <w:rPr>
          <w:rFonts w:ascii="Times New Roman" w:hAnsi="Times New Roman" w:cs="Times New Roman"/>
          <w:sz w:val="24"/>
          <w:szCs w:val="24"/>
        </w:rPr>
        <w:t>which</w:t>
      </w:r>
      <w:r>
        <w:rPr>
          <w:rFonts w:ascii="Times New Roman" w:hAnsi="Times New Roman" w:cs="Times New Roman"/>
          <w:sz w:val="24"/>
          <w:szCs w:val="24"/>
        </w:rPr>
        <w:t xml:space="preserve"> prevents any group from facing negative consequences. Ethical data </w:t>
      </w:r>
      <w:r>
        <w:rPr>
          <w:rFonts w:ascii="Times New Roman" w:hAnsi="Times New Roman" w:cs="Times New Roman"/>
          <w:sz w:val="24"/>
          <w:szCs w:val="24"/>
        </w:rPr>
        <w:lastRenderedPageBreak/>
        <w:t>management practices enable organisations to establish trust-based relationships because participants maintain their freedom to share information truthfully.</w:t>
      </w:r>
    </w:p>
    <w:p w14:paraId="51EB4844"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stakeholder engagement process contains two major ethical challenges because it produces uneven decision outcomes and fails to include vital groups of stakeholders. The consultation process allows certain groups to dominate the discussion while limited participation options and insufficient engagement tools create outcomes which advantage specific groups while harming others. The project will use various consultation approaches to obtain diverse opinions from stakeholders through both numerical and non-numerical information collection methods. The consultation materials will use impartial language which prevents discrimination and maintains understanding for all participants. The outreach activities will concentrate on finding populations who need help to ensure all social groups participate equally (Reed et al.,2018). The method enables organisations to establish fair operations which produce better decision results.</w:t>
      </w:r>
    </w:p>
    <w:p w14:paraId="4A4049D8" w14:textId="607C6DE8"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Public parks need to follow Diversity Equity and Inclusion (DEI) principles because these facilities provide services to all members of the community. All people require access to consultation services for ethical participation regardless of their age or ability or their social position or their language skills or their digital technology capabilities. The organisation will create functional solutions which include establishing accessible locations</w:t>
      </w:r>
      <w:r w:rsidR="002A1A1B">
        <w:rPr>
          <w:rFonts w:ascii="Times New Roman" w:hAnsi="Times New Roman" w:cs="Times New Roman"/>
          <w:sz w:val="24"/>
          <w:szCs w:val="24"/>
        </w:rPr>
        <w:t xml:space="preserve">, </w:t>
      </w:r>
      <w:r>
        <w:rPr>
          <w:rFonts w:ascii="Times New Roman" w:hAnsi="Times New Roman" w:cs="Times New Roman"/>
          <w:sz w:val="24"/>
          <w:szCs w:val="24"/>
        </w:rPr>
        <w:t>providing virtual consultation services and making all materials available through different formats. Inclusive engagement helps prevent the marginalisation of vulnerable groups and ensures that project outcomes reflect the needs of the entire community rather than a privileged subset (OECD, 2020).</w:t>
      </w:r>
    </w:p>
    <w:p w14:paraId="1F5DC7F3"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Organisations need to practice open disclosure about their stakeholder input assessment methods and resulting actions throughout their ethical stakeholder engagement process. Stakeholders often experience consultation fatigue when their input appears to have little or no impact on final decisions. The project team will assess stakeholder feedback through a structured evaluation method which examines all comments stakeholders have provided. The system will create a feedback system which shows results to stakeholders who can track their impact on decisions and receive detailed reasons when their proposed solutions become impossible to execute. The project maintains complete visibility which builds trust between stakeholders while keeping them actively involved (Aaltonen and Kujala, 2016).</w:t>
      </w:r>
    </w:p>
    <w:p w14:paraId="6BCC7F01"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project needs to maintain ethical standards which will determine its future connection with all involved stakeholders. The project lifecycle requires ethical engagement to continue as an ongoing commitment which should not be restricted to the planning phase. The system will establish post-completion feedback systems which will measure stakeholder satisfaction to identify ways for improving park management and visitor experience. The reflective method enables organisations to improve their operations while upholding their duty to serve community needs through public sector projects which extend beyond their initial duration.</w:t>
      </w:r>
    </w:p>
    <w:p w14:paraId="1F313F61" w14:textId="0BFE1660"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proposed public park project needs ethical considerations about stakeholder consultation</w:t>
      </w:r>
      <w:r w:rsidR="002A1A1B">
        <w:rPr>
          <w:rFonts w:ascii="Times New Roman" w:hAnsi="Times New Roman" w:cs="Times New Roman"/>
          <w:sz w:val="24"/>
          <w:szCs w:val="24"/>
        </w:rPr>
        <w:t xml:space="preserve">, </w:t>
      </w:r>
      <w:r>
        <w:rPr>
          <w:rFonts w:ascii="Times New Roman" w:hAnsi="Times New Roman" w:cs="Times New Roman"/>
          <w:sz w:val="24"/>
          <w:szCs w:val="24"/>
        </w:rPr>
        <w:t>participation and feedback to achieve its goals and maintain long-term success. The project bases its stakeholder engagement principles on four core elements which include informed consent</w:t>
      </w:r>
      <w:r w:rsidR="002A1A1B">
        <w:rPr>
          <w:rFonts w:ascii="Times New Roman" w:hAnsi="Times New Roman" w:cs="Times New Roman"/>
          <w:sz w:val="24"/>
          <w:szCs w:val="24"/>
        </w:rPr>
        <w:t xml:space="preserve">, </w:t>
      </w:r>
      <w:r>
        <w:rPr>
          <w:rFonts w:ascii="Times New Roman" w:hAnsi="Times New Roman" w:cs="Times New Roman"/>
          <w:sz w:val="24"/>
          <w:szCs w:val="24"/>
        </w:rPr>
        <w:t>data protection</w:t>
      </w:r>
      <w:r w:rsidR="002A1A1B">
        <w:rPr>
          <w:rFonts w:ascii="Times New Roman" w:hAnsi="Times New Roman" w:cs="Times New Roman"/>
          <w:sz w:val="24"/>
          <w:szCs w:val="24"/>
        </w:rPr>
        <w:t xml:space="preserve">, </w:t>
      </w:r>
      <w:r>
        <w:rPr>
          <w:rFonts w:ascii="Times New Roman" w:hAnsi="Times New Roman" w:cs="Times New Roman"/>
          <w:sz w:val="24"/>
          <w:szCs w:val="24"/>
        </w:rPr>
        <w:t>fairness</w:t>
      </w:r>
      <w:r w:rsidR="002A1A1B">
        <w:rPr>
          <w:rFonts w:ascii="Times New Roman" w:hAnsi="Times New Roman" w:cs="Times New Roman"/>
          <w:sz w:val="24"/>
          <w:szCs w:val="24"/>
        </w:rPr>
        <w:t xml:space="preserve">, </w:t>
      </w:r>
      <w:r>
        <w:rPr>
          <w:rFonts w:ascii="Times New Roman" w:hAnsi="Times New Roman" w:cs="Times New Roman"/>
          <w:sz w:val="24"/>
          <w:szCs w:val="24"/>
        </w:rPr>
        <w:t>DEI</w:t>
      </w:r>
      <w:r w:rsidR="002A1A1B">
        <w:rPr>
          <w:rFonts w:ascii="Times New Roman" w:hAnsi="Times New Roman" w:cs="Times New Roman"/>
          <w:sz w:val="24"/>
          <w:szCs w:val="24"/>
        </w:rPr>
        <w:t xml:space="preserve">, </w:t>
      </w:r>
      <w:r>
        <w:rPr>
          <w:rFonts w:ascii="Times New Roman" w:hAnsi="Times New Roman" w:cs="Times New Roman"/>
          <w:sz w:val="24"/>
          <w:szCs w:val="24"/>
        </w:rPr>
        <w:t>transparency and accountability to achieve successful outcomes and maintain ethical conduct. Organisations which practice ethical engagement will gain improved organisational legitimacy through their creation of social value which generates enduring positive outcomes for their community.</w:t>
      </w:r>
    </w:p>
    <w:p w14:paraId="3F592303" w14:textId="77777777" w:rsidR="00094C21" w:rsidRDefault="00094C21">
      <w:pPr>
        <w:spacing w:line="360" w:lineRule="auto"/>
        <w:rPr>
          <w:rFonts w:ascii="Times New Roman" w:hAnsi="Times New Roman" w:cs="Times New Roman"/>
          <w:sz w:val="24"/>
          <w:szCs w:val="24"/>
        </w:rPr>
      </w:pPr>
    </w:p>
    <w:p w14:paraId="59A0FB76" w14:textId="77777777" w:rsidR="00094C21" w:rsidRDefault="00000000">
      <w:pPr>
        <w:pStyle w:val="Heading1"/>
        <w:rPr>
          <w:rFonts w:ascii="Times New Roman" w:hAnsi="Times New Roman" w:cs="Times New Roman"/>
          <w:b/>
          <w:bCs/>
          <w:color w:val="auto"/>
          <w:sz w:val="24"/>
          <w:szCs w:val="24"/>
        </w:rPr>
      </w:pPr>
      <w:bookmarkStart w:id="8" w:name="_Toc216742619"/>
      <w:r>
        <w:rPr>
          <w:rFonts w:ascii="Times New Roman" w:hAnsi="Times New Roman" w:cs="Times New Roman"/>
          <w:b/>
          <w:bCs/>
          <w:color w:val="auto"/>
          <w:sz w:val="24"/>
          <w:szCs w:val="24"/>
        </w:rPr>
        <w:t>ELEMENT 4: CONCLUSION AND REFLECTION</w:t>
      </w:r>
      <w:bookmarkEnd w:id="8"/>
    </w:p>
    <w:p w14:paraId="0FDBC1C0" w14:textId="77777777" w:rsidR="00094C21" w:rsidRDefault="00094C21"/>
    <w:p w14:paraId="7CA49B18" w14:textId="77777777" w:rsidR="00094C21" w:rsidRDefault="00000000">
      <w:pPr>
        <w:pStyle w:val="Heading2"/>
        <w:rPr>
          <w:rFonts w:ascii="Times New Roman" w:hAnsi="Times New Roman" w:cs="Times New Roman"/>
          <w:b/>
          <w:bCs/>
          <w:color w:val="auto"/>
          <w:sz w:val="24"/>
          <w:szCs w:val="24"/>
        </w:rPr>
      </w:pPr>
      <w:bookmarkStart w:id="9" w:name="_Toc216742620"/>
      <w:r>
        <w:rPr>
          <w:rFonts w:ascii="Times New Roman" w:hAnsi="Times New Roman" w:cs="Times New Roman"/>
          <w:b/>
          <w:bCs/>
          <w:color w:val="auto"/>
          <w:sz w:val="24"/>
          <w:szCs w:val="24"/>
        </w:rPr>
        <w:t>4.1 CONCLUSION</w:t>
      </w:r>
      <w:bookmarkEnd w:id="9"/>
    </w:p>
    <w:p w14:paraId="51DED856" w14:textId="77777777" w:rsidR="00094C21" w:rsidRDefault="00094C21"/>
    <w:p w14:paraId="6D1E3561" w14:textId="7323D0FD"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portfolio shows how stakeholder management effectiveness leads to successful completion of local public park infrastructure development projects. The portfolio shows how organisations can improve their decision-making through stakeholder theory by using power–interest–influence analysis and stakeholder mapping</w:t>
      </w:r>
      <w:r w:rsidR="002A1A1B">
        <w:rPr>
          <w:rFonts w:ascii="Times New Roman" w:hAnsi="Times New Roman" w:cs="Times New Roman"/>
          <w:sz w:val="24"/>
          <w:szCs w:val="24"/>
        </w:rPr>
        <w:t xml:space="preserve">, </w:t>
      </w:r>
      <w:r>
        <w:rPr>
          <w:rFonts w:ascii="Times New Roman" w:hAnsi="Times New Roman" w:cs="Times New Roman"/>
          <w:sz w:val="24"/>
          <w:szCs w:val="24"/>
        </w:rPr>
        <w:t>communication planning and consultation strategies which help reduce project risks and create enduring results.</w:t>
      </w:r>
    </w:p>
    <w:p w14:paraId="3AF2B7C9"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Multiple stakeholders need to participate in public infrastructure development because they represent different interests which they bring with their own expectations and varying levels of control. The results from this portfolio show that stakeholders require unique management approaches because there exists no universal solution which works for every circumstance. Organisations need to create engagement methods which they should apply to establish contact with their essential stakeholders. The power–interest matrix functions as a resource distribution tool which enables teams to allocate their resources properly while maintaining open communication with all stakeholders about their participation. The project will gain </w:t>
      </w:r>
      <w:r>
        <w:rPr>
          <w:rFonts w:ascii="Times New Roman" w:hAnsi="Times New Roman" w:cs="Times New Roman"/>
          <w:sz w:val="24"/>
          <w:szCs w:val="24"/>
        </w:rPr>
        <w:lastRenderedPageBreak/>
        <w:t>stakeholder trust through developed communication and consultation methods because these systems allow stakeholders to access information right away through their preferred personal communication channels.</w:t>
      </w:r>
    </w:p>
    <w:p w14:paraId="0C816314" w14:textId="07B6B152"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All publicly funded initiatives needed these core elements which made stakeholder engagement process need to operate under ethical standards. The consultation process receives its legitimacy through principles which include informed consent</w:t>
      </w:r>
      <w:r w:rsidR="002A1A1B">
        <w:rPr>
          <w:rFonts w:ascii="Times New Roman" w:hAnsi="Times New Roman" w:cs="Times New Roman"/>
          <w:sz w:val="24"/>
          <w:szCs w:val="24"/>
        </w:rPr>
        <w:t xml:space="preserve">, </w:t>
      </w:r>
      <w:r>
        <w:rPr>
          <w:rFonts w:ascii="Times New Roman" w:hAnsi="Times New Roman" w:cs="Times New Roman"/>
          <w:sz w:val="24"/>
          <w:szCs w:val="24"/>
        </w:rPr>
        <w:t>data protection</w:t>
      </w:r>
      <w:r w:rsidR="002A1A1B">
        <w:rPr>
          <w:rFonts w:ascii="Times New Roman" w:hAnsi="Times New Roman" w:cs="Times New Roman"/>
          <w:sz w:val="24"/>
          <w:szCs w:val="24"/>
        </w:rPr>
        <w:t xml:space="preserve">, </w:t>
      </w:r>
      <w:r>
        <w:rPr>
          <w:rFonts w:ascii="Times New Roman" w:hAnsi="Times New Roman" w:cs="Times New Roman"/>
          <w:sz w:val="24"/>
          <w:szCs w:val="24"/>
        </w:rPr>
        <w:t>fairness</w:t>
      </w:r>
      <w:r w:rsidR="002A1A1B">
        <w:rPr>
          <w:rFonts w:ascii="Times New Roman" w:hAnsi="Times New Roman" w:cs="Times New Roman"/>
          <w:sz w:val="24"/>
          <w:szCs w:val="24"/>
        </w:rPr>
        <w:t xml:space="preserve"> and </w:t>
      </w:r>
      <w:r>
        <w:rPr>
          <w:rFonts w:ascii="Times New Roman" w:hAnsi="Times New Roman" w:cs="Times New Roman"/>
          <w:sz w:val="24"/>
          <w:szCs w:val="24"/>
        </w:rPr>
        <w:t xml:space="preserve">Diversity Equity and Inclusion (DEI) standards. The public park benefits from ethical engagement because it helps </w:t>
      </w:r>
      <w:r w:rsidR="002A1A1B">
        <w:rPr>
          <w:rFonts w:ascii="Times New Roman" w:hAnsi="Times New Roman" w:cs="Times New Roman"/>
          <w:sz w:val="24"/>
          <w:szCs w:val="24"/>
        </w:rPr>
        <w:t>residents</w:t>
      </w:r>
      <w:r>
        <w:rPr>
          <w:rFonts w:ascii="Times New Roman" w:hAnsi="Times New Roman" w:cs="Times New Roman"/>
          <w:sz w:val="24"/>
          <w:szCs w:val="24"/>
        </w:rPr>
        <w:t xml:space="preserve"> take control of the space while the project delivers results which meet the requirements of all park visitors. The portfolio shows that proper stakeholder management stands as a vital element which leads to project achievement and generates social value and sustains community sustainability.</w:t>
      </w:r>
    </w:p>
    <w:p w14:paraId="5AC2AD90" w14:textId="77777777" w:rsidR="00094C21" w:rsidRDefault="00094C21">
      <w:pPr>
        <w:spacing w:line="360" w:lineRule="auto"/>
        <w:rPr>
          <w:rFonts w:ascii="Times New Roman" w:hAnsi="Times New Roman" w:cs="Times New Roman"/>
          <w:sz w:val="24"/>
          <w:szCs w:val="24"/>
        </w:rPr>
      </w:pPr>
    </w:p>
    <w:p w14:paraId="79894919" w14:textId="77777777" w:rsidR="00094C21" w:rsidRDefault="00000000">
      <w:pPr>
        <w:pStyle w:val="Heading2"/>
        <w:rPr>
          <w:rFonts w:ascii="Times New Roman" w:hAnsi="Times New Roman" w:cs="Times New Roman"/>
          <w:b/>
          <w:bCs/>
          <w:color w:val="auto"/>
          <w:sz w:val="24"/>
          <w:szCs w:val="24"/>
        </w:rPr>
      </w:pPr>
      <w:bookmarkStart w:id="10" w:name="_Toc216742621"/>
      <w:r>
        <w:rPr>
          <w:rFonts w:ascii="Times New Roman" w:hAnsi="Times New Roman" w:cs="Times New Roman"/>
          <w:b/>
          <w:bCs/>
          <w:color w:val="auto"/>
          <w:sz w:val="24"/>
          <w:szCs w:val="24"/>
        </w:rPr>
        <w:t>4.2 REFLECTION</w:t>
      </w:r>
      <w:bookmarkEnd w:id="10"/>
    </w:p>
    <w:p w14:paraId="22C6317B" w14:textId="77777777" w:rsidR="00094C21" w:rsidRDefault="00094C21"/>
    <w:p w14:paraId="2864F6A7"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process of creating this portfolio showed me that stakeholder engagement operates as a strategic approach which needs me to develop relationships with different groups. The Gibbs Reflective Cycle served as a framework to help me assess my learning process and professional skill growth during this exercise. The project team first viewed stakeholder engagement as a required process yet the application of academic models to this infrastructure project demonstrated its essential role in determining project results.</w:t>
      </w:r>
    </w:p>
    <w:p w14:paraId="44573CA2"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main learning experience involved using stakeholder analysis tools in actual practice. The development of power–interest–influence tables and stakeholder maps allowed me to assess stakeholder relationships successfully for identifying the most important stakeholders to initiate contact with. This skill is particularly relevant in a consultancy or local authority context, where limited resources require targeted and evidence-based engagement strategies.</w:t>
      </w:r>
    </w:p>
    <w:p w14:paraId="61BDF621" w14:textId="0818EB7C"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The development of ethical awareness proved to be a major learning achievement. The evaluation of bias</w:t>
      </w:r>
      <w:r w:rsidR="002A1A1B">
        <w:rPr>
          <w:rFonts w:ascii="Times New Roman" w:hAnsi="Times New Roman" w:cs="Times New Roman"/>
          <w:sz w:val="24"/>
          <w:szCs w:val="24"/>
        </w:rPr>
        <w:t xml:space="preserve">, </w:t>
      </w:r>
      <w:r>
        <w:rPr>
          <w:rFonts w:ascii="Times New Roman" w:hAnsi="Times New Roman" w:cs="Times New Roman"/>
          <w:sz w:val="24"/>
          <w:szCs w:val="24"/>
        </w:rPr>
        <w:t xml:space="preserve">representation and inclusivity problems showed that poor consultation design methods create adverse outcomes. The public sector needs to create decision-making systems which enable all stakeholders to access equal opportunities through DEI </w:t>
      </w:r>
      <w:r w:rsidR="002A1A1B">
        <w:rPr>
          <w:rFonts w:ascii="Times New Roman" w:hAnsi="Times New Roman" w:cs="Times New Roman"/>
          <w:sz w:val="24"/>
          <w:szCs w:val="24"/>
        </w:rPr>
        <w:t>principal</w:t>
      </w:r>
      <w:r>
        <w:rPr>
          <w:rFonts w:ascii="Times New Roman" w:hAnsi="Times New Roman" w:cs="Times New Roman"/>
          <w:sz w:val="24"/>
          <w:szCs w:val="24"/>
        </w:rPr>
        <w:t xml:space="preserve"> implementation. The awareness has improved my work responsibilities because it helps me understand how my professional activities impact the community.</w:t>
      </w:r>
    </w:p>
    <w:p w14:paraId="4F9843AD" w14:textId="77777777" w:rsidR="00094C21" w:rsidRDefault="0000000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portfolio helped students acquire transferable abilities through their work on analytical thinking and their development of structured writing and reflective practice skills. Stakeholder data requires professionals to develop skills which enable them to present complex information through simple structured communication methods. The reflective exercise demonstrated that stakeholder involvement results in project success while it enables professionals to develop their skills which leads to their career advancement.</w:t>
      </w:r>
    </w:p>
    <w:p w14:paraId="1F692F13" w14:textId="77777777" w:rsidR="00094C21" w:rsidRDefault="00094C21">
      <w:pPr>
        <w:spacing w:line="360" w:lineRule="auto"/>
        <w:rPr>
          <w:rFonts w:ascii="Times New Roman" w:hAnsi="Times New Roman" w:cs="Times New Roman"/>
          <w:sz w:val="24"/>
          <w:szCs w:val="24"/>
        </w:rPr>
      </w:pPr>
    </w:p>
    <w:p w14:paraId="213F9C9C" w14:textId="77777777" w:rsidR="00094C21" w:rsidRDefault="00000000">
      <w:pPr>
        <w:pStyle w:val="Heading1"/>
        <w:rPr>
          <w:rFonts w:ascii="Times New Roman" w:hAnsi="Times New Roman" w:cs="Times New Roman"/>
          <w:b/>
          <w:bCs/>
          <w:color w:val="auto"/>
          <w:sz w:val="24"/>
          <w:szCs w:val="24"/>
        </w:rPr>
      </w:pPr>
      <w:bookmarkStart w:id="11" w:name="_Toc216742622"/>
      <w:r>
        <w:rPr>
          <w:rFonts w:ascii="Times New Roman" w:hAnsi="Times New Roman" w:cs="Times New Roman"/>
          <w:b/>
          <w:bCs/>
          <w:color w:val="auto"/>
          <w:sz w:val="24"/>
          <w:szCs w:val="24"/>
        </w:rPr>
        <w:t>REFERENCES</w:t>
      </w:r>
      <w:bookmarkEnd w:id="11"/>
    </w:p>
    <w:p w14:paraId="2067C2B3" w14:textId="77777777" w:rsidR="00094C21" w:rsidRDefault="00094C21"/>
    <w:p w14:paraId="47A4FF14"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Aaltonen, K. and Kujala, J. (2016) ‘Towards an improved understanding of stakeholder dynamics’, </w:t>
      </w:r>
      <w:r>
        <w:rPr>
          <w:rFonts w:ascii="Times New Roman" w:hAnsi="Times New Roman" w:cs="Times New Roman"/>
          <w:i/>
          <w:iCs/>
          <w:sz w:val="24"/>
          <w:szCs w:val="24"/>
        </w:rPr>
        <w:t>International Journal of Project Management</w:t>
      </w:r>
      <w:r>
        <w:rPr>
          <w:rFonts w:ascii="Times New Roman" w:hAnsi="Times New Roman" w:cs="Times New Roman"/>
          <w:sz w:val="24"/>
          <w:szCs w:val="24"/>
        </w:rPr>
        <w:t>, 34(8), pp. 1537–1552. https://doi.org/10.1016/j.ijproman.2016.08.009</w:t>
      </w:r>
    </w:p>
    <w:p w14:paraId="1FDA88FF"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British Sociological Association (2017) </w:t>
      </w:r>
      <w:r>
        <w:rPr>
          <w:rFonts w:ascii="Times New Roman" w:hAnsi="Times New Roman" w:cs="Times New Roman"/>
          <w:i/>
          <w:iCs/>
          <w:sz w:val="24"/>
          <w:szCs w:val="24"/>
        </w:rPr>
        <w:t>Statement of Ethical Practice</w:t>
      </w:r>
      <w:r>
        <w:rPr>
          <w:rFonts w:ascii="Times New Roman" w:hAnsi="Times New Roman" w:cs="Times New Roman"/>
          <w:sz w:val="24"/>
          <w:szCs w:val="24"/>
        </w:rPr>
        <w:t xml:space="preserve">. London: British Sociological Association. Available at: </w:t>
      </w:r>
      <w:hyperlink r:id="rId9" w:tgtFrame="_new" w:history="1">
        <w:r>
          <w:rPr>
            <w:rStyle w:val="Hyperlink"/>
            <w:rFonts w:ascii="Times New Roman" w:hAnsi="Times New Roman" w:cs="Times New Roman"/>
            <w:sz w:val="24"/>
            <w:szCs w:val="24"/>
          </w:rPr>
          <w:t>https://www.britsoc.co.uk/ethics</w:t>
        </w:r>
      </w:hyperlink>
      <w:r>
        <w:rPr>
          <w:rFonts w:ascii="Times New Roman" w:hAnsi="Times New Roman" w:cs="Times New Roman"/>
          <w:sz w:val="24"/>
          <w:szCs w:val="24"/>
        </w:rPr>
        <w:t xml:space="preserve"> (Accessed: 15 December 2025).</w:t>
      </w:r>
    </w:p>
    <w:p w14:paraId="1DC6533D"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Bryson, J.M. (2018) </w:t>
      </w:r>
      <w:r>
        <w:rPr>
          <w:rFonts w:ascii="Times New Roman" w:hAnsi="Times New Roman" w:cs="Times New Roman"/>
          <w:i/>
          <w:iCs/>
          <w:sz w:val="24"/>
          <w:szCs w:val="24"/>
        </w:rPr>
        <w:t>Strategic Planning for Public and Nonprofit Organizations: A Guide to Strengthening and Sustaining Organizational Achievement</w:t>
      </w:r>
      <w:r>
        <w:rPr>
          <w:rFonts w:ascii="Times New Roman" w:hAnsi="Times New Roman" w:cs="Times New Roman"/>
          <w:sz w:val="24"/>
          <w:szCs w:val="24"/>
        </w:rPr>
        <w:t xml:space="preserve">. 5th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Hoboken, NJ: John Wiley &amp; Sons.</w:t>
      </w:r>
    </w:p>
    <w:p w14:paraId="5C741244"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Crane, A. and Matten, D. (2016) </w:t>
      </w:r>
      <w:r>
        <w:rPr>
          <w:rFonts w:ascii="Times New Roman" w:hAnsi="Times New Roman" w:cs="Times New Roman"/>
          <w:i/>
          <w:iCs/>
          <w:sz w:val="24"/>
          <w:szCs w:val="24"/>
        </w:rPr>
        <w:t>Business Ethics: Managing Corporate Citizenship and Sustainability in the Age of Globalization</w:t>
      </w:r>
      <w:r>
        <w:rPr>
          <w:rFonts w:ascii="Times New Roman" w:hAnsi="Times New Roman" w:cs="Times New Roman"/>
          <w:sz w:val="24"/>
          <w:szCs w:val="24"/>
        </w:rPr>
        <w:t xml:space="preserve">. 4th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Oxford: Oxford University Press.</w:t>
      </w:r>
    </w:p>
    <w:p w14:paraId="6BEDA300"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Freeman, R.E. (1984) </w:t>
      </w:r>
      <w:r>
        <w:rPr>
          <w:rFonts w:ascii="Times New Roman" w:hAnsi="Times New Roman" w:cs="Times New Roman"/>
          <w:i/>
          <w:iCs/>
          <w:sz w:val="24"/>
          <w:szCs w:val="24"/>
        </w:rPr>
        <w:t>Strategic Management: A Stakeholder Approach</w:t>
      </w:r>
      <w:r>
        <w:rPr>
          <w:rFonts w:ascii="Times New Roman" w:hAnsi="Times New Roman" w:cs="Times New Roman"/>
          <w:sz w:val="24"/>
          <w:szCs w:val="24"/>
        </w:rPr>
        <w:t>. Boston: Pitman.</w:t>
      </w:r>
    </w:p>
    <w:p w14:paraId="16933136"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Mendelow, A.L. (1991) ‘Environmental scanning: The impact of the stakeholder concept’, in </w:t>
      </w:r>
      <w:r>
        <w:rPr>
          <w:rFonts w:ascii="Times New Roman" w:hAnsi="Times New Roman" w:cs="Times New Roman"/>
          <w:i/>
          <w:iCs/>
          <w:sz w:val="24"/>
          <w:szCs w:val="24"/>
        </w:rPr>
        <w:t>Proceedings of the Second International Conference on Information Systems</w:t>
      </w:r>
      <w:r>
        <w:rPr>
          <w:rFonts w:ascii="Times New Roman" w:hAnsi="Times New Roman" w:cs="Times New Roman"/>
          <w:sz w:val="24"/>
          <w:szCs w:val="24"/>
        </w:rPr>
        <w:t>. Cambridge, MA, pp. 407–418.</w:t>
      </w:r>
    </w:p>
    <w:p w14:paraId="27D3A1FC"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OECD (2020) </w:t>
      </w:r>
      <w:r>
        <w:rPr>
          <w:rFonts w:ascii="Times New Roman" w:hAnsi="Times New Roman" w:cs="Times New Roman"/>
          <w:i/>
          <w:iCs/>
          <w:sz w:val="24"/>
          <w:szCs w:val="24"/>
        </w:rPr>
        <w:t>Innovative Citizen Participation and New Democratic Institutions: Catching the Deliberative Wave</w:t>
      </w:r>
      <w:r>
        <w:rPr>
          <w:rFonts w:ascii="Times New Roman" w:hAnsi="Times New Roman" w:cs="Times New Roman"/>
          <w:sz w:val="24"/>
          <w:szCs w:val="24"/>
        </w:rPr>
        <w:t>. Paris: OECD Publishing. https://doi.org/10.1787/339306da-en</w:t>
      </w:r>
    </w:p>
    <w:p w14:paraId="7CFA1151"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Reed, M.S., Vella, S., </w:t>
      </w:r>
      <w:proofErr w:type="spellStart"/>
      <w:r>
        <w:rPr>
          <w:rFonts w:ascii="Times New Roman" w:hAnsi="Times New Roman" w:cs="Times New Roman"/>
          <w:sz w:val="24"/>
          <w:szCs w:val="24"/>
        </w:rPr>
        <w:t>Challies</w:t>
      </w:r>
      <w:proofErr w:type="spellEnd"/>
      <w:r>
        <w:rPr>
          <w:rFonts w:ascii="Times New Roman" w:hAnsi="Times New Roman" w:cs="Times New Roman"/>
          <w:sz w:val="24"/>
          <w:szCs w:val="24"/>
        </w:rPr>
        <w:t xml:space="preserve">, E., de Vente, J., </w:t>
      </w:r>
      <w:proofErr w:type="spellStart"/>
      <w:r>
        <w:rPr>
          <w:rFonts w:ascii="Times New Roman" w:hAnsi="Times New Roman" w:cs="Times New Roman"/>
          <w:sz w:val="24"/>
          <w:szCs w:val="24"/>
        </w:rPr>
        <w:t>Frewer</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Hohenwallner</w:t>
      </w:r>
      <w:proofErr w:type="spellEnd"/>
      <w:r>
        <w:rPr>
          <w:rFonts w:ascii="Times New Roman" w:hAnsi="Times New Roman" w:cs="Times New Roman"/>
          <w:sz w:val="24"/>
          <w:szCs w:val="24"/>
        </w:rPr>
        <w:t xml:space="preserve">-Ries, D., Hubacek, K., Neumann, R.K., Oughton, E., </w:t>
      </w:r>
      <w:proofErr w:type="spellStart"/>
      <w:r>
        <w:rPr>
          <w:rFonts w:ascii="Times New Roman" w:hAnsi="Times New Roman" w:cs="Times New Roman"/>
          <w:sz w:val="24"/>
          <w:szCs w:val="24"/>
        </w:rPr>
        <w:t>Sidoli</w:t>
      </w:r>
      <w:proofErr w:type="spellEnd"/>
      <w:r>
        <w:rPr>
          <w:rFonts w:ascii="Times New Roman" w:hAnsi="Times New Roman" w:cs="Times New Roman"/>
          <w:sz w:val="24"/>
          <w:szCs w:val="24"/>
        </w:rPr>
        <w:t xml:space="preserve"> del Ceno, J. and van </w:t>
      </w:r>
      <w:proofErr w:type="spellStart"/>
      <w:r>
        <w:rPr>
          <w:rFonts w:ascii="Times New Roman" w:hAnsi="Times New Roman" w:cs="Times New Roman"/>
          <w:sz w:val="24"/>
          <w:szCs w:val="24"/>
        </w:rPr>
        <w:t>Delden</w:t>
      </w:r>
      <w:proofErr w:type="spellEnd"/>
      <w:r>
        <w:rPr>
          <w:rFonts w:ascii="Times New Roman" w:hAnsi="Times New Roman" w:cs="Times New Roman"/>
          <w:sz w:val="24"/>
          <w:szCs w:val="24"/>
        </w:rPr>
        <w:t xml:space="preserve">, H. (2018) ‘A theory of participation: What makes stakeholder and public engagement in </w:t>
      </w:r>
      <w:r>
        <w:rPr>
          <w:rFonts w:ascii="Times New Roman" w:hAnsi="Times New Roman" w:cs="Times New Roman"/>
          <w:sz w:val="24"/>
          <w:szCs w:val="24"/>
        </w:rPr>
        <w:lastRenderedPageBreak/>
        <w:t xml:space="preserve">environmental management work?’, </w:t>
      </w:r>
      <w:r>
        <w:rPr>
          <w:rFonts w:ascii="Times New Roman" w:hAnsi="Times New Roman" w:cs="Times New Roman"/>
          <w:i/>
          <w:iCs/>
          <w:sz w:val="24"/>
          <w:szCs w:val="24"/>
        </w:rPr>
        <w:t>Biological Conservation</w:t>
      </w:r>
      <w:r>
        <w:rPr>
          <w:rFonts w:ascii="Times New Roman" w:hAnsi="Times New Roman" w:cs="Times New Roman"/>
          <w:sz w:val="24"/>
          <w:szCs w:val="24"/>
        </w:rPr>
        <w:t>, 217, pp. 1–10. https://doi.org/10.1016/j.biocon.2017.10.002</w:t>
      </w:r>
    </w:p>
    <w:p w14:paraId="2077494A"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Rowe, G. and </w:t>
      </w:r>
      <w:proofErr w:type="spellStart"/>
      <w:r>
        <w:rPr>
          <w:rFonts w:ascii="Times New Roman" w:hAnsi="Times New Roman" w:cs="Times New Roman"/>
          <w:sz w:val="24"/>
          <w:szCs w:val="24"/>
        </w:rPr>
        <w:t>Frewer</w:t>
      </w:r>
      <w:proofErr w:type="spellEnd"/>
      <w:r>
        <w:rPr>
          <w:rFonts w:ascii="Times New Roman" w:hAnsi="Times New Roman" w:cs="Times New Roman"/>
          <w:sz w:val="24"/>
          <w:szCs w:val="24"/>
        </w:rPr>
        <w:t xml:space="preserve">, L.J. (2005) ‘A typology of public engagement mechanisms’, </w:t>
      </w:r>
      <w:r>
        <w:rPr>
          <w:rFonts w:ascii="Times New Roman" w:hAnsi="Times New Roman" w:cs="Times New Roman"/>
          <w:i/>
          <w:iCs/>
          <w:sz w:val="24"/>
          <w:szCs w:val="24"/>
        </w:rPr>
        <w:t>Science, Technology &amp; Human Values</w:t>
      </w:r>
      <w:r>
        <w:rPr>
          <w:rFonts w:ascii="Times New Roman" w:hAnsi="Times New Roman" w:cs="Times New Roman"/>
          <w:sz w:val="24"/>
          <w:szCs w:val="24"/>
        </w:rPr>
        <w:t xml:space="preserve">, 30(2), pp. 251–290. </w:t>
      </w:r>
      <w:hyperlink r:id="rId10" w:tgtFrame="_new" w:history="1">
        <w:r>
          <w:rPr>
            <w:rStyle w:val="Hyperlink"/>
            <w:rFonts w:ascii="Times New Roman" w:hAnsi="Times New Roman" w:cs="Times New Roman"/>
            <w:sz w:val="24"/>
            <w:szCs w:val="24"/>
          </w:rPr>
          <w:t>https://doi.org/10.1177/0162243904271724</w:t>
        </w:r>
      </w:hyperlink>
    </w:p>
    <w:p w14:paraId="1B434EE9"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UK Government (2022) </w:t>
      </w:r>
      <w:r>
        <w:rPr>
          <w:rFonts w:ascii="Times New Roman" w:hAnsi="Times New Roman" w:cs="Times New Roman"/>
          <w:i/>
          <w:iCs/>
          <w:sz w:val="24"/>
          <w:szCs w:val="24"/>
        </w:rPr>
        <w:t>Levelling Up the United Kingdom</w:t>
      </w:r>
      <w:r>
        <w:rPr>
          <w:rFonts w:ascii="Times New Roman" w:hAnsi="Times New Roman" w:cs="Times New Roman"/>
          <w:sz w:val="24"/>
          <w:szCs w:val="24"/>
        </w:rPr>
        <w:t xml:space="preserve">. London: HM Government. Available at: </w:t>
      </w:r>
      <w:hyperlink r:id="rId11" w:tgtFrame="_new" w:history="1">
        <w:r>
          <w:rPr>
            <w:rStyle w:val="Hyperlink"/>
            <w:rFonts w:ascii="Times New Roman" w:hAnsi="Times New Roman" w:cs="Times New Roman"/>
            <w:sz w:val="24"/>
            <w:szCs w:val="24"/>
          </w:rPr>
          <w:t>https://www.gov.uk/government/publications/levelling-up-the-united-kingdom</w:t>
        </w:r>
      </w:hyperlink>
      <w:r>
        <w:rPr>
          <w:rFonts w:ascii="Times New Roman" w:hAnsi="Times New Roman" w:cs="Times New Roman"/>
          <w:sz w:val="24"/>
          <w:szCs w:val="24"/>
        </w:rPr>
        <w:t xml:space="preserve"> (Accessed: 15 December 2025).</w:t>
      </w:r>
    </w:p>
    <w:p w14:paraId="00370EE0" w14:textId="77777777" w:rsidR="00094C21" w:rsidRDefault="0000000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World Health Organization (2021) </w:t>
      </w:r>
      <w:r>
        <w:rPr>
          <w:rFonts w:ascii="Times New Roman" w:hAnsi="Times New Roman" w:cs="Times New Roman"/>
          <w:i/>
          <w:iCs/>
          <w:sz w:val="24"/>
          <w:szCs w:val="24"/>
        </w:rPr>
        <w:t>Urban Green Spaces and Health</w:t>
      </w:r>
      <w:r>
        <w:rPr>
          <w:rFonts w:ascii="Times New Roman" w:hAnsi="Times New Roman" w:cs="Times New Roman"/>
          <w:sz w:val="24"/>
          <w:szCs w:val="24"/>
        </w:rPr>
        <w:t>. Geneva: World Health Organization. Available at: https://www.who.int/publications/i/item/9789289053602 (Accessed: 15 December 2025).</w:t>
      </w:r>
    </w:p>
    <w:p w14:paraId="5B424CC3" w14:textId="77777777" w:rsidR="00094C21" w:rsidRDefault="00094C21"/>
    <w:sectPr w:rsidR="00094C2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E4EAB" w14:textId="77777777" w:rsidR="00E63F51" w:rsidRDefault="00E63F51">
      <w:pPr>
        <w:spacing w:line="240" w:lineRule="auto"/>
      </w:pPr>
      <w:r>
        <w:separator/>
      </w:r>
    </w:p>
  </w:endnote>
  <w:endnote w:type="continuationSeparator" w:id="0">
    <w:p w14:paraId="43B4A3CB" w14:textId="77777777" w:rsidR="00E63F51" w:rsidRDefault="00E63F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b/>
        <w:bCs/>
        <w:sz w:val="24"/>
        <w:szCs w:val="24"/>
      </w:rPr>
      <w:id w:val="327481664"/>
      <w:docPartObj>
        <w:docPartGallery w:val="AutoText"/>
      </w:docPartObj>
    </w:sdtPr>
    <w:sdtContent>
      <w:p w14:paraId="64AD96D9" w14:textId="77777777" w:rsidR="00094C21" w:rsidRDefault="00000000">
        <w:pPr>
          <w:pStyle w:val="Footer"/>
          <w:jc w:val="center"/>
          <w:rPr>
            <w:rFonts w:ascii="Times New Roman" w:hAnsi="Times New Roman" w:cs="Times New Roman"/>
            <w:b/>
            <w:bCs/>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   \* MERGEFORMAT </w:instrText>
        </w:r>
        <w:r>
          <w:rPr>
            <w:rFonts w:ascii="Times New Roman" w:hAnsi="Times New Roman" w:cs="Times New Roman"/>
            <w:b/>
            <w:bCs/>
            <w:sz w:val="24"/>
            <w:szCs w:val="24"/>
          </w:rPr>
          <w:fldChar w:fldCharType="separate"/>
        </w:r>
        <w:r>
          <w:rPr>
            <w:rFonts w:ascii="Times New Roman" w:hAnsi="Times New Roman" w:cs="Times New Roman"/>
            <w:b/>
            <w:bCs/>
            <w:sz w:val="24"/>
            <w:szCs w:val="24"/>
          </w:rPr>
          <w:t>2</w:t>
        </w:r>
        <w:r>
          <w:rPr>
            <w:rFonts w:ascii="Times New Roman" w:hAnsi="Times New Roman" w:cs="Times New Roman"/>
            <w:b/>
            <w:bCs/>
            <w:sz w:val="24"/>
            <w:szCs w:val="24"/>
          </w:rPr>
          <w:fldChar w:fldCharType="end"/>
        </w:r>
      </w:p>
    </w:sdtContent>
  </w:sdt>
  <w:p w14:paraId="7280F745" w14:textId="77777777" w:rsidR="00094C21" w:rsidRDefault="00094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CB6A6" w14:textId="77777777" w:rsidR="00E63F51" w:rsidRDefault="00E63F51">
      <w:pPr>
        <w:spacing w:after="0"/>
      </w:pPr>
      <w:r>
        <w:separator/>
      </w:r>
    </w:p>
  </w:footnote>
  <w:footnote w:type="continuationSeparator" w:id="0">
    <w:p w14:paraId="7CB5481F" w14:textId="77777777" w:rsidR="00E63F51" w:rsidRDefault="00E63F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B46C5"/>
    <w:multiLevelType w:val="multilevel"/>
    <w:tmpl w:val="362B46C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5CD22C9F"/>
    <w:multiLevelType w:val="multilevel"/>
    <w:tmpl w:val="5CD22C9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12874216">
    <w:abstractNumId w:val="0"/>
  </w:num>
  <w:num w:numId="2" w16cid:durableId="1908759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E4A"/>
    <w:rsid w:val="000644F2"/>
    <w:rsid w:val="00094C21"/>
    <w:rsid w:val="002660AB"/>
    <w:rsid w:val="002A1A1B"/>
    <w:rsid w:val="00411DE1"/>
    <w:rsid w:val="00445132"/>
    <w:rsid w:val="004522BD"/>
    <w:rsid w:val="004F0549"/>
    <w:rsid w:val="00590864"/>
    <w:rsid w:val="00792D1D"/>
    <w:rsid w:val="00895E4A"/>
    <w:rsid w:val="008E2546"/>
    <w:rsid w:val="0093660D"/>
    <w:rsid w:val="00B314C5"/>
    <w:rsid w:val="00B93576"/>
    <w:rsid w:val="00D50CCD"/>
    <w:rsid w:val="00E63F51"/>
    <w:rsid w:val="36685B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2BD02"/>
  <w15:docId w15:val="{36A59903-DC5D-4186-8305-FDC1F04F2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qFormat/>
    <w:rsid w:val="00445132"/>
    <w:pPr>
      <w:spacing w:before="240" w:after="0"/>
      <w:outlineLvl w:val="9"/>
    </w:pPr>
    <w:rPr>
      <w:sz w:val="32"/>
      <w:szCs w:val="32"/>
      <w:lang w:val="en-US"/>
    </w:rPr>
  </w:style>
  <w:style w:type="paragraph" w:styleId="TOC1">
    <w:name w:val="toc 1"/>
    <w:basedOn w:val="Normal"/>
    <w:next w:val="Normal"/>
    <w:autoRedefine/>
    <w:uiPriority w:val="39"/>
    <w:unhideWhenUsed/>
    <w:rsid w:val="00445132"/>
    <w:pPr>
      <w:spacing w:after="100"/>
    </w:pPr>
  </w:style>
  <w:style w:type="paragraph" w:styleId="TOC2">
    <w:name w:val="toc 2"/>
    <w:basedOn w:val="Normal"/>
    <w:next w:val="Normal"/>
    <w:autoRedefine/>
    <w:uiPriority w:val="39"/>
    <w:unhideWhenUsed/>
    <w:rsid w:val="0044513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levelling-up-the-united-kingdom" TargetMode="External"/><Relationship Id="rId5" Type="http://schemas.openxmlformats.org/officeDocument/2006/relationships/webSettings" Target="webSettings.xml"/><Relationship Id="rId10" Type="http://schemas.openxmlformats.org/officeDocument/2006/relationships/hyperlink" Target="https://doi.org/10.1177/0162243904271724" TargetMode="External"/><Relationship Id="rId4" Type="http://schemas.openxmlformats.org/officeDocument/2006/relationships/settings" Target="settings.xml"/><Relationship Id="rId9" Type="http://schemas.openxmlformats.org/officeDocument/2006/relationships/hyperlink" Target="https://www.britsoc.co.uk/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9D030-763B-427A-907E-A70DA7B4A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Karina-Stefania</dc:creator>
  <cp:lastModifiedBy>Karina-Stefania</cp:lastModifiedBy>
  <cp:revision>3</cp:revision>
  <dcterms:created xsi:type="dcterms:W3CDTF">2025-12-15T23:53:00Z</dcterms:created>
  <dcterms:modified xsi:type="dcterms:W3CDTF">2025-12-15T23:57:00Z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84D35B0BA5CC496A9F21CD0479349BBE_13</vt:lpwstr>
  </property>
</Properties>
</file>