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17D8E" w:rsidRPr="0043644F" w:rsidRDefault="00F17D8E" w:rsidP="0043644F">
      <w:pPr>
        <w:spacing w:line="360" w:lineRule="auto"/>
        <w:jc w:val="both"/>
      </w:pPr>
    </w:p>
    <w:p w:rsidR="00F17D8E" w:rsidRDefault="00393522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inline distT="114300" distB="114300" distL="114300" distR="114300">
            <wp:extent cx="2209800" cy="952500"/>
            <wp:effectExtent l="0" t="0" r="0" b="0"/>
            <wp:docPr id="1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952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17D8E" w:rsidRDefault="00F17D8E">
      <w:pPr>
        <w:spacing w:line="360" w:lineRule="auto"/>
        <w:jc w:val="center"/>
        <w:rPr>
          <w:b/>
          <w:bCs/>
          <w:sz w:val="32"/>
          <w:szCs w:val="32"/>
        </w:rPr>
      </w:pPr>
    </w:p>
    <w:p w:rsidR="00F17D8E" w:rsidRDefault="00393522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Understanding Organisational Structure and Culture</w:t>
      </w:r>
    </w:p>
    <w:p w:rsidR="00F17D8E" w:rsidRDefault="00393522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LCBB4009</w:t>
      </w:r>
    </w:p>
    <w:p w:rsidR="00F17D8E" w:rsidRDefault="00393522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Component 1: Practical: Individual presentation </w:t>
      </w:r>
    </w:p>
    <w:p w:rsidR="00F17D8E" w:rsidRDefault="00393522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Title: Presentation on Sainsbury’s methods of designing organisational structure</w:t>
      </w:r>
    </w:p>
    <w:p w:rsidR="00F17D8E" w:rsidRDefault="00F17D8E">
      <w:pPr>
        <w:spacing w:line="360" w:lineRule="auto"/>
        <w:rPr>
          <w:b/>
          <w:bCs/>
          <w:sz w:val="32"/>
          <w:szCs w:val="32"/>
        </w:rPr>
      </w:pPr>
    </w:p>
    <w:p w:rsidR="00F17D8E" w:rsidRDefault="00393522">
      <w:pPr>
        <w:spacing w:line="360" w:lineRule="auto"/>
        <w:jc w:val="center"/>
        <w:rPr>
          <w:b/>
          <w:bCs/>
        </w:rPr>
      </w:pPr>
      <w:r>
        <w:rPr>
          <w:b/>
          <w:bCs/>
        </w:rPr>
        <w:t>Student Name:</w:t>
      </w:r>
      <w:r w:rsidR="00845655">
        <w:rPr>
          <w:b/>
          <w:bCs/>
        </w:rPr>
        <w:t xml:space="preserve"> FLORINA </w:t>
      </w:r>
      <w:r w:rsidR="00332BF5">
        <w:rPr>
          <w:b/>
          <w:bCs/>
        </w:rPr>
        <w:t>L</w:t>
      </w:r>
      <w:r w:rsidR="00845655">
        <w:rPr>
          <w:b/>
          <w:bCs/>
        </w:rPr>
        <w:t>OIZIDIS</w:t>
      </w:r>
    </w:p>
    <w:p w:rsidR="00F17D8E" w:rsidRDefault="00393522">
      <w:pPr>
        <w:spacing w:line="360" w:lineRule="auto"/>
        <w:jc w:val="center"/>
        <w:rPr>
          <w:b/>
          <w:bCs/>
        </w:rPr>
      </w:pPr>
      <w:r>
        <w:rPr>
          <w:b/>
          <w:bCs/>
        </w:rPr>
        <w:t>Student ID:</w:t>
      </w:r>
      <w:r w:rsidR="00845655">
        <w:rPr>
          <w:b/>
          <w:bCs/>
        </w:rPr>
        <w:t xml:space="preserve"> 2013750</w:t>
      </w:r>
    </w:p>
    <w:p w:rsidR="00F17D8E" w:rsidRDefault="00393522">
      <w:pPr>
        <w:spacing w:line="360" w:lineRule="auto"/>
        <w:jc w:val="center"/>
        <w:rPr>
          <w:b/>
          <w:bCs/>
        </w:rPr>
      </w:pPr>
      <w:r>
        <w:br w:type="page"/>
      </w:r>
    </w:p>
    <w:p w:rsidR="00F17D8E" w:rsidRDefault="00393522">
      <w:pPr>
        <w:spacing w:line="360" w:lineRule="auto"/>
        <w:rPr>
          <w:b/>
          <w:bCs/>
        </w:rPr>
      </w:pPr>
      <w:r>
        <w:rPr>
          <w:b/>
          <w:bCs/>
        </w:rPr>
        <w:lastRenderedPageBreak/>
        <w:t>Slide 1: Cover Slide</w:t>
      </w:r>
    </w:p>
    <w:p w:rsidR="00D86756" w:rsidRDefault="00D86756">
      <w:pPr>
        <w:spacing w:line="360" w:lineRule="auto"/>
        <w:rPr>
          <w:b/>
          <w:bCs/>
        </w:rPr>
      </w:pPr>
    </w:p>
    <w:p w:rsidR="00F17D8E" w:rsidRDefault="00393522">
      <w:pPr>
        <w:spacing w:line="360" w:lineRule="auto"/>
        <w:rPr>
          <w:b/>
          <w:bCs/>
        </w:rPr>
      </w:pPr>
      <w:r>
        <w:br w:type="page"/>
      </w:r>
      <w:r w:rsidR="002E06C1">
        <w:rPr>
          <w:noProof/>
        </w:rPr>
        <w:drawing>
          <wp:anchor distT="0" distB="0" distL="114300" distR="114300" simplePos="0" relativeHeight="251659264" behindDoc="0" locked="0" layoutInCell="1" allowOverlap="1" wp14:anchorId="7BE66998" wp14:editId="63439EC5">
            <wp:simplePos x="0" y="0"/>
            <wp:positionH relativeFrom="column">
              <wp:posOffset>0</wp:posOffset>
            </wp:positionH>
            <wp:positionV relativeFrom="paragraph">
              <wp:posOffset>243840</wp:posOffset>
            </wp:positionV>
            <wp:extent cx="5733415" cy="3225165"/>
            <wp:effectExtent l="0" t="0" r="635" b="0"/>
            <wp:wrapTopAndBottom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17D8E" w:rsidRDefault="00393522">
      <w:pPr>
        <w:spacing w:line="360" w:lineRule="auto"/>
        <w:rPr>
          <w:b/>
          <w:bCs/>
        </w:rPr>
      </w:pPr>
      <w:r>
        <w:rPr>
          <w:b/>
          <w:bCs/>
        </w:rPr>
        <w:lastRenderedPageBreak/>
        <w:t>Slide 2: Introduction</w:t>
      </w:r>
    </w:p>
    <w:p w:rsidR="00F17D8E" w:rsidRDefault="00D86756" w:rsidP="00D86756">
      <w:pPr>
        <w:spacing w:line="360" w:lineRule="auto"/>
        <w:rPr>
          <w:b/>
          <w:bCs/>
        </w:rPr>
      </w:pPr>
      <w:r w:rsidRPr="00D86756">
        <w:rPr>
          <w:b/>
          <w:bCs/>
          <w:noProof/>
        </w:rPr>
        <w:drawing>
          <wp:inline distT="0" distB="0" distL="0" distR="0" wp14:anchorId="71E36428" wp14:editId="4FF802B8">
            <wp:extent cx="5733415" cy="3225165"/>
            <wp:effectExtent l="0" t="0" r="63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D8E" w:rsidRDefault="00393522">
      <w:pPr>
        <w:spacing w:line="360" w:lineRule="auto"/>
        <w:rPr>
          <w:b/>
          <w:bCs/>
        </w:rPr>
      </w:pPr>
      <w:r>
        <w:rPr>
          <w:b/>
          <w:bCs/>
        </w:rPr>
        <w:t>Speaker Notes</w:t>
      </w:r>
    </w:p>
    <w:p w:rsidR="00F17D8E" w:rsidRDefault="00393522">
      <w:pPr>
        <w:spacing w:line="360" w:lineRule="auto"/>
        <w:jc w:val="both"/>
      </w:pPr>
      <w:r>
        <w:t>I have detailed the distinct methods of firm structure for this presentation by considering the properties of firm structure. Within this presentation, I propose the adoption of initiatives that are aimed to enhance the management of Sainsbury’s by identifying viable structures for the firm to operate on.</w:t>
      </w:r>
    </w:p>
    <w:p w:rsidR="00F17D8E" w:rsidRDefault="00393522">
      <w:pPr>
        <w:spacing w:line="360" w:lineRule="auto"/>
        <w:rPr>
          <w:b/>
          <w:bCs/>
        </w:rPr>
      </w:pPr>
      <w:r>
        <w:br w:type="page"/>
      </w:r>
    </w:p>
    <w:p w:rsidR="00F17D8E" w:rsidRDefault="00393522">
      <w:pPr>
        <w:spacing w:line="360" w:lineRule="auto"/>
        <w:rPr>
          <w:b/>
          <w:bCs/>
        </w:rPr>
      </w:pPr>
      <w:r>
        <w:rPr>
          <w:b/>
          <w:bCs/>
        </w:rPr>
        <w:lastRenderedPageBreak/>
        <w:t xml:space="preserve">Slide 3: Concept of Organisational structure, </w:t>
      </w:r>
      <w:r w:rsidR="00A5397D">
        <w:rPr>
          <w:b/>
          <w:bCs/>
        </w:rPr>
        <w:t>chart,</w:t>
      </w:r>
      <w:r>
        <w:rPr>
          <w:b/>
          <w:bCs/>
        </w:rPr>
        <w:t xml:space="preserve"> and its importance </w:t>
      </w:r>
    </w:p>
    <w:p w:rsidR="00D86756" w:rsidRDefault="00D86756">
      <w:pPr>
        <w:spacing w:line="360" w:lineRule="auto"/>
        <w:rPr>
          <w:b/>
          <w:bCs/>
        </w:rPr>
      </w:pPr>
      <w:r w:rsidRPr="00D86756">
        <w:rPr>
          <w:b/>
          <w:bCs/>
          <w:noProof/>
        </w:rPr>
        <w:drawing>
          <wp:inline distT="0" distB="0" distL="0" distR="0" wp14:anchorId="003FC76D" wp14:editId="758E9CA7">
            <wp:extent cx="5733415" cy="3225165"/>
            <wp:effectExtent l="0" t="0" r="63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D8E" w:rsidRDefault="00393522">
      <w:pPr>
        <w:spacing w:line="360" w:lineRule="auto"/>
        <w:rPr>
          <w:b/>
          <w:bCs/>
        </w:rPr>
      </w:pPr>
      <w:r>
        <w:rPr>
          <w:b/>
          <w:bCs/>
        </w:rPr>
        <w:t>Speaker Notes</w:t>
      </w:r>
    </w:p>
    <w:p w:rsidR="00F17D8E" w:rsidRDefault="00393522">
      <w:pPr>
        <w:spacing w:line="360" w:lineRule="auto"/>
        <w:jc w:val="both"/>
      </w:pPr>
      <w:r>
        <w:t>I have assessed that the concept of organisational structure is to identify the reporting lines that define the span of control within an organisation. I believe that it is important since it enables stakeholders to identify their reporting liabilities and their main stakeholders.</w:t>
      </w:r>
    </w:p>
    <w:p w:rsidR="00F17D8E" w:rsidRDefault="00393522">
      <w:pPr>
        <w:spacing w:line="360" w:lineRule="auto"/>
        <w:rPr>
          <w:b/>
          <w:bCs/>
        </w:rPr>
      </w:pPr>
      <w:r>
        <w:br w:type="page"/>
      </w:r>
    </w:p>
    <w:p w:rsidR="00F17D8E" w:rsidRDefault="00393522">
      <w:pPr>
        <w:spacing w:line="360" w:lineRule="auto"/>
        <w:jc w:val="both"/>
        <w:rPr>
          <w:b/>
          <w:bCs/>
        </w:rPr>
      </w:pPr>
      <w:r>
        <w:rPr>
          <w:b/>
          <w:bCs/>
        </w:rPr>
        <w:lastRenderedPageBreak/>
        <w:t>Slide 4:  Explain each of the ways of designing structure of an organisation</w:t>
      </w:r>
    </w:p>
    <w:p w:rsidR="00F17D8E" w:rsidRDefault="00D86756" w:rsidP="00D86756">
      <w:pPr>
        <w:spacing w:line="360" w:lineRule="auto"/>
        <w:rPr>
          <w:b/>
          <w:bCs/>
        </w:rPr>
      </w:pPr>
      <w:r w:rsidRPr="00D86756">
        <w:rPr>
          <w:b/>
          <w:bCs/>
          <w:noProof/>
        </w:rPr>
        <w:drawing>
          <wp:inline distT="0" distB="0" distL="0" distR="0" wp14:anchorId="0C45BA78" wp14:editId="604F3A42">
            <wp:extent cx="5733415" cy="3225165"/>
            <wp:effectExtent l="0" t="0" r="63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D8E" w:rsidRDefault="00393522">
      <w:pPr>
        <w:spacing w:line="360" w:lineRule="auto"/>
        <w:jc w:val="both"/>
        <w:rPr>
          <w:b/>
          <w:bCs/>
        </w:rPr>
      </w:pPr>
      <w:r>
        <w:rPr>
          <w:b/>
          <w:bCs/>
        </w:rPr>
        <w:t>Speaker Notes</w:t>
      </w:r>
    </w:p>
    <w:p w:rsidR="00F17D8E" w:rsidRDefault="00393522">
      <w:pPr>
        <w:spacing w:line="360" w:lineRule="auto"/>
        <w:jc w:val="both"/>
        <w:rPr>
          <w:b/>
          <w:bCs/>
        </w:rPr>
      </w:pPr>
      <w:r>
        <w:t>I have demonstrated that the grouping of employees as per their skills and job roles constitutes the functional approach to structure and is useful for maintaining clear communication lines within Sainsbury’s.</w:t>
      </w:r>
      <w:r>
        <w:br w:type="page"/>
      </w:r>
    </w:p>
    <w:p w:rsidR="00F17D8E" w:rsidRDefault="00393522">
      <w:pPr>
        <w:spacing w:line="360" w:lineRule="auto"/>
        <w:rPr>
          <w:b/>
          <w:bCs/>
        </w:rPr>
      </w:pPr>
      <w:r>
        <w:rPr>
          <w:b/>
          <w:bCs/>
        </w:rPr>
        <w:lastRenderedPageBreak/>
        <w:t>Slide 5: Explain each of the ways of designing structure of an organisation</w:t>
      </w:r>
    </w:p>
    <w:p w:rsidR="00F17D8E" w:rsidRDefault="00D86756">
      <w:pPr>
        <w:spacing w:line="360" w:lineRule="auto"/>
        <w:rPr>
          <w:b/>
          <w:bCs/>
        </w:rPr>
      </w:pPr>
      <w:r w:rsidRPr="00D86756">
        <w:rPr>
          <w:b/>
          <w:bCs/>
          <w:noProof/>
        </w:rPr>
        <w:drawing>
          <wp:inline distT="0" distB="0" distL="0" distR="0" wp14:anchorId="768014E6" wp14:editId="040B5EDB">
            <wp:extent cx="5733415" cy="3225165"/>
            <wp:effectExtent l="0" t="0" r="63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D8E" w:rsidRDefault="00393522">
      <w:pPr>
        <w:spacing w:line="360" w:lineRule="auto"/>
        <w:rPr>
          <w:b/>
          <w:bCs/>
        </w:rPr>
      </w:pPr>
      <w:r>
        <w:rPr>
          <w:b/>
          <w:bCs/>
        </w:rPr>
        <w:t>Speaker Notes</w:t>
      </w:r>
    </w:p>
    <w:p w:rsidR="00F17D8E" w:rsidRDefault="00393522">
      <w:pPr>
        <w:spacing w:line="360" w:lineRule="auto"/>
        <w:jc w:val="both"/>
      </w:pPr>
      <w:r>
        <w:t>I have demonstrated the decision of firm structure based on different departments of Sainsbury’s and considered its various subsidiaries to formulate the figure. Thus, I believe that this division method can be effective if the different managers are able to manage their individual departments effectively.</w:t>
      </w:r>
    </w:p>
    <w:p w:rsidR="00F17D8E" w:rsidRDefault="00393522">
      <w:pPr>
        <w:spacing w:line="360" w:lineRule="auto"/>
        <w:rPr>
          <w:b/>
          <w:bCs/>
        </w:rPr>
      </w:pPr>
      <w:r>
        <w:br w:type="page"/>
      </w:r>
    </w:p>
    <w:p w:rsidR="00F17D8E" w:rsidRDefault="00393522">
      <w:pPr>
        <w:spacing w:line="360" w:lineRule="auto"/>
        <w:rPr>
          <w:b/>
          <w:bCs/>
        </w:rPr>
      </w:pPr>
      <w:r>
        <w:rPr>
          <w:b/>
          <w:bCs/>
        </w:rPr>
        <w:lastRenderedPageBreak/>
        <w:t>Slide 6: Divisional: Division based on products and services</w:t>
      </w:r>
    </w:p>
    <w:p w:rsidR="00F17D8E" w:rsidRDefault="00D86756">
      <w:pPr>
        <w:spacing w:line="360" w:lineRule="auto"/>
        <w:jc w:val="center"/>
        <w:rPr>
          <w:b/>
          <w:bCs/>
        </w:rPr>
      </w:pPr>
      <w:r w:rsidRPr="00D86756">
        <w:rPr>
          <w:b/>
          <w:bCs/>
          <w:noProof/>
        </w:rPr>
        <w:drawing>
          <wp:inline distT="0" distB="0" distL="0" distR="0" wp14:anchorId="0E5C7474" wp14:editId="7E84626E">
            <wp:extent cx="5733415" cy="3225165"/>
            <wp:effectExtent l="0" t="0" r="63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D8E" w:rsidRDefault="00393522">
      <w:pPr>
        <w:spacing w:line="360" w:lineRule="auto"/>
        <w:rPr>
          <w:b/>
          <w:bCs/>
        </w:rPr>
      </w:pPr>
      <w:r>
        <w:rPr>
          <w:b/>
          <w:bCs/>
        </w:rPr>
        <w:t>Speaker Notes</w:t>
      </w:r>
    </w:p>
    <w:p w:rsidR="00F17D8E" w:rsidRDefault="00393522">
      <w:pPr>
        <w:spacing w:line="360" w:lineRule="auto"/>
        <w:jc w:val="both"/>
      </w:pPr>
      <w:r>
        <w:t>I have demonstrated above the essence of dual reporting lines wherein vertical and horizontal divisions of stakeholders are considered in a firm structure. I believe that this structure would be relevant for Sainsbury’s as it enables the firm to maintain cross-functional teams to enhance lead times.</w:t>
      </w:r>
    </w:p>
    <w:p w:rsidR="00F17D8E" w:rsidRDefault="00393522">
      <w:pPr>
        <w:spacing w:line="360" w:lineRule="auto"/>
        <w:rPr>
          <w:b/>
          <w:bCs/>
        </w:rPr>
      </w:pPr>
      <w:r>
        <w:br w:type="page"/>
      </w:r>
    </w:p>
    <w:p w:rsidR="00F17D8E" w:rsidRDefault="00393522">
      <w:pPr>
        <w:spacing w:line="360" w:lineRule="auto"/>
        <w:rPr>
          <w:b/>
          <w:bCs/>
        </w:rPr>
      </w:pPr>
      <w:r>
        <w:rPr>
          <w:b/>
          <w:bCs/>
        </w:rPr>
        <w:lastRenderedPageBreak/>
        <w:t>Slide 7: Relevant theories and frameworks</w:t>
      </w:r>
    </w:p>
    <w:p w:rsidR="00D86756" w:rsidRDefault="00D90AF7">
      <w:pPr>
        <w:spacing w:line="360" w:lineRule="auto"/>
        <w:rPr>
          <w:b/>
          <w:bCs/>
        </w:rPr>
      </w:pPr>
      <w:r w:rsidRPr="00D90AF7">
        <w:rPr>
          <w:b/>
          <w:bCs/>
          <w:noProof/>
        </w:rPr>
        <w:drawing>
          <wp:inline distT="0" distB="0" distL="0" distR="0" wp14:anchorId="6A8BBF6A" wp14:editId="1C7D9440">
            <wp:extent cx="5733415" cy="3225165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D8E" w:rsidRDefault="00393522">
      <w:pPr>
        <w:spacing w:line="360" w:lineRule="auto"/>
        <w:rPr>
          <w:b/>
          <w:bCs/>
        </w:rPr>
      </w:pPr>
      <w:r>
        <w:rPr>
          <w:b/>
          <w:bCs/>
        </w:rPr>
        <w:t>Speaker Notes</w:t>
      </w:r>
    </w:p>
    <w:p w:rsidR="00F17D8E" w:rsidRDefault="00393522">
      <w:pPr>
        <w:spacing w:line="360" w:lineRule="auto"/>
        <w:jc w:val="both"/>
      </w:pPr>
      <w:r>
        <w:t>I have used the concepts that I learned from the bureaucratic management theory, Fayol’s principles and contingency theory to guide my learning initiatives during this presentation.</w:t>
      </w:r>
    </w:p>
    <w:p w:rsidR="00F17D8E" w:rsidRDefault="00393522">
      <w:pPr>
        <w:spacing w:line="360" w:lineRule="auto"/>
        <w:rPr>
          <w:b/>
          <w:bCs/>
        </w:rPr>
      </w:pPr>
      <w:r>
        <w:br w:type="page"/>
      </w:r>
    </w:p>
    <w:p w:rsidR="00F17D8E" w:rsidRDefault="00393522">
      <w:pPr>
        <w:spacing w:line="360" w:lineRule="auto"/>
        <w:rPr>
          <w:b/>
          <w:bCs/>
        </w:rPr>
      </w:pPr>
      <w:r>
        <w:rPr>
          <w:b/>
          <w:bCs/>
        </w:rPr>
        <w:lastRenderedPageBreak/>
        <w:t xml:space="preserve">Slide 8: Conclusion  </w:t>
      </w:r>
    </w:p>
    <w:p w:rsidR="00D86756" w:rsidRDefault="00D86756">
      <w:pPr>
        <w:spacing w:line="360" w:lineRule="auto"/>
        <w:rPr>
          <w:b/>
          <w:bCs/>
        </w:rPr>
      </w:pPr>
      <w:r w:rsidRPr="00D86756">
        <w:rPr>
          <w:b/>
          <w:bCs/>
          <w:noProof/>
        </w:rPr>
        <w:drawing>
          <wp:inline distT="0" distB="0" distL="0" distR="0" wp14:anchorId="3F3402E7" wp14:editId="5002E0C2">
            <wp:extent cx="5733415" cy="3225165"/>
            <wp:effectExtent l="0" t="0" r="63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D8E" w:rsidRDefault="00393522">
      <w:pPr>
        <w:spacing w:line="360" w:lineRule="auto"/>
        <w:rPr>
          <w:b/>
          <w:bCs/>
        </w:rPr>
      </w:pPr>
      <w:r>
        <w:rPr>
          <w:b/>
          <w:bCs/>
        </w:rPr>
        <w:t>Speaker Notes</w:t>
      </w:r>
    </w:p>
    <w:p w:rsidR="00F17D8E" w:rsidRDefault="00393522">
      <w:pPr>
        <w:spacing w:line="360" w:lineRule="auto"/>
        <w:jc w:val="both"/>
      </w:pPr>
      <w:r>
        <w:t>Within this presentation, I have elaborated on the hybrid structure of Sainsbury’s and the three distinct methods that can be used to frame organisational structure.</w:t>
      </w:r>
    </w:p>
    <w:p w:rsidR="00F17D8E" w:rsidRDefault="00393522">
      <w:pPr>
        <w:spacing w:line="360" w:lineRule="auto"/>
        <w:rPr>
          <w:b/>
          <w:bCs/>
        </w:rPr>
      </w:pPr>
      <w:r>
        <w:br w:type="page"/>
      </w:r>
    </w:p>
    <w:p w:rsidR="00F17D8E" w:rsidRDefault="00393522">
      <w:pPr>
        <w:spacing w:line="360" w:lineRule="auto"/>
        <w:rPr>
          <w:b/>
          <w:bCs/>
        </w:rPr>
      </w:pPr>
      <w:r>
        <w:rPr>
          <w:b/>
          <w:bCs/>
        </w:rPr>
        <w:lastRenderedPageBreak/>
        <w:t>Slide 9: Reference List</w:t>
      </w:r>
    </w:p>
    <w:p w:rsidR="00D86756" w:rsidRDefault="00D86756">
      <w:pPr>
        <w:spacing w:line="360" w:lineRule="auto"/>
        <w:rPr>
          <w:b/>
          <w:bCs/>
        </w:rPr>
      </w:pPr>
      <w:r w:rsidRPr="00D86756">
        <w:rPr>
          <w:b/>
          <w:bCs/>
          <w:noProof/>
        </w:rPr>
        <w:drawing>
          <wp:inline distT="0" distB="0" distL="0" distR="0" wp14:anchorId="78839005" wp14:editId="7E9AA817">
            <wp:extent cx="5733415" cy="3225165"/>
            <wp:effectExtent l="0" t="0" r="63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5ED6" w:rsidRDefault="00D55ED6">
      <w:pPr>
        <w:rPr>
          <w:b/>
          <w:bCs/>
        </w:rPr>
      </w:pPr>
      <w:r>
        <w:rPr>
          <w:b/>
          <w:bCs/>
        </w:rPr>
        <w:br w:type="page"/>
      </w:r>
    </w:p>
    <w:p w:rsidR="00F17D8E" w:rsidRDefault="00393522">
      <w:pPr>
        <w:spacing w:line="360" w:lineRule="auto"/>
        <w:rPr>
          <w:b/>
          <w:bCs/>
        </w:rPr>
      </w:pPr>
      <w:r>
        <w:rPr>
          <w:b/>
          <w:bCs/>
        </w:rPr>
        <w:lastRenderedPageBreak/>
        <w:t>Slide 10: Thank You</w:t>
      </w:r>
    </w:p>
    <w:p w:rsidR="00922AC6" w:rsidRDefault="00922AC6">
      <w:pPr>
        <w:spacing w:line="360" w:lineRule="auto"/>
        <w:rPr>
          <w:b/>
          <w:bCs/>
        </w:rPr>
      </w:pPr>
      <w:r w:rsidRPr="00922AC6">
        <w:rPr>
          <w:b/>
          <w:bCs/>
          <w:noProof/>
        </w:rPr>
        <w:drawing>
          <wp:inline distT="0" distB="0" distL="0" distR="0" wp14:anchorId="72C086AC" wp14:editId="138FF1AE">
            <wp:extent cx="5733415" cy="3225165"/>
            <wp:effectExtent l="0" t="0" r="63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5ED6" w:rsidRDefault="00D55ED6">
      <w:pPr>
        <w:rPr>
          <w:b/>
          <w:bCs/>
        </w:rPr>
      </w:pPr>
      <w:r>
        <w:rPr>
          <w:b/>
          <w:bCs/>
        </w:rPr>
        <w:br w:type="page"/>
      </w:r>
    </w:p>
    <w:p w:rsidR="00D55ED6" w:rsidRDefault="00D55ED6">
      <w:pPr>
        <w:spacing w:line="360" w:lineRule="auto"/>
        <w:rPr>
          <w:b/>
          <w:bCs/>
        </w:rPr>
      </w:pPr>
      <w:r>
        <w:rPr>
          <w:b/>
          <w:bCs/>
        </w:rPr>
        <w:lastRenderedPageBreak/>
        <w:t xml:space="preserve">Reference List </w:t>
      </w:r>
    </w:p>
    <w:p w:rsidR="00BC29ED" w:rsidRDefault="00BC29ED" w:rsidP="00D55ED6">
      <w:pPr>
        <w:spacing w:line="360" w:lineRule="auto"/>
        <w:jc w:val="both"/>
      </w:pPr>
      <w:r>
        <w:t xml:space="preserve">Anglin, A.H., Kincaid, P.A., Short, J.C. and Allen, D.G., (2022) ‘Role theory perspectives: Past, present, and future applications of role theories in management research’. </w:t>
      </w:r>
      <w:r>
        <w:rPr>
          <w:i/>
          <w:iCs/>
        </w:rPr>
        <w:t>Journal of management</w:t>
      </w:r>
      <w:r>
        <w:t xml:space="preserve">, </w:t>
      </w:r>
      <w:r>
        <w:rPr>
          <w:i/>
          <w:iCs/>
        </w:rPr>
        <w:t>48</w:t>
      </w:r>
      <w:r>
        <w:t xml:space="preserve">(6), pp.1469-1502. Available at: </w:t>
      </w:r>
      <w:hyperlink r:id="rId18">
        <w:r>
          <w:rPr>
            <w:u w:val="single"/>
          </w:rPr>
          <w:t>https://wrap.warwick.ac.uk/id/eprint/162101/1/WRAP-role-theory-perspectives-past-present-future-applications-role-theories-management-research-Allen-2022.pdf</w:t>
        </w:r>
      </w:hyperlink>
      <w:r>
        <w:t xml:space="preserve"> </w:t>
      </w:r>
    </w:p>
    <w:p w:rsidR="00BC29ED" w:rsidRDefault="00BC29ED" w:rsidP="00D55ED6">
      <w:pPr>
        <w:spacing w:line="360" w:lineRule="auto"/>
        <w:jc w:val="both"/>
      </w:pPr>
      <w:proofErr w:type="spellStart"/>
      <w:r>
        <w:t>Bagiwa</w:t>
      </w:r>
      <w:proofErr w:type="spellEnd"/>
      <w:r>
        <w:t xml:space="preserve">, Z.L. and Muhammad, T., (2026) ‘Examining types of Organizational Structure in Private Chartered Universities in Western Uganda and their Impact on Academic Staff Performance’. </w:t>
      </w:r>
      <w:r>
        <w:rPr>
          <w:i/>
          <w:iCs/>
        </w:rPr>
        <w:t>F1000Research</w:t>
      </w:r>
      <w:r>
        <w:t xml:space="preserve">, </w:t>
      </w:r>
      <w:r>
        <w:rPr>
          <w:i/>
          <w:iCs/>
        </w:rPr>
        <w:t>14</w:t>
      </w:r>
      <w:r>
        <w:t xml:space="preserve">, p.690. Available at: </w:t>
      </w:r>
      <w:hyperlink r:id="rId19">
        <w:r>
          <w:rPr>
            <w:u w:val="single"/>
          </w:rPr>
          <w:t>https://pmc.ncbi.nlm.nih.gov/articles/PMC12877467/</w:t>
        </w:r>
      </w:hyperlink>
      <w:r>
        <w:t xml:space="preserve"> </w:t>
      </w:r>
    </w:p>
    <w:p w:rsidR="00BC29ED" w:rsidRDefault="00BC29ED" w:rsidP="00D55ED6">
      <w:pPr>
        <w:spacing w:line="360" w:lineRule="auto"/>
        <w:jc w:val="both"/>
        <w:rPr>
          <w:u w:val="single"/>
        </w:rPr>
      </w:pPr>
      <w:r>
        <w:t xml:space="preserve">Davidson, S. (2025) ‘The nature of the decentralised autonomous organisation’. </w:t>
      </w:r>
      <w:r>
        <w:rPr>
          <w:i/>
          <w:iCs/>
        </w:rPr>
        <w:t>Journal of Institutional Economics</w:t>
      </w:r>
      <w:r>
        <w:t xml:space="preserve">, </w:t>
      </w:r>
      <w:r>
        <w:rPr>
          <w:i/>
          <w:iCs/>
        </w:rPr>
        <w:t>21</w:t>
      </w:r>
      <w:r>
        <w:t xml:space="preserve">, p.e5. Available at: </w:t>
      </w:r>
      <w:hyperlink r:id="rId20">
        <w:r>
          <w:rPr>
            <w:u w:val="single"/>
          </w:rPr>
          <w:t>https://www.cambridge.org/core/services/aop-cambridge-core/content/view/221DE3FF0F7E3CC3CF73CAEF8284DE28/S1744137424000341a.pdf/the-nature-of-the-decentralised-autonomous-organisation.pdf</w:t>
        </w:r>
      </w:hyperlink>
    </w:p>
    <w:p w:rsidR="00BC29ED" w:rsidRDefault="00BC29ED" w:rsidP="00BC29ED">
      <w:pPr>
        <w:spacing w:line="360" w:lineRule="auto"/>
        <w:jc w:val="both"/>
      </w:pPr>
      <w:r>
        <w:t xml:space="preserve">Sainsbury’s (2025) Annual Report 2025. Available at: </w:t>
      </w:r>
      <w:hyperlink r:id="rId21">
        <w:r>
          <w:rPr>
            <w:u w:val="single"/>
          </w:rPr>
          <w:t>https://corporate.sainsburys.co.uk/media/e1lfnybd/sainsbury-annual-report-and-financial-statements-2025.pdf</w:t>
        </w:r>
      </w:hyperlink>
      <w:r>
        <w:t xml:space="preserve"> (Accessed: 02 August 2026)</w:t>
      </w:r>
    </w:p>
    <w:p w:rsidR="00BC29ED" w:rsidRPr="002F4BCA" w:rsidRDefault="00BC29ED" w:rsidP="00BC29ED">
      <w:pPr>
        <w:spacing w:line="360" w:lineRule="auto"/>
        <w:jc w:val="both"/>
      </w:pPr>
      <w:proofErr w:type="spellStart"/>
      <w:r>
        <w:t>Titity</w:t>
      </w:r>
      <w:proofErr w:type="spellEnd"/>
      <w:r>
        <w:t xml:space="preserve">, E.T. and </w:t>
      </w:r>
      <w:proofErr w:type="spellStart"/>
      <w:r>
        <w:t>Ogidi</w:t>
      </w:r>
      <w:proofErr w:type="spellEnd"/>
      <w:r>
        <w:t xml:space="preserve">, T.S., (2024) ‘The nexus between organizational structure and employee performance: A study of the Rivers State Ministry of Employment Generation and Empowerment’. </w:t>
      </w:r>
      <w:r>
        <w:rPr>
          <w:i/>
          <w:iCs/>
        </w:rPr>
        <w:t>Journals for Social Sciences</w:t>
      </w:r>
      <w:r>
        <w:t xml:space="preserve">, </w:t>
      </w:r>
      <w:r>
        <w:rPr>
          <w:i/>
          <w:iCs/>
        </w:rPr>
        <w:t>1</w:t>
      </w:r>
      <w:r>
        <w:t xml:space="preserve">(10), pp.99-106. Available at: </w:t>
      </w:r>
      <w:hyperlink r:id="rId22">
        <w:r>
          <w:rPr>
            <w:u w:val="single"/>
          </w:rPr>
          <w:t>https://rapidjournals.com/wp-content/uploads/journal/published_paper/volume-1/issue-10/rjip_i1NgQwHM.pdf</w:t>
        </w:r>
      </w:hyperlink>
      <w:r>
        <w:t xml:space="preserve"> </w:t>
      </w:r>
    </w:p>
    <w:p w:rsidR="00BC29ED" w:rsidRDefault="00BC29ED" w:rsidP="00D55ED6">
      <w:pPr>
        <w:spacing w:line="360" w:lineRule="auto"/>
        <w:jc w:val="both"/>
        <w:rPr>
          <w:b/>
          <w:bCs/>
        </w:rPr>
      </w:pPr>
      <w:r>
        <w:t xml:space="preserve"> </w:t>
      </w:r>
      <w:r>
        <w:rPr>
          <w:b/>
          <w:bCs/>
        </w:rPr>
        <w:t xml:space="preserve">  </w:t>
      </w:r>
    </w:p>
    <w:p w:rsidR="00BC29ED" w:rsidRDefault="00BC29ED" w:rsidP="00B715F2">
      <w:pPr>
        <w:pStyle w:val="NormalWeb"/>
        <w:spacing w:before="0" w:beforeAutospacing="0" w:after="0" w:afterAutospacing="0" w:line="360" w:lineRule="auto"/>
        <w:jc w:val="center"/>
      </w:pPr>
      <w:r>
        <w:br w:type="page"/>
      </w:r>
      <w:r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GAI Declaration</w:t>
      </w:r>
    </w:p>
    <w:p w:rsidR="00B715F2" w:rsidRDefault="00B715F2" w:rsidP="00B715F2">
      <w:pPr>
        <w:pStyle w:val="NormalWeb"/>
        <w:spacing w:before="0" w:beforeAutospacing="0" w:after="0" w:afterAutospacing="0" w:line="360" w:lineRule="auto"/>
        <w:jc w:val="both"/>
      </w:pPr>
      <w:r>
        <w:rPr>
          <w:rFonts w:ascii="Arial" w:hAnsi="Arial" w:cs="Arial"/>
          <w:color w:val="000000"/>
          <w:sz w:val="22"/>
          <w:szCs w:val="22"/>
        </w:rPr>
        <w:t>I have not made use of any form of generative AI for this assignment. I have only used relevant and valid information I sourced from books and journals</w:t>
      </w:r>
      <w:r w:rsidR="00D77ED5">
        <w:rPr>
          <w:rFonts w:ascii="Arial" w:hAnsi="Arial" w:cs="Arial"/>
          <w:color w:val="000000"/>
          <w:sz w:val="22"/>
          <w:szCs w:val="22"/>
        </w:rPr>
        <w:t>.</w:t>
      </w:r>
    </w:p>
    <w:p w:rsidR="00F17D8E" w:rsidRDefault="00F17D8E">
      <w:pPr>
        <w:spacing w:line="360" w:lineRule="auto"/>
      </w:pPr>
    </w:p>
    <w:sectPr w:rsidR="00F17D8E">
      <w:footerReference w:type="default" r:id="rId23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92DFF" w:rsidRDefault="00492DFF" w:rsidP="00922AC6">
      <w:pPr>
        <w:spacing w:line="240" w:lineRule="auto"/>
      </w:pPr>
      <w:r>
        <w:separator/>
      </w:r>
    </w:p>
  </w:endnote>
  <w:endnote w:type="continuationSeparator" w:id="0">
    <w:p w:rsidR="00492DFF" w:rsidRDefault="00492DFF" w:rsidP="00922A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A1E75A1-ADC8-48BD-9B64-350FA37CE0B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4E336C37-579E-4673-8787-811546BFD8D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24336713"/>
      <w:docPartObj>
        <w:docPartGallery w:val="Page Numbers (Bottom of Page)"/>
        <w:docPartUnique/>
      </w:docPartObj>
    </w:sdtPr>
    <w:sdtEndPr>
      <w:rPr>
        <w:noProof/>
        <w:sz w:val="20"/>
      </w:rPr>
    </w:sdtEndPr>
    <w:sdtContent>
      <w:p w:rsidR="00922AC6" w:rsidRPr="00922AC6" w:rsidRDefault="00922AC6">
        <w:pPr>
          <w:pStyle w:val="Footer"/>
          <w:jc w:val="right"/>
          <w:rPr>
            <w:sz w:val="20"/>
          </w:rPr>
        </w:pPr>
        <w:r w:rsidRPr="00922AC6">
          <w:rPr>
            <w:sz w:val="20"/>
          </w:rPr>
          <w:fldChar w:fldCharType="begin"/>
        </w:r>
        <w:r w:rsidRPr="00922AC6">
          <w:rPr>
            <w:sz w:val="20"/>
          </w:rPr>
          <w:instrText xml:space="preserve"> PAGE   \* MERGEFORMAT </w:instrText>
        </w:r>
        <w:r w:rsidRPr="00922AC6">
          <w:rPr>
            <w:sz w:val="20"/>
          </w:rPr>
          <w:fldChar w:fldCharType="separate"/>
        </w:r>
        <w:r w:rsidR="002C143B">
          <w:rPr>
            <w:noProof/>
            <w:sz w:val="20"/>
          </w:rPr>
          <w:t>11</w:t>
        </w:r>
        <w:r w:rsidRPr="00922AC6">
          <w:rPr>
            <w:noProof/>
            <w:sz w:val="20"/>
          </w:rPr>
          <w:fldChar w:fldCharType="end"/>
        </w:r>
      </w:p>
    </w:sdtContent>
  </w:sdt>
  <w:p w:rsidR="00922AC6" w:rsidRDefault="00922A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92DFF" w:rsidRDefault="00492DFF" w:rsidP="00922AC6">
      <w:pPr>
        <w:spacing w:line="240" w:lineRule="auto"/>
      </w:pPr>
      <w:r>
        <w:separator/>
      </w:r>
    </w:p>
  </w:footnote>
  <w:footnote w:type="continuationSeparator" w:id="0">
    <w:p w:rsidR="00492DFF" w:rsidRDefault="00492DFF" w:rsidP="00922AC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embedTrueTypeFonts/>
  <w:activeWritingStyle w:appName="MSWord" w:lang="en-GB" w:vendorID="64" w:dllVersion="6" w:nlCheck="1" w:checkStyle="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D8E"/>
    <w:rsid w:val="000C29E9"/>
    <w:rsid w:val="000D40A2"/>
    <w:rsid w:val="000E5247"/>
    <w:rsid w:val="001711C2"/>
    <w:rsid w:val="001C668F"/>
    <w:rsid w:val="002A7DD1"/>
    <w:rsid w:val="002C143B"/>
    <w:rsid w:val="002E06C1"/>
    <w:rsid w:val="002F4BCA"/>
    <w:rsid w:val="00332BF5"/>
    <w:rsid w:val="00393522"/>
    <w:rsid w:val="003D6BEE"/>
    <w:rsid w:val="0043644F"/>
    <w:rsid w:val="00492DFF"/>
    <w:rsid w:val="005B406A"/>
    <w:rsid w:val="00705160"/>
    <w:rsid w:val="00734047"/>
    <w:rsid w:val="007C67D3"/>
    <w:rsid w:val="008243F8"/>
    <w:rsid w:val="00845655"/>
    <w:rsid w:val="00922AC6"/>
    <w:rsid w:val="009307D0"/>
    <w:rsid w:val="00A5397D"/>
    <w:rsid w:val="00B10ABE"/>
    <w:rsid w:val="00B715F2"/>
    <w:rsid w:val="00B91E82"/>
    <w:rsid w:val="00BC29ED"/>
    <w:rsid w:val="00D55ED6"/>
    <w:rsid w:val="00D77ED5"/>
    <w:rsid w:val="00D86756"/>
    <w:rsid w:val="00D90AF7"/>
    <w:rsid w:val="00E43202"/>
    <w:rsid w:val="00E9529B"/>
    <w:rsid w:val="00F17D8E"/>
    <w:rsid w:val="00F72D75"/>
    <w:rsid w:val="00FA2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A3F74"/>
  <w15:docId w15:val="{F4C9D835-87DD-41D9-830F-37018B4BD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line="360" w:lineRule="auto"/>
      <w:jc w:val="both"/>
      <w:outlineLvl w:val="0"/>
    </w:pPr>
    <w:rPr>
      <w:b/>
      <w:bCs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semiHidden/>
    <w:unhideWhenUsed/>
    <w:rsid w:val="00B71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22AC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2AC6"/>
  </w:style>
  <w:style w:type="paragraph" w:styleId="Footer">
    <w:name w:val="footer"/>
    <w:basedOn w:val="Normal"/>
    <w:link w:val="FooterChar"/>
    <w:uiPriority w:val="99"/>
    <w:unhideWhenUsed/>
    <w:rsid w:val="00922AC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2A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13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svg"/><Relationship Id="rId13" Type="http://schemas.openxmlformats.org/officeDocument/2006/relationships/image" Target="media/image8.png"/><Relationship Id="rId18" Type="http://schemas.openxmlformats.org/officeDocument/2006/relationships/hyperlink" Target="https://wrap.warwick.ac.uk/id/eprint/162101/1/WRAP-role-theory-perspectives-past-present-future-applications-role-theories-management-research-Allen-2022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corporate.sainsburys.co.uk/media/e1lfnybd/sainsbury-annual-report-and-financial-statements-2025.pdf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hyperlink" Target="https://www.cambridge.org/core/services/aop-cambridge-core/content/view/221DE3FF0F7E3CC3CF73CAEF8284DE28/S1744137424000341a.pdf/the-nature-of-the-decentralised-autonomous-organisation.pdf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hyperlink" Target="https://pmc.ncbi.nlm.nih.gov/articles/PMC12877467/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s://rapidjournals.com/wp-content/uploads/journal/published_paper/volume-1/issue-10/rjip_i1NgQwHM.pdf" TargetMode="Externa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florina loizidis</cp:lastModifiedBy>
  <cp:revision>3</cp:revision>
  <dcterms:created xsi:type="dcterms:W3CDTF">2026-08-11T12:21:00Z</dcterms:created>
  <dcterms:modified xsi:type="dcterms:W3CDTF">2026-08-11T12:22:00Z</dcterms:modified>
</cp:coreProperties>
</file>