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7093" w:rsidRDefault="006A7093" w:rsidP="006A7093">
      <w:pPr>
        <w:spacing w:after="0" w:line="240" w:lineRule="auto"/>
        <w:ind w:left="-720" w:right="360"/>
        <w:jc w:val="center"/>
        <w:rPr>
          <w:rFonts w:ascii="Arial" w:eastAsia="Times New Roman" w:hAnsi="Arial" w:cs="Arial"/>
          <w:sz w:val="48"/>
          <w:szCs w:val="48"/>
          <w:lang w:eastAsia="en-GB"/>
        </w:rPr>
      </w:pPr>
      <w:bookmarkStart w:id="0" w:name="_GoBack"/>
      <w:bookmarkEnd w:id="0"/>
    </w:p>
    <w:p w:rsidR="006A7093" w:rsidRDefault="006A7093" w:rsidP="006A7093">
      <w:pPr>
        <w:spacing w:after="0" w:line="240" w:lineRule="auto"/>
        <w:ind w:left="-720" w:right="360"/>
        <w:jc w:val="center"/>
        <w:rPr>
          <w:rFonts w:ascii="Arial" w:eastAsia="Times New Roman" w:hAnsi="Arial" w:cs="Arial"/>
          <w:sz w:val="48"/>
          <w:szCs w:val="48"/>
          <w:lang w:eastAsia="en-GB"/>
        </w:rPr>
      </w:pPr>
    </w:p>
    <w:p w:rsidR="006A7093" w:rsidRPr="00C4559D" w:rsidRDefault="006A7093" w:rsidP="006A7093">
      <w:pPr>
        <w:spacing w:after="0" w:line="240" w:lineRule="auto"/>
        <w:ind w:left="-720" w:right="360"/>
        <w:jc w:val="center"/>
        <w:rPr>
          <w:rFonts w:ascii="Arial" w:eastAsia="Times New Roman" w:hAnsi="Arial" w:cs="Arial"/>
          <w:sz w:val="48"/>
          <w:szCs w:val="48"/>
          <w:lang w:eastAsia="en-GB"/>
        </w:rPr>
      </w:pPr>
      <w:r w:rsidRPr="00C4559D">
        <w:rPr>
          <w:rFonts w:ascii="Arial" w:eastAsia="Times New Roman" w:hAnsi="Arial" w:cs="Arial"/>
          <w:sz w:val="48"/>
          <w:szCs w:val="48"/>
          <w:lang w:eastAsia="en-GB"/>
        </w:rPr>
        <w:t>University of Wales- Trinity St. David</w:t>
      </w:r>
    </w:p>
    <w:p w:rsidR="006A7093" w:rsidRPr="00C4559D" w:rsidRDefault="006A7093" w:rsidP="006A7093">
      <w:pPr>
        <w:spacing w:after="0" w:line="240" w:lineRule="auto"/>
        <w:ind w:left="-720" w:right="360"/>
        <w:jc w:val="center"/>
        <w:rPr>
          <w:rFonts w:ascii="Arial" w:eastAsia="Times New Roman" w:hAnsi="Arial" w:cs="Arial"/>
          <w:sz w:val="48"/>
          <w:szCs w:val="48"/>
          <w:lang w:eastAsia="en-GB"/>
        </w:rPr>
      </w:pPr>
      <w:r w:rsidRPr="00C4559D">
        <w:rPr>
          <w:rFonts w:ascii="Arial" w:eastAsia="Times New Roman" w:hAnsi="Arial" w:cs="Arial"/>
          <w:sz w:val="48"/>
          <w:szCs w:val="48"/>
          <w:lang w:eastAsia="en-GB"/>
        </w:rPr>
        <w:t>Graduate Certificate Consolidation of Social Work Practice</w:t>
      </w:r>
    </w:p>
    <w:p w:rsidR="00EB5D45" w:rsidRDefault="006A7093" w:rsidP="006A7093">
      <w:pPr>
        <w:rPr>
          <w:rFonts w:ascii="Arial" w:eastAsia="Times New Roman" w:hAnsi="Arial" w:cs="Arial"/>
          <w:sz w:val="48"/>
          <w:szCs w:val="48"/>
          <w:lang w:eastAsia="en-GB"/>
        </w:rPr>
      </w:pPr>
      <w:r w:rsidRPr="00C4559D">
        <w:rPr>
          <w:rFonts w:ascii="Arial" w:eastAsia="Times New Roman" w:hAnsi="Arial" w:cs="Arial"/>
          <w:sz w:val="48"/>
          <w:szCs w:val="48"/>
          <w:lang w:eastAsia="en-GB"/>
        </w:rPr>
        <w:t xml:space="preserve">Resubmission of Porth Agored Cohort 8  </w:t>
      </w:r>
    </w:p>
    <w:p w:rsidR="006A7093" w:rsidRDefault="006A7093" w:rsidP="006A7093">
      <w:pPr>
        <w:jc w:val="center"/>
        <w:rPr>
          <w:rFonts w:ascii="Arial" w:eastAsia="Times New Roman" w:hAnsi="Arial" w:cs="Arial"/>
          <w:sz w:val="48"/>
          <w:szCs w:val="48"/>
          <w:lang w:eastAsia="en-GB"/>
        </w:rPr>
      </w:pPr>
      <w:r w:rsidRPr="00C4559D">
        <w:rPr>
          <w:rFonts w:ascii="Arial" w:eastAsia="Times New Roman" w:hAnsi="Arial" w:cs="Arial"/>
          <w:sz w:val="48"/>
          <w:szCs w:val="48"/>
          <w:lang w:eastAsia="en-GB"/>
        </w:rPr>
        <w:t>Task 3</w:t>
      </w:r>
    </w:p>
    <w:p w:rsidR="006A7093" w:rsidRPr="00C4559D" w:rsidRDefault="006A7093" w:rsidP="006A7093">
      <w:pPr>
        <w:spacing w:after="0" w:line="240" w:lineRule="auto"/>
        <w:ind w:left="-720" w:right="360"/>
        <w:jc w:val="center"/>
        <w:rPr>
          <w:rFonts w:ascii="Arial" w:eastAsia="Times New Roman" w:hAnsi="Arial" w:cs="Arial"/>
          <w:sz w:val="48"/>
          <w:szCs w:val="48"/>
          <w:lang w:eastAsia="en-GB"/>
        </w:rPr>
      </w:pPr>
      <w:r w:rsidRPr="00C4559D">
        <w:rPr>
          <w:rFonts w:ascii="Arial" w:eastAsia="Times New Roman" w:hAnsi="Arial" w:cs="Arial"/>
          <w:sz w:val="48"/>
          <w:szCs w:val="48"/>
          <w:lang w:eastAsia="en-GB"/>
        </w:rPr>
        <w:t>Christine Baker</w:t>
      </w:r>
    </w:p>
    <w:p w:rsidR="006A7093" w:rsidRPr="00C4559D" w:rsidRDefault="006A7093" w:rsidP="006A7093">
      <w:pPr>
        <w:spacing w:after="0" w:line="240" w:lineRule="auto"/>
        <w:ind w:left="-720" w:right="360"/>
        <w:jc w:val="center"/>
        <w:rPr>
          <w:rFonts w:ascii="Arial" w:eastAsia="Times New Roman" w:hAnsi="Arial" w:cs="Arial"/>
          <w:sz w:val="48"/>
          <w:szCs w:val="48"/>
          <w:lang w:eastAsia="en-GB"/>
        </w:rPr>
      </w:pPr>
      <w:r w:rsidRPr="00C4559D">
        <w:rPr>
          <w:rFonts w:ascii="Arial" w:eastAsia="Times New Roman" w:hAnsi="Arial" w:cs="Arial"/>
          <w:sz w:val="48"/>
          <w:szCs w:val="48"/>
          <w:lang w:eastAsia="en-GB"/>
        </w:rPr>
        <w:t>Student Number 1603015</w:t>
      </w:r>
    </w:p>
    <w:p w:rsidR="006A7093" w:rsidRDefault="006A7093" w:rsidP="006A7093">
      <w:pPr>
        <w:spacing w:after="0" w:line="240" w:lineRule="auto"/>
        <w:ind w:left="-720" w:right="360"/>
        <w:jc w:val="center"/>
        <w:rPr>
          <w:rFonts w:ascii="Arial" w:eastAsia="Times New Roman" w:hAnsi="Arial" w:cs="Arial"/>
          <w:sz w:val="24"/>
          <w:szCs w:val="24"/>
          <w:lang w:eastAsia="en-GB"/>
        </w:rPr>
      </w:pPr>
      <w:r w:rsidRPr="00C4559D">
        <w:rPr>
          <w:rFonts w:ascii="Arial" w:eastAsia="Times New Roman" w:hAnsi="Arial" w:cs="Arial"/>
          <w:sz w:val="48"/>
          <w:szCs w:val="48"/>
          <w:lang w:eastAsia="en-GB"/>
        </w:rPr>
        <w:t>Resubmission Date: 15\3\18 by 12 noon</w:t>
      </w:r>
      <w:r>
        <w:rPr>
          <w:rFonts w:ascii="Arial" w:eastAsia="Times New Roman" w:hAnsi="Arial" w:cs="Arial"/>
          <w:sz w:val="24"/>
          <w:szCs w:val="24"/>
          <w:lang w:eastAsia="en-GB"/>
        </w:rPr>
        <w:t>.</w:t>
      </w:r>
    </w:p>
    <w:p w:rsidR="006A7093" w:rsidRDefault="006A7093" w:rsidP="006A7093">
      <w:pPr>
        <w:jc w:val="center"/>
      </w:pPr>
    </w:p>
    <w:p w:rsidR="006A7093" w:rsidRDefault="006A7093" w:rsidP="006A7093">
      <w:pPr>
        <w:jc w:val="center"/>
      </w:pPr>
    </w:p>
    <w:p w:rsidR="006A7093" w:rsidRDefault="006A7093" w:rsidP="006A7093">
      <w:pPr>
        <w:jc w:val="center"/>
      </w:pPr>
    </w:p>
    <w:p w:rsidR="006A7093" w:rsidRDefault="006A7093" w:rsidP="006A7093">
      <w:pPr>
        <w:jc w:val="center"/>
      </w:pPr>
    </w:p>
    <w:p w:rsidR="006A7093" w:rsidRDefault="006A7093" w:rsidP="006A7093">
      <w:pPr>
        <w:jc w:val="center"/>
      </w:pPr>
    </w:p>
    <w:p w:rsidR="006A7093" w:rsidRDefault="006A7093" w:rsidP="006A7093">
      <w:pPr>
        <w:jc w:val="center"/>
      </w:pPr>
    </w:p>
    <w:p w:rsidR="006A7093" w:rsidRDefault="006A7093" w:rsidP="006A7093">
      <w:pPr>
        <w:jc w:val="center"/>
      </w:pPr>
    </w:p>
    <w:p w:rsidR="006A7093" w:rsidRDefault="006A7093" w:rsidP="006A7093">
      <w:pPr>
        <w:jc w:val="center"/>
      </w:pPr>
    </w:p>
    <w:p w:rsidR="006A7093" w:rsidRDefault="006A7093" w:rsidP="006A7093">
      <w:pPr>
        <w:jc w:val="center"/>
      </w:pPr>
    </w:p>
    <w:p w:rsidR="006A7093" w:rsidRDefault="006A7093" w:rsidP="006A7093">
      <w:pPr>
        <w:jc w:val="center"/>
      </w:pPr>
    </w:p>
    <w:p w:rsidR="006A7093" w:rsidRDefault="006A7093" w:rsidP="006A7093">
      <w:pPr>
        <w:jc w:val="center"/>
      </w:pPr>
    </w:p>
    <w:p w:rsidR="006A7093" w:rsidRDefault="006A7093" w:rsidP="006A7093">
      <w:pPr>
        <w:jc w:val="center"/>
      </w:pPr>
    </w:p>
    <w:p w:rsidR="006A7093" w:rsidRDefault="006A7093" w:rsidP="006A7093">
      <w:pPr>
        <w:jc w:val="center"/>
      </w:pPr>
    </w:p>
    <w:p w:rsidR="006A7093" w:rsidRDefault="006A7093" w:rsidP="006A7093">
      <w:pPr>
        <w:jc w:val="center"/>
      </w:pPr>
    </w:p>
    <w:p w:rsidR="006A7093" w:rsidRDefault="006A7093" w:rsidP="006A7093">
      <w:pPr>
        <w:jc w:val="center"/>
      </w:pPr>
    </w:p>
    <w:p w:rsidR="006A7093" w:rsidRDefault="006A7093" w:rsidP="006A7093">
      <w:pPr>
        <w:jc w:val="center"/>
      </w:pPr>
    </w:p>
    <w:p w:rsidR="006A7093" w:rsidRPr="006A7093" w:rsidRDefault="006A7093" w:rsidP="006A7093">
      <w:pPr>
        <w:rPr>
          <w:b/>
          <w:bCs/>
          <w:sz w:val="24"/>
          <w:szCs w:val="24"/>
        </w:rPr>
      </w:pPr>
      <w:r w:rsidRPr="006A7093">
        <w:rPr>
          <w:b/>
          <w:bCs/>
          <w:sz w:val="24"/>
          <w:szCs w:val="24"/>
        </w:rPr>
        <w:t>Task 3</w:t>
      </w:r>
    </w:p>
    <w:p w:rsidR="006A7093" w:rsidRPr="006A7093" w:rsidRDefault="006A7093" w:rsidP="006A7093">
      <w:pPr>
        <w:rPr>
          <w:b/>
          <w:bCs/>
          <w:sz w:val="24"/>
          <w:szCs w:val="24"/>
        </w:rPr>
      </w:pPr>
      <w:r w:rsidRPr="006A7093">
        <w:rPr>
          <w:b/>
          <w:bCs/>
          <w:sz w:val="24"/>
          <w:szCs w:val="24"/>
        </w:rPr>
        <w:t>Safeguarding and working in complex situations – Case Study</w:t>
      </w:r>
    </w:p>
    <w:p w:rsidR="006A7093" w:rsidRPr="006A7093" w:rsidRDefault="006A7093" w:rsidP="006A7093">
      <w:pPr>
        <w:jc w:val="both"/>
        <w:rPr>
          <w:b/>
          <w:bCs/>
          <w:sz w:val="24"/>
          <w:szCs w:val="24"/>
        </w:rPr>
      </w:pPr>
    </w:p>
    <w:tbl>
      <w:tblPr>
        <w:tblW w:w="10188" w:type="dxa"/>
        <w:tblInd w:w="108" w:type="dxa"/>
        <w:shd w:val="clear" w:color="auto" w:fill="CED7E7"/>
        <w:tblCellMar>
          <w:left w:w="0" w:type="dxa"/>
          <w:right w:w="0" w:type="dxa"/>
        </w:tblCellMar>
        <w:tblLook w:val="04A0" w:firstRow="1" w:lastRow="0" w:firstColumn="1" w:lastColumn="0" w:noHBand="0" w:noVBand="1"/>
      </w:tblPr>
      <w:tblGrid>
        <w:gridCol w:w="10188"/>
      </w:tblGrid>
      <w:tr w:rsidR="006A7093" w:rsidRPr="006A7093" w:rsidTr="00523B1B">
        <w:trPr>
          <w:trHeight w:val="2522"/>
        </w:trPr>
        <w:tc>
          <w:tcPr>
            <w:tcW w:w="1018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rsidR="006A7093" w:rsidRPr="006A7093" w:rsidRDefault="006A7093" w:rsidP="006A7093">
            <w:pPr>
              <w:jc w:val="both"/>
              <w:rPr>
                <w:sz w:val="24"/>
                <w:szCs w:val="24"/>
              </w:rPr>
            </w:pPr>
            <w:r w:rsidRPr="006A7093">
              <w:rPr>
                <w:sz w:val="24"/>
                <w:szCs w:val="24"/>
              </w:rPr>
              <w:t>Complete a critically reflective case study based on an assessment, undertaken with others (</w:t>
            </w:r>
            <w:r w:rsidRPr="006A7093">
              <w:rPr>
                <w:b/>
                <w:bCs/>
                <w:sz w:val="24"/>
                <w:szCs w:val="24"/>
              </w:rPr>
              <w:t>in your own area of work)</w:t>
            </w:r>
            <w:r w:rsidRPr="006A7093">
              <w:rPr>
                <w:sz w:val="24"/>
                <w:szCs w:val="24"/>
              </w:rPr>
              <w:t xml:space="preserve"> concerning the safeguarding of either an adult or a child. Demonstrate how the case relates to safeguarding legislation and your Safeguarding Boards safeguarding policies, strategies and procedures. Ensure that you cover the learning outcomes, National Occupational Standards, legislation (domestic and international), the specific dimensions of working in Wales and relevant social work theories. Please find list of learning outcomes in the handbook </w:t>
            </w:r>
          </w:p>
          <w:p w:rsidR="006A7093" w:rsidRPr="006A7093" w:rsidRDefault="006A7093" w:rsidP="006A7093">
            <w:pPr>
              <w:jc w:val="both"/>
              <w:rPr>
                <w:sz w:val="24"/>
                <w:szCs w:val="24"/>
              </w:rPr>
            </w:pPr>
          </w:p>
          <w:p w:rsidR="006A7093" w:rsidRPr="006A7093" w:rsidRDefault="006A7093" w:rsidP="006A7093">
            <w:pPr>
              <w:jc w:val="both"/>
              <w:rPr>
                <w:sz w:val="20"/>
                <w:szCs w:val="20"/>
              </w:rPr>
            </w:pPr>
            <w:r w:rsidRPr="006A7093">
              <w:rPr>
                <w:i/>
                <w:iCs/>
                <w:sz w:val="24"/>
                <w:szCs w:val="24"/>
              </w:rPr>
              <w:t>4000 words</w:t>
            </w:r>
            <w:r w:rsidRPr="006A7093">
              <w:rPr>
                <w:sz w:val="24"/>
                <w:szCs w:val="24"/>
              </w:rPr>
              <w:t xml:space="preserve"> </w:t>
            </w:r>
            <w:r w:rsidRPr="006A7093">
              <w:rPr>
                <w:i/>
                <w:iCs/>
                <w:sz w:val="24"/>
                <w:szCs w:val="24"/>
              </w:rPr>
              <w:t>(+/- 10%: include your actual word count at the end of each section)</w:t>
            </w:r>
          </w:p>
        </w:tc>
      </w:tr>
    </w:tbl>
    <w:p w:rsidR="006A7093" w:rsidRPr="006A7093" w:rsidRDefault="006A7093" w:rsidP="006A7093">
      <w:pPr>
        <w:jc w:val="both"/>
        <w:rPr>
          <w:rFonts w:cs="Arial"/>
          <w:bCs/>
          <w:color w:val="000000"/>
          <w:sz w:val="24"/>
          <w:szCs w:val="24"/>
          <w:lang w:val="en-US"/>
        </w:rPr>
      </w:pPr>
    </w:p>
    <w:p w:rsidR="006A7093" w:rsidRPr="006A7093" w:rsidRDefault="006A7093" w:rsidP="006A7093">
      <w:pPr>
        <w:jc w:val="both"/>
        <w:rPr>
          <w:rFonts w:cs="Arial"/>
          <w:bCs/>
          <w:color w:val="000000"/>
          <w:sz w:val="24"/>
          <w:szCs w:val="24"/>
          <w:lang w:val="en-US"/>
        </w:rPr>
      </w:pPr>
      <w:r w:rsidRPr="006A7093">
        <w:rPr>
          <w:bCs/>
          <w:sz w:val="24"/>
          <w:szCs w:val="24"/>
        </w:rPr>
        <w:t>In a critically reflective manner, I will discuss a children’s safeguarding case which posed a steep learning curve for my practice, knowledge, skills and resilience due to the difficulty of working productively and effectively with the family.</w:t>
      </w:r>
      <w:r w:rsidRPr="006A7093">
        <w:rPr>
          <w:rFonts w:cs="Arial"/>
          <w:bCs/>
          <w:color w:val="000000"/>
          <w:sz w:val="24"/>
          <w:szCs w:val="24"/>
          <w:lang w:val="en-US"/>
        </w:rPr>
        <w:t xml:space="preserve"> </w:t>
      </w:r>
      <w:r w:rsidRPr="006A7093">
        <w:rPr>
          <w:bCs/>
          <w:sz w:val="24"/>
          <w:szCs w:val="24"/>
        </w:rPr>
        <w:t xml:space="preserve">Safeguarding has a wider scope than “child protection” and correlates to procedures to endorse the well-being of children and safeguard them from impairment (Gov.uk, 2014).  </w:t>
      </w:r>
    </w:p>
    <w:p w:rsidR="006A7093" w:rsidRPr="006A7093" w:rsidRDefault="006A7093" w:rsidP="006A7093">
      <w:pPr>
        <w:rPr>
          <w:bCs/>
          <w:sz w:val="24"/>
          <w:szCs w:val="24"/>
        </w:rPr>
      </w:pPr>
      <w:r w:rsidRPr="006A7093">
        <w:rPr>
          <w:bCs/>
          <w:sz w:val="24"/>
          <w:szCs w:val="24"/>
        </w:rPr>
        <w:t>Safeguarding is explained as “…protecting children from maltreatment”, “preventing impairment of children’s health and development”, “ensuring that children grow up in circumstances consistent with the provision of safe and effective care” and “taking action to enable children to have the best outcomes” (Gov.uk, 2014). The United Nations Convention on the Rights of the Child clearly links a child being protected from mistreatment and puts a “duty” on the state to investigate and to provide support to the family to reduce the risks (Munro, 2011).</w:t>
      </w:r>
    </w:p>
    <w:p w:rsidR="006A7093" w:rsidRPr="006A7093" w:rsidRDefault="006A7093" w:rsidP="006A7093">
      <w:pPr>
        <w:rPr>
          <w:bCs/>
          <w:sz w:val="24"/>
          <w:szCs w:val="24"/>
        </w:rPr>
      </w:pPr>
      <w:r w:rsidRPr="006A7093">
        <w:rPr>
          <w:bCs/>
          <w:sz w:val="24"/>
          <w:szCs w:val="24"/>
        </w:rPr>
        <w:t xml:space="preserve">Child Protection is a part of safeguarding and upholding welfare, specifically focused on protecting children thought to be “…at risk or suffering significant harm as a result of abuse or neglect” and legislation directly linked to this is the Children Act, 1989 (Welsh Government, 2008). </w:t>
      </w:r>
    </w:p>
    <w:p w:rsidR="006A7093" w:rsidRPr="006A7093" w:rsidRDefault="006A7093" w:rsidP="006A7093">
      <w:pPr>
        <w:rPr>
          <w:bCs/>
          <w:sz w:val="24"/>
          <w:szCs w:val="24"/>
        </w:rPr>
      </w:pPr>
      <w:r w:rsidRPr="006A7093">
        <w:rPr>
          <w:bCs/>
          <w:sz w:val="24"/>
          <w:szCs w:val="24"/>
        </w:rPr>
        <w:t>Welsh Government provides policy, laws and statutory guidance informing how the child protection structure operates.  With the Social Services and Well-being (Wales) Act 2014 implemented in April 2016, this gives a legal structure for social services intervention, excepting child protection issues that are dealt with within the Court arena which are still subject to the Children Act 1989 legislation. This is the main difference between English and Welsh child protection and court proceedings provision.</w:t>
      </w:r>
    </w:p>
    <w:p w:rsidR="006A7093" w:rsidRPr="006A7093" w:rsidRDefault="006A7093" w:rsidP="006A7093">
      <w:pPr>
        <w:rPr>
          <w:bCs/>
          <w:sz w:val="24"/>
          <w:szCs w:val="24"/>
        </w:rPr>
      </w:pPr>
      <w:r w:rsidRPr="006A7093">
        <w:rPr>
          <w:bCs/>
          <w:sz w:val="24"/>
          <w:szCs w:val="24"/>
        </w:rPr>
        <w:t xml:space="preserve">There is an international, European Union, United Kingdom and the Welsh context to social care which take differing approaches to service provision. Great Britain is a unified state with a principal government, which mainly regulates government policy.  Within Scotland, Northern Ireland and Wales the framework of government services varies slightly, but they all have their own appointed Secretary of State, assembly and executive.  This makes the laws within each country separate and unique. (Spicker, 2017)  Social Services in Wales is regulated by the Social Services and Wellbeing (Wales) Act 2014 and this legislation applies to both adults and children, but with a new duty for children to obtain an explicit statutory assessment and also specific eligibility standards. </w:t>
      </w:r>
    </w:p>
    <w:p w:rsidR="006A7093" w:rsidRPr="006A7093" w:rsidRDefault="006A7093" w:rsidP="006A7093">
      <w:pPr>
        <w:rPr>
          <w:bCs/>
          <w:sz w:val="24"/>
          <w:szCs w:val="24"/>
        </w:rPr>
      </w:pPr>
      <w:r w:rsidRPr="006A7093">
        <w:rPr>
          <w:bCs/>
          <w:sz w:val="24"/>
          <w:szCs w:val="24"/>
        </w:rPr>
        <w:t>In Sweden, Social Services (education, health and older people’s care) is almost fully financed by taxes. There is Swedish Social Insurance Agency which is a national system of compulsory payments. Sweden’s social care policies are stated to be enlightened, based on values of access for all and commonality (Bradby and Hamad, 2017).  In comparison, China’s social care funding and provision are highlighted to be “…limited and defensive in both ambition and practice” (Spiker, 2017). This is attributed to taking a piece meal approach with competing systems undermined by “…mismanagement, corruption or simply being ignored” (Spiker, 2017).  This is further complicated by a lack of access in outlying areas.</w:t>
      </w:r>
    </w:p>
    <w:p w:rsidR="006A7093" w:rsidRPr="006A7093" w:rsidRDefault="006A7093" w:rsidP="006A7093">
      <w:pPr>
        <w:rPr>
          <w:bCs/>
          <w:sz w:val="24"/>
          <w:szCs w:val="24"/>
        </w:rPr>
      </w:pPr>
      <w:r w:rsidRPr="006A7093">
        <w:rPr>
          <w:bCs/>
          <w:sz w:val="24"/>
          <w:szCs w:val="24"/>
        </w:rPr>
        <w:t xml:space="preserve">I completed a Simple Assessment under Part 3, Section 21 of the Social Services and Well-being (Wales) Act 2014 (SSWB 2014), giving me a “duty” to evaluate the children’s needs for “care and support” identifying the child’s developmental needs, ascertain the child’s desired outcomes and identify outcomes that those with parental responsibility felt were appropriate for the child’s well-being (Welsh Government, 2014).  Being aware that the delivery of “…care and support, preventative services, or information, advice or assistance…”can support positive outcomes (Welsh Government, 2014). </w:t>
      </w:r>
    </w:p>
    <w:p w:rsidR="006A7093" w:rsidRPr="006A7093" w:rsidRDefault="006A7093" w:rsidP="006A7093">
      <w:pPr>
        <w:rPr>
          <w:bCs/>
          <w:sz w:val="24"/>
          <w:szCs w:val="24"/>
        </w:rPr>
      </w:pPr>
      <w:r w:rsidRPr="006A7093">
        <w:rPr>
          <w:bCs/>
          <w:sz w:val="24"/>
          <w:szCs w:val="24"/>
        </w:rPr>
        <w:t>Critical reflection of the Act is limited due to its recent implementation and lack of knowledge of how social workers feel their practice has been affected under the new Act. There is a lack of autonomous research “…concerning the experiences of people in need and carers of assessment and service provision under the new Act” (Clements, 2015).</w:t>
      </w:r>
    </w:p>
    <w:p w:rsidR="006A7093" w:rsidRPr="006A7093" w:rsidRDefault="006A7093" w:rsidP="006A7093">
      <w:pPr>
        <w:rPr>
          <w:bCs/>
          <w:sz w:val="24"/>
          <w:szCs w:val="24"/>
        </w:rPr>
      </w:pPr>
      <w:r w:rsidRPr="006A7093">
        <w:rPr>
          <w:bCs/>
          <w:sz w:val="24"/>
          <w:szCs w:val="24"/>
        </w:rPr>
        <w:t>I arranged a professionals’ meeting, which highlighted that the children had extensive needs and their parent’s lacked capacity to meet their needs due to minimising issue’s, prioritising their own needs and not engaging with professionals.</w:t>
      </w:r>
    </w:p>
    <w:p w:rsidR="006A7093" w:rsidRPr="006A7093" w:rsidRDefault="006A7093" w:rsidP="006A7093">
      <w:pPr>
        <w:rPr>
          <w:bCs/>
          <w:sz w:val="24"/>
          <w:szCs w:val="24"/>
        </w:rPr>
      </w:pPr>
      <w:r w:rsidRPr="006A7093">
        <w:rPr>
          <w:bCs/>
          <w:sz w:val="24"/>
          <w:szCs w:val="24"/>
        </w:rPr>
        <w:t>Prior to visiting, I worked in line with the Code of Conduct and Safe Working Practices in relation to lone working arrangements, agile working, ensuring my calendar is updated and my manager informed of my planned visits. I was aware that Koprowska advocated meeting with clients in their own domain as this promotes feelings of comfort (Koprowska, 2006).  I employed a multi-agency approach to meeting the family, without success. Differing ways of contacting the family were used, but an unannounced visit coinciding with school ending was successful. I completed one visit successfully.</w:t>
      </w:r>
    </w:p>
    <w:p w:rsidR="006A7093" w:rsidRPr="006A7093" w:rsidRDefault="006A7093" w:rsidP="006A7093">
      <w:pPr>
        <w:rPr>
          <w:bCs/>
          <w:sz w:val="24"/>
          <w:szCs w:val="24"/>
        </w:rPr>
      </w:pPr>
      <w:r w:rsidRPr="006A7093">
        <w:rPr>
          <w:bCs/>
          <w:sz w:val="24"/>
          <w:szCs w:val="24"/>
        </w:rPr>
        <w:t>The family consisted of Mum and Dad and four children, between the ages of fifteen to eight years of age. They were of white English ancestry, but had been born and brought up in the local community, speaking English as their first language. The family lived in a three bedroom, overcrowded home which was poorly maintained and unsanitary.  Dad misused alcohol and there were links to domestic abuse and sexualised behaviours when he was inebriated. The children were witness to these behaviours and intervened to safeguard their Mum. Mum was depressed and had compromising health issues which impacted on her ability to meet the basic care needs of her children.  Dad worked long hours and left the caring role to Mum.  Mum and eldest female child presented with depression, eating disorder type behaviours and Obsessive Compulsive behaviours.  The eldest female child was intensively supported by local Child Adolescent Mental Health Services and had been an inpatient at the local hospital for periods due to self-harming behaviours, Obsessive Compulsive Disorder and anorexia nervosa. During the intervention both of the older children were diagnosed with Autistic Spectrum Disorder and sensory issues.</w:t>
      </w:r>
    </w:p>
    <w:p w:rsidR="006A7093" w:rsidRPr="006A7093" w:rsidRDefault="006A7093" w:rsidP="006A7093">
      <w:pPr>
        <w:rPr>
          <w:bCs/>
          <w:sz w:val="24"/>
          <w:szCs w:val="24"/>
        </w:rPr>
      </w:pPr>
      <w:r w:rsidRPr="006A7093">
        <w:rPr>
          <w:bCs/>
          <w:sz w:val="24"/>
          <w:szCs w:val="24"/>
        </w:rPr>
        <w:t>The Local Authority had received multiple referrals from Health and Education professionals raising concerns of neglect due to a lack of taking the children to essential health, mental health and educational appointments, lack of attendance at school and poor home conditions. Professionals highlighted the long term nature of these concerns, although Mum and Dad denied these behaviours took place.  The eldest female child spoke regularly to her Community Psychiatric Nurse (CPN) about the domestically abusive situation linked to Dad’s drinking. The referrals were mainly from the CPN with no referrals received from Police involvement. Mum and Dad were no longer in a relationship but had to live in the same accommodation which caused ongoing arguments.  The family remained private, isolated within their community and little was known about their family functioning.</w:t>
      </w:r>
    </w:p>
    <w:p w:rsidR="006A7093" w:rsidRPr="006A7093" w:rsidRDefault="006A7093" w:rsidP="006A7093">
      <w:pPr>
        <w:rPr>
          <w:bCs/>
          <w:sz w:val="24"/>
          <w:szCs w:val="24"/>
        </w:rPr>
      </w:pPr>
      <w:r w:rsidRPr="006A7093">
        <w:rPr>
          <w:bCs/>
          <w:sz w:val="24"/>
          <w:szCs w:val="24"/>
        </w:rPr>
        <w:t xml:space="preserve">The safeguarding concerns initially identified for the children were based on the long term effects of neglect (physical, emotional, educational and medical), misuse of alcohol, mental health issues, isolation, lack of familial or community support and domestic abuse. I accessed the Local Authority Policy and Guidelines Safeguarding Children and Adults document which clarified neglect as “…the persistent failure to meet a child’s basic and/or psychological needs, likely to result in the serious impairment of the child’s health or development…a parent…failing to provide adequate food, shelter and clothing, failing to protect a child from physical harm or danger, or the failure to ensure access to appropriate medical care or treatment.  It may also include neglect of, or unresponsiveness to, a child’s basic emotional needs” (__County Council, 2013). </w:t>
      </w:r>
    </w:p>
    <w:p w:rsidR="006A7093" w:rsidRPr="006A7093" w:rsidRDefault="006A7093" w:rsidP="006A7093">
      <w:pPr>
        <w:jc w:val="both"/>
        <w:rPr>
          <w:rFonts w:cs="Arial"/>
          <w:bCs/>
          <w:color w:val="000000"/>
          <w:sz w:val="24"/>
          <w:szCs w:val="24"/>
          <w:lang w:val="en-US"/>
        </w:rPr>
      </w:pPr>
      <w:r w:rsidRPr="006A7093">
        <w:rPr>
          <w:rFonts w:cs="Arial"/>
          <w:bCs/>
          <w:color w:val="000000"/>
          <w:sz w:val="24"/>
          <w:szCs w:val="24"/>
          <w:lang w:val="en-US"/>
        </w:rPr>
        <w:t>Research states that neglect is the most reported form of child abuse within the UK and is the most likely explanation for a child’s name being put on the child protection register (NSPCC, 2015). Research highlights that early intervention is key to tackling neglect issues stating that by: adopting evidenced-based services, increasing local recognition and awareness of children’s healthy growth, identifying neglect and obtaining advice, professionals can identify and give support and encourage good committed relationships between children and those working with them (NSPCC, 2015).</w:t>
      </w:r>
    </w:p>
    <w:p w:rsidR="006A7093" w:rsidRPr="006A7093" w:rsidRDefault="006A7093" w:rsidP="006A7093">
      <w:pPr>
        <w:rPr>
          <w:bCs/>
          <w:sz w:val="24"/>
          <w:szCs w:val="24"/>
        </w:rPr>
      </w:pPr>
      <w:r w:rsidRPr="006A7093">
        <w:rPr>
          <w:bCs/>
          <w:sz w:val="24"/>
          <w:szCs w:val="24"/>
        </w:rPr>
        <w:t>My social work practice was reflective of the principles within the SSWB Act 2014 by trying to work with the family to hear their voice, give them control and choice, promote personal individuality and work in partnership. However, engagement with the family was not person-centred as I was unable to focus on their individuality, place them at the centre of the assessment, communicate meaningfully and participate with the children (Welsh Government, 2015).  I was unable to gain the family’s wishes and feelings. I tried to work in an empathetic manner to encourage the family to give thought to their own contextual setting and barriers to their well-being to achieve outcome focused goals, but the family appeared resistant (Welsh Government, 2015).  Parton and O’Bryne (2000) highlight that by changing the approach made to the family from ‘professional as expert’ to ‘service-user as expert’, in relation to the family’s experiences, can result in the expert ‘not knowing’ and helps to highlight values of respect and empathy which support engagement (Holland, 2010).</w:t>
      </w:r>
    </w:p>
    <w:p w:rsidR="006A7093" w:rsidRPr="006A7093" w:rsidRDefault="006A7093" w:rsidP="006A7093">
      <w:pPr>
        <w:rPr>
          <w:bCs/>
          <w:sz w:val="24"/>
          <w:szCs w:val="24"/>
        </w:rPr>
      </w:pPr>
      <w:r w:rsidRPr="006A7093">
        <w:rPr>
          <w:bCs/>
          <w:sz w:val="24"/>
          <w:szCs w:val="24"/>
        </w:rPr>
        <w:t>I did not view our relationship as enabling the family to make the changes needed and I did not have knowledge of the family’s strengths within their own unique context. I worked in partnership with colleagues using their information to inform the assessment but was unable to record individual perspectives to identify outcomes. I reflected about feeling troubled that I could not understand Mum’s barrier to engaging with me.  I realised that I could not understand her despondency and disinterest in the social work process and through discussion with a domestic abuse professional started to gain some insight into Mum’s lived experience of oppression and her reclusive lifestyle as a possible protective factor. Taylor and White (2000) highlight that by the worker reflecting on the assessment, this starts a process of being judgementally aware of the influence of your thoughts and beliefs on the assessment, thus impacting on Mum’s reaction to my intervention (Holland, 2010).  I was able to reflect on the affect the Social Service’s values and controlling guidelines, procedures and theories could have on the family.  I was shocked that Mum had so little resilience that she would not take the children and leave her home to keep them safe.  However, this was my understanding of the situation as an independent professional woman with no experience of living within a domestically abusive relationship.  This was a steep learning curve for me as it raised ethical issues in how to approach and engage Mum whilst trying to work with her so that she comprehended that her parental capacity was compromised in not meeting the identified needs of her children. I utilised Bronfenbrenner’s ecological systems theory to help me understand the multi-layered systems associated with and effecting each other such as personal, school, work, society, the setting and “sociocultural context” with a further level being the impact of time on circumstances (Lishman, 2017).  Bronfenbrenner did not include resilience as a factor and how children can surmount hardship to develop into more robust individuals. (UK Essays, 2015).</w:t>
      </w:r>
    </w:p>
    <w:p w:rsidR="006A7093" w:rsidRPr="006A7093" w:rsidRDefault="006A7093" w:rsidP="006A7093">
      <w:pPr>
        <w:rPr>
          <w:bCs/>
          <w:sz w:val="24"/>
          <w:szCs w:val="24"/>
        </w:rPr>
      </w:pPr>
      <w:r w:rsidRPr="006A7093">
        <w:rPr>
          <w:bCs/>
          <w:sz w:val="24"/>
          <w:szCs w:val="24"/>
        </w:rPr>
        <w:t>My work upheld the principles pertaining to conduct, practice and excellent communication skills and I was accountable for my actions (Social Care Wales, 2017). However, I was aware that the assessment was flawed as I had written it from my perspective with information from other professional’s perspectives.  I was very aware that this did not represent the children’s personal life and that from a children’s rights perspective their participation was essential. I also gave consideration to Franklin (1995) who stated that children have been denied access to participation in important matters for so long, so initially they will need to have help and advice from adults in this matter (Burke &amp; Dalrymple, 2006).  Flekkoy and Kaufman (1997) highlighted that adults are responsible for ensuring that children can exercise their rights by providing information to support children to “make choices, give consent and learn to develop skills necessary to move from sharing decision-making to taking it over” (Burke &amp; Dalrymple, 2006).  Both these perspectives highlight the real inequalities within the assessment process even though I had made attempts to record the children’s experiences. It was of concern that none of the children would speak with me.</w:t>
      </w:r>
    </w:p>
    <w:p w:rsidR="006A7093" w:rsidRPr="006A7093" w:rsidRDefault="006A7093" w:rsidP="006A7093">
      <w:pPr>
        <w:rPr>
          <w:bCs/>
          <w:sz w:val="24"/>
          <w:szCs w:val="24"/>
        </w:rPr>
      </w:pPr>
      <w:r w:rsidRPr="006A7093">
        <w:rPr>
          <w:bCs/>
          <w:sz w:val="24"/>
          <w:szCs w:val="24"/>
        </w:rPr>
        <w:t>I felt stressed due to my work being out of time scales, the impact on my high case load, having to manage multiple visits and professional concerns about the level of risk the children were exposed to whilst perceiving the case to be drifting. I reflected that this was not how I wanted to start working with a new family.  I knew they had exercised choice and control in not engaging, but that my practice needed to be empathetic, inclusive and supportive in manner to build a relationship of trust, mutual respect and recognition of their independent wishes. I recognised my professional anxiety about being able to complete a detailed assessment which recorded the perspectives of Mum, Dad and eldest female child were very limited.</w:t>
      </w:r>
    </w:p>
    <w:p w:rsidR="006A7093" w:rsidRPr="006A7093" w:rsidRDefault="006A7093" w:rsidP="006A7093">
      <w:pPr>
        <w:rPr>
          <w:bCs/>
          <w:sz w:val="24"/>
          <w:szCs w:val="24"/>
        </w:rPr>
      </w:pPr>
      <w:r w:rsidRPr="006A7093">
        <w:rPr>
          <w:bCs/>
          <w:sz w:val="24"/>
          <w:szCs w:val="24"/>
        </w:rPr>
        <w:t>My social work practice needed to be evidence based and reflective in approach.  I lacked a good working knowledge and understanding of this family and relied on the multi-agency approach to inform my assessment. This posed problems in my forming “…sound professional judgements and decision making…abilities” (Social Care Wales, 2017). I was able to identify and operate “…within the limits of my competence, consulting and taking advice from managers and colleagues” when necessary, using supervision to identify problems, being very frank and honest should I have made a mistake, reflecting and learning from any perceived errors. (Social Care Wales, 2017)</w:t>
      </w:r>
    </w:p>
    <w:p w:rsidR="006A7093" w:rsidRPr="006A7093" w:rsidRDefault="006A7093" w:rsidP="006A7093">
      <w:pPr>
        <w:rPr>
          <w:bCs/>
          <w:sz w:val="24"/>
          <w:szCs w:val="24"/>
        </w:rPr>
      </w:pPr>
      <w:r w:rsidRPr="006A7093">
        <w:rPr>
          <w:bCs/>
          <w:sz w:val="24"/>
          <w:szCs w:val="24"/>
        </w:rPr>
        <w:t>I reflected that I was not able to hear the voice of the children within the assessment which Munro (2011) states is essential.  She links this to the United Nations Convention on the Rights of the Child in 1991 and a children’s right to be heard and acquire information.  Munro links the Children Act 1989 and Article 10 of the Human Rights Act 1998 by emphasising that Local Authorities need to acquire the views of children and consider this when allocating support services (Munro, 2011).</w:t>
      </w:r>
    </w:p>
    <w:p w:rsidR="006A7093" w:rsidRPr="006A7093" w:rsidRDefault="006A7093" w:rsidP="006A7093">
      <w:pPr>
        <w:rPr>
          <w:bCs/>
          <w:sz w:val="24"/>
          <w:szCs w:val="24"/>
        </w:rPr>
      </w:pPr>
      <w:r w:rsidRPr="006A7093">
        <w:rPr>
          <w:bCs/>
          <w:sz w:val="24"/>
          <w:szCs w:val="24"/>
        </w:rPr>
        <w:t xml:space="preserve">Both England and Wales place partnership working at the centre of their services, but Wales has strengthened powers of collaboration so that the local authority and the National Health Service authorities form partnerships (Mitchell, 2013).  Wales implemented the principles for the United Nations Convention on the Rights of the Child into legislation and policy documents highlighting the Children’s/Older Peoples’/Welsh Language Commissioner for Wales as promoting a rights based agenda (Cardiff University, 2016). </w:t>
      </w:r>
    </w:p>
    <w:p w:rsidR="006A7093" w:rsidRPr="006A7093" w:rsidRDefault="006A7093" w:rsidP="006A7093">
      <w:pPr>
        <w:rPr>
          <w:bCs/>
          <w:sz w:val="24"/>
          <w:szCs w:val="24"/>
        </w:rPr>
      </w:pPr>
      <w:r w:rsidRPr="006A7093">
        <w:rPr>
          <w:bCs/>
          <w:sz w:val="24"/>
          <w:szCs w:val="24"/>
        </w:rPr>
        <w:t xml:space="preserve">In supervision, I reflected that my assessment of the eldest female child could be perceived as labelling or stereotypical due to my lack of insight. Due to her non-engagement, she was not empowered and I was not empowering her in listening to her personal voice.  My social work role could be perceived as powerful due to my “…access to and knowledge of resources…knowledge of theories may lead workers to interpret behaviour and label individuals” (Social Care Wales, 2017). I sought her approval to obtain her viewpoint through collaborative working, involving the citizen, their carer and support networks in the process.  I felt that in her non-engagement, she would not be able to develop her own potential and aptitudes moving forward. This was working directly against my social work values of ethical practice and being accountable for my actions as I was working in conflict with the assessment framework. I reflected that due to the difficulties in obtaining valid information, this approach was the most person centred approach available which took account of her needs, wishes and was outcome focused. I recognised that this approach highlighted my professional integrity in upholding values of being reliable in ensuring the assessment was completed in a creative but inclusive approach. The plan failed due to Mum and daughter’s non-engagement, so I could only use information gathered from Health professionals. </w:t>
      </w:r>
    </w:p>
    <w:p w:rsidR="006A7093" w:rsidRPr="006A7093" w:rsidRDefault="006A7093" w:rsidP="006A7093">
      <w:pPr>
        <w:rPr>
          <w:bCs/>
          <w:sz w:val="24"/>
          <w:szCs w:val="24"/>
        </w:rPr>
      </w:pPr>
      <w:r w:rsidRPr="006A7093">
        <w:rPr>
          <w:bCs/>
          <w:sz w:val="24"/>
          <w:szCs w:val="24"/>
        </w:rPr>
        <w:t>I recognised that Social Work practice is regulated in Wales through: registration with Social Care Wales which upholds a Code of Practice, by adhering to the National Occupational Standards (Nos), Care and Social Services Inspectorate (Care and Social Services Inspectorate, 2017) and Continued professional development ensures that my knowledge and skills base are expanded and improved on.</w:t>
      </w:r>
    </w:p>
    <w:p w:rsidR="006A7093" w:rsidRPr="006A7093" w:rsidRDefault="006A7093" w:rsidP="006A7093">
      <w:pPr>
        <w:rPr>
          <w:bCs/>
          <w:sz w:val="24"/>
          <w:szCs w:val="24"/>
        </w:rPr>
      </w:pPr>
      <w:r w:rsidRPr="006A7093">
        <w:rPr>
          <w:bCs/>
          <w:sz w:val="24"/>
          <w:szCs w:val="24"/>
        </w:rPr>
        <w:t>The assessment identified a complex mix of heightened unmet needs, disguised compliance, lack of engagement with services and following through on agreed outcomes.  Parents demonstrated no motivation to change and these issues impacted on their ability to provide safe care for their children. Support was offered to meet well-being needs identified within the Care and Support Plan meeting, promoting the children’s educational and health outcomes and home conditions.</w:t>
      </w:r>
    </w:p>
    <w:p w:rsidR="006A7093" w:rsidRPr="006A7093" w:rsidRDefault="006A7093" w:rsidP="006A7093">
      <w:pPr>
        <w:rPr>
          <w:bCs/>
          <w:sz w:val="24"/>
          <w:szCs w:val="24"/>
        </w:rPr>
      </w:pPr>
      <w:r w:rsidRPr="006A7093">
        <w:rPr>
          <w:bCs/>
          <w:sz w:val="24"/>
          <w:szCs w:val="24"/>
        </w:rPr>
        <w:t>Within supervision, I identified neglect as the main issue, highlighting supporting research and critically reflecting that due to the complexity of the family dynamics and the unknown grey area’s this posed significant safeguarding risks for the children. This triggered a Strategy discussion between the local authority and the Police due to the assessment highlighting that all the children have or are likely to suffer significant harm in respect of emotional harm and neglect.  The Strategy discussion clarified that a Section 47 Enquiry (Children Act 1989, Section 47) would be instigated and completed within 15 days of the strategy discussion being held. This places a duty to investigate on the Local Authority in respect of whether they should be seen to protect or uphold the safety of the child.  Under the Children Act 1989, section 47, when the harm is “…persistent, cumulative, chronic or acute, resistant to intervention…” it is considered significant (Staffordshire and Stoke-on-Trent Safeguarding Children’s Boards, 2016).</w:t>
      </w:r>
    </w:p>
    <w:p w:rsidR="006A7093" w:rsidRPr="006A7093" w:rsidRDefault="006A7093" w:rsidP="006A7093">
      <w:pPr>
        <w:rPr>
          <w:bCs/>
          <w:sz w:val="24"/>
          <w:szCs w:val="24"/>
        </w:rPr>
      </w:pPr>
      <w:r w:rsidRPr="006A7093">
        <w:rPr>
          <w:bCs/>
          <w:sz w:val="24"/>
          <w:szCs w:val="24"/>
        </w:rPr>
        <w:t>The All Wales Child Protection Procedures (2008) refer to the definition of significant harm in “Section 31 (10) of the Children Act 1989 stating that ‘where the question of whether harm suffered by a child is significant turn on the child’s health or development, his health or development shall be compared with that which could be reasonably be expected of a similar child” (All Local Safeguarding Children’s Boards in Wales, 2009). Critical reflection highlights that not all children are comparable and are individuals, therefore comparison is not easy to establish and could be challenged within the Court process.</w:t>
      </w:r>
    </w:p>
    <w:p w:rsidR="006A7093" w:rsidRPr="006A7093" w:rsidRDefault="006A7093" w:rsidP="006A7093">
      <w:pPr>
        <w:rPr>
          <w:bCs/>
          <w:sz w:val="24"/>
          <w:szCs w:val="24"/>
        </w:rPr>
      </w:pPr>
      <w:r w:rsidRPr="006A7093">
        <w:rPr>
          <w:bCs/>
          <w:sz w:val="24"/>
          <w:szCs w:val="24"/>
        </w:rPr>
        <w:t>There is also a single safeguarding board with a national safeguarding board to supervise all six Welsh safeguarding boards.  The local authority’s safeguarding Children’s board is a “…statutory body which co-ordinates, monitors and challenges its partner agencies in safeguarding children” (Safeguarding Board, 2017).</w:t>
      </w:r>
    </w:p>
    <w:p w:rsidR="006A7093" w:rsidRPr="006A7093" w:rsidRDefault="006A7093" w:rsidP="006A7093">
      <w:pPr>
        <w:rPr>
          <w:bCs/>
          <w:sz w:val="24"/>
          <w:szCs w:val="24"/>
        </w:rPr>
      </w:pPr>
      <w:r w:rsidRPr="006A7093">
        <w:rPr>
          <w:bCs/>
          <w:sz w:val="24"/>
          <w:szCs w:val="24"/>
        </w:rPr>
        <w:t>The family reported tensions between the social worker’s role in working to support them and when the S47 investigation took place due to child protection concerns. This highlighted the twin responsibilities of my role and the family felt that my role was conflicted (Child Protection Resource). This matter was discussed openly with Mum and Dad, highlighting that in completing child protection tasks, workers have powers and duties set out within the Children Act 1989 which state that they must inspect possible child abuse or neglect issues.  Mum and Dad reported that I would share confidential information without their permission due to my investigative role. Mum and Dad had not wanted to sign the consent forms previously when I was completing the Simple Assessment, but had agreed to the informed consent (Child Protection Resource). Mum and Dad stated that I was not respecting their rights not to give consent and I was not acting to uphold their rights appropriately and this had made them feel distrustful of me.  I informed them that the Data Protection Act 1998 offers limited situations where it is allowed to disclose personal data when this will “…enable someone to do what they are required to do by Statute, then section 47 is a clear example of a statutory gateway to data sharing (Child Protection Resource). I would have had reserved functions designated to me as the social worker should the elder female child have been in a potentially dangerous situation which had time limitations.  Social Workers have the training and expertise to investigate (making enquiries regarding the welfare of a child where abuse/neglect is inferred) (Community Care, 2011).</w:t>
      </w:r>
    </w:p>
    <w:p w:rsidR="006A7093" w:rsidRPr="006A7093" w:rsidRDefault="006A7093" w:rsidP="006A7093">
      <w:pPr>
        <w:rPr>
          <w:bCs/>
          <w:sz w:val="24"/>
          <w:szCs w:val="24"/>
        </w:rPr>
      </w:pPr>
      <w:r w:rsidRPr="006A7093">
        <w:rPr>
          <w:bCs/>
          <w:sz w:val="24"/>
          <w:szCs w:val="24"/>
        </w:rPr>
        <w:t xml:space="preserve">Further </w:t>
      </w:r>
      <w:r w:rsidRPr="006A7093">
        <w:rPr>
          <w:b/>
          <w:bCs/>
          <w:sz w:val="24"/>
          <w:szCs w:val="24"/>
        </w:rPr>
        <w:t xml:space="preserve">safeguarding concerns were identified which heightened the concerns of the Local Authority into </w:t>
      </w:r>
      <w:r w:rsidRPr="006A7093">
        <w:rPr>
          <w:bCs/>
          <w:sz w:val="24"/>
          <w:szCs w:val="24"/>
        </w:rPr>
        <w:t xml:space="preserve"> requesting an Initial Case Conference which is the arena for professionals and service user’s to talk about their worries, address the risks and complete a child protection plan and make commendations to keep children safe from harm.  Plans should be updated regularly to ensure they are applicable to ensuring the well-being of the child and keeping them safe (Parker &amp; Bradley, 2006).  The assessment was shared with Mum and Dad highlighting the concerns and the strengths.</w:t>
      </w:r>
    </w:p>
    <w:p w:rsidR="006A7093" w:rsidRPr="006A7093" w:rsidRDefault="006A7093" w:rsidP="006A7093">
      <w:pPr>
        <w:rPr>
          <w:bCs/>
          <w:sz w:val="24"/>
          <w:szCs w:val="24"/>
        </w:rPr>
      </w:pPr>
      <w:r w:rsidRPr="006A7093">
        <w:rPr>
          <w:bCs/>
          <w:sz w:val="24"/>
          <w:szCs w:val="24"/>
        </w:rPr>
        <w:t>I used several approaches in trying to communicate with parents.  It was necessary to recognise risks and be truthful about the management process of the case within a case conference (Howard, 2011).  Before the meeting I thought about my communication style and how I could best engage them as this was a complicated situation which needed to be understood accurately.  I recognised that I needed to use verbal communication to discuss, intervene and arbitrate sympathetically, confidently and suitably but also ensuring that my non-verbal communication skills would be needed (Personal Today, 2008).  Individual’s non-verbal communication can expose their inner feelings and this could be as significant as their verbal communication. It can highlight contradictions in how they are presenting and this can be important should individual’s be unable to proficiently discuss issues verbally so this makes observations insightful (Personal Today, 2008).</w:t>
      </w:r>
    </w:p>
    <w:p w:rsidR="006A7093" w:rsidRPr="006A7093" w:rsidRDefault="006A7093" w:rsidP="006A7093">
      <w:pPr>
        <w:rPr>
          <w:bCs/>
          <w:sz w:val="24"/>
          <w:szCs w:val="24"/>
        </w:rPr>
      </w:pPr>
      <w:r w:rsidRPr="006A7093">
        <w:rPr>
          <w:bCs/>
          <w:sz w:val="24"/>
          <w:szCs w:val="24"/>
        </w:rPr>
        <w:t xml:space="preserve">Within the Conference the written document employs the Signs of Safety risk model. This helped me to produce a risk assessment and a child protection plan aimed to improve involvement, collaboration and the commitment of citizens and aided professionals in being more accurate and precise about child safeguarding concerns whilst also increasing the ‘voice of the child’ (Bunn, 2013). </w:t>
      </w:r>
    </w:p>
    <w:p w:rsidR="006A7093" w:rsidRPr="006A7093" w:rsidRDefault="006A7093" w:rsidP="006A7093">
      <w:pPr>
        <w:rPr>
          <w:bCs/>
          <w:sz w:val="24"/>
          <w:szCs w:val="24"/>
        </w:rPr>
      </w:pPr>
      <w:r w:rsidRPr="006A7093">
        <w:rPr>
          <w:bCs/>
          <w:sz w:val="24"/>
          <w:szCs w:val="24"/>
        </w:rPr>
        <w:t>Barry (2007) highlights that when a risk assessment is being completed all contributing agencies should have a shared knowledge of the language used and the risks posed, due to differing administrative contexts which need to agree well-defined actions which inform the decision making.  I was mindful of Eileen Munro (2010) stating that a citizen centred approach will take account of both positive and negative circumstances. I acknowledged that risk is fluid and ever changing so it is hard to manage the dynamics.  All agencies contributed to the risk assessment but the information was predominantly negative or not known contributing to ‘grey area’s within the assessment, so there was a lack of clarity. I reflected that this was despite professionals working in partnership and sharing information regularly. I thought about the continued lack of engagement from both parents with services and professionals. I have made judgements from my professional viewpoint, my understanding and available information, so my decision making is based on analysis of facts and this directly affects our level of involvement. Risk needs to consider the issues of requirements, entitlements and impairments. The balance is in recognising the power of our role in conjunction with not being superior or to defensive (Burke &amp; Dalrymple, 2006).</w:t>
      </w:r>
    </w:p>
    <w:p w:rsidR="006A7093" w:rsidRPr="006A7093" w:rsidRDefault="006A7093" w:rsidP="006A7093">
      <w:pPr>
        <w:rPr>
          <w:bCs/>
          <w:sz w:val="24"/>
          <w:szCs w:val="24"/>
        </w:rPr>
      </w:pPr>
      <w:r w:rsidRPr="006A7093">
        <w:rPr>
          <w:bCs/>
          <w:sz w:val="24"/>
          <w:szCs w:val="24"/>
        </w:rPr>
        <w:t xml:space="preserve">The children’s names were placed on the child protection register under the category of emotional abuse. The category of abuse, neglect, was actively discussed, but emotional abuse was felt to reflect the children’s circumstances more appropriately. A Review Conference was held, establishing that Mum and Dad had not adhered to the Child Protection Plan, the Core Groups or the Contract of Expectations.  Both parents were informed that should further safeguarding issues be raised the local authority would seek legal advice with regard to future planning for the children. </w:t>
      </w:r>
    </w:p>
    <w:p w:rsidR="006A7093" w:rsidRPr="006A7093" w:rsidRDefault="006A7093" w:rsidP="006A7093">
      <w:pPr>
        <w:rPr>
          <w:bCs/>
          <w:sz w:val="24"/>
          <w:szCs w:val="24"/>
        </w:rPr>
      </w:pPr>
      <w:r w:rsidRPr="006A7093">
        <w:rPr>
          <w:bCs/>
          <w:sz w:val="24"/>
          <w:szCs w:val="24"/>
        </w:rPr>
        <w:t>At this time, Dad became the main carer for the children and demonstrated a commitment to meeting their needs, complying with the Contract of Expectations and Child Protection Plan. I completed theoretical work based on Lerwin’s change model with Dad.  This is a three stage model which is easily conceptualised, understood and put into practice. It is known as the “unfreezing – change – refreeze” approach and previous learning is to be disallowed and superseded (Current Nursing, 2011).  Dad stated that he found this approach useful becoming more positive and motivated.</w:t>
      </w:r>
    </w:p>
    <w:p w:rsidR="006A7093" w:rsidRPr="006A7093" w:rsidRDefault="006A7093" w:rsidP="006A7093">
      <w:pPr>
        <w:rPr>
          <w:bCs/>
          <w:sz w:val="24"/>
          <w:szCs w:val="24"/>
        </w:rPr>
      </w:pPr>
      <w:r w:rsidRPr="006A7093">
        <w:rPr>
          <w:bCs/>
          <w:sz w:val="24"/>
          <w:szCs w:val="24"/>
        </w:rPr>
        <w:t>The children were placed at significant risk due to Mum’s aggressive partner staying in the home and he was assessed to pose a serious risk due to his criminal behaviours.  The Police were informed of the intimidating behaviours and appropriate guidelines were followed in completing an incident form.  Inter-agency working was completed to check Interpol Police check’s but this was unsuccessful, raising further grey areas in the risk assessment. There was a discrepancy between the information shared and the recorded information obtained which caused further complexity. I tried to examine the level and inferences of the risks posed, but due to the unknown nature of the risk, it was unquantifiable. I was aware of considering the partner’s rights to confidentiality and his responsibility to provide correct information to inform the risk assessment.  I had made professional judgements based on assessed needs, risk and strengths which informed my planning, but the unknown made this difficult (Social Care Wales, 2017). I was aware that in substantiating my judgements, I might also have to amend my decisions should the Police checks have been received.</w:t>
      </w:r>
    </w:p>
    <w:p w:rsidR="006A7093" w:rsidRPr="006A7093" w:rsidRDefault="006A7093" w:rsidP="006A7093">
      <w:pPr>
        <w:rPr>
          <w:bCs/>
          <w:sz w:val="24"/>
          <w:szCs w:val="24"/>
        </w:rPr>
      </w:pPr>
      <w:r w:rsidRPr="006A7093">
        <w:rPr>
          <w:bCs/>
          <w:sz w:val="24"/>
          <w:szCs w:val="24"/>
        </w:rPr>
        <w:t>Following the local authority’s protocols an initial gateway discussion was held to establish if there was reason to convene a legal gateway meeting.  A legal gateway meeting was held to decide “…whether the criteria are met for the issue of Court proceedings. This will include whether the case will proceed through the pre-proceedings checklists of the Public Law Outline” (Herefordshire County Council, 2015). The local authority made the decision to follow the Public Law Outline (PLO), which in 2008 superseded the 2003 Protocol for Judicial Case Management. The PLO sets out how the Care Proceedings are planned and managed (Gledhill, 2008).</w:t>
      </w:r>
    </w:p>
    <w:p w:rsidR="006A7093" w:rsidRPr="006A7093" w:rsidRDefault="006A7093" w:rsidP="006A7093">
      <w:pPr>
        <w:rPr>
          <w:bCs/>
          <w:sz w:val="24"/>
          <w:szCs w:val="24"/>
        </w:rPr>
      </w:pPr>
      <w:r w:rsidRPr="006A7093">
        <w:rPr>
          <w:bCs/>
          <w:sz w:val="24"/>
          <w:szCs w:val="24"/>
        </w:rPr>
        <w:t xml:space="preserve">The meeting was held in two parts with Mum and Dad attending separately with their legal representatives. Both parents signed an updated Contract of Expectations based on reducing the known risks posed to the children.  Mum and Dad were asked to identify other family or friends who could provide safe care for the children as a back-up plan, but it is recognised that children are best cared for within their own family. Mum and Dad engaged with the child protection plan and Contract of Expectations. </w:t>
      </w:r>
    </w:p>
    <w:p w:rsidR="006A7093" w:rsidRPr="006A7093" w:rsidRDefault="006A7093" w:rsidP="006A7093">
      <w:pPr>
        <w:rPr>
          <w:bCs/>
          <w:sz w:val="24"/>
          <w:szCs w:val="24"/>
        </w:rPr>
      </w:pPr>
      <w:r w:rsidRPr="006A7093">
        <w:rPr>
          <w:bCs/>
          <w:sz w:val="24"/>
          <w:szCs w:val="24"/>
        </w:rPr>
        <w:t xml:space="preserve">The PLO was reviewed and due to the positive steps made by Mum and Dad to work together and engage with professionals within Core Groups and legal meetings the PLO was ceased, and the case was reviewed at Case Conference with the recommendation of de-registration. </w:t>
      </w:r>
    </w:p>
    <w:p w:rsidR="006A7093" w:rsidRPr="006A7093" w:rsidRDefault="006A7093" w:rsidP="006A7093">
      <w:pPr>
        <w:rPr>
          <w:bCs/>
          <w:sz w:val="24"/>
          <w:szCs w:val="24"/>
        </w:rPr>
      </w:pPr>
      <w:r w:rsidRPr="006A7093">
        <w:rPr>
          <w:bCs/>
          <w:sz w:val="24"/>
          <w:szCs w:val="24"/>
        </w:rPr>
        <w:t xml:space="preserve">My safeguarding role can be very problematic due to the: managing the unexpected; complexity; lack of information; lack of clarity; differing professional perspectives and organisational structures; lack of engagement; level of adversity and personal circumstances involved. Reflecting back reminds me of my professional anxieties and insecurity in my role which highlighted my lack of confidence and professionalism.  Through experience gained, building confidence, knowledge, and support from colleagues and professionals and good management I feel more self-assured and positive.  </w:t>
      </w:r>
    </w:p>
    <w:p w:rsidR="006A7093" w:rsidRDefault="006A7093" w:rsidP="006A7093">
      <w:pPr>
        <w:rPr>
          <w:bCs/>
          <w:sz w:val="24"/>
          <w:szCs w:val="24"/>
        </w:rPr>
      </w:pPr>
      <w:r w:rsidRPr="006A7093">
        <w:rPr>
          <w:bCs/>
          <w:sz w:val="24"/>
          <w:szCs w:val="24"/>
        </w:rPr>
        <w:t>Word : 4455</w:t>
      </w:r>
    </w:p>
    <w:p w:rsidR="006A7093" w:rsidRDefault="006A7093" w:rsidP="006A7093">
      <w:pPr>
        <w:rPr>
          <w:bCs/>
          <w:sz w:val="24"/>
          <w:szCs w:val="24"/>
        </w:rPr>
      </w:pPr>
    </w:p>
    <w:p w:rsidR="006A7093" w:rsidRDefault="006A7093" w:rsidP="006A7093">
      <w:pPr>
        <w:rPr>
          <w:bCs/>
          <w:sz w:val="24"/>
          <w:szCs w:val="24"/>
        </w:rPr>
      </w:pPr>
    </w:p>
    <w:p w:rsidR="006A7093" w:rsidRDefault="006A7093" w:rsidP="006A7093">
      <w:pPr>
        <w:rPr>
          <w:bCs/>
          <w:sz w:val="24"/>
          <w:szCs w:val="24"/>
        </w:rPr>
      </w:pPr>
    </w:p>
    <w:p w:rsidR="006A7093" w:rsidRDefault="006A7093" w:rsidP="006A7093">
      <w:pPr>
        <w:rPr>
          <w:bCs/>
          <w:sz w:val="24"/>
          <w:szCs w:val="24"/>
        </w:rPr>
      </w:pPr>
    </w:p>
    <w:p w:rsidR="006A7093" w:rsidRDefault="006A7093" w:rsidP="006A7093">
      <w:pPr>
        <w:rPr>
          <w:bCs/>
          <w:sz w:val="24"/>
          <w:szCs w:val="24"/>
        </w:rPr>
      </w:pPr>
    </w:p>
    <w:p w:rsidR="006A7093" w:rsidRDefault="006A7093" w:rsidP="006A7093">
      <w:pPr>
        <w:rPr>
          <w:bCs/>
          <w:sz w:val="24"/>
          <w:szCs w:val="24"/>
        </w:rPr>
      </w:pPr>
    </w:p>
    <w:p w:rsidR="006A7093" w:rsidRDefault="006A7093" w:rsidP="006A7093">
      <w:pPr>
        <w:rPr>
          <w:bCs/>
          <w:sz w:val="24"/>
          <w:szCs w:val="24"/>
        </w:rPr>
      </w:pPr>
    </w:p>
    <w:p w:rsidR="006A7093" w:rsidRDefault="006A7093" w:rsidP="006A7093">
      <w:pPr>
        <w:rPr>
          <w:bCs/>
          <w:sz w:val="24"/>
          <w:szCs w:val="24"/>
        </w:rPr>
      </w:pPr>
    </w:p>
    <w:p w:rsidR="006A7093" w:rsidRDefault="006A7093" w:rsidP="006A7093">
      <w:pPr>
        <w:rPr>
          <w:bCs/>
          <w:sz w:val="24"/>
          <w:szCs w:val="24"/>
        </w:rPr>
      </w:pPr>
    </w:p>
    <w:p w:rsidR="006A7093" w:rsidRDefault="006A7093" w:rsidP="006A7093">
      <w:pPr>
        <w:rPr>
          <w:bCs/>
          <w:sz w:val="24"/>
          <w:szCs w:val="24"/>
        </w:rPr>
      </w:pPr>
    </w:p>
    <w:p w:rsidR="006A7093" w:rsidRDefault="006A7093" w:rsidP="006A7093">
      <w:pPr>
        <w:rPr>
          <w:bCs/>
          <w:sz w:val="24"/>
          <w:szCs w:val="24"/>
        </w:rPr>
      </w:pPr>
    </w:p>
    <w:p w:rsidR="006A7093" w:rsidRDefault="006A7093" w:rsidP="006A7093">
      <w:pPr>
        <w:rPr>
          <w:bCs/>
          <w:sz w:val="24"/>
          <w:szCs w:val="24"/>
        </w:rPr>
      </w:pPr>
    </w:p>
    <w:p w:rsidR="006A7093" w:rsidRDefault="006A7093" w:rsidP="006A7093">
      <w:pPr>
        <w:rPr>
          <w:bCs/>
          <w:sz w:val="24"/>
          <w:szCs w:val="24"/>
        </w:rPr>
      </w:pPr>
    </w:p>
    <w:p w:rsidR="006A7093" w:rsidRDefault="006A7093" w:rsidP="006A7093">
      <w:pPr>
        <w:rPr>
          <w:bCs/>
          <w:sz w:val="24"/>
          <w:szCs w:val="24"/>
        </w:rPr>
      </w:pPr>
    </w:p>
    <w:p w:rsidR="006A7093" w:rsidRPr="008D1242" w:rsidRDefault="006A7093" w:rsidP="006A7093">
      <w:pPr>
        <w:rPr>
          <w:b/>
          <w:bCs/>
          <w:sz w:val="24"/>
          <w:szCs w:val="24"/>
        </w:rPr>
      </w:pPr>
      <w:r w:rsidRPr="008D1242">
        <w:rPr>
          <w:b/>
          <w:bCs/>
          <w:sz w:val="24"/>
          <w:szCs w:val="24"/>
        </w:rPr>
        <w:t>Bibliography</w:t>
      </w:r>
    </w:p>
    <w:p w:rsidR="006A7093" w:rsidRPr="00C5345F" w:rsidRDefault="006A7093" w:rsidP="006A7093">
      <w:pPr>
        <w:keepNext/>
        <w:spacing w:before="240" w:after="60"/>
        <w:jc w:val="both"/>
        <w:rPr>
          <w:sz w:val="24"/>
          <w:szCs w:val="24"/>
        </w:rPr>
      </w:pPr>
      <w:r w:rsidRPr="00C5345F">
        <w:rPr>
          <w:sz w:val="24"/>
          <w:szCs w:val="24"/>
        </w:rPr>
        <w:t xml:space="preserve">Information about referencing in written assignments and how to avoid plagiarism can be found on Moodle. It is important that you are aware of the importance of ensuring that the work submitted is your original work.      </w:t>
      </w:r>
    </w:p>
    <w:p w:rsidR="006A7093" w:rsidRPr="00C5345F" w:rsidRDefault="006A7093" w:rsidP="006A7093">
      <w:pPr>
        <w:spacing w:before="100" w:after="100"/>
        <w:rPr>
          <w:sz w:val="24"/>
          <w:szCs w:val="24"/>
        </w:rPr>
      </w:pPr>
    </w:p>
    <w:p w:rsidR="006A7093" w:rsidRPr="00C5345F" w:rsidRDefault="006A7093" w:rsidP="006A7093">
      <w:pPr>
        <w:spacing w:before="100" w:after="100"/>
        <w:rPr>
          <w:sz w:val="24"/>
          <w:szCs w:val="24"/>
        </w:rPr>
      </w:pPr>
      <w:r w:rsidRPr="00C5345F">
        <w:rPr>
          <w:sz w:val="24"/>
          <w:szCs w:val="24"/>
        </w:rPr>
        <w:t>All Local Safeguarding Children Boards in Wales. (2009). </w:t>
      </w:r>
      <w:r w:rsidRPr="00C5345F">
        <w:rPr>
          <w:i/>
          <w:iCs/>
          <w:sz w:val="24"/>
          <w:szCs w:val="24"/>
        </w:rPr>
        <w:t>All Wales Child Protection Procedures 2008. </w:t>
      </w:r>
      <w:r w:rsidRPr="00C5345F">
        <w:rPr>
          <w:sz w:val="24"/>
          <w:szCs w:val="24"/>
        </w:rPr>
        <w:t xml:space="preserve">Available: </w:t>
      </w:r>
      <w:hyperlink r:id="rId6" w:history="1">
        <w:r w:rsidRPr="00C5345F">
          <w:rPr>
            <w:rStyle w:val="Hyperlink"/>
            <w:sz w:val="24"/>
            <w:szCs w:val="24"/>
          </w:rPr>
          <w:t>file:///C:/Users/Chris/Downloads/All-Wales-Child-Protection-Procedures-2008.pdf</w:t>
        </w:r>
      </w:hyperlink>
      <w:r w:rsidRPr="00C5345F">
        <w:rPr>
          <w:sz w:val="24"/>
          <w:szCs w:val="24"/>
        </w:rPr>
        <w:t>. Last accessed 4th September 2017.</w:t>
      </w:r>
    </w:p>
    <w:p w:rsidR="006A7093" w:rsidRDefault="006A7093" w:rsidP="006A7093">
      <w:pPr>
        <w:spacing w:before="100" w:after="100"/>
        <w:rPr>
          <w:rFonts w:cs="Calibri"/>
          <w:sz w:val="24"/>
          <w:szCs w:val="24"/>
        </w:rPr>
      </w:pPr>
    </w:p>
    <w:p w:rsidR="006A7093" w:rsidRPr="00C5345F" w:rsidRDefault="006A7093" w:rsidP="006A7093">
      <w:pPr>
        <w:spacing w:before="100" w:after="100"/>
        <w:rPr>
          <w:sz w:val="24"/>
          <w:szCs w:val="24"/>
        </w:rPr>
      </w:pPr>
      <w:r w:rsidRPr="00C5345F">
        <w:rPr>
          <w:rFonts w:cs="Calibri"/>
          <w:sz w:val="24"/>
          <w:szCs w:val="24"/>
        </w:rPr>
        <w:t>All Local Safeguarding Children Boards in Wales</w:t>
      </w:r>
      <w:r w:rsidRPr="00C5345F">
        <w:rPr>
          <w:rFonts w:eastAsia="Times New Roman" w:cs="Calibri"/>
          <w:sz w:val="24"/>
          <w:szCs w:val="24"/>
          <w:lang w:eastAsia="en-GB"/>
        </w:rPr>
        <w:t>. (2008). </w:t>
      </w:r>
      <w:r w:rsidRPr="00C5345F">
        <w:rPr>
          <w:rFonts w:eastAsia="Times New Roman" w:cs="Calibri"/>
          <w:i/>
          <w:iCs/>
          <w:sz w:val="24"/>
          <w:szCs w:val="24"/>
          <w:lang w:eastAsia="en-GB"/>
        </w:rPr>
        <w:t>/All-Wales-Child-Protection-Procedures.</w:t>
      </w:r>
      <w:r w:rsidRPr="00C5345F">
        <w:rPr>
          <w:rFonts w:eastAsia="Times New Roman" w:cs="Calibri"/>
          <w:sz w:val="24"/>
          <w:szCs w:val="24"/>
          <w:lang w:eastAsia="en-GB"/>
        </w:rPr>
        <w:t>Available: file:///C:/Users/Chris/Downloads/All-Wales-Child-Protection-Procedures-2008%20(2).pdf. Last accessed 11th March 2018.</w:t>
      </w:r>
    </w:p>
    <w:p w:rsidR="006A7093" w:rsidRPr="00C5345F" w:rsidRDefault="006A7093" w:rsidP="006A7093">
      <w:pPr>
        <w:spacing w:before="100" w:after="100"/>
        <w:rPr>
          <w:rFonts w:cs="Arial"/>
          <w:sz w:val="24"/>
          <w:szCs w:val="24"/>
        </w:rPr>
      </w:pPr>
    </w:p>
    <w:p w:rsidR="006A7093" w:rsidRPr="00C5345F" w:rsidRDefault="006A7093" w:rsidP="006A7093">
      <w:pPr>
        <w:spacing w:before="100" w:after="100"/>
        <w:rPr>
          <w:rFonts w:cs="Times New Roman"/>
          <w:sz w:val="24"/>
          <w:szCs w:val="24"/>
        </w:rPr>
      </w:pPr>
      <w:r w:rsidRPr="00C5345F">
        <w:rPr>
          <w:sz w:val="24"/>
          <w:szCs w:val="24"/>
        </w:rPr>
        <w:t xml:space="preserve">Barry, M. (2007) Effective Approaches to Risk Assessment in Social Work: An International Literature Review. Edinburgh: Scottish Executive. </w:t>
      </w:r>
    </w:p>
    <w:p w:rsidR="006A7093" w:rsidRDefault="006A7093" w:rsidP="006A7093">
      <w:pPr>
        <w:spacing w:before="100" w:after="100"/>
        <w:rPr>
          <w:color w:val="000000"/>
          <w:sz w:val="24"/>
          <w:szCs w:val="24"/>
        </w:rPr>
      </w:pPr>
    </w:p>
    <w:p w:rsidR="006A7093" w:rsidRPr="00C5345F" w:rsidRDefault="006A7093" w:rsidP="006A7093">
      <w:pPr>
        <w:spacing w:before="100" w:after="100"/>
        <w:rPr>
          <w:sz w:val="24"/>
          <w:szCs w:val="24"/>
        </w:rPr>
      </w:pPr>
      <w:r w:rsidRPr="00C5345F">
        <w:rPr>
          <w:color w:val="000000"/>
          <w:sz w:val="24"/>
          <w:szCs w:val="24"/>
        </w:rPr>
        <w:t>Bradby, H &amp; Hamad, S. (2017). </w:t>
      </w:r>
      <w:r w:rsidRPr="00C5345F">
        <w:rPr>
          <w:i/>
          <w:iCs/>
          <w:color w:val="000000"/>
          <w:sz w:val="24"/>
          <w:szCs w:val="24"/>
        </w:rPr>
        <w:t>Typologies and Logics of Welfare Bricolage in Sweden: Uppsala case study.</w:t>
      </w:r>
      <w:r w:rsidRPr="00C5345F">
        <w:rPr>
          <w:color w:val="000000"/>
          <w:sz w:val="24"/>
          <w:szCs w:val="24"/>
        </w:rPr>
        <w:t> Available: https://www.birmingham.ac.uk/Documents/college-social-sciences/social-policy/iris/2017/IRiS-WP-21-2017UPWEB7.pdf. Last accessed 12th March 2018.p.5</w:t>
      </w:r>
    </w:p>
    <w:p w:rsidR="006A7093" w:rsidRDefault="006A7093" w:rsidP="006A7093">
      <w:pPr>
        <w:spacing w:before="100" w:after="100"/>
        <w:rPr>
          <w:rFonts w:cs="Calibri"/>
          <w:sz w:val="24"/>
          <w:szCs w:val="24"/>
        </w:rPr>
      </w:pPr>
    </w:p>
    <w:p w:rsidR="006A7093" w:rsidRPr="00C5345F" w:rsidRDefault="006A7093" w:rsidP="006A7093">
      <w:pPr>
        <w:spacing w:before="100" w:after="100"/>
        <w:rPr>
          <w:sz w:val="24"/>
          <w:szCs w:val="24"/>
        </w:rPr>
      </w:pPr>
      <w:r w:rsidRPr="00C5345F">
        <w:rPr>
          <w:rFonts w:cs="Calibri"/>
          <w:sz w:val="24"/>
          <w:szCs w:val="24"/>
        </w:rPr>
        <w:t>British Association of Social Workers. (). </w:t>
      </w:r>
      <w:r w:rsidRPr="00C5345F">
        <w:rPr>
          <w:rFonts w:cs="Calibri"/>
          <w:i/>
          <w:iCs/>
          <w:sz w:val="24"/>
          <w:szCs w:val="24"/>
        </w:rPr>
        <w:t>BASW Code of Ethics for Social Work.</w:t>
      </w:r>
      <w:r w:rsidRPr="00C5345F">
        <w:rPr>
          <w:rFonts w:cs="Calibri"/>
          <w:sz w:val="24"/>
          <w:szCs w:val="24"/>
        </w:rPr>
        <w:t>Available: https://www.basw.co.uk/assets/files/Code%20of%20ethics%20poster%20Wales.pdf. Last accessed 10th March 2018.</w:t>
      </w:r>
    </w:p>
    <w:p w:rsidR="006A7093" w:rsidRDefault="006A7093" w:rsidP="006A7093">
      <w:pPr>
        <w:spacing w:before="100" w:after="100"/>
        <w:rPr>
          <w:sz w:val="24"/>
          <w:szCs w:val="24"/>
        </w:rPr>
      </w:pPr>
    </w:p>
    <w:p w:rsidR="006A7093" w:rsidRPr="00C5345F" w:rsidRDefault="006A7093" w:rsidP="006A7093">
      <w:pPr>
        <w:spacing w:before="100" w:after="100"/>
        <w:rPr>
          <w:sz w:val="24"/>
          <w:szCs w:val="24"/>
        </w:rPr>
      </w:pPr>
      <w:r w:rsidRPr="00C5345F">
        <w:rPr>
          <w:sz w:val="24"/>
          <w:szCs w:val="24"/>
        </w:rPr>
        <w:t>Bunn, A. (2013). </w:t>
      </w:r>
      <w:r w:rsidRPr="00C5345F">
        <w:rPr>
          <w:i/>
          <w:iCs/>
          <w:sz w:val="24"/>
          <w:szCs w:val="24"/>
        </w:rPr>
        <w:t>Signs of Safety in England: an NSPCC commissioned report on the Signs of Safety model in child protection.</w:t>
      </w:r>
      <w:r w:rsidRPr="00C5345F">
        <w:rPr>
          <w:sz w:val="24"/>
          <w:szCs w:val="24"/>
        </w:rPr>
        <w:t xml:space="preserve"> Available: </w:t>
      </w:r>
      <w:hyperlink r:id="rId7" w:history="1">
        <w:r w:rsidRPr="00C5345F">
          <w:rPr>
            <w:rStyle w:val="Hyperlink"/>
            <w:sz w:val="24"/>
            <w:szCs w:val="24"/>
          </w:rPr>
          <w:t>www.nspcc.org.uk/services-and-resources/research-and-resources/search-library</w:t>
        </w:r>
      </w:hyperlink>
      <w:r w:rsidRPr="00C5345F">
        <w:rPr>
          <w:sz w:val="24"/>
          <w:szCs w:val="24"/>
        </w:rPr>
        <w:t>. Last accessed 4th October 2017.</w:t>
      </w:r>
    </w:p>
    <w:p w:rsidR="006A7093" w:rsidRDefault="006A7093" w:rsidP="006A7093">
      <w:pPr>
        <w:rPr>
          <w:rFonts w:cs="Calibri"/>
          <w:sz w:val="24"/>
          <w:szCs w:val="24"/>
        </w:rPr>
      </w:pPr>
    </w:p>
    <w:p w:rsidR="006A7093" w:rsidRPr="00C5345F" w:rsidRDefault="006A7093" w:rsidP="006A7093">
      <w:pPr>
        <w:rPr>
          <w:rFonts w:cs="Calibri"/>
          <w:sz w:val="24"/>
          <w:szCs w:val="24"/>
        </w:rPr>
      </w:pPr>
      <w:r w:rsidRPr="00C5345F">
        <w:rPr>
          <w:rFonts w:cs="Calibri"/>
          <w:sz w:val="24"/>
          <w:szCs w:val="24"/>
        </w:rPr>
        <w:t>Burke, B &amp; Dalrymple, J. (2006). Use of the Law: Contradictions and Dilemmas. In: </w:t>
      </w:r>
      <w:r w:rsidRPr="00C5345F">
        <w:rPr>
          <w:rFonts w:cs="Calibri"/>
          <w:i/>
          <w:iCs/>
          <w:sz w:val="24"/>
          <w:szCs w:val="24"/>
        </w:rPr>
        <w:t>Anti-Oppressive Social care and the Law</w:t>
      </w:r>
      <w:r w:rsidRPr="00C5345F">
        <w:rPr>
          <w:rFonts w:cs="Calibri"/>
          <w:sz w:val="24"/>
          <w:szCs w:val="24"/>
        </w:rPr>
        <w:t>. 2nd ed. Maidenhead: Open University Press. p.67</w:t>
      </w:r>
    </w:p>
    <w:p w:rsidR="006A7093" w:rsidRDefault="006A7093" w:rsidP="006A7093">
      <w:pPr>
        <w:rPr>
          <w:rFonts w:cs="Calibri"/>
          <w:sz w:val="24"/>
          <w:szCs w:val="24"/>
        </w:rPr>
      </w:pPr>
    </w:p>
    <w:p w:rsidR="006A7093" w:rsidRPr="00C5345F" w:rsidRDefault="006A7093" w:rsidP="006A7093">
      <w:pPr>
        <w:rPr>
          <w:sz w:val="24"/>
          <w:szCs w:val="24"/>
        </w:rPr>
      </w:pPr>
      <w:r w:rsidRPr="00C5345F">
        <w:rPr>
          <w:rFonts w:cs="Calibri"/>
          <w:sz w:val="24"/>
          <w:szCs w:val="24"/>
        </w:rPr>
        <w:t>Burke, B &amp; Dalrymple, J. (2006). Minimal Intervention. In: </w:t>
      </w:r>
      <w:r w:rsidRPr="00C5345F">
        <w:rPr>
          <w:rFonts w:cs="Calibri"/>
          <w:i/>
          <w:iCs/>
          <w:sz w:val="24"/>
          <w:szCs w:val="24"/>
        </w:rPr>
        <w:t>Anti-Oppressive Social care and the Law</w:t>
      </w:r>
      <w:r w:rsidRPr="00C5345F">
        <w:rPr>
          <w:rFonts w:cs="Calibri"/>
          <w:sz w:val="24"/>
          <w:szCs w:val="24"/>
        </w:rPr>
        <w:t>. 2nd ed. Maidenhead: Open University Press. p152.</w:t>
      </w:r>
    </w:p>
    <w:p w:rsidR="006A7093" w:rsidRDefault="006A7093" w:rsidP="006A7093">
      <w:pPr>
        <w:rPr>
          <w:rFonts w:cs="Calibri"/>
          <w:sz w:val="24"/>
          <w:szCs w:val="24"/>
        </w:rPr>
      </w:pPr>
    </w:p>
    <w:p w:rsidR="006A7093" w:rsidRPr="00C5345F" w:rsidRDefault="006A7093" w:rsidP="006A7093">
      <w:pPr>
        <w:rPr>
          <w:sz w:val="24"/>
          <w:szCs w:val="24"/>
        </w:rPr>
      </w:pPr>
      <w:r w:rsidRPr="00C5345F">
        <w:rPr>
          <w:rFonts w:cs="Calibri"/>
          <w:sz w:val="24"/>
          <w:szCs w:val="24"/>
        </w:rPr>
        <w:t>Burke, B &amp; Dalrymple, J. (2006). Minimal Intervention. In: </w:t>
      </w:r>
      <w:r w:rsidRPr="00C5345F">
        <w:rPr>
          <w:rFonts w:cs="Calibri"/>
          <w:i/>
          <w:iCs/>
          <w:sz w:val="24"/>
          <w:szCs w:val="24"/>
        </w:rPr>
        <w:t>Anti-Oppressive Social care and the Law</w:t>
      </w:r>
      <w:r w:rsidRPr="00C5345F">
        <w:rPr>
          <w:rFonts w:cs="Calibri"/>
          <w:sz w:val="24"/>
          <w:szCs w:val="24"/>
        </w:rPr>
        <w:t>. 2nd ed. Maidenhead: Open University Press. p159.</w:t>
      </w:r>
    </w:p>
    <w:p w:rsidR="006A7093" w:rsidRDefault="006A7093" w:rsidP="006A7093">
      <w:pPr>
        <w:spacing w:before="100" w:after="100"/>
        <w:rPr>
          <w:sz w:val="24"/>
          <w:szCs w:val="24"/>
        </w:rPr>
      </w:pPr>
    </w:p>
    <w:p w:rsidR="006A7093" w:rsidRPr="00C5345F" w:rsidRDefault="006A7093" w:rsidP="006A7093">
      <w:pPr>
        <w:spacing w:before="100" w:after="100"/>
        <w:rPr>
          <w:rFonts w:cs="Times New Roman"/>
          <w:sz w:val="24"/>
          <w:szCs w:val="24"/>
        </w:rPr>
      </w:pPr>
      <w:r w:rsidRPr="00C5345F">
        <w:rPr>
          <w:sz w:val="24"/>
          <w:szCs w:val="24"/>
        </w:rPr>
        <w:t>Cardiff University. (2016). </w:t>
      </w:r>
      <w:r w:rsidRPr="00C5345F">
        <w:rPr>
          <w:i/>
          <w:iCs/>
          <w:sz w:val="24"/>
          <w:szCs w:val="24"/>
        </w:rPr>
        <w:t>Children's social care law in Wales.</w:t>
      </w:r>
      <w:r w:rsidRPr="00C5345F">
        <w:rPr>
          <w:sz w:val="24"/>
          <w:szCs w:val="24"/>
        </w:rPr>
        <w:t xml:space="preserve"> Available: sites.cardiff.ac.uk/childrens-social-care-law/legislation/primary. Last accessed 4th September 2017.</w:t>
      </w:r>
    </w:p>
    <w:p w:rsidR="006A7093" w:rsidRDefault="006A7093" w:rsidP="006A7093">
      <w:pPr>
        <w:spacing w:before="100" w:after="100"/>
        <w:rPr>
          <w:sz w:val="24"/>
          <w:szCs w:val="24"/>
        </w:rPr>
      </w:pPr>
    </w:p>
    <w:p w:rsidR="006A7093" w:rsidRPr="00C5345F" w:rsidRDefault="006A7093" w:rsidP="006A7093">
      <w:pPr>
        <w:spacing w:before="100" w:after="100"/>
        <w:rPr>
          <w:sz w:val="24"/>
          <w:szCs w:val="24"/>
        </w:rPr>
      </w:pPr>
      <w:r w:rsidRPr="00C5345F">
        <w:rPr>
          <w:sz w:val="24"/>
          <w:szCs w:val="24"/>
        </w:rPr>
        <w:t>Care and Social Services Inspectorate. (2017). </w:t>
      </w:r>
      <w:r w:rsidRPr="00C5345F">
        <w:rPr>
          <w:i/>
          <w:iCs/>
          <w:sz w:val="24"/>
          <w:szCs w:val="24"/>
        </w:rPr>
        <w:t>What we do.</w:t>
      </w:r>
      <w:r w:rsidRPr="00C5345F">
        <w:rPr>
          <w:sz w:val="24"/>
          <w:szCs w:val="24"/>
        </w:rPr>
        <w:t> Available: cssiw.org.uk/about/what-we-do/?lang=en. Last accessed 6th September 2017.</w:t>
      </w:r>
    </w:p>
    <w:p w:rsidR="006A7093" w:rsidRPr="00C5345F" w:rsidRDefault="006A7093" w:rsidP="006A7093">
      <w:pPr>
        <w:pStyle w:val="NormalWeb"/>
        <w:rPr>
          <w:rFonts w:asciiTheme="minorHAnsi" w:hAnsiTheme="minorHAnsi"/>
        </w:rPr>
      </w:pPr>
    </w:p>
    <w:p w:rsidR="006A7093" w:rsidRPr="00C5345F" w:rsidRDefault="006A7093" w:rsidP="006A7093">
      <w:pPr>
        <w:pStyle w:val="NormalWeb"/>
        <w:rPr>
          <w:rFonts w:asciiTheme="minorHAnsi" w:hAnsiTheme="minorHAnsi"/>
        </w:rPr>
      </w:pPr>
      <w:r w:rsidRPr="00C5345F">
        <w:rPr>
          <w:rFonts w:asciiTheme="minorHAnsi" w:hAnsiTheme="minorHAnsi"/>
        </w:rPr>
        <w:t>Care Quality Commission. (2017). </w:t>
      </w:r>
      <w:r w:rsidRPr="00C5345F">
        <w:rPr>
          <w:rFonts w:asciiTheme="minorHAnsi" w:hAnsiTheme="minorHAnsi"/>
          <w:i/>
          <w:iCs/>
        </w:rPr>
        <w:t>Nigel's surgery 8: Gillick competency and Fraser guidelines.</w:t>
      </w:r>
      <w:r w:rsidRPr="00C5345F">
        <w:rPr>
          <w:rFonts w:asciiTheme="minorHAnsi" w:hAnsiTheme="minorHAnsi"/>
        </w:rPr>
        <w:t xml:space="preserve"> Available: </w:t>
      </w:r>
      <w:hyperlink r:id="rId8" w:history="1">
        <w:r w:rsidRPr="00C5345F">
          <w:rPr>
            <w:rStyle w:val="Hyperlink"/>
            <w:rFonts w:asciiTheme="minorHAnsi" w:hAnsiTheme="minorHAnsi"/>
          </w:rPr>
          <w:t>www.cqc.org.uk/guidance-providers/gps/nigel-surgery-8-gillick-competency-fraser-guidelines</w:t>
        </w:r>
      </w:hyperlink>
      <w:r w:rsidRPr="00C5345F">
        <w:rPr>
          <w:rFonts w:asciiTheme="minorHAnsi" w:hAnsiTheme="minorHAnsi"/>
        </w:rPr>
        <w:t>. Last accessed 10th September 2017.</w:t>
      </w:r>
    </w:p>
    <w:p w:rsidR="006A7093" w:rsidRPr="00C5345F" w:rsidRDefault="006A7093" w:rsidP="006A7093">
      <w:pPr>
        <w:pStyle w:val="NormalWeb"/>
        <w:rPr>
          <w:rFonts w:asciiTheme="minorHAnsi" w:hAnsiTheme="minorHAnsi"/>
        </w:rPr>
      </w:pPr>
    </w:p>
    <w:p w:rsidR="006A7093" w:rsidRPr="00C5345F" w:rsidRDefault="006A7093" w:rsidP="006A7093">
      <w:pPr>
        <w:pStyle w:val="NormalWeb"/>
        <w:rPr>
          <w:rFonts w:asciiTheme="minorHAnsi" w:hAnsiTheme="minorHAnsi"/>
        </w:rPr>
      </w:pPr>
      <w:r w:rsidRPr="00C5345F">
        <w:rPr>
          <w:rFonts w:asciiTheme="minorHAnsi" w:hAnsiTheme="minorHAnsi"/>
        </w:rPr>
        <w:t>Care Quality Commission. (2014). </w:t>
      </w:r>
      <w:r w:rsidRPr="00C5345F">
        <w:rPr>
          <w:rFonts w:asciiTheme="minorHAnsi" w:hAnsiTheme="minorHAnsi"/>
          <w:i/>
          <w:iCs/>
        </w:rPr>
        <w:t>Safeguarding adults Roles and responsibilities in health and care services.</w:t>
      </w:r>
      <w:r w:rsidRPr="00C5345F">
        <w:rPr>
          <w:rFonts w:asciiTheme="minorHAnsi" w:hAnsiTheme="minorHAnsi"/>
        </w:rPr>
        <w:t xml:space="preserve"> Available: </w:t>
      </w:r>
      <w:hyperlink r:id="rId9" w:history="1">
        <w:r w:rsidRPr="00C5345F">
          <w:rPr>
            <w:rStyle w:val="Hyperlink"/>
            <w:rFonts w:asciiTheme="minorHAnsi" w:hAnsiTheme="minorHAnsi"/>
          </w:rPr>
          <w:t>https://www.cqc.org.uk/sites/default/files/20140416_safeguarding_adults_-_roles_and_responsibilities_-_revised_draf....pdf</w:t>
        </w:r>
      </w:hyperlink>
      <w:r w:rsidRPr="00C5345F">
        <w:rPr>
          <w:rFonts w:asciiTheme="minorHAnsi" w:hAnsiTheme="minorHAnsi"/>
        </w:rPr>
        <w:t>. Last accessed 7th September2017.</w:t>
      </w:r>
    </w:p>
    <w:p w:rsidR="006A7093" w:rsidRPr="00C5345F" w:rsidRDefault="006A7093" w:rsidP="006A7093">
      <w:pPr>
        <w:rPr>
          <w:sz w:val="24"/>
          <w:szCs w:val="24"/>
        </w:rPr>
      </w:pPr>
    </w:p>
    <w:p w:rsidR="006A7093" w:rsidRPr="00C5345F" w:rsidRDefault="006A7093" w:rsidP="006A7093">
      <w:pPr>
        <w:spacing w:before="100" w:after="100"/>
        <w:rPr>
          <w:rFonts w:cs="Arial"/>
          <w:sz w:val="24"/>
          <w:szCs w:val="24"/>
        </w:rPr>
      </w:pPr>
      <w:r w:rsidRPr="00C5345F">
        <w:rPr>
          <w:sz w:val="24"/>
          <w:szCs w:val="24"/>
        </w:rPr>
        <w:t>Child Protection Resource. (). </w:t>
      </w:r>
      <w:r w:rsidRPr="00C5345F">
        <w:rPr>
          <w:i/>
          <w:iCs/>
          <w:sz w:val="24"/>
          <w:szCs w:val="24"/>
        </w:rPr>
        <w:t>What is the purpose of the Child Protection Register?</w:t>
      </w:r>
      <w:r w:rsidRPr="00C5345F">
        <w:rPr>
          <w:sz w:val="24"/>
          <w:szCs w:val="24"/>
        </w:rPr>
        <w:t> Available: childprotectionresource.online/tag/section-47. Last accessed 6th September 2017.</w:t>
      </w:r>
    </w:p>
    <w:p w:rsidR="006A7093" w:rsidRDefault="006A7093" w:rsidP="006A7093">
      <w:pPr>
        <w:rPr>
          <w:rFonts w:cs="Times New Roman"/>
          <w:sz w:val="24"/>
          <w:szCs w:val="24"/>
        </w:rPr>
      </w:pPr>
    </w:p>
    <w:p w:rsidR="006A7093" w:rsidRPr="00C5345F" w:rsidRDefault="006A7093" w:rsidP="006A7093">
      <w:pPr>
        <w:rPr>
          <w:rFonts w:cs="Arial"/>
          <w:sz w:val="24"/>
          <w:szCs w:val="24"/>
        </w:rPr>
      </w:pPr>
      <w:r w:rsidRPr="00C5345F">
        <w:rPr>
          <w:sz w:val="24"/>
          <w:szCs w:val="24"/>
        </w:rPr>
        <w:t>Clements, L. (2015). </w:t>
      </w:r>
      <w:r w:rsidRPr="00C5345F">
        <w:rPr>
          <w:i/>
          <w:iCs/>
          <w:sz w:val="24"/>
          <w:szCs w:val="24"/>
        </w:rPr>
        <w:t>Social Services and Wellbeing (Wales) Act 2014: a critical overview.</w:t>
      </w:r>
      <w:r w:rsidRPr="00C5345F">
        <w:rPr>
          <w:sz w:val="24"/>
          <w:szCs w:val="24"/>
        </w:rPr>
        <w:t xml:space="preserve"> Available: </w:t>
      </w:r>
      <w:hyperlink r:id="rId10" w:history="1">
        <w:r w:rsidRPr="00C5345F">
          <w:rPr>
            <w:rStyle w:val="Hyperlink"/>
            <w:sz w:val="24"/>
            <w:szCs w:val="24"/>
          </w:rPr>
          <w:t>www.lukeclements.co.uk/wp-content/uploads/2017/06/2017-03-BASW-Keynote.pdf</w:t>
        </w:r>
      </w:hyperlink>
      <w:r w:rsidRPr="00C5345F">
        <w:rPr>
          <w:sz w:val="24"/>
          <w:szCs w:val="24"/>
        </w:rPr>
        <w:t>. Last accessed 9th October 2017.</w:t>
      </w:r>
    </w:p>
    <w:p w:rsidR="006A7093" w:rsidRDefault="006A7093" w:rsidP="006A7093">
      <w:pPr>
        <w:spacing w:before="100" w:after="100"/>
        <w:rPr>
          <w:sz w:val="24"/>
          <w:szCs w:val="24"/>
        </w:rPr>
      </w:pPr>
    </w:p>
    <w:p w:rsidR="006A7093" w:rsidRPr="00C5345F" w:rsidRDefault="006A7093" w:rsidP="006A7093">
      <w:pPr>
        <w:spacing w:before="100" w:after="100"/>
        <w:rPr>
          <w:rFonts w:cs="Arial"/>
          <w:sz w:val="24"/>
          <w:szCs w:val="24"/>
        </w:rPr>
      </w:pPr>
      <w:r w:rsidRPr="00C5345F">
        <w:rPr>
          <w:sz w:val="24"/>
          <w:szCs w:val="24"/>
        </w:rPr>
        <w:t>Community Care. (2011). </w:t>
      </w:r>
      <w:r w:rsidRPr="00C5345F">
        <w:rPr>
          <w:i/>
          <w:iCs/>
          <w:sz w:val="24"/>
          <w:szCs w:val="24"/>
        </w:rPr>
        <w:t>Defining social work’s unique contribution.</w:t>
      </w:r>
      <w:r w:rsidRPr="00C5345F">
        <w:rPr>
          <w:sz w:val="24"/>
          <w:szCs w:val="24"/>
        </w:rPr>
        <w:t>Available: www.communitycare.co.uk/2011/05/20/defining-social-works-unique-contribution. Last accessed 3rd August 2017.</w:t>
      </w:r>
    </w:p>
    <w:p w:rsidR="006A7093" w:rsidRDefault="006A7093" w:rsidP="006A7093">
      <w:pPr>
        <w:rPr>
          <w:rFonts w:cs="Calibri"/>
          <w:sz w:val="24"/>
          <w:szCs w:val="24"/>
          <w:shd w:val="clear" w:color="auto" w:fill="EDEDEE"/>
        </w:rPr>
      </w:pPr>
    </w:p>
    <w:p w:rsidR="006A7093" w:rsidRPr="00C5345F" w:rsidRDefault="006A7093" w:rsidP="006A7093">
      <w:pPr>
        <w:rPr>
          <w:sz w:val="24"/>
          <w:szCs w:val="24"/>
        </w:rPr>
      </w:pPr>
      <w:r w:rsidRPr="00C5345F">
        <w:rPr>
          <w:rFonts w:cs="Calibri"/>
          <w:sz w:val="24"/>
          <w:szCs w:val="24"/>
          <w:shd w:val="clear" w:color="auto" w:fill="EDEDEE"/>
        </w:rPr>
        <w:t>Cooper, Christine (1985) ‘Good-enough’, border-line and ‘bad-enough’ parenting. In: Adcock, M. and White, R. (eds.) Good-enough parenting: a framework for assessment. London: British Association for Adoption and Fostering (BAAF). See p.60-1.</w:t>
      </w:r>
    </w:p>
    <w:p w:rsidR="006A7093" w:rsidRDefault="006A7093" w:rsidP="006A7093">
      <w:pPr>
        <w:rPr>
          <w:sz w:val="24"/>
          <w:szCs w:val="24"/>
        </w:rPr>
      </w:pPr>
    </w:p>
    <w:p w:rsidR="006A7093" w:rsidRPr="00C5345F" w:rsidRDefault="006A7093" w:rsidP="006A7093">
      <w:pPr>
        <w:rPr>
          <w:rFonts w:cs="Times New Roman"/>
          <w:sz w:val="24"/>
          <w:szCs w:val="24"/>
        </w:rPr>
      </w:pPr>
      <w:r w:rsidRPr="00C5345F">
        <w:rPr>
          <w:sz w:val="24"/>
          <w:szCs w:val="24"/>
        </w:rPr>
        <w:t>Coulshed, V &amp; Orme, J. (2006). Social Work Processes: Assessment. In: Campling, J </w:t>
      </w:r>
      <w:r w:rsidRPr="00C5345F">
        <w:rPr>
          <w:i/>
          <w:iCs/>
          <w:sz w:val="24"/>
          <w:szCs w:val="24"/>
        </w:rPr>
        <w:t>Social Work Practice</w:t>
      </w:r>
      <w:r w:rsidRPr="00C5345F">
        <w:rPr>
          <w:sz w:val="24"/>
          <w:szCs w:val="24"/>
        </w:rPr>
        <w:t>. 4th ed. Basingstoke: Palgrave Macmillan. p45.</w:t>
      </w:r>
    </w:p>
    <w:p w:rsidR="006A7093" w:rsidRDefault="006A7093" w:rsidP="006A7093">
      <w:pPr>
        <w:rPr>
          <w:rFonts w:cs="Calibri"/>
          <w:sz w:val="24"/>
          <w:szCs w:val="24"/>
        </w:rPr>
      </w:pPr>
    </w:p>
    <w:p w:rsidR="006A7093" w:rsidRPr="00C5345F" w:rsidRDefault="006A7093" w:rsidP="006A7093">
      <w:pPr>
        <w:rPr>
          <w:sz w:val="24"/>
          <w:szCs w:val="24"/>
        </w:rPr>
      </w:pPr>
      <w:r w:rsidRPr="00C5345F">
        <w:rPr>
          <w:rFonts w:cs="Calibri"/>
          <w:sz w:val="24"/>
          <w:szCs w:val="24"/>
        </w:rPr>
        <w:t>Cowley, S &amp; Dowling, S &amp; King, S &amp; Manthorpe, J &amp; Perez, W &amp; Raymond, V &amp; Weinstein, P.. (2006). </w:t>
      </w:r>
      <w:r w:rsidRPr="00C5345F">
        <w:rPr>
          <w:rFonts w:cs="Calibri"/>
          <w:i/>
          <w:iCs/>
          <w:sz w:val="24"/>
          <w:szCs w:val="24"/>
        </w:rPr>
        <w:t xml:space="preserve">Person-centred planning in social care A scoping review. </w:t>
      </w:r>
      <w:r w:rsidRPr="00C5345F">
        <w:rPr>
          <w:rFonts w:cs="Calibri"/>
          <w:sz w:val="24"/>
          <w:szCs w:val="24"/>
        </w:rPr>
        <w:t>Available: https://www.jrf.org.uk/sites/default/files/jrf/migrated/files/9781859354803.pdf. Last accessed 10th March 2018.</w:t>
      </w:r>
    </w:p>
    <w:p w:rsidR="006A7093" w:rsidRDefault="006A7093" w:rsidP="006A7093">
      <w:pPr>
        <w:spacing w:before="100" w:after="100" w:line="240" w:lineRule="auto"/>
        <w:rPr>
          <w:rFonts w:eastAsia="Times New Roman"/>
          <w:color w:val="000000"/>
          <w:sz w:val="24"/>
          <w:szCs w:val="24"/>
          <w:lang w:eastAsia="en-GB"/>
        </w:rPr>
      </w:pPr>
    </w:p>
    <w:p w:rsidR="006A7093" w:rsidRPr="00C5345F" w:rsidRDefault="006A7093" w:rsidP="006A7093">
      <w:pPr>
        <w:spacing w:before="100" w:after="100" w:line="240" w:lineRule="auto"/>
        <w:rPr>
          <w:sz w:val="24"/>
          <w:szCs w:val="24"/>
        </w:rPr>
      </w:pPr>
      <w:r w:rsidRPr="00C5345F">
        <w:rPr>
          <w:rFonts w:eastAsia="Times New Roman"/>
          <w:color w:val="000000"/>
          <w:sz w:val="24"/>
          <w:szCs w:val="24"/>
          <w:lang w:eastAsia="en-GB"/>
        </w:rPr>
        <w:t>Currentnursing.com. (2011). </w:t>
      </w:r>
      <w:r w:rsidRPr="00C5345F">
        <w:rPr>
          <w:rFonts w:eastAsia="Times New Roman"/>
          <w:i/>
          <w:iCs/>
          <w:color w:val="000000"/>
          <w:sz w:val="24"/>
          <w:szCs w:val="24"/>
          <w:lang w:eastAsia="en-GB"/>
        </w:rPr>
        <w:t>Nursing Theories a companion to nursing theories and models.</w:t>
      </w:r>
      <w:r w:rsidRPr="00C5345F">
        <w:rPr>
          <w:rFonts w:eastAsia="Times New Roman"/>
          <w:color w:val="000000"/>
          <w:sz w:val="24"/>
          <w:szCs w:val="24"/>
          <w:lang w:eastAsia="en-GB"/>
        </w:rPr>
        <w:t> Available: http://currentnursing.com/nursing_theory/change_theory.html. Last accessed 10th March 2018.</w:t>
      </w:r>
    </w:p>
    <w:p w:rsidR="006A7093" w:rsidRPr="00C5345F" w:rsidRDefault="006A7093" w:rsidP="006A7093">
      <w:pPr>
        <w:rPr>
          <w:sz w:val="24"/>
          <w:szCs w:val="24"/>
        </w:rPr>
      </w:pPr>
    </w:p>
    <w:p w:rsidR="006A7093" w:rsidRPr="00C5345F" w:rsidRDefault="006A7093" w:rsidP="006A7093">
      <w:pPr>
        <w:spacing w:before="100" w:after="100"/>
        <w:rPr>
          <w:rFonts w:cs="Arial"/>
          <w:sz w:val="24"/>
          <w:szCs w:val="24"/>
        </w:rPr>
      </w:pPr>
      <w:r w:rsidRPr="00C5345F">
        <w:rPr>
          <w:sz w:val="24"/>
          <w:szCs w:val="24"/>
        </w:rPr>
        <w:t>__ County Council. (2013). </w:t>
      </w:r>
      <w:r w:rsidRPr="00C5345F">
        <w:rPr>
          <w:i/>
          <w:iCs/>
          <w:sz w:val="24"/>
          <w:szCs w:val="24"/>
        </w:rPr>
        <w:t>__ County Council Policy and Guidelines Safeguarding Children &amp; Adults.</w:t>
      </w:r>
      <w:r w:rsidRPr="00C5345F">
        <w:rPr>
          <w:sz w:val="24"/>
          <w:szCs w:val="24"/>
        </w:rPr>
        <w:t> Available: www.__.gov.uk/en/resident/health-and-social-care/policy-and-guidelines-safeguarding-children-and-adults-en.pdf. Last accessed 7th October 2017.</w:t>
      </w:r>
    </w:p>
    <w:p w:rsidR="006A7093" w:rsidRPr="00C5345F" w:rsidRDefault="006A7093" w:rsidP="006A7093">
      <w:pPr>
        <w:spacing w:before="100" w:after="100"/>
        <w:rPr>
          <w:rFonts w:cs="Times New Roman"/>
          <w:sz w:val="24"/>
          <w:szCs w:val="24"/>
        </w:rPr>
      </w:pPr>
    </w:p>
    <w:p w:rsidR="006A7093" w:rsidRPr="00C5345F" w:rsidRDefault="006A7093" w:rsidP="006A7093">
      <w:pPr>
        <w:rPr>
          <w:rFonts w:cs="Arial"/>
          <w:sz w:val="24"/>
          <w:szCs w:val="24"/>
        </w:rPr>
      </w:pPr>
      <w:r w:rsidRPr="00C5345F">
        <w:rPr>
          <w:sz w:val="24"/>
          <w:szCs w:val="24"/>
        </w:rPr>
        <w:t>dera.joe.ac.uk. (2014). </w:t>
      </w:r>
      <w:r w:rsidRPr="00C5345F">
        <w:rPr>
          <w:i/>
          <w:iCs/>
          <w:sz w:val="24"/>
          <w:szCs w:val="24"/>
        </w:rPr>
        <w:t>Statutory guidance in relation to part 7 (Safeguarding) of the Social Services and Well-being (Wales) Act 2014.</w:t>
      </w:r>
      <w:r w:rsidRPr="00C5345F">
        <w:rPr>
          <w:sz w:val="24"/>
          <w:szCs w:val="24"/>
        </w:rPr>
        <w:t> Available: dera.joe.ac.uk/21361/1/7/141027pt7statguideen.pdfn. Last accessed 9th September 2017.</w:t>
      </w:r>
    </w:p>
    <w:p w:rsidR="006A7093" w:rsidRDefault="006A7093" w:rsidP="006A7093">
      <w:pPr>
        <w:rPr>
          <w:rFonts w:cs="Times New Roman"/>
          <w:sz w:val="24"/>
          <w:szCs w:val="24"/>
        </w:rPr>
      </w:pPr>
    </w:p>
    <w:p w:rsidR="006A7093" w:rsidRPr="00C5345F" w:rsidRDefault="006A7093" w:rsidP="006A7093">
      <w:pPr>
        <w:rPr>
          <w:rFonts w:cs="Arial"/>
          <w:sz w:val="24"/>
          <w:szCs w:val="24"/>
        </w:rPr>
      </w:pPr>
      <w:r w:rsidRPr="00C5345F">
        <w:rPr>
          <w:sz w:val="24"/>
          <w:szCs w:val="24"/>
        </w:rPr>
        <w:t>Fook, A. (2012). </w:t>
      </w:r>
      <w:r w:rsidRPr="00C5345F">
        <w:rPr>
          <w:i/>
          <w:iCs/>
          <w:sz w:val="24"/>
          <w:szCs w:val="24"/>
        </w:rPr>
        <w:t>An introduction to Critical reflection.</w:t>
      </w:r>
      <w:r w:rsidRPr="00C5345F">
        <w:rPr>
          <w:sz w:val="24"/>
          <w:szCs w:val="24"/>
        </w:rPr>
        <w:t> Available: www.bcasw.org/wp-content/uploads/2012/11/Critcal-Reflection-Powerpoint.ppt. Last accessed 4th September 2017.</w:t>
      </w:r>
    </w:p>
    <w:p w:rsidR="006A7093" w:rsidRDefault="006A7093" w:rsidP="006A7093">
      <w:pPr>
        <w:pStyle w:val="NormalWeb"/>
        <w:rPr>
          <w:rFonts w:asciiTheme="minorHAnsi" w:hAnsiTheme="minorHAnsi"/>
        </w:rPr>
      </w:pPr>
    </w:p>
    <w:p w:rsidR="006A7093" w:rsidRPr="00C5345F" w:rsidRDefault="006A7093" w:rsidP="006A7093">
      <w:pPr>
        <w:pStyle w:val="NormalWeb"/>
        <w:rPr>
          <w:rFonts w:asciiTheme="minorHAnsi" w:hAnsiTheme="minorHAnsi"/>
        </w:rPr>
      </w:pPr>
      <w:r w:rsidRPr="00C5345F">
        <w:rPr>
          <w:rFonts w:asciiTheme="minorHAnsi" w:hAnsiTheme="minorHAnsi"/>
        </w:rPr>
        <w:t>gaps.org.uk. (2017). </w:t>
      </w:r>
      <w:r w:rsidRPr="00C5345F">
        <w:rPr>
          <w:rFonts w:asciiTheme="minorHAnsi" w:hAnsiTheme="minorHAnsi"/>
          <w:i/>
          <w:iCs/>
        </w:rPr>
        <w:t>A lexicon of 80 social work skills and interventions - GAPS.</w:t>
      </w:r>
      <w:r w:rsidRPr="00C5345F">
        <w:rPr>
          <w:rFonts w:asciiTheme="minorHAnsi" w:hAnsiTheme="minorHAnsi"/>
        </w:rPr>
        <w:t xml:space="preserve"> Available: </w:t>
      </w:r>
      <w:hyperlink r:id="rId11" w:history="1">
        <w:r w:rsidRPr="00C5345F">
          <w:rPr>
            <w:rStyle w:val="Hyperlink"/>
            <w:rFonts w:asciiTheme="minorHAnsi" w:hAnsiTheme="minorHAnsi"/>
          </w:rPr>
          <w:t>www.gaps.org.uk/wp-content/uploads/2017/07/lexicon-of-skills.pdf. Last accessed 7th September2017</w:t>
        </w:r>
      </w:hyperlink>
      <w:r w:rsidRPr="00C5345F">
        <w:rPr>
          <w:rFonts w:asciiTheme="minorHAnsi" w:hAnsiTheme="minorHAnsi"/>
        </w:rPr>
        <w:t>.</w:t>
      </w:r>
    </w:p>
    <w:p w:rsidR="006A7093" w:rsidRPr="00C5345F" w:rsidRDefault="006A7093" w:rsidP="006A7093">
      <w:pPr>
        <w:pStyle w:val="NormalWeb"/>
        <w:rPr>
          <w:rFonts w:asciiTheme="minorHAnsi" w:hAnsiTheme="minorHAnsi"/>
        </w:rPr>
      </w:pPr>
    </w:p>
    <w:p w:rsidR="006A7093" w:rsidRPr="00C5345F" w:rsidRDefault="006A7093" w:rsidP="006A7093">
      <w:pPr>
        <w:pStyle w:val="NormalWeb"/>
        <w:rPr>
          <w:rFonts w:asciiTheme="minorHAnsi" w:hAnsiTheme="minorHAnsi"/>
        </w:rPr>
      </w:pPr>
      <w:r w:rsidRPr="00C5345F">
        <w:rPr>
          <w:rFonts w:asciiTheme="minorHAnsi" w:hAnsiTheme="minorHAnsi"/>
        </w:rPr>
        <w:t>Gledhill, A. (2008). </w:t>
      </w:r>
      <w:r w:rsidRPr="00C5345F">
        <w:rPr>
          <w:rFonts w:asciiTheme="minorHAnsi" w:hAnsiTheme="minorHAnsi"/>
          <w:i/>
          <w:iCs/>
        </w:rPr>
        <w:t>The Public Law Outline.</w:t>
      </w:r>
      <w:r w:rsidRPr="00C5345F">
        <w:rPr>
          <w:rFonts w:asciiTheme="minorHAnsi" w:hAnsiTheme="minorHAnsi"/>
        </w:rPr>
        <w:t> Available: www.actnow.org.uk/media/articles/public_law_outline.pdf. Last accessed 10th September 2017.</w:t>
      </w:r>
    </w:p>
    <w:p w:rsidR="006A7093" w:rsidRDefault="006A7093" w:rsidP="006A7093">
      <w:pPr>
        <w:pStyle w:val="NormalWeb"/>
        <w:rPr>
          <w:rFonts w:asciiTheme="minorHAnsi" w:hAnsiTheme="minorHAnsi" w:cs="Calibri"/>
        </w:rPr>
      </w:pPr>
    </w:p>
    <w:p w:rsidR="006A7093" w:rsidRPr="00C5345F" w:rsidRDefault="006A7093" w:rsidP="006A7093">
      <w:pPr>
        <w:pStyle w:val="NormalWeb"/>
        <w:rPr>
          <w:rFonts w:asciiTheme="minorHAnsi" w:hAnsiTheme="minorHAnsi"/>
        </w:rPr>
      </w:pPr>
      <w:r w:rsidRPr="00C5345F">
        <w:rPr>
          <w:rFonts w:asciiTheme="minorHAnsi" w:hAnsiTheme="minorHAnsi" w:cs="Calibri"/>
        </w:rPr>
        <w:t>Gov.uk. (2014). </w:t>
      </w:r>
      <w:r w:rsidRPr="00C5345F">
        <w:rPr>
          <w:rFonts w:asciiTheme="minorHAnsi" w:hAnsiTheme="minorHAnsi" w:cs="Calibri"/>
          <w:i/>
          <w:iCs/>
        </w:rPr>
        <w:t>Safeguarding children and young people.</w:t>
      </w:r>
      <w:r w:rsidRPr="00C5345F">
        <w:rPr>
          <w:rFonts w:asciiTheme="minorHAnsi" w:hAnsiTheme="minorHAnsi" w:cs="Calibri"/>
        </w:rPr>
        <w:t> Available: https://www.gov.uk/government/publications/safeguarding-children-and-young-people/safeguarding-children-and-young-people#the-child-protection-policy. Last accessed 10th March 2018.</w:t>
      </w:r>
    </w:p>
    <w:p w:rsidR="006A7093" w:rsidRDefault="006A7093" w:rsidP="006A7093">
      <w:pPr>
        <w:rPr>
          <w:rFonts w:cs="Calibri"/>
          <w:sz w:val="24"/>
          <w:szCs w:val="24"/>
        </w:rPr>
      </w:pPr>
    </w:p>
    <w:p w:rsidR="006A7093" w:rsidRPr="00C5345F" w:rsidRDefault="006A7093" w:rsidP="006A7093">
      <w:pPr>
        <w:rPr>
          <w:rFonts w:cs="Calibri"/>
          <w:sz w:val="24"/>
          <w:szCs w:val="24"/>
        </w:rPr>
      </w:pPr>
      <w:r w:rsidRPr="00C5345F">
        <w:rPr>
          <w:rFonts w:cs="Calibri"/>
          <w:sz w:val="24"/>
          <w:szCs w:val="24"/>
        </w:rPr>
        <w:t>Haynes, A. (2015) Realising the potential: Tackling child neglect in universal services. London: NSPCC.</w:t>
      </w:r>
    </w:p>
    <w:p w:rsidR="006A7093" w:rsidRDefault="006A7093" w:rsidP="006A7093">
      <w:pPr>
        <w:spacing w:before="100" w:after="100"/>
        <w:rPr>
          <w:sz w:val="24"/>
          <w:szCs w:val="24"/>
        </w:rPr>
      </w:pPr>
    </w:p>
    <w:p w:rsidR="006A7093" w:rsidRPr="00C5345F" w:rsidRDefault="006A7093" w:rsidP="006A7093">
      <w:pPr>
        <w:spacing w:before="100" w:after="100"/>
        <w:rPr>
          <w:sz w:val="24"/>
          <w:szCs w:val="24"/>
        </w:rPr>
      </w:pPr>
      <w:r w:rsidRPr="00C5345F">
        <w:rPr>
          <w:sz w:val="24"/>
          <w:szCs w:val="24"/>
        </w:rPr>
        <w:t>Herefordshire County Council. (2015). </w:t>
      </w:r>
      <w:r w:rsidRPr="00C5345F">
        <w:rPr>
          <w:i/>
          <w:iCs/>
          <w:sz w:val="24"/>
          <w:szCs w:val="24"/>
        </w:rPr>
        <w:t>Legal Gateway Meetings.</w:t>
      </w:r>
      <w:r w:rsidRPr="00C5345F">
        <w:rPr>
          <w:sz w:val="24"/>
          <w:szCs w:val="24"/>
        </w:rPr>
        <w:t> Available: www.proceduresonline.com/herefordshire_children/chapters/p_legal_planning_meetings.html. Last accessed 6th September 2017.</w:t>
      </w:r>
    </w:p>
    <w:p w:rsidR="006A7093" w:rsidRPr="00C5345F" w:rsidRDefault="006A7093" w:rsidP="006A7093">
      <w:pPr>
        <w:spacing w:before="100" w:after="100"/>
        <w:rPr>
          <w:sz w:val="24"/>
          <w:szCs w:val="24"/>
        </w:rPr>
      </w:pPr>
      <w:r w:rsidRPr="00C5345F">
        <w:rPr>
          <w:color w:val="000000"/>
          <w:sz w:val="24"/>
          <w:szCs w:val="24"/>
        </w:rPr>
        <w:t>Holland, S. (2010). Engaging children and their parents in the assessment process. In: Horwath, J. </w:t>
      </w:r>
      <w:r w:rsidRPr="00C5345F">
        <w:rPr>
          <w:i/>
          <w:iCs/>
          <w:color w:val="000000"/>
          <w:sz w:val="24"/>
          <w:szCs w:val="24"/>
        </w:rPr>
        <w:t>The Child's World</w:t>
      </w:r>
      <w:r w:rsidRPr="00C5345F">
        <w:rPr>
          <w:color w:val="000000"/>
          <w:sz w:val="24"/>
          <w:szCs w:val="24"/>
        </w:rPr>
        <w:t>. 2nd ed. London and Philadelphia: Jessica Kingsley Publishers. p.119.</w:t>
      </w:r>
    </w:p>
    <w:p w:rsidR="006A7093" w:rsidRDefault="006A7093" w:rsidP="006A7093">
      <w:pPr>
        <w:pStyle w:val="NormalWeb"/>
        <w:rPr>
          <w:rFonts w:asciiTheme="minorHAnsi" w:hAnsiTheme="minorHAnsi"/>
        </w:rPr>
      </w:pPr>
    </w:p>
    <w:p w:rsidR="006A7093" w:rsidRPr="00C5345F" w:rsidRDefault="006A7093" w:rsidP="006A7093">
      <w:pPr>
        <w:pStyle w:val="NormalWeb"/>
        <w:rPr>
          <w:rFonts w:asciiTheme="minorHAnsi" w:hAnsiTheme="minorHAnsi"/>
        </w:rPr>
      </w:pPr>
      <w:r w:rsidRPr="00C5345F">
        <w:rPr>
          <w:rFonts w:asciiTheme="minorHAnsi" w:hAnsiTheme="minorHAnsi"/>
        </w:rPr>
        <w:t>Koprowska, J (2006). </w:t>
      </w:r>
      <w:r w:rsidRPr="00C5345F">
        <w:rPr>
          <w:rFonts w:asciiTheme="minorHAnsi" w:hAnsiTheme="minorHAnsi"/>
          <w:i/>
          <w:iCs/>
        </w:rPr>
        <w:t>Communication and Interpersonal Skills in Social Work</w:t>
      </w:r>
      <w:r w:rsidRPr="00C5345F">
        <w:rPr>
          <w:rFonts w:asciiTheme="minorHAnsi" w:hAnsiTheme="minorHAnsi"/>
        </w:rPr>
        <w:t>. Exeter: Learning Matters Ltd. p. 27.</w:t>
      </w:r>
      <w:r w:rsidRPr="00C5345F">
        <w:rPr>
          <w:rFonts w:asciiTheme="minorHAnsi" w:hAnsiTheme="minorHAnsi" w:cs="Calibri"/>
        </w:rPr>
        <w:t>communication/. Last accessed 10th March 2018.</w:t>
      </w:r>
    </w:p>
    <w:p w:rsidR="006A7093" w:rsidRPr="00C5345F" w:rsidRDefault="006A7093" w:rsidP="006A7093">
      <w:pPr>
        <w:spacing w:before="100" w:after="100"/>
        <w:rPr>
          <w:rFonts w:cs="Arial"/>
          <w:sz w:val="24"/>
          <w:szCs w:val="24"/>
        </w:rPr>
      </w:pPr>
      <w:r w:rsidRPr="00C5345F">
        <w:rPr>
          <w:sz w:val="24"/>
          <w:szCs w:val="24"/>
        </w:rPr>
        <w:t>Lishman. (2017). </w:t>
      </w:r>
      <w:r w:rsidRPr="00C5345F">
        <w:rPr>
          <w:i/>
          <w:iCs/>
          <w:sz w:val="24"/>
          <w:szCs w:val="24"/>
        </w:rPr>
        <w:t>Bronfenbrenner.</w:t>
      </w:r>
      <w:r w:rsidRPr="00C5345F">
        <w:rPr>
          <w:sz w:val="24"/>
          <w:szCs w:val="24"/>
        </w:rPr>
        <w:t> Available: http://uk.sagepub.com/sites/default/files/upm-binaries-62946Lishman.pdf. Last accessed 4th October 2017.</w:t>
      </w:r>
    </w:p>
    <w:p w:rsidR="006A7093" w:rsidRDefault="006A7093" w:rsidP="006A7093">
      <w:pPr>
        <w:spacing w:before="100" w:after="100"/>
        <w:rPr>
          <w:sz w:val="24"/>
          <w:szCs w:val="24"/>
        </w:rPr>
      </w:pPr>
    </w:p>
    <w:p w:rsidR="006A7093" w:rsidRPr="00C5345F" w:rsidRDefault="006A7093" w:rsidP="006A7093">
      <w:pPr>
        <w:spacing w:before="100" w:after="100"/>
        <w:rPr>
          <w:sz w:val="24"/>
          <w:szCs w:val="24"/>
        </w:rPr>
      </w:pPr>
      <w:r w:rsidRPr="00C5345F">
        <w:rPr>
          <w:sz w:val="24"/>
          <w:szCs w:val="24"/>
        </w:rPr>
        <w:t>Littlechild. Brian, Professor. (2012). </w:t>
      </w:r>
      <w:r w:rsidRPr="00C5345F">
        <w:rPr>
          <w:i/>
          <w:iCs/>
          <w:sz w:val="24"/>
          <w:szCs w:val="24"/>
        </w:rPr>
        <w:t>Avoiding Avoidance: Recognising and responding to the risks of resistant and uncooperative parents in child protection – #SWSCmedia Debate.</w:t>
      </w:r>
      <w:r w:rsidRPr="00C5345F">
        <w:rPr>
          <w:sz w:val="24"/>
          <w:szCs w:val="24"/>
        </w:rPr>
        <w:t> Available: http://swscmedia.wordpress.com/2012/05/23/avoiding-avoidance-recognising-and-responding-to-the-risk-of-resistant-and-uncooperative-parents-in-child-protection-swsc. Last accessed 14th October 2017.</w:t>
      </w:r>
    </w:p>
    <w:p w:rsidR="006A7093" w:rsidRDefault="006A7093" w:rsidP="006A7093">
      <w:pPr>
        <w:pStyle w:val="NormalWeb"/>
        <w:rPr>
          <w:rFonts w:asciiTheme="minorHAnsi" w:hAnsiTheme="minorHAnsi" w:cs="Calibri"/>
        </w:rPr>
      </w:pPr>
    </w:p>
    <w:p w:rsidR="006A7093" w:rsidRPr="00C5345F" w:rsidRDefault="006A7093" w:rsidP="006A7093">
      <w:pPr>
        <w:pStyle w:val="NormalWeb"/>
        <w:rPr>
          <w:rFonts w:asciiTheme="minorHAnsi" w:hAnsiTheme="minorHAnsi"/>
        </w:rPr>
      </w:pPr>
      <w:r w:rsidRPr="00C5345F">
        <w:rPr>
          <w:rFonts w:asciiTheme="minorHAnsi" w:hAnsiTheme="minorHAnsi" w:cs="Calibri"/>
        </w:rPr>
        <w:t>Lucas, A. (2017). </w:t>
      </w:r>
      <w:r w:rsidRPr="00C5345F">
        <w:rPr>
          <w:rFonts w:asciiTheme="minorHAnsi" w:hAnsiTheme="minorHAnsi" w:cs="Calibri"/>
          <w:i/>
          <w:iCs/>
        </w:rPr>
        <w:t>The Importance of Verbal &amp; Non Verbal Communication.</w:t>
      </w:r>
      <w:r w:rsidRPr="00C5345F">
        <w:rPr>
          <w:rFonts w:asciiTheme="minorHAnsi" w:hAnsiTheme="minorHAnsi" w:cs="Calibri"/>
        </w:rPr>
        <w:t> Available: https://www.livestrong.com/article/156961-the-importance-of-verbal-non-verbal-communication/. Last accessed 10th March 2018.</w:t>
      </w:r>
    </w:p>
    <w:p w:rsidR="006A7093" w:rsidRDefault="006A7093" w:rsidP="006A7093">
      <w:pPr>
        <w:rPr>
          <w:rFonts w:cs="Calibri"/>
          <w:sz w:val="24"/>
          <w:szCs w:val="24"/>
        </w:rPr>
      </w:pPr>
    </w:p>
    <w:p w:rsidR="006A7093" w:rsidRPr="00C5345F" w:rsidRDefault="006A7093" w:rsidP="006A7093">
      <w:pPr>
        <w:rPr>
          <w:sz w:val="24"/>
          <w:szCs w:val="24"/>
        </w:rPr>
      </w:pPr>
      <w:r w:rsidRPr="00C5345F">
        <w:rPr>
          <w:rFonts w:cs="Calibri"/>
          <w:sz w:val="24"/>
          <w:szCs w:val="24"/>
        </w:rPr>
        <w:t>McLeod, S. (2017). </w:t>
      </w:r>
      <w:r w:rsidRPr="00C5345F">
        <w:rPr>
          <w:rFonts w:cs="Calibri"/>
          <w:i/>
          <w:iCs/>
          <w:sz w:val="24"/>
          <w:szCs w:val="24"/>
        </w:rPr>
        <w:t>Maslow's Hierarchy of Needs.</w:t>
      </w:r>
      <w:r w:rsidRPr="00C5345F">
        <w:rPr>
          <w:rFonts w:cs="Calibri"/>
          <w:sz w:val="24"/>
          <w:szCs w:val="24"/>
        </w:rPr>
        <w:t> Available: https://www.simplypsychology.org/maslow.html. Last accessed 9th March 2018.</w:t>
      </w:r>
    </w:p>
    <w:p w:rsidR="006A7093" w:rsidRDefault="006A7093" w:rsidP="006A7093">
      <w:pPr>
        <w:rPr>
          <w:rFonts w:cs="Calibri"/>
          <w:sz w:val="24"/>
          <w:szCs w:val="24"/>
        </w:rPr>
      </w:pPr>
    </w:p>
    <w:p w:rsidR="006A7093" w:rsidRPr="00C5345F" w:rsidRDefault="006A7093" w:rsidP="006A7093">
      <w:pPr>
        <w:rPr>
          <w:rFonts w:cs="Calibri"/>
          <w:sz w:val="24"/>
          <w:szCs w:val="24"/>
        </w:rPr>
      </w:pPr>
      <w:r w:rsidRPr="00C5345F">
        <w:rPr>
          <w:rFonts w:cs="Calibri"/>
          <w:sz w:val="24"/>
          <w:szCs w:val="24"/>
        </w:rPr>
        <w:t>Michael, S Kelly. (2013). </w:t>
      </w:r>
      <w:r w:rsidRPr="00C5345F">
        <w:rPr>
          <w:rFonts w:cs="Calibri"/>
          <w:i/>
          <w:iCs/>
          <w:sz w:val="24"/>
          <w:szCs w:val="24"/>
        </w:rPr>
        <w:t>Task-Centred Practice.</w:t>
      </w:r>
      <w:r w:rsidRPr="00C5345F">
        <w:rPr>
          <w:rFonts w:cs="Calibri"/>
          <w:sz w:val="24"/>
          <w:szCs w:val="24"/>
        </w:rPr>
        <w:t> Available: http://socialwork.oxfordre.com/view/10.1093/acrefore/9780199975839.001.0001/acrefore-9780199975839-e-388. Last accessed 10th March 2018.</w:t>
      </w:r>
    </w:p>
    <w:p w:rsidR="006A7093" w:rsidRDefault="006A7093" w:rsidP="006A7093">
      <w:pPr>
        <w:pStyle w:val="NormalWeb"/>
        <w:rPr>
          <w:rFonts w:asciiTheme="minorHAnsi" w:hAnsiTheme="minorHAnsi"/>
        </w:rPr>
      </w:pPr>
    </w:p>
    <w:p w:rsidR="006A7093" w:rsidRPr="00C5345F" w:rsidRDefault="006A7093" w:rsidP="006A7093">
      <w:pPr>
        <w:pStyle w:val="NormalWeb"/>
        <w:rPr>
          <w:rFonts w:asciiTheme="minorHAnsi" w:hAnsiTheme="minorHAnsi"/>
        </w:rPr>
      </w:pPr>
      <w:r w:rsidRPr="00C5345F">
        <w:rPr>
          <w:rFonts w:asciiTheme="minorHAnsi" w:hAnsiTheme="minorHAnsi"/>
        </w:rPr>
        <w:t>Mind Organisation. (2017). </w:t>
      </w:r>
      <w:r w:rsidRPr="00C5345F">
        <w:rPr>
          <w:rFonts w:asciiTheme="minorHAnsi" w:hAnsiTheme="minorHAnsi"/>
          <w:i/>
          <w:iCs/>
        </w:rPr>
        <w:t>Mental Capacity Act 2005.</w:t>
      </w:r>
      <w:r w:rsidRPr="00C5345F">
        <w:rPr>
          <w:rFonts w:asciiTheme="minorHAnsi" w:hAnsiTheme="minorHAnsi"/>
        </w:rPr>
        <w:t> Available: https://www.mind.org.uk/information-support/legal-rights/mental-capacity-act-2005/capacity/#three. Last accessed 10th September 2017.</w:t>
      </w:r>
    </w:p>
    <w:p w:rsidR="006A7093" w:rsidRPr="00C5345F" w:rsidRDefault="006A7093" w:rsidP="006A7093">
      <w:pPr>
        <w:rPr>
          <w:sz w:val="24"/>
          <w:szCs w:val="24"/>
        </w:rPr>
      </w:pPr>
    </w:p>
    <w:p w:rsidR="006A7093" w:rsidRPr="00C5345F" w:rsidRDefault="006A7093" w:rsidP="006A7093">
      <w:pPr>
        <w:spacing w:before="100" w:after="100"/>
        <w:rPr>
          <w:rFonts w:cs="Arial"/>
          <w:sz w:val="24"/>
          <w:szCs w:val="24"/>
        </w:rPr>
      </w:pPr>
      <w:r w:rsidRPr="00C5345F">
        <w:rPr>
          <w:sz w:val="24"/>
          <w:szCs w:val="24"/>
        </w:rPr>
        <w:t>Mitchell, B. (). </w:t>
      </w:r>
      <w:r w:rsidRPr="00C5345F">
        <w:rPr>
          <w:i/>
          <w:iCs/>
          <w:sz w:val="24"/>
          <w:szCs w:val="24"/>
        </w:rPr>
        <w:t>Comparing social work in England and Norway.</w:t>
      </w:r>
      <w:r w:rsidRPr="00C5345F">
        <w:rPr>
          <w:sz w:val="24"/>
          <w:szCs w:val="24"/>
        </w:rPr>
        <w:t>Available: https://www.sanctuarysocialcare.com/blog/comparing-social-work-in-england-and-norway-62352212225. Last accessed 22nd October 2017.</w:t>
      </w:r>
    </w:p>
    <w:p w:rsidR="006A7093" w:rsidRDefault="006A7093" w:rsidP="006A7093">
      <w:pPr>
        <w:spacing w:before="100" w:after="100"/>
        <w:rPr>
          <w:sz w:val="24"/>
          <w:szCs w:val="24"/>
        </w:rPr>
      </w:pPr>
    </w:p>
    <w:p w:rsidR="006A7093" w:rsidRPr="00C5345F" w:rsidRDefault="006A7093" w:rsidP="006A7093">
      <w:pPr>
        <w:spacing w:before="100" w:after="100"/>
        <w:rPr>
          <w:rFonts w:cs="Arial"/>
          <w:sz w:val="24"/>
          <w:szCs w:val="24"/>
        </w:rPr>
      </w:pPr>
      <w:r w:rsidRPr="00C5345F">
        <w:rPr>
          <w:sz w:val="24"/>
          <w:szCs w:val="24"/>
        </w:rPr>
        <w:t>Mitchell, E. (2013). </w:t>
      </w:r>
      <w:r w:rsidRPr="00C5345F">
        <w:rPr>
          <w:i/>
          <w:iCs/>
          <w:sz w:val="24"/>
          <w:szCs w:val="24"/>
        </w:rPr>
        <w:t>England and Wales go their separate ways on social care law.</w:t>
      </w:r>
      <w:r w:rsidRPr="00C5345F">
        <w:rPr>
          <w:sz w:val="24"/>
          <w:szCs w:val="24"/>
        </w:rPr>
        <w:t> Available: http://www.communitycare.co.uk/2013/04/23/england-and-wales-go-their-separate-ways-on-social-care-law/. Last accessed 22/10/17.</w:t>
      </w:r>
    </w:p>
    <w:p w:rsidR="006A7093" w:rsidRDefault="006A7093" w:rsidP="006A7093">
      <w:pPr>
        <w:rPr>
          <w:sz w:val="24"/>
          <w:szCs w:val="24"/>
        </w:rPr>
      </w:pPr>
    </w:p>
    <w:p w:rsidR="006A7093" w:rsidRPr="00C5345F" w:rsidRDefault="006A7093" w:rsidP="006A7093">
      <w:pPr>
        <w:rPr>
          <w:rFonts w:cs="Arial"/>
          <w:sz w:val="24"/>
          <w:szCs w:val="24"/>
        </w:rPr>
      </w:pPr>
      <w:r w:rsidRPr="00C5345F">
        <w:rPr>
          <w:sz w:val="24"/>
          <w:szCs w:val="24"/>
        </w:rPr>
        <w:t>Monds-Watson, A. (2011). Defining key concepts: Aggression, ambivalence and resistance. In: Taylor, Brian J. </w:t>
      </w:r>
      <w:r w:rsidRPr="00C5345F">
        <w:rPr>
          <w:i/>
          <w:iCs/>
          <w:sz w:val="24"/>
          <w:szCs w:val="24"/>
        </w:rPr>
        <w:t>Working with Aggression and Resistance in Social Work</w:t>
      </w:r>
      <w:r w:rsidRPr="00C5345F">
        <w:rPr>
          <w:sz w:val="24"/>
          <w:szCs w:val="24"/>
        </w:rPr>
        <w:t>. Exeter: Learning Matters Ltd. p2.</w:t>
      </w:r>
    </w:p>
    <w:p w:rsidR="006A7093" w:rsidRDefault="006A7093" w:rsidP="006A7093">
      <w:pPr>
        <w:spacing w:before="100" w:after="100"/>
        <w:rPr>
          <w:sz w:val="24"/>
          <w:szCs w:val="24"/>
        </w:rPr>
      </w:pPr>
    </w:p>
    <w:p w:rsidR="006A7093" w:rsidRPr="00C5345F" w:rsidRDefault="006A7093" w:rsidP="006A7093">
      <w:pPr>
        <w:spacing w:before="100" w:after="100"/>
        <w:rPr>
          <w:rFonts w:cs="Times New Roman"/>
          <w:sz w:val="24"/>
          <w:szCs w:val="24"/>
        </w:rPr>
      </w:pPr>
      <w:r w:rsidRPr="00C5345F">
        <w:rPr>
          <w:sz w:val="24"/>
          <w:szCs w:val="24"/>
        </w:rPr>
        <w:t>Munro, E. (2010). </w:t>
      </w:r>
      <w:r w:rsidRPr="00C5345F">
        <w:rPr>
          <w:i/>
          <w:iCs/>
          <w:sz w:val="24"/>
          <w:szCs w:val="24"/>
        </w:rPr>
        <w:t>Learning to Reduce Risk in Child Protection.</w:t>
      </w:r>
      <w:r w:rsidRPr="00C5345F">
        <w:rPr>
          <w:sz w:val="24"/>
          <w:szCs w:val="24"/>
        </w:rPr>
        <w:t xml:space="preserve"> Available: http://eprints.lse.ac.uk/28885/1/Munro_Learning-to-reduce-risk-in-child-protection_2010.pdf. Last accessed 4th October 2017.</w:t>
      </w:r>
    </w:p>
    <w:p w:rsidR="006A7093" w:rsidRDefault="006A7093" w:rsidP="006A7093">
      <w:pPr>
        <w:pStyle w:val="NormalWeb"/>
        <w:rPr>
          <w:rFonts w:asciiTheme="minorHAnsi" w:eastAsia="Times New Roman" w:hAnsiTheme="minorHAnsi" w:cs="Calibri"/>
        </w:rPr>
      </w:pPr>
    </w:p>
    <w:p w:rsidR="006A7093" w:rsidRPr="00C5345F" w:rsidRDefault="006A7093" w:rsidP="006A7093">
      <w:pPr>
        <w:pStyle w:val="NormalWeb"/>
        <w:rPr>
          <w:rFonts w:asciiTheme="minorHAnsi" w:eastAsia="Times New Roman" w:hAnsiTheme="minorHAnsi" w:cs="Calibri"/>
        </w:rPr>
      </w:pPr>
      <w:r w:rsidRPr="00C5345F">
        <w:rPr>
          <w:rFonts w:asciiTheme="minorHAnsi" w:eastAsia="Times New Roman" w:hAnsiTheme="minorHAnsi" w:cs="Calibri"/>
        </w:rPr>
        <w:t>Munro, Eileen. (2011). </w:t>
      </w:r>
      <w:r w:rsidRPr="00C5345F">
        <w:rPr>
          <w:rFonts w:asciiTheme="minorHAnsi" w:eastAsia="Times New Roman" w:hAnsiTheme="minorHAnsi" w:cs="Calibri"/>
          <w:i/>
          <w:iCs/>
        </w:rPr>
        <w:t>The Munro Review of Child Protection: Final Report a child-centred system.</w:t>
      </w:r>
      <w:r w:rsidRPr="00C5345F">
        <w:rPr>
          <w:rFonts w:asciiTheme="minorHAnsi" w:eastAsia="Times New Roman" w:hAnsiTheme="minorHAnsi" w:cs="Calibri"/>
        </w:rPr>
        <w:t> Available: https://www.gov.uk/government/uploads/system/uploads/attachment_data/file/175391/Munro-Review.pdf. Last accessed 10th March 2018.  p.44.</w:t>
      </w:r>
    </w:p>
    <w:p w:rsidR="006A7093" w:rsidRDefault="006A7093" w:rsidP="006A7093">
      <w:pPr>
        <w:spacing w:after="0" w:line="240" w:lineRule="auto"/>
        <w:rPr>
          <w:rFonts w:cs="Calibri"/>
          <w:sz w:val="24"/>
          <w:szCs w:val="24"/>
        </w:rPr>
      </w:pPr>
    </w:p>
    <w:p w:rsidR="006A7093" w:rsidRPr="00C5345F" w:rsidRDefault="006A7093" w:rsidP="006A7093">
      <w:pPr>
        <w:spacing w:after="0" w:line="240" w:lineRule="auto"/>
        <w:rPr>
          <w:sz w:val="24"/>
          <w:szCs w:val="24"/>
        </w:rPr>
      </w:pPr>
      <w:r w:rsidRPr="00C5345F">
        <w:rPr>
          <w:rFonts w:cs="Calibri"/>
          <w:sz w:val="24"/>
          <w:szCs w:val="24"/>
        </w:rPr>
        <w:t>NSPCC. (). </w:t>
      </w:r>
      <w:r w:rsidRPr="00C5345F">
        <w:rPr>
          <w:rFonts w:cs="Calibri"/>
          <w:i/>
          <w:iCs/>
          <w:sz w:val="24"/>
          <w:szCs w:val="24"/>
        </w:rPr>
        <w:t>Neglect what is neglect.</w:t>
      </w:r>
      <w:r w:rsidRPr="00C5345F">
        <w:rPr>
          <w:rFonts w:cs="Calibri"/>
          <w:sz w:val="24"/>
          <w:szCs w:val="24"/>
        </w:rPr>
        <w:t> Available: https://www.nspcc.org.uk/preventing-abuse/child-abuse-and-neglect/neglect/. Last accessed 10th March 2018.</w:t>
      </w:r>
      <w:r w:rsidRPr="00C5345F">
        <w:rPr>
          <w:rFonts w:eastAsia="Times New Roman" w:cs="Calibri"/>
          <w:sz w:val="24"/>
          <w:szCs w:val="24"/>
          <w:lang w:eastAsia="en-GB"/>
        </w:rPr>
        <w:br/>
      </w:r>
    </w:p>
    <w:p w:rsidR="006A7093" w:rsidRDefault="006A7093" w:rsidP="006A7093">
      <w:pPr>
        <w:rPr>
          <w:rFonts w:cs="Calibri"/>
          <w:sz w:val="24"/>
          <w:szCs w:val="24"/>
        </w:rPr>
      </w:pPr>
    </w:p>
    <w:p w:rsidR="006A7093" w:rsidRPr="00C5345F" w:rsidRDefault="006A7093" w:rsidP="006A7093">
      <w:pPr>
        <w:rPr>
          <w:rFonts w:cs="Times New Roman"/>
          <w:sz w:val="24"/>
          <w:szCs w:val="24"/>
        </w:rPr>
      </w:pPr>
      <w:r w:rsidRPr="00C5345F">
        <w:rPr>
          <w:rFonts w:cs="Calibri"/>
          <w:sz w:val="24"/>
          <w:szCs w:val="24"/>
        </w:rPr>
        <w:t>NSPCC. (2015). </w:t>
      </w:r>
      <w:r w:rsidRPr="00C5345F">
        <w:rPr>
          <w:rFonts w:cs="Calibri"/>
          <w:i/>
          <w:iCs/>
          <w:sz w:val="24"/>
          <w:szCs w:val="24"/>
        </w:rPr>
        <w:t>Spotlight on preventing child neglect.</w:t>
      </w:r>
      <w:r w:rsidRPr="00C5345F">
        <w:rPr>
          <w:rFonts w:cs="Calibri"/>
          <w:sz w:val="24"/>
          <w:szCs w:val="24"/>
        </w:rPr>
        <w:t> Available: https://www.nspcc.org.uk/globalassets/documents/research-reports/spotlight-preventing-child-neglect-report.pdf. Last accessed 10th March 2018.</w:t>
      </w:r>
      <w:r w:rsidRPr="00C5345F">
        <w:rPr>
          <w:sz w:val="24"/>
          <w:szCs w:val="24"/>
        </w:rPr>
        <w:t xml:space="preserve">  </w:t>
      </w:r>
    </w:p>
    <w:p w:rsidR="006A7093" w:rsidRDefault="006A7093" w:rsidP="006A7093">
      <w:pPr>
        <w:spacing w:before="100" w:after="100"/>
        <w:rPr>
          <w:sz w:val="24"/>
          <w:szCs w:val="24"/>
        </w:rPr>
      </w:pPr>
    </w:p>
    <w:p w:rsidR="006A7093" w:rsidRPr="00C5345F" w:rsidRDefault="006A7093" w:rsidP="006A7093">
      <w:pPr>
        <w:spacing w:before="100" w:after="100"/>
        <w:rPr>
          <w:rFonts w:cs="Arial"/>
          <w:sz w:val="24"/>
          <w:szCs w:val="24"/>
        </w:rPr>
      </w:pPr>
      <w:r w:rsidRPr="00C5345F">
        <w:rPr>
          <w:sz w:val="24"/>
          <w:szCs w:val="24"/>
        </w:rPr>
        <w:t>NSPCC. (2017). </w:t>
      </w:r>
      <w:r w:rsidRPr="00C5345F">
        <w:rPr>
          <w:i/>
          <w:iCs/>
          <w:sz w:val="24"/>
          <w:szCs w:val="24"/>
        </w:rPr>
        <w:t>Child protection in Wales Legislation, policy and guidance.</w:t>
      </w:r>
      <w:r w:rsidRPr="00C5345F">
        <w:rPr>
          <w:sz w:val="24"/>
          <w:szCs w:val="24"/>
        </w:rPr>
        <w:t> Available: www.nspcc.org.uk/preventing-abuse/child-protection-system/wales/legislation-policy-guidance. Last accessed 4th September 2017.</w:t>
      </w:r>
    </w:p>
    <w:p w:rsidR="006A7093" w:rsidRPr="00C5345F" w:rsidRDefault="006A7093" w:rsidP="006A7093">
      <w:pPr>
        <w:rPr>
          <w:rFonts w:cs="Times New Roman"/>
          <w:sz w:val="24"/>
          <w:szCs w:val="24"/>
        </w:rPr>
      </w:pPr>
      <w:r w:rsidRPr="00C5345F">
        <w:rPr>
          <w:sz w:val="24"/>
          <w:szCs w:val="24"/>
        </w:rPr>
        <w:t xml:space="preserve"> </w:t>
      </w:r>
    </w:p>
    <w:p w:rsidR="006A7093" w:rsidRPr="00C5345F" w:rsidRDefault="006A7093" w:rsidP="006A7093">
      <w:pPr>
        <w:pStyle w:val="NormalWeb"/>
        <w:rPr>
          <w:rFonts w:asciiTheme="minorHAnsi" w:hAnsiTheme="minorHAnsi"/>
        </w:rPr>
      </w:pPr>
      <w:r w:rsidRPr="00C5345F">
        <w:rPr>
          <w:rFonts w:asciiTheme="minorHAnsi" w:hAnsiTheme="minorHAnsi"/>
        </w:rPr>
        <w:t>Parker, J &amp; Bradley, G (2006). </w:t>
      </w:r>
      <w:r w:rsidRPr="00C5345F">
        <w:rPr>
          <w:rFonts w:asciiTheme="minorHAnsi" w:hAnsiTheme="minorHAnsi"/>
          <w:i/>
          <w:iCs/>
        </w:rPr>
        <w:t>Social Work Practice: Assessment, Planning, intervention and Review</w:t>
      </w:r>
      <w:r w:rsidRPr="00C5345F">
        <w:rPr>
          <w:rFonts w:asciiTheme="minorHAnsi" w:hAnsiTheme="minorHAnsi"/>
        </w:rPr>
        <w:t>. Exeter: Learning Matters Ltd. p120.</w:t>
      </w:r>
    </w:p>
    <w:p w:rsidR="006A7093" w:rsidRPr="00C5345F" w:rsidRDefault="006A7093" w:rsidP="006A7093">
      <w:pPr>
        <w:pStyle w:val="NormalWeb"/>
        <w:rPr>
          <w:rFonts w:asciiTheme="minorHAnsi" w:hAnsiTheme="minorHAnsi"/>
        </w:rPr>
      </w:pPr>
    </w:p>
    <w:p w:rsidR="006A7093" w:rsidRPr="00C5345F" w:rsidRDefault="006A7093" w:rsidP="006A7093">
      <w:pPr>
        <w:spacing w:before="100" w:after="100"/>
        <w:rPr>
          <w:rFonts w:cs="Arial"/>
          <w:sz w:val="24"/>
          <w:szCs w:val="24"/>
        </w:rPr>
      </w:pPr>
      <w:r w:rsidRPr="00C5345F">
        <w:rPr>
          <w:sz w:val="24"/>
          <w:szCs w:val="24"/>
        </w:rPr>
        <w:t>Personal Today. (2008). </w:t>
      </w:r>
      <w:r w:rsidRPr="00C5345F">
        <w:rPr>
          <w:i/>
          <w:iCs/>
          <w:sz w:val="24"/>
          <w:szCs w:val="24"/>
        </w:rPr>
        <w:t>Proven Practice: communicating with service users and their carers.</w:t>
      </w:r>
      <w:r w:rsidRPr="00C5345F">
        <w:rPr>
          <w:sz w:val="24"/>
          <w:szCs w:val="24"/>
        </w:rPr>
        <w:t> Available: www.communitycare.co.uk/2008/10/15/proven-practice-communicating-with-service-users-and-their-carers. Last accessed 4th October 2017.</w:t>
      </w:r>
    </w:p>
    <w:p w:rsidR="006A7093" w:rsidRPr="00C5345F" w:rsidRDefault="006A7093" w:rsidP="006A7093">
      <w:pPr>
        <w:pStyle w:val="NormalWeb"/>
        <w:rPr>
          <w:rFonts w:asciiTheme="minorHAnsi" w:hAnsiTheme="minorHAnsi"/>
        </w:rPr>
      </w:pPr>
    </w:p>
    <w:p w:rsidR="006A7093" w:rsidRPr="00C5345F" w:rsidRDefault="006A7093" w:rsidP="006A7093">
      <w:pPr>
        <w:pStyle w:val="NormalWeb"/>
        <w:rPr>
          <w:rFonts w:asciiTheme="minorHAnsi" w:hAnsiTheme="minorHAnsi"/>
        </w:rPr>
      </w:pPr>
    </w:p>
    <w:p w:rsidR="006A7093" w:rsidRPr="00C5345F" w:rsidRDefault="006A7093" w:rsidP="006A7093">
      <w:pPr>
        <w:pStyle w:val="NormalWeb"/>
        <w:rPr>
          <w:rFonts w:asciiTheme="minorHAnsi" w:hAnsiTheme="minorHAnsi"/>
        </w:rPr>
      </w:pPr>
      <w:r w:rsidRPr="00C5345F">
        <w:rPr>
          <w:rFonts w:asciiTheme="minorHAnsi" w:hAnsiTheme="minorHAnsi"/>
        </w:rPr>
        <w:t>Rowntree, J. Foundation. (2006). </w:t>
      </w:r>
      <w:r w:rsidRPr="00C5345F">
        <w:rPr>
          <w:rFonts w:asciiTheme="minorHAnsi" w:hAnsiTheme="minorHAnsi"/>
          <w:i/>
          <w:iCs/>
        </w:rPr>
        <w:t>Person-centred planning in social care.</w:t>
      </w:r>
      <w:r w:rsidRPr="00C5345F">
        <w:rPr>
          <w:rFonts w:asciiTheme="minorHAnsi" w:hAnsiTheme="minorHAnsi"/>
        </w:rPr>
        <w:t>Available: https://www.jrf.org.uk/sites/default/files/jrf/migrated/files/9781859354803.pdf. Last accessed 7th September2017.</w:t>
      </w:r>
    </w:p>
    <w:p w:rsidR="006A7093" w:rsidRPr="00C5345F" w:rsidRDefault="006A7093" w:rsidP="006A7093">
      <w:pPr>
        <w:rPr>
          <w:sz w:val="24"/>
          <w:szCs w:val="24"/>
        </w:rPr>
      </w:pPr>
    </w:p>
    <w:p w:rsidR="006A7093" w:rsidRPr="00C5345F" w:rsidRDefault="006A7093" w:rsidP="006A7093">
      <w:pPr>
        <w:spacing w:before="100" w:after="100"/>
        <w:rPr>
          <w:rFonts w:cs="Arial"/>
          <w:sz w:val="24"/>
          <w:szCs w:val="24"/>
        </w:rPr>
      </w:pPr>
      <w:r w:rsidRPr="00C5345F">
        <w:rPr>
          <w:sz w:val="24"/>
          <w:szCs w:val="24"/>
        </w:rPr>
        <w:t>__ Safeguarding Board. (2017). </w:t>
      </w:r>
      <w:r w:rsidRPr="00C5345F">
        <w:rPr>
          <w:i/>
          <w:iCs/>
          <w:sz w:val="24"/>
          <w:szCs w:val="24"/>
        </w:rPr>
        <w:t>About the Children’s Board.</w:t>
      </w:r>
      <w:r w:rsidRPr="00C5345F">
        <w:rPr>
          <w:sz w:val="24"/>
          <w:szCs w:val="24"/>
        </w:rPr>
        <w:t> Available: www.__safeguardingboard.wales/about-the-childrens-board. Last accessed 3rd September 2017.</w:t>
      </w:r>
    </w:p>
    <w:p w:rsidR="006A7093" w:rsidRPr="00C5345F" w:rsidRDefault="006A7093" w:rsidP="006A7093">
      <w:pPr>
        <w:spacing w:before="100" w:after="100" w:line="240" w:lineRule="auto"/>
        <w:jc w:val="center"/>
        <w:rPr>
          <w:sz w:val="24"/>
          <w:szCs w:val="24"/>
        </w:rPr>
      </w:pPr>
      <w:r w:rsidRPr="00C5345F">
        <w:rPr>
          <w:rFonts w:eastAsia="Times New Roman"/>
          <w:color w:val="000000"/>
          <w:sz w:val="24"/>
          <w:szCs w:val="24"/>
          <w:lang w:eastAsia="en-GB"/>
        </w:rPr>
        <w:t>Skills for care. (2009). </w:t>
      </w:r>
      <w:r w:rsidRPr="00C5345F">
        <w:rPr>
          <w:rFonts w:eastAsia="Times New Roman"/>
          <w:i/>
          <w:iCs/>
          <w:color w:val="000000"/>
          <w:sz w:val="24"/>
          <w:szCs w:val="24"/>
          <w:lang w:eastAsia="en-GB"/>
        </w:rPr>
        <w:t>we’re helping care organisations to focus on outcomes.</w:t>
      </w:r>
      <w:r w:rsidRPr="00C5345F">
        <w:rPr>
          <w:rFonts w:eastAsia="Times New Roman"/>
          <w:color w:val="000000"/>
          <w:sz w:val="24"/>
          <w:szCs w:val="24"/>
          <w:lang w:eastAsia="en-GB"/>
        </w:rPr>
        <w:t> Available: file:///C:/Users/Chris/Downloads/SfC_Outomes_toolkit.pdf. Last accessed 12th March 2018.</w:t>
      </w:r>
    </w:p>
    <w:p w:rsidR="006A7093" w:rsidRPr="00C5345F" w:rsidRDefault="006A7093" w:rsidP="006A7093">
      <w:pPr>
        <w:rPr>
          <w:rFonts w:cs="Times New Roman"/>
          <w:sz w:val="24"/>
          <w:szCs w:val="24"/>
        </w:rPr>
      </w:pPr>
    </w:p>
    <w:p w:rsidR="006A7093" w:rsidRPr="00C5345F" w:rsidRDefault="006A7093" w:rsidP="006A7093">
      <w:pPr>
        <w:pStyle w:val="NormalWeb"/>
        <w:rPr>
          <w:rFonts w:asciiTheme="minorHAnsi" w:hAnsiTheme="minorHAnsi"/>
        </w:rPr>
      </w:pPr>
      <w:r w:rsidRPr="00C5345F">
        <w:rPr>
          <w:rFonts w:asciiTheme="minorHAnsi" w:hAnsiTheme="minorHAnsi"/>
        </w:rPr>
        <w:t>Social Care Institute of Excellence. (2017). </w:t>
      </w:r>
      <w:r w:rsidRPr="00C5345F">
        <w:rPr>
          <w:rFonts w:asciiTheme="minorHAnsi" w:hAnsiTheme="minorHAnsi"/>
          <w:i/>
          <w:iCs/>
        </w:rPr>
        <w:t>Overview of Communication Skills in Social work.</w:t>
      </w:r>
      <w:r w:rsidRPr="00C5345F">
        <w:rPr>
          <w:rFonts w:asciiTheme="minorHAnsi" w:hAnsiTheme="minorHAnsi"/>
        </w:rPr>
        <w:t xml:space="preserve"> Available: www.scie.org.uk/assets/elearning/communications/cs01/resource/html/object1/object13.htm#slide06. Last accessed 8th September 2017. </w:t>
      </w:r>
    </w:p>
    <w:p w:rsidR="006A7093" w:rsidRPr="00C5345F" w:rsidRDefault="006A7093" w:rsidP="006A7093">
      <w:pPr>
        <w:pStyle w:val="NormalWeb"/>
        <w:rPr>
          <w:rFonts w:asciiTheme="minorHAnsi" w:hAnsiTheme="minorHAnsi"/>
        </w:rPr>
      </w:pPr>
    </w:p>
    <w:p w:rsidR="006A7093" w:rsidRPr="00C5345F" w:rsidRDefault="006A7093" w:rsidP="006A7093">
      <w:pPr>
        <w:spacing w:before="100" w:after="100"/>
        <w:rPr>
          <w:rFonts w:cs="Arial"/>
          <w:sz w:val="24"/>
          <w:szCs w:val="24"/>
        </w:rPr>
      </w:pPr>
      <w:r w:rsidRPr="00C5345F">
        <w:rPr>
          <w:sz w:val="24"/>
          <w:szCs w:val="24"/>
        </w:rPr>
        <w:t>Social Care Wales. (2017). </w:t>
      </w:r>
      <w:r w:rsidRPr="00C5345F">
        <w:rPr>
          <w:i/>
          <w:iCs/>
          <w:sz w:val="24"/>
          <w:szCs w:val="24"/>
        </w:rPr>
        <w:t>Fitness to practise Code of Professional Practice and guidance.</w:t>
      </w:r>
      <w:r w:rsidRPr="00C5345F">
        <w:rPr>
          <w:sz w:val="24"/>
          <w:szCs w:val="24"/>
        </w:rPr>
        <w:t> Available: http://socialcare.wales/landing-page/code-of-professional-practice-and-guidance. Last accessed 4th September 2017.</w:t>
      </w:r>
    </w:p>
    <w:p w:rsidR="006A7093" w:rsidRPr="00C5345F" w:rsidRDefault="006A7093" w:rsidP="006A7093">
      <w:pPr>
        <w:pStyle w:val="NormalWeb"/>
        <w:rPr>
          <w:rFonts w:asciiTheme="minorHAnsi" w:hAnsiTheme="minorHAnsi"/>
        </w:rPr>
      </w:pPr>
    </w:p>
    <w:p w:rsidR="006A7093" w:rsidRPr="00C5345F" w:rsidRDefault="006A7093" w:rsidP="006A7093">
      <w:pPr>
        <w:pStyle w:val="NormalWeb"/>
        <w:rPr>
          <w:rFonts w:asciiTheme="minorHAnsi" w:hAnsiTheme="minorHAnsi"/>
        </w:rPr>
      </w:pPr>
      <w:r w:rsidRPr="00C5345F">
        <w:rPr>
          <w:rFonts w:asciiTheme="minorHAnsi" w:hAnsiTheme="minorHAnsi"/>
        </w:rPr>
        <w:t>Social Care Wales. (2017). </w:t>
      </w:r>
      <w:r w:rsidRPr="00C5345F">
        <w:rPr>
          <w:rFonts w:asciiTheme="minorHAnsi" w:hAnsiTheme="minorHAnsi"/>
          <w:i/>
          <w:iCs/>
        </w:rPr>
        <w:t>Information and Learning Hub.</w:t>
      </w:r>
      <w:r w:rsidRPr="00C5345F">
        <w:rPr>
          <w:rFonts w:asciiTheme="minorHAnsi" w:hAnsiTheme="minorHAnsi"/>
        </w:rPr>
        <w:t> Available: http://socialcare.wales/hub/sswact. Last accessed 8th September 2017.</w:t>
      </w:r>
    </w:p>
    <w:p w:rsidR="006A7093" w:rsidRPr="00C5345F" w:rsidRDefault="006A7093" w:rsidP="006A7093">
      <w:pPr>
        <w:pStyle w:val="NormalWeb"/>
        <w:rPr>
          <w:rFonts w:asciiTheme="minorHAnsi" w:hAnsiTheme="minorHAnsi"/>
        </w:rPr>
      </w:pPr>
    </w:p>
    <w:p w:rsidR="006A7093" w:rsidRPr="00C5345F" w:rsidRDefault="006A7093" w:rsidP="006A7093">
      <w:pPr>
        <w:spacing w:before="100" w:after="100"/>
        <w:rPr>
          <w:rFonts w:cs="Arial"/>
          <w:sz w:val="24"/>
          <w:szCs w:val="24"/>
        </w:rPr>
      </w:pPr>
      <w:r w:rsidRPr="00C5345F">
        <w:rPr>
          <w:sz w:val="24"/>
          <w:szCs w:val="24"/>
        </w:rPr>
        <w:t>Social Care Wales. (2017). </w:t>
      </w:r>
      <w:r w:rsidRPr="00C5345F">
        <w:rPr>
          <w:i/>
          <w:iCs/>
          <w:sz w:val="24"/>
          <w:szCs w:val="24"/>
        </w:rPr>
        <w:t>The social worker Practice guidance for social workers registered with Social Care Wales.</w:t>
      </w:r>
      <w:r w:rsidRPr="00C5345F">
        <w:rPr>
          <w:sz w:val="24"/>
          <w:szCs w:val="24"/>
        </w:rPr>
        <w:t> Available: https://socialcare.wales/cms_assets/file-uploads/The-social-worker-April-2017.pdf. Last accessed 15th October 2017.</w:t>
      </w:r>
    </w:p>
    <w:p w:rsidR="006A7093" w:rsidRPr="00C5345F" w:rsidRDefault="006A7093" w:rsidP="006A7093">
      <w:pPr>
        <w:spacing w:before="100" w:after="100"/>
        <w:rPr>
          <w:rFonts w:cs="Times New Roman"/>
          <w:sz w:val="24"/>
          <w:szCs w:val="24"/>
        </w:rPr>
      </w:pPr>
    </w:p>
    <w:p w:rsidR="006A7093" w:rsidRPr="00C5345F" w:rsidRDefault="006A7093" w:rsidP="006A7093">
      <w:pPr>
        <w:spacing w:before="100" w:after="100"/>
        <w:rPr>
          <w:sz w:val="24"/>
          <w:szCs w:val="24"/>
        </w:rPr>
      </w:pPr>
      <w:r w:rsidRPr="00C5345F">
        <w:rPr>
          <w:sz w:val="24"/>
          <w:szCs w:val="24"/>
        </w:rPr>
        <w:t>Spicker, P. (2017). </w:t>
      </w:r>
      <w:r w:rsidRPr="00C5345F">
        <w:rPr>
          <w:i/>
          <w:iCs/>
          <w:sz w:val="24"/>
          <w:szCs w:val="24"/>
        </w:rPr>
        <w:t>An introduction to Social Policy.</w:t>
      </w:r>
      <w:r w:rsidRPr="00C5345F">
        <w:rPr>
          <w:sz w:val="24"/>
          <w:szCs w:val="24"/>
        </w:rPr>
        <w:t> Available: http://www.spicker.uk/social-policy/uk.htm. Last accessed 22nd October 2017.</w:t>
      </w:r>
    </w:p>
    <w:p w:rsidR="006A7093" w:rsidRPr="00C5345F" w:rsidRDefault="006A7093" w:rsidP="006A7093">
      <w:pPr>
        <w:pStyle w:val="NormalWeb"/>
        <w:rPr>
          <w:rFonts w:asciiTheme="minorHAnsi" w:hAnsiTheme="minorHAnsi"/>
        </w:rPr>
      </w:pPr>
    </w:p>
    <w:p w:rsidR="006A7093" w:rsidRPr="00C5345F" w:rsidRDefault="006A7093" w:rsidP="006A7093">
      <w:pPr>
        <w:spacing w:before="100" w:after="100"/>
        <w:rPr>
          <w:rFonts w:cs="Arial"/>
          <w:sz w:val="24"/>
          <w:szCs w:val="24"/>
        </w:rPr>
      </w:pPr>
      <w:r w:rsidRPr="00C5345F">
        <w:rPr>
          <w:sz w:val="24"/>
          <w:szCs w:val="24"/>
        </w:rPr>
        <w:t>Spiker, P. (2017). </w:t>
      </w:r>
      <w:r w:rsidRPr="00C5345F">
        <w:rPr>
          <w:i/>
          <w:iCs/>
          <w:sz w:val="24"/>
          <w:szCs w:val="24"/>
        </w:rPr>
        <w:t>Welfare states.</w:t>
      </w:r>
      <w:r w:rsidRPr="00C5345F">
        <w:rPr>
          <w:sz w:val="24"/>
          <w:szCs w:val="24"/>
        </w:rPr>
        <w:t> Available: http://www.spicker.uk/social-policy/wstate.htm. Last accessed 22nd October 2017.</w:t>
      </w:r>
    </w:p>
    <w:p w:rsidR="006A7093" w:rsidRPr="00C5345F" w:rsidRDefault="006A7093" w:rsidP="006A7093">
      <w:pPr>
        <w:pStyle w:val="NormalWeb"/>
        <w:rPr>
          <w:rFonts w:asciiTheme="minorHAnsi" w:hAnsiTheme="minorHAnsi"/>
        </w:rPr>
      </w:pPr>
    </w:p>
    <w:p w:rsidR="006A7093" w:rsidRPr="00C5345F" w:rsidRDefault="006A7093" w:rsidP="006A7093">
      <w:pPr>
        <w:spacing w:before="100" w:after="100"/>
        <w:rPr>
          <w:rFonts w:cs="Arial"/>
          <w:sz w:val="24"/>
          <w:szCs w:val="24"/>
        </w:rPr>
      </w:pPr>
      <w:r w:rsidRPr="00C5345F">
        <w:rPr>
          <w:sz w:val="24"/>
          <w:szCs w:val="24"/>
        </w:rPr>
        <w:t>Staffordshire and Stoke-on-Trent Safeguarding Children Boards. (2016). </w:t>
      </w:r>
      <w:r w:rsidRPr="00C5345F">
        <w:rPr>
          <w:i/>
          <w:iCs/>
          <w:sz w:val="24"/>
          <w:szCs w:val="24"/>
        </w:rPr>
        <w:t>Multi Agency Good Practice Guidance for Recognising and Responding to Cases of Child Neglect.</w:t>
      </w:r>
      <w:r w:rsidRPr="00C5345F">
        <w:rPr>
          <w:sz w:val="24"/>
          <w:szCs w:val="24"/>
        </w:rPr>
        <w:t> Available: http://webapps.stoke.gov.uk/uploadedfiles/D15_Neglect_v10_Sept_2016.pdf. Last accessed 4th September 2017.</w:t>
      </w:r>
    </w:p>
    <w:p w:rsidR="006A7093" w:rsidRPr="00C5345F" w:rsidRDefault="006A7093" w:rsidP="006A7093">
      <w:pPr>
        <w:pStyle w:val="NormalWeb"/>
        <w:rPr>
          <w:rFonts w:asciiTheme="minorHAnsi" w:hAnsiTheme="minorHAnsi"/>
        </w:rPr>
      </w:pPr>
    </w:p>
    <w:p w:rsidR="006A7093" w:rsidRPr="00C5345F" w:rsidRDefault="006A7093" w:rsidP="006A7093">
      <w:pPr>
        <w:pStyle w:val="NormalWeb"/>
        <w:rPr>
          <w:rFonts w:asciiTheme="minorHAnsi" w:hAnsiTheme="minorHAnsi"/>
        </w:rPr>
      </w:pPr>
    </w:p>
    <w:p w:rsidR="006A7093" w:rsidRPr="00C5345F" w:rsidRDefault="006A7093" w:rsidP="006A7093">
      <w:pPr>
        <w:pStyle w:val="NormalWeb"/>
        <w:rPr>
          <w:rFonts w:asciiTheme="minorHAnsi" w:hAnsiTheme="minorHAnsi"/>
        </w:rPr>
      </w:pPr>
      <w:r w:rsidRPr="00C5345F">
        <w:rPr>
          <w:rFonts w:asciiTheme="minorHAnsi" w:hAnsiTheme="minorHAnsi"/>
        </w:rPr>
        <w:t>Stone, B. (2016). </w:t>
      </w:r>
      <w:r w:rsidRPr="00C5345F">
        <w:rPr>
          <w:rFonts w:asciiTheme="minorHAnsi" w:hAnsiTheme="minorHAnsi"/>
          <w:i/>
          <w:iCs/>
        </w:rPr>
        <w:t>Safeguarding Adults and Children: Similarities and Differences.</w:t>
      </w:r>
      <w:r w:rsidRPr="00C5345F">
        <w:rPr>
          <w:rFonts w:asciiTheme="minorHAnsi" w:hAnsiTheme="minorHAnsi"/>
        </w:rPr>
        <w:t> Available: files./documents/CaringMar16HiRes.pdf. Last accessed 7</w:t>
      </w:r>
      <w:r w:rsidRPr="00C5345F">
        <w:rPr>
          <w:rFonts w:asciiTheme="minorHAnsi" w:hAnsiTheme="minorHAnsi"/>
          <w:vertAlign w:val="superscript"/>
        </w:rPr>
        <w:t>th</w:t>
      </w:r>
      <w:r w:rsidRPr="00C5345F">
        <w:rPr>
          <w:rFonts w:asciiTheme="minorHAnsi" w:hAnsiTheme="minorHAnsi"/>
        </w:rPr>
        <w:t xml:space="preserve"> September 2017.</w:t>
      </w:r>
    </w:p>
    <w:p w:rsidR="006A7093" w:rsidRPr="00C5345F" w:rsidRDefault="006A7093" w:rsidP="006A7093">
      <w:pPr>
        <w:pStyle w:val="NormalWeb"/>
        <w:rPr>
          <w:rFonts w:asciiTheme="minorHAnsi" w:hAnsiTheme="minorHAnsi"/>
        </w:rPr>
      </w:pPr>
    </w:p>
    <w:p w:rsidR="006A7093" w:rsidRPr="00C5345F" w:rsidRDefault="006A7093" w:rsidP="006A7093">
      <w:pPr>
        <w:pStyle w:val="NormalWeb"/>
        <w:rPr>
          <w:rFonts w:asciiTheme="minorHAnsi" w:hAnsiTheme="minorHAnsi"/>
        </w:rPr>
      </w:pPr>
      <w:r w:rsidRPr="00C5345F">
        <w:rPr>
          <w:rFonts w:asciiTheme="minorHAnsi" w:hAnsiTheme="minorHAnsi"/>
        </w:rPr>
        <w:t>The Open University. (2017). </w:t>
      </w:r>
      <w:r w:rsidRPr="00C5345F">
        <w:rPr>
          <w:rFonts w:asciiTheme="minorHAnsi" w:hAnsiTheme="minorHAnsi"/>
          <w:i/>
          <w:iCs/>
        </w:rPr>
        <w:t>An introduction to social work in Wales.</w:t>
      </w:r>
      <w:r w:rsidRPr="00C5345F">
        <w:rPr>
          <w:rFonts w:asciiTheme="minorHAnsi" w:hAnsiTheme="minorHAnsi"/>
        </w:rPr>
        <w:t xml:space="preserve"> Available:  www.open.edu/openlearn/health-sports-psychology/social-care/introduction-social-work-wales/content-section-5.2. Last accessed 15th October 2017.</w:t>
      </w:r>
    </w:p>
    <w:p w:rsidR="006A7093" w:rsidRPr="00C5345F" w:rsidRDefault="006A7093" w:rsidP="006A7093">
      <w:pPr>
        <w:pStyle w:val="NormalWeb"/>
        <w:rPr>
          <w:rFonts w:asciiTheme="minorHAnsi" w:hAnsiTheme="minorHAnsi"/>
        </w:rPr>
      </w:pPr>
    </w:p>
    <w:p w:rsidR="006A7093" w:rsidRPr="00C5345F" w:rsidRDefault="006A7093" w:rsidP="006A7093">
      <w:pPr>
        <w:spacing w:before="100" w:after="100"/>
        <w:rPr>
          <w:rFonts w:cs="Arial"/>
          <w:sz w:val="24"/>
          <w:szCs w:val="24"/>
        </w:rPr>
      </w:pPr>
      <w:r w:rsidRPr="00C5345F">
        <w:rPr>
          <w:sz w:val="24"/>
          <w:szCs w:val="24"/>
        </w:rPr>
        <w:t>UK Essays. (2015). </w:t>
      </w:r>
      <w:r w:rsidRPr="00C5345F">
        <w:rPr>
          <w:i/>
          <w:iCs/>
          <w:sz w:val="24"/>
          <w:szCs w:val="24"/>
        </w:rPr>
        <w:t>Critically discuss Bronfenbrenner’s ecological model of child development.</w:t>
      </w:r>
      <w:r w:rsidRPr="00C5345F">
        <w:rPr>
          <w:sz w:val="24"/>
          <w:szCs w:val="24"/>
        </w:rPr>
        <w:t> Available: http://www.ukessays.com/essays/psychology/critically-discuss-bronfenbrenners-ecological-model-of-child-development-psychology-essay.php. Last accessed 4th October 2017.</w:t>
      </w:r>
    </w:p>
    <w:p w:rsidR="006A7093" w:rsidRPr="00C5345F" w:rsidRDefault="006A7093" w:rsidP="006A7093">
      <w:pPr>
        <w:pStyle w:val="NormalWeb"/>
        <w:rPr>
          <w:rFonts w:asciiTheme="minorHAnsi" w:hAnsiTheme="minorHAnsi"/>
        </w:rPr>
      </w:pPr>
    </w:p>
    <w:p w:rsidR="006A7093" w:rsidRPr="00C5345F" w:rsidRDefault="006A7093" w:rsidP="006A7093">
      <w:pPr>
        <w:rPr>
          <w:b/>
          <w:bCs/>
          <w:sz w:val="24"/>
          <w:szCs w:val="24"/>
        </w:rPr>
      </w:pPr>
      <w:r w:rsidRPr="00C5345F">
        <w:rPr>
          <w:rFonts w:eastAsia="Times New Roman"/>
          <w:color w:val="000000"/>
          <w:sz w:val="24"/>
          <w:szCs w:val="24"/>
          <w:lang w:eastAsia="en-GB"/>
        </w:rPr>
        <w:t>Welsh Government. (). </w:t>
      </w:r>
      <w:r w:rsidRPr="00C5345F">
        <w:rPr>
          <w:rFonts w:eastAsia="Times New Roman"/>
          <w:i/>
          <w:iCs/>
          <w:color w:val="000000"/>
          <w:sz w:val="24"/>
          <w:szCs w:val="24"/>
          <w:lang w:eastAsia="en-GB"/>
        </w:rPr>
        <w:t>More than just words.</w:t>
      </w:r>
      <w:r w:rsidRPr="00C5345F">
        <w:rPr>
          <w:rFonts w:eastAsia="Times New Roman"/>
          <w:color w:val="000000"/>
          <w:sz w:val="24"/>
          <w:szCs w:val="24"/>
          <w:lang w:eastAsia="en-GB"/>
        </w:rPr>
        <w:t> Available: https://www.youtube.com/watch?v=tVOHcDa ug. Last accessed 12th October 2017.</w:t>
      </w:r>
    </w:p>
    <w:p w:rsidR="006A7093" w:rsidRPr="00C5345F" w:rsidRDefault="006A7093" w:rsidP="006A7093">
      <w:pPr>
        <w:pStyle w:val="NormalWeb"/>
        <w:rPr>
          <w:rFonts w:asciiTheme="minorHAnsi" w:hAnsiTheme="minorHAnsi"/>
        </w:rPr>
      </w:pPr>
      <w:r w:rsidRPr="00C5345F">
        <w:rPr>
          <w:rFonts w:asciiTheme="minorHAnsi" w:hAnsiTheme="minorHAnsi"/>
        </w:rPr>
        <w:t>Welsh Assembly Government. (2012). </w:t>
      </w:r>
      <w:r w:rsidRPr="00C5345F">
        <w:rPr>
          <w:rFonts w:asciiTheme="minorHAnsi" w:hAnsiTheme="minorHAnsi"/>
          <w:i/>
          <w:iCs/>
        </w:rPr>
        <w:t>More than just words - Gwenan Prysor.</w:t>
      </w:r>
      <w:r w:rsidRPr="00C5345F">
        <w:rPr>
          <w:rFonts w:asciiTheme="minorHAnsi" w:hAnsiTheme="minorHAnsi"/>
        </w:rPr>
        <w:t> Available: www.youtube.com/watch?v=qS-9F_qqOXo. Last accessed 12th October 2017</w:t>
      </w:r>
    </w:p>
    <w:p w:rsidR="006A7093" w:rsidRPr="00C5345F" w:rsidRDefault="006A7093" w:rsidP="006A7093">
      <w:pPr>
        <w:pStyle w:val="NormalWeb"/>
        <w:rPr>
          <w:rFonts w:asciiTheme="minorHAnsi" w:hAnsiTheme="minorHAnsi"/>
        </w:rPr>
      </w:pPr>
    </w:p>
    <w:p w:rsidR="006A7093" w:rsidRPr="00C5345F" w:rsidRDefault="006A7093" w:rsidP="006A7093">
      <w:pPr>
        <w:pStyle w:val="NormalWeb"/>
        <w:rPr>
          <w:rFonts w:asciiTheme="minorHAnsi" w:hAnsiTheme="minorHAnsi"/>
        </w:rPr>
      </w:pPr>
      <w:r w:rsidRPr="00C5345F">
        <w:rPr>
          <w:rFonts w:asciiTheme="minorHAnsi" w:hAnsiTheme="minorHAnsi"/>
        </w:rPr>
        <w:t>Welsh Government. (2017). </w:t>
      </w:r>
      <w:r w:rsidRPr="00C5345F">
        <w:rPr>
          <w:rFonts w:asciiTheme="minorHAnsi" w:hAnsiTheme="minorHAnsi"/>
          <w:i/>
          <w:iCs/>
        </w:rPr>
        <w:t>Code of Professional Practice for Social Care.</w:t>
      </w:r>
      <w:r w:rsidRPr="00C5345F">
        <w:rPr>
          <w:rFonts w:asciiTheme="minorHAnsi" w:hAnsiTheme="minorHAnsi"/>
        </w:rPr>
        <w:t xml:space="preserve"> Available: </w:t>
      </w:r>
      <w:hyperlink r:id="rId12" w:history="1">
        <w:r w:rsidRPr="00C5345F">
          <w:rPr>
            <w:rStyle w:val="Hyperlink"/>
            <w:rFonts w:asciiTheme="minorHAnsi" w:hAnsiTheme="minorHAnsi"/>
          </w:rPr>
          <w:t>https://socialcare.wales/cms_assets/file-uploads/Code-of-Professional-Practice-for-S</w:t>
        </w:r>
      </w:hyperlink>
      <w:r w:rsidRPr="00C5345F">
        <w:rPr>
          <w:rFonts w:asciiTheme="minorHAnsi" w:hAnsiTheme="minorHAnsi"/>
        </w:rPr>
        <w:t xml:space="preserve"> ocial-Care-web-version.pdf. Last accessed 7th September2017.</w:t>
      </w:r>
    </w:p>
    <w:p w:rsidR="006A7093" w:rsidRPr="00C5345F" w:rsidRDefault="006A7093" w:rsidP="006A7093">
      <w:pPr>
        <w:rPr>
          <w:sz w:val="24"/>
          <w:szCs w:val="24"/>
        </w:rPr>
      </w:pPr>
    </w:p>
    <w:p w:rsidR="006A7093" w:rsidRPr="00C5345F" w:rsidRDefault="006A7093" w:rsidP="006A7093">
      <w:pPr>
        <w:rPr>
          <w:rFonts w:cs="Arial"/>
          <w:sz w:val="24"/>
          <w:szCs w:val="24"/>
        </w:rPr>
      </w:pPr>
      <w:r w:rsidRPr="00C5345F">
        <w:rPr>
          <w:sz w:val="24"/>
          <w:szCs w:val="24"/>
        </w:rPr>
        <w:t>Welsh Government. (2014). </w:t>
      </w:r>
      <w:r w:rsidRPr="00C5345F">
        <w:rPr>
          <w:i/>
          <w:iCs/>
          <w:sz w:val="24"/>
          <w:szCs w:val="24"/>
        </w:rPr>
        <w:t>The Social Services and Well-being (Wales) Act 2014 Part 7 Strengthening Safeguarding.</w:t>
      </w:r>
      <w:r w:rsidRPr="00C5345F">
        <w:rPr>
          <w:sz w:val="24"/>
          <w:szCs w:val="24"/>
        </w:rPr>
        <w:t> Available: https://consultations.gov.wales/sites/default/files/consultation-documents/141222presentation7en.pdf. Last accessed 8th September 2017.</w:t>
      </w:r>
    </w:p>
    <w:p w:rsidR="006A7093" w:rsidRPr="00C5345F" w:rsidRDefault="006A7093" w:rsidP="006A7093">
      <w:pPr>
        <w:pStyle w:val="NormalWeb"/>
        <w:rPr>
          <w:rFonts w:asciiTheme="minorHAnsi" w:hAnsiTheme="minorHAnsi"/>
        </w:rPr>
      </w:pPr>
    </w:p>
    <w:p w:rsidR="006A7093" w:rsidRPr="00C5345F" w:rsidRDefault="006A7093" w:rsidP="006A7093">
      <w:pPr>
        <w:spacing w:before="100" w:after="100"/>
        <w:rPr>
          <w:rFonts w:cs="Arial"/>
          <w:sz w:val="24"/>
          <w:szCs w:val="24"/>
        </w:rPr>
      </w:pPr>
      <w:r w:rsidRPr="00C5345F">
        <w:rPr>
          <w:sz w:val="24"/>
          <w:szCs w:val="24"/>
        </w:rPr>
        <w:t>Welsh Government. (2014). </w:t>
      </w:r>
      <w:r w:rsidRPr="00C5345F">
        <w:rPr>
          <w:i/>
          <w:iCs/>
          <w:sz w:val="24"/>
          <w:szCs w:val="24"/>
        </w:rPr>
        <w:t>Social Services and Well-being (Wales) Act 2014.</w:t>
      </w:r>
      <w:r w:rsidRPr="00C5345F">
        <w:rPr>
          <w:sz w:val="24"/>
          <w:szCs w:val="24"/>
        </w:rPr>
        <w:t> Available: www.legislation.gov.uk/anaw/2014/4/section/21/enacted. Last accessed 4th October 2017.</w:t>
      </w:r>
    </w:p>
    <w:p w:rsidR="006A7093" w:rsidRPr="00C5345F" w:rsidRDefault="006A7093" w:rsidP="006A7093">
      <w:pPr>
        <w:pStyle w:val="NormalWeb"/>
        <w:rPr>
          <w:rFonts w:asciiTheme="minorHAnsi" w:hAnsiTheme="minorHAnsi"/>
        </w:rPr>
      </w:pPr>
    </w:p>
    <w:p w:rsidR="006A7093" w:rsidRPr="00C5345F" w:rsidRDefault="006A7093" w:rsidP="006A7093">
      <w:pPr>
        <w:spacing w:before="100" w:after="100"/>
        <w:rPr>
          <w:rFonts w:cs="Arial"/>
          <w:sz w:val="24"/>
          <w:szCs w:val="24"/>
        </w:rPr>
      </w:pPr>
      <w:r w:rsidRPr="00C5345F">
        <w:rPr>
          <w:sz w:val="24"/>
          <w:szCs w:val="24"/>
        </w:rPr>
        <w:t>Welsh Government. (2015). </w:t>
      </w:r>
      <w:r w:rsidRPr="00C5345F">
        <w:rPr>
          <w:i/>
          <w:iCs/>
          <w:sz w:val="24"/>
          <w:szCs w:val="24"/>
        </w:rPr>
        <w:t>Social Services and Well-being (Wales) Act.</w:t>
      </w:r>
      <w:r w:rsidRPr="00C5345F">
        <w:rPr>
          <w:sz w:val="24"/>
          <w:szCs w:val="24"/>
        </w:rPr>
        <w:t> Available: gov.wales/docs/dhss/publications/151023comms-infographicen.pdf. Last accessed 4th October 2017.</w:t>
      </w:r>
    </w:p>
    <w:p w:rsidR="006A7093" w:rsidRPr="00C5345F" w:rsidRDefault="006A7093" w:rsidP="006A7093">
      <w:pPr>
        <w:pStyle w:val="NormalWeb"/>
        <w:rPr>
          <w:rFonts w:asciiTheme="minorHAnsi" w:hAnsiTheme="minorHAnsi"/>
        </w:rPr>
      </w:pPr>
    </w:p>
    <w:p w:rsidR="006A7093" w:rsidRPr="00C5345F" w:rsidRDefault="006A7093" w:rsidP="006A7093">
      <w:pPr>
        <w:rPr>
          <w:sz w:val="24"/>
          <w:szCs w:val="24"/>
        </w:rPr>
      </w:pPr>
      <w:r w:rsidRPr="00C5345F">
        <w:rPr>
          <w:sz w:val="24"/>
          <w:szCs w:val="24"/>
        </w:rPr>
        <w:t>Welsh Statutory Instruments. (2015). </w:t>
      </w:r>
      <w:r w:rsidRPr="00C5345F">
        <w:rPr>
          <w:i/>
          <w:iCs/>
          <w:sz w:val="24"/>
          <w:szCs w:val="24"/>
        </w:rPr>
        <w:t>The Care and Support (Assessment) (Wales) Regulations 2015.</w:t>
      </w:r>
      <w:r w:rsidRPr="00C5345F">
        <w:rPr>
          <w:sz w:val="24"/>
          <w:szCs w:val="24"/>
        </w:rPr>
        <w:t> Available: http://www.legislation.gov.uk/wsi/2015/1305/pdfs/wsi_20151305_mi.pdf. Last accessed 9th September 2017.</w:t>
      </w:r>
    </w:p>
    <w:p w:rsidR="006A7093" w:rsidRDefault="006A7093" w:rsidP="006A7093">
      <w:pPr>
        <w:rPr>
          <w:sz w:val="24"/>
          <w:szCs w:val="24"/>
        </w:rPr>
      </w:pPr>
    </w:p>
    <w:p w:rsidR="006A7093" w:rsidRDefault="006A7093" w:rsidP="006A7093">
      <w:pPr>
        <w:rPr>
          <w:sz w:val="24"/>
          <w:szCs w:val="24"/>
        </w:rPr>
      </w:pPr>
    </w:p>
    <w:p w:rsidR="006A7093" w:rsidRDefault="006A7093" w:rsidP="006A7093">
      <w:pPr>
        <w:jc w:val="both"/>
        <w:rPr>
          <w:b/>
          <w:bCs/>
          <w:sz w:val="24"/>
          <w:szCs w:val="24"/>
        </w:rPr>
      </w:pPr>
    </w:p>
    <w:p w:rsidR="006A7093" w:rsidRDefault="006A7093" w:rsidP="006A7093">
      <w:pPr>
        <w:jc w:val="center"/>
        <w:rPr>
          <w:sz w:val="20"/>
          <w:szCs w:val="20"/>
        </w:rPr>
      </w:pPr>
      <w:r>
        <w:rPr>
          <w:rFonts w:ascii="Arial Unicode MS" w:eastAsia="Arial Unicode MS" w:hAnsi="Arial Unicode MS" w:cs="Arial Unicode MS" w:hint="eastAsia"/>
          <w:sz w:val="24"/>
          <w:szCs w:val="24"/>
        </w:rPr>
        <w:br w:type="page"/>
      </w:r>
    </w:p>
    <w:p w:rsidR="006A7093" w:rsidRPr="006A7093" w:rsidRDefault="006A7093" w:rsidP="006A7093">
      <w:pPr>
        <w:rPr>
          <w:b/>
          <w:bCs/>
          <w:sz w:val="28"/>
          <w:szCs w:val="28"/>
        </w:rPr>
      </w:pPr>
    </w:p>
    <w:p w:rsidR="006A7093" w:rsidRDefault="006A7093" w:rsidP="006A7093">
      <w:pPr>
        <w:jc w:val="center"/>
      </w:pPr>
    </w:p>
    <w:sectPr w:rsidR="006A709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1BD" w:rsidRDefault="00AA21BD" w:rsidP="00DF0EDE">
      <w:pPr>
        <w:spacing w:after="0" w:line="240" w:lineRule="auto"/>
      </w:pPr>
      <w:r>
        <w:separator/>
      </w:r>
    </w:p>
  </w:endnote>
  <w:endnote w:type="continuationSeparator" w:id="0">
    <w:p w:rsidR="00AA21BD" w:rsidRDefault="00AA21BD" w:rsidP="00DF0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4460847"/>
      <w:docPartObj>
        <w:docPartGallery w:val="Page Numbers (Bottom of Page)"/>
        <w:docPartUnique/>
      </w:docPartObj>
    </w:sdtPr>
    <w:sdtEndPr>
      <w:rPr>
        <w:noProof/>
      </w:rPr>
    </w:sdtEndPr>
    <w:sdtContent>
      <w:p w:rsidR="00DF0EDE" w:rsidRDefault="00DF0EDE">
        <w:pPr>
          <w:pStyle w:val="Footer"/>
          <w:jc w:val="center"/>
        </w:pPr>
        <w:r>
          <w:fldChar w:fldCharType="begin"/>
        </w:r>
        <w:r>
          <w:instrText xml:space="preserve"> PAGE   \* MERGEFORMAT </w:instrText>
        </w:r>
        <w:r>
          <w:fldChar w:fldCharType="separate"/>
        </w:r>
        <w:r w:rsidR="00F4179F">
          <w:rPr>
            <w:noProof/>
          </w:rPr>
          <w:t>1</w:t>
        </w:r>
        <w:r>
          <w:rPr>
            <w:noProof/>
          </w:rPr>
          <w:fldChar w:fldCharType="end"/>
        </w:r>
      </w:p>
    </w:sdtContent>
  </w:sdt>
  <w:p w:rsidR="00DF0EDE" w:rsidRDefault="00DF0E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1BD" w:rsidRDefault="00AA21BD" w:rsidP="00DF0EDE">
      <w:pPr>
        <w:spacing w:after="0" w:line="240" w:lineRule="auto"/>
      </w:pPr>
      <w:r>
        <w:separator/>
      </w:r>
    </w:p>
  </w:footnote>
  <w:footnote w:type="continuationSeparator" w:id="0">
    <w:p w:rsidR="00AA21BD" w:rsidRDefault="00AA21BD" w:rsidP="00DF0E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093"/>
    <w:rsid w:val="0000624E"/>
    <w:rsid w:val="000079F3"/>
    <w:rsid w:val="00013F14"/>
    <w:rsid w:val="00016D37"/>
    <w:rsid w:val="0002458F"/>
    <w:rsid w:val="00026CE9"/>
    <w:rsid w:val="0004155B"/>
    <w:rsid w:val="00044097"/>
    <w:rsid w:val="00046380"/>
    <w:rsid w:val="000616A8"/>
    <w:rsid w:val="00073EAF"/>
    <w:rsid w:val="000743A0"/>
    <w:rsid w:val="00081263"/>
    <w:rsid w:val="0008393E"/>
    <w:rsid w:val="0008796F"/>
    <w:rsid w:val="00094D0D"/>
    <w:rsid w:val="00096F19"/>
    <w:rsid w:val="000A7D76"/>
    <w:rsid w:val="000B4C5D"/>
    <w:rsid w:val="000B5E77"/>
    <w:rsid w:val="000C0432"/>
    <w:rsid w:val="000C16FD"/>
    <w:rsid w:val="000C68DC"/>
    <w:rsid w:val="000D2F77"/>
    <w:rsid w:val="000D3700"/>
    <w:rsid w:val="000E4498"/>
    <w:rsid w:val="000F434A"/>
    <w:rsid w:val="000F4EFA"/>
    <w:rsid w:val="000F7018"/>
    <w:rsid w:val="000F76B0"/>
    <w:rsid w:val="00110BC2"/>
    <w:rsid w:val="0011655E"/>
    <w:rsid w:val="00120F5C"/>
    <w:rsid w:val="00123C5B"/>
    <w:rsid w:val="00123D0A"/>
    <w:rsid w:val="001329F1"/>
    <w:rsid w:val="001555EF"/>
    <w:rsid w:val="001574E5"/>
    <w:rsid w:val="00160E64"/>
    <w:rsid w:val="00162C40"/>
    <w:rsid w:val="001737D0"/>
    <w:rsid w:val="00173DA1"/>
    <w:rsid w:val="0018043F"/>
    <w:rsid w:val="001855EB"/>
    <w:rsid w:val="00185933"/>
    <w:rsid w:val="00195E5E"/>
    <w:rsid w:val="001A3CF4"/>
    <w:rsid w:val="001A3DA8"/>
    <w:rsid w:val="001A4B01"/>
    <w:rsid w:val="001A4D26"/>
    <w:rsid w:val="001A55C4"/>
    <w:rsid w:val="001A7F2B"/>
    <w:rsid w:val="001B2191"/>
    <w:rsid w:val="001B7D75"/>
    <w:rsid w:val="001C161D"/>
    <w:rsid w:val="001C54B3"/>
    <w:rsid w:val="001D5316"/>
    <w:rsid w:val="001E5814"/>
    <w:rsid w:val="001F0D80"/>
    <w:rsid w:val="001F4CE5"/>
    <w:rsid w:val="001F4D8C"/>
    <w:rsid w:val="001F7D84"/>
    <w:rsid w:val="002012F9"/>
    <w:rsid w:val="0020272A"/>
    <w:rsid w:val="002029D0"/>
    <w:rsid w:val="00204244"/>
    <w:rsid w:val="00207C7F"/>
    <w:rsid w:val="00210794"/>
    <w:rsid w:val="0021199D"/>
    <w:rsid w:val="00212BFB"/>
    <w:rsid w:val="00216B35"/>
    <w:rsid w:val="00217F71"/>
    <w:rsid w:val="002235B3"/>
    <w:rsid w:val="002271AC"/>
    <w:rsid w:val="00231AA8"/>
    <w:rsid w:val="002324E0"/>
    <w:rsid w:val="002327ED"/>
    <w:rsid w:val="002340B3"/>
    <w:rsid w:val="00236D35"/>
    <w:rsid w:val="002433E6"/>
    <w:rsid w:val="00244B3D"/>
    <w:rsid w:val="00246947"/>
    <w:rsid w:val="002542F4"/>
    <w:rsid w:val="0025570A"/>
    <w:rsid w:val="00262503"/>
    <w:rsid w:val="002642E0"/>
    <w:rsid w:val="002662BE"/>
    <w:rsid w:val="00267592"/>
    <w:rsid w:val="0027178E"/>
    <w:rsid w:val="00271C49"/>
    <w:rsid w:val="00272D42"/>
    <w:rsid w:val="00283EE8"/>
    <w:rsid w:val="002926FA"/>
    <w:rsid w:val="00294F72"/>
    <w:rsid w:val="0029522F"/>
    <w:rsid w:val="002B2292"/>
    <w:rsid w:val="002B2B3C"/>
    <w:rsid w:val="002B753A"/>
    <w:rsid w:val="002C1112"/>
    <w:rsid w:val="002D13E1"/>
    <w:rsid w:val="002D5D2A"/>
    <w:rsid w:val="002E1073"/>
    <w:rsid w:val="002E4EF3"/>
    <w:rsid w:val="002F5CE5"/>
    <w:rsid w:val="002F69C3"/>
    <w:rsid w:val="00303CA1"/>
    <w:rsid w:val="003045A4"/>
    <w:rsid w:val="003068E0"/>
    <w:rsid w:val="00307802"/>
    <w:rsid w:val="00310213"/>
    <w:rsid w:val="003111BE"/>
    <w:rsid w:val="003116B6"/>
    <w:rsid w:val="00312BF5"/>
    <w:rsid w:val="00321BB7"/>
    <w:rsid w:val="00323B2F"/>
    <w:rsid w:val="00326063"/>
    <w:rsid w:val="003304C5"/>
    <w:rsid w:val="003325D6"/>
    <w:rsid w:val="00332F27"/>
    <w:rsid w:val="003332BD"/>
    <w:rsid w:val="003332D0"/>
    <w:rsid w:val="00342F4A"/>
    <w:rsid w:val="00343E0B"/>
    <w:rsid w:val="003507E1"/>
    <w:rsid w:val="00350DB9"/>
    <w:rsid w:val="0035220D"/>
    <w:rsid w:val="00353BB9"/>
    <w:rsid w:val="00356D4D"/>
    <w:rsid w:val="00362D18"/>
    <w:rsid w:val="00364425"/>
    <w:rsid w:val="003644DC"/>
    <w:rsid w:val="003666AF"/>
    <w:rsid w:val="00372A37"/>
    <w:rsid w:val="003773A5"/>
    <w:rsid w:val="00377DA5"/>
    <w:rsid w:val="00383F13"/>
    <w:rsid w:val="0038408E"/>
    <w:rsid w:val="00386C41"/>
    <w:rsid w:val="003910EE"/>
    <w:rsid w:val="003938A6"/>
    <w:rsid w:val="00393F21"/>
    <w:rsid w:val="003949B3"/>
    <w:rsid w:val="00395F19"/>
    <w:rsid w:val="00395F4A"/>
    <w:rsid w:val="003A5B04"/>
    <w:rsid w:val="003B283F"/>
    <w:rsid w:val="003C00F6"/>
    <w:rsid w:val="003C1C9E"/>
    <w:rsid w:val="003C31DF"/>
    <w:rsid w:val="003C71E8"/>
    <w:rsid w:val="003D180C"/>
    <w:rsid w:val="003D6B04"/>
    <w:rsid w:val="003D6FE0"/>
    <w:rsid w:val="003E0488"/>
    <w:rsid w:val="003E4287"/>
    <w:rsid w:val="003E5DCD"/>
    <w:rsid w:val="00401EB1"/>
    <w:rsid w:val="0040702A"/>
    <w:rsid w:val="00414B6D"/>
    <w:rsid w:val="00415415"/>
    <w:rsid w:val="004169D4"/>
    <w:rsid w:val="00417AA4"/>
    <w:rsid w:val="00420911"/>
    <w:rsid w:val="0042280B"/>
    <w:rsid w:val="00425E58"/>
    <w:rsid w:val="00426E92"/>
    <w:rsid w:val="00427D12"/>
    <w:rsid w:val="004347DE"/>
    <w:rsid w:val="0043609E"/>
    <w:rsid w:val="00450ECD"/>
    <w:rsid w:val="004513EE"/>
    <w:rsid w:val="004531BB"/>
    <w:rsid w:val="00453C57"/>
    <w:rsid w:val="00453E9B"/>
    <w:rsid w:val="0045667B"/>
    <w:rsid w:val="00465F6C"/>
    <w:rsid w:val="00470767"/>
    <w:rsid w:val="00471CFD"/>
    <w:rsid w:val="004721FF"/>
    <w:rsid w:val="004723E1"/>
    <w:rsid w:val="004724E8"/>
    <w:rsid w:val="0048367B"/>
    <w:rsid w:val="00484121"/>
    <w:rsid w:val="00487A23"/>
    <w:rsid w:val="00487C26"/>
    <w:rsid w:val="00491401"/>
    <w:rsid w:val="00494AF1"/>
    <w:rsid w:val="00496660"/>
    <w:rsid w:val="00496A49"/>
    <w:rsid w:val="004970BA"/>
    <w:rsid w:val="004A2E49"/>
    <w:rsid w:val="004A6E7D"/>
    <w:rsid w:val="004A7ED3"/>
    <w:rsid w:val="004B074E"/>
    <w:rsid w:val="004B19B7"/>
    <w:rsid w:val="004B1EEC"/>
    <w:rsid w:val="004B2FED"/>
    <w:rsid w:val="004B6729"/>
    <w:rsid w:val="004C0854"/>
    <w:rsid w:val="004C13DA"/>
    <w:rsid w:val="004C179D"/>
    <w:rsid w:val="004D43EA"/>
    <w:rsid w:val="004D4F16"/>
    <w:rsid w:val="004D7869"/>
    <w:rsid w:val="004F3670"/>
    <w:rsid w:val="004F55F5"/>
    <w:rsid w:val="004F6C46"/>
    <w:rsid w:val="00501904"/>
    <w:rsid w:val="005077D2"/>
    <w:rsid w:val="00510424"/>
    <w:rsid w:val="00510F65"/>
    <w:rsid w:val="005127EF"/>
    <w:rsid w:val="00524FF2"/>
    <w:rsid w:val="0053492D"/>
    <w:rsid w:val="00537D7D"/>
    <w:rsid w:val="00542DEB"/>
    <w:rsid w:val="00547874"/>
    <w:rsid w:val="00547D3E"/>
    <w:rsid w:val="005624A3"/>
    <w:rsid w:val="0056355D"/>
    <w:rsid w:val="00570E54"/>
    <w:rsid w:val="00571BE1"/>
    <w:rsid w:val="00573053"/>
    <w:rsid w:val="0058662D"/>
    <w:rsid w:val="0059324B"/>
    <w:rsid w:val="005A5FA0"/>
    <w:rsid w:val="005B0418"/>
    <w:rsid w:val="005B49F6"/>
    <w:rsid w:val="005B4F5D"/>
    <w:rsid w:val="005B7A1F"/>
    <w:rsid w:val="005C01FB"/>
    <w:rsid w:val="005C0702"/>
    <w:rsid w:val="005D27A5"/>
    <w:rsid w:val="005E1E06"/>
    <w:rsid w:val="005E6BD3"/>
    <w:rsid w:val="005F26AE"/>
    <w:rsid w:val="005F310D"/>
    <w:rsid w:val="005F4907"/>
    <w:rsid w:val="00607AA5"/>
    <w:rsid w:val="00613D15"/>
    <w:rsid w:val="006154B9"/>
    <w:rsid w:val="00620F04"/>
    <w:rsid w:val="00621223"/>
    <w:rsid w:val="006242A5"/>
    <w:rsid w:val="00624864"/>
    <w:rsid w:val="00625812"/>
    <w:rsid w:val="00630D53"/>
    <w:rsid w:val="00632CB9"/>
    <w:rsid w:val="00633DA9"/>
    <w:rsid w:val="006357A8"/>
    <w:rsid w:val="00642E59"/>
    <w:rsid w:val="006436F4"/>
    <w:rsid w:val="00643B61"/>
    <w:rsid w:val="00645FA0"/>
    <w:rsid w:val="006515AB"/>
    <w:rsid w:val="00651904"/>
    <w:rsid w:val="00655E94"/>
    <w:rsid w:val="00656018"/>
    <w:rsid w:val="00661AD1"/>
    <w:rsid w:val="00664108"/>
    <w:rsid w:val="00666BD6"/>
    <w:rsid w:val="00673CBE"/>
    <w:rsid w:val="0067554A"/>
    <w:rsid w:val="00675BAB"/>
    <w:rsid w:val="00680504"/>
    <w:rsid w:val="006825C0"/>
    <w:rsid w:val="00683FCB"/>
    <w:rsid w:val="00685813"/>
    <w:rsid w:val="006865EC"/>
    <w:rsid w:val="00696D13"/>
    <w:rsid w:val="006A2B31"/>
    <w:rsid w:val="006A6A5E"/>
    <w:rsid w:val="006A7093"/>
    <w:rsid w:val="006B6C57"/>
    <w:rsid w:val="006C0EEE"/>
    <w:rsid w:val="006C249C"/>
    <w:rsid w:val="006C3573"/>
    <w:rsid w:val="006C417F"/>
    <w:rsid w:val="006C5806"/>
    <w:rsid w:val="006C7506"/>
    <w:rsid w:val="006D5307"/>
    <w:rsid w:val="006D5956"/>
    <w:rsid w:val="006D5983"/>
    <w:rsid w:val="006D5B79"/>
    <w:rsid w:val="006D720F"/>
    <w:rsid w:val="006E6EEA"/>
    <w:rsid w:val="006E7C7D"/>
    <w:rsid w:val="006F5916"/>
    <w:rsid w:val="006F7529"/>
    <w:rsid w:val="0070494A"/>
    <w:rsid w:val="007063E6"/>
    <w:rsid w:val="007109DA"/>
    <w:rsid w:val="00710D84"/>
    <w:rsid w:val="0071118F"/>
    <w:rsid w:val="00711A03"/>
    <w:rsid w:val="00721ACD"/>
    <w:rsid w:val="00723B9E"/>
    <w:rsid w:val="00723EAF"/>
    <w:rsid w:val="00736BDA"/>
    <w:rsid w:val="00745834"/>
    <w:rsid w:val="007476DD"/>
    <w:rsid w:val="00755D41"/>
    <w:rsid w:val="00757052"/>
    <w:rsid w:val="00765158"/>
    <w:rsid w:val="00765A0B"/>
    <w:rsid w:val="00767B10"/>
    <w:rsid w:val="007740AE"/>
    <w:rsid w:val="00774E7F"/>
    <w:rsid w:val="00780835"/>
    <w:rsid w:val="00781228"/>
    <w:rsid w:val="00781860"/>
    <w:rsid w:val="007922B8"/>
    <w:rsid w:val="0079281C"/>
    <w:rsid w:val="007A1433"/>
    <w:rsid w:val="007B2864"/>
    <w:rsid w:val="007B2A5C"/>
    <w:rsid w:val="007B69A0"/>
    <w:rsid w:val="007C11FD"/>
    <w:rsid w:val="007C1A24"/>
    <w:rsid w:val="007D4376"/>
    <w:rsid w:val="007E6A8C"/>
    <w:rsid w:val="007E7E63"/>
    <w:rsid w:val="00801056"/>
    <w:rsid w:val="0080651C"/>
    <w:rsid w:val="00812B1B"/>
    <w:rsid w:val="00813C4C"/>
    <w:rsid w:val="008144E4"/>
    <w:rsid w:val="00817A85"/>
    <w:rsid w:val="008237F9"/>
    <w:rsid w:val="00825E22"/>
    <w:rsid w:val="00831D89"/>
    <w:rsid w:val="008419F0"/>
    <w:rsid w:val="0084311C"/>
    <w:rsid w:val="0084713D"/>
    <w:rsid w:val="0084794D"/>
    <w:rsid w:val="00850FBD"/>
    <w:rsid w:val="008511A3"/>
    <w:rsid w:val="00851861"/>
    <w:rsid w:val="00854479"/>
    <w:rsid w:val="008556A6"/>
    <w:rsid w:val="00861938"/>
    <w:rsid w:val="008625FB"/>
    <w:rsid w:val="008670D0"/>
    <w:rsid w:val="00877A90"/>
    <w:rsid w:val="0088121D"/>
    <w:rsid w:val="00882159"/>
    <w:rsid w:val="00884B8C"/>
    <w:rsid w:val="0088660A"/>
    <w:rsid w:val="00890527"/>
    <w:rsid w:val="00892F76"/>
    <w:rsid w:val="00893065"/>
    <w:rsid w:val="008A1B0E"/>
    <w:rsid w:val="008A1B8F"/>
    <w:rsid w:val="008A1F77"/>
    <w:rsid w:val="008A20A7"/>
    <w:rsid w:val="008A3F2F"/>
    <w:rsid w:val="008A50D0"/>
    <w:rsid w:val="008A62F8"/>
    <w:rsid w:val="008B1F99"/>
    <w:rsid w:val="008B2467"/>
    <w:rsid w:val="008B272C"/>
    <w:rsid w:val="008B318A"/>
    <w:rsid w:val="008B41DB"/>
    <w:rsid w:val="008C2BC0"/>
    <w:rsid w:val="008C3202"/>
    <w:rsid w:val="008D1715"/>
    <w:rsid w:val="008D4E9D"/>
    <w:rsid w:val="008E7324"/>
    <w:rsid w:val="008F1354"/>
    <w:rsid w:val="008F6AD6"/>
    <w:rsid w:val="0090160E"/>
    <w:rsid w:val="00903B1C"/>
    <w:rsid w:val="0091220A"/>
    <w:rsid w:val="00914381"/>
    <w:rsid w:val="00914581"/>
    <w:rsid w:val="00916BAD"/>
    <w:rsid w:val="00917737"/>
    <w:rsid w:val="00931CE9"/>
    <w:rsid w:val="00931F8A"/>
    <w:rsid w:val="0093534E"/>
    <w:rsid w:val="00941371"/>
    <w:rsid w:val="009466AC"/>
    <w:rsid w:val="00947EAC"/>
    <w:rsid w:val="00954FDC"/>
    <w:rsid w:val="0096309F"/>
    <w:rsid w:val="00963EE5"/>
    <w:rsid w:val="00964DC4"/>
    <w:rsid w:val="00965CD0"/>
    <w:rsid w:val="00973B73"/>
    <w:rsid w:val="0097400C"/>
    <w:rsid w:val="00974FA0"/>
    <w:rsid w:val="00984A8C"/>
    <w:rsid w:val="009958DC"/>
    <w:rsid w:val="00995BC1"/>
    <w:rsid w:val="00995D59"/>
    <w:rsid w:val="009A12C7"/>
    <w:rsid w:val="009A5CE8"/>
    <w:rsid w:val="009B3A35"/>
    <w:rsid w:val="009B66C6"/>
    <w:rsid w:val="009B6726"/>
    <w:rsid w:val="009C2AE8"/>
    <w:rsid w:val="009C4D89"/>
    <w:rsid w:val="009D24F6"/>
    <w:rsid w:val="009D2CE8"/>
    <w:rsid w:val="009D3CDB"/>
    <w:rsid w:val="009D3DAC"/>
    <w:rsid w:val="009D3EBC"/>
    <w:rsid w:val="009D4CB0"/>
    <w:rsid w:val="009D7742"/>
    <w:rsid w:val="009E0311"/>
    <w:rsid w:val="009E0900"/>
    <w:rsid w:val="009E2C96"/>
    <w:rsid w:val="009E61A9"/>
    <w:rsid w:val="009E67E0"/>
    <w:rsid w:val="009F1A67"/>
    <w:rsid w:val="009F477D"/>
    <w:rsid w:val="00A00B39"/>
    <w:rsid w:val="00A013CB"/>
    <w:rsid w:val="00A025EE"/>
    <w:rsid w:val="00A029FE"/>
    <w:rsid w:val="00A02CD4"/>
    <w:rsid w:val="00A065DD"/>
    <w:rsid w:val="00A1323C"/>
    <w:rsid w:val="00A138D0"/>
    <w:rsid w:val="00A1443C"/>
    <w:rsid w:val="00A16E85"/>
    <w:rsid w:val="00A20FA6"/>
    <w:rsid w:val="00A263A1"/>
    <w:rsid w:val="00A27B04"/>
    <w:rsid w:val="00A334D6"/>
    <w:rsid w:val="00A34556"/>
    <w:rsid w:val="00A36BC2"/>
    <w:rsid w:val="00A54DE0"/>
    <w:rsid w:val="00A66284"/>
    <w:rsid w:val="00A66594"/>
    <w:rsid w:val="00A67AB2"/>
    <w:rsid w:val="00A70ACB"/>
    <w:rsid w:val="00A745AE"/>
    <w:rsid w:val="00A8171D"/>
    <w:rsid w:val="00A830E6"/>
    <w:rsid w:val="00A835A8"/>
    <w:rsid w:val="00A91477"/>
    <w:rsid w:val="00A95CE1"/>
    <w:rsid w:val="00AA21BD"/>
    <w:rsid w:val="00AB3213"/>
    <w:rsid w:val="00AB35B6"/>
    <w:rsid w:val="00AB399F"/>
    <w:rsid w:val="00AB4728"/>
    <w:rsid w:val="00AD7558"/>
    <w:rsid w:val="00AF2E48"/>
    <w:rsid w:val="00AF58A2"/>
    <w:rsid w:val="00AF76CC"/>
    <w:rsid w:val="00B02DFB"/>
    <w:rsid w:val="00B05963"/>
    <w:rsid w:val="00B067ED"/>
    <w:rsid w:val="00B13870"/>
    <w:rsid w:val="00B231ED"/>
    <w:rsid w:val="00B34806"/>
    <w:rsid w:val="00B34883"/>
    <w:rsid w:val="00B37042"/>
    <w:rsid w:val="00B374E6"/>
    <w:rsid w:val="00B37885"/>
    <w:rsid w:val="00B443EB"/>
    <w:rsid w:val="00B47036"/>
    <w:rsid w:val="00B50FE0"/>
    <w:rsid w:val="00B510C7"/>
    <w:rsid w:val="00B5714B"/>
    <w:rsid w:val="00B61157"/>
    <w:rsid w:val="00B63ED3"/>
    <w:rsid w:val="00B64E35"/>
    <w:rsid w:val="00B70529"/>
    <w:rsid w:val="00B7273F"/>
    <w:rsid w:val="00B73A5C"/>
    <w:rsid w:val="00B8427C"/>
    <w:rsid w:val="00B87D14"/>
    <w:rsid w:val="00B926F6"/>
    <w:rsid w:val="00BA3FA1"/>
    <w:rsid w:val="00BA6FDD"/>
    <w:rsid w:val="00BB28A1"/>
    <w:rsid w:val="00BB3050"/>
    <w:rsid w:val="00BB4A43"/>
    <w:rsid w:val="00BB4B61"/>
    <w:rsid w:val="00BC1670"/>
    <w:rsid w:val="00BD182E"/>
    <w:rsid w:val="00BD1C75"/>
    <w:rsid w:val="00BE1BA0"/>
    <w:rsid w:val="00BE64A1"/>
    <w:rsid w:val="00BF2998"/>
    <w:rsid w:val="00BF3742"/>
    <w:rsid w:val="00BF58EA"/>
    <w:rsid w:val="00C04675"/>
    <w:rsid w:val="00C05CEA"/>
    <w:rsid w:val="00C10FDA"/>
    <w:rsid w:val="00C12646"/>
    <w:rsid w:val="00C12B23"/>
    <w:rsid w:val="00C134C3"/>
    <w:rsid w:val="00C14158"/>
    <w:rsid w:val="00C2095B"/>
    <w:rsid w:val="00C266BD"/>
    <w:rsid w:val="00C31991"/>
    <w:rsid w:val="00C32BAA"/>
    <w:rsid w:val="00C33F1D"/>
    <w:rsid w:val="00C35CFC"/>
    <w:rsid w:val="00C44A6F"/>
    <w:rsid w:val="00C44AF7"/>
    <w:rsid w:val="00C47398"/>
    <w:rsid w:val="00C529C8"/>
    <w:rsid w:val="00C54B41"/>
    <w:rsid w:val="00C550F4"/>
    <w:rsid w:val="00C55760"/>
    <w:rsid w:val="00C63936"/>
    <w:rsid w:val="00C6583D"/>
    <w:rsid w:val="00C7261A"/>
    <w:rsid w:val="00C7421D"/>
    <w:rsid w:val="00C75154"/>
    <w:rsid w:val="00C7677C"/>
    <w:rsid w:val="00C80A35"/>
    <w:rsid w:val="00C8165C"/>
    <w:rsid w:val="00C91BC5"/>
    <w:rsid w:val="00C94C83"/>
    <w:rsid w:val="00C9598E"/>
    <w:rsid w:val="00CA018D"/>
    <w:rsid w:val="00CA26F7"/>
    <w:rsid w:val="00CA62B0"/>
    <w:rsid w:val="00CB00FE"/>
    <w:rsid w:val="00CB048B"/>
    <w:rsid w:val="00CB0D2E"/>
    <w:rsid w:val="00CB2A8D"/>
    <w:rsid w:val="00CB2BB9"/>
    <w:rsid w:val="00CC0BE8"/>
    <w:rsid w:val="00CC31DB"/>
    <w:rsid w:val="00CC3D73"/>
    <w:rsid w:val="00CC7926"/>
    <w:rsid w:val="00CD7628"/>
    <w:rsid w:val="00CE11DE"/>
    <w:rsid w:val="00CE5D9F"/>
    <w:rsid w:val="00CF7302"/>
    <w:rsid w:val="00D108F0"/>
    <w:rsid w:val="00D1228C"/>
    <w:rsid w:val="00D17E3A"/>
    <w:rsid w:val="00D22B0E"/>
    <w:rsid w:val="00D40C84"/>
    <w:rsid w:val="00D415CF"/>
    <w:rsid w:val="00D43806"/>
    <w:rsid w:val="00D46CBA"/>
    <w:rsid w:val="00D502E6"/>
    <w:rsid w:val="00D5180A"/>
    <w:rsid w:val="00D5224B"/>
    <w:rsid w:val="00D557BC"/>
    <w:rsid w:val="00D56076"/>
    <w:rsid w:val="00D60D2A"/>
    <w:rsid w:val="00D66A27"/>
    <w:rsid w:val="00D71013"/>
    <w:rsid w:val="00D8528E"/>
    <w:rsid w:val="00D85616"/>
    <w:rsid w:val="00D8690F"/>
    <w:rsid w:val="00D87632"/>
    <w:rsid w:val="00D87EEA"/>
    <w:rsid w:val="00D94C8E"/>
    <w:rsid w:val="00DA0F5E"/>
    <w:rsid w:val="00DA2A17"/>
    <w:rsid w:val="00DA4E13"/>
    <w:rsid w:val="00DA68D2"/>
    <w:rsid w:val="00DA7C17"/>
    <w:rsid w:val="00DB73A0"/>
    <w:rsid w:val="00DC00E0"/>
    <w:rsid w:val="00DC18F2"/>
    <w:rsid w:val="00DC2210"/>
    <w:rsid w:val="00DC3865"/>
    <w:rsid w:val="00DC3E00"/>
    <w:rsid w:val="00DC66E7"/>
    <w:rsid w:val="00DC72E9"/>
    <w:rsid w:val="00DD18F6"/>
    <w:rsid w:val="00DD695A"/>
    <w:rsid w:val="00DE3417"/>
    <w:rsid w:val="00DE7197"/>
    <w:rsid w:val="00DF0EDE"/>
    <w:rsid w:val="00DF254D"/>
    <w:rsid w:val="00DF3A68"/>
    <w:rsid w:val="00E0780C"/>
    <w:rsid w:val="00E125F0"/>
    <w:rsid w:val="00E16AC1"/>
    <w:rsid w:val="00E16EAA"/>
    <w:rsid w:val="00E178BB"/>
    <w:rsid w:val="00E224EC"/>
    <w:rsid w:val="00E2253B"/>
    <w:rsid w:val="00E22617"/>
    <w:rsid w:val="00E2499D"/>
    <w:rsid w:val="00E25D36"/>
    <w:rsid w:val="00E26DA8"/>
    <w:rsid w:val="00E40AFB"/>
    <w:rsid w:val="00E444CC"/>
    <w:rsid w:val="00E449C9"/>
    <w:rsid w:val="00E46579"/>
    <w:rsid w:val="00E542A3"/>
    <w:rsid w:val="00E644E2"/>
    <w:rsid w:val="00E6469C"/>
    <w:rsid w:val="00E75B0C"/>
    <w:rsid w:val="00E81B75"/>
    <w:rsid w:val="00E94C30"/>
    <w:rsid w:val="00EA1275"/>
    <w:rsid w:val="00EA1953"/>
    <w:rsid w:val="00EA3BD3"/>
    <w:rsid w:val="00EB463E"/>
    <w:rsid w:val="00EB59AE"/>
    <w:rsid w:val="00EB5D45"/>
    <w:rsid w:val="00EB6D2D"/>
    <w:rsid w:val="00EB7F25"/>
    <w:rsid w:val="00ED4144"/>
    <w:rsid w:val="00ED53E7"/>
    <w:rsid w:val="00ED581B"/>
    <w:rsid w:val="00EE0569"/>
    <w:rsid w:val="00EE556E"/>
    <w:rsid w:val="00EF0102"/>
    <w:rsid w:val="00EF0B77"/>
    <w:rsid w:val="00EF4D60"/>
    <w:rsid w:val="00F05A68"/>
    <w:rsid w:val="00F13A6D"/>
    <w:rsid w:val="00F15FE0"/>
    <w:rsid w:val="00F27214"/>
    <w:rsid w:val="00F337CE"/>
    <w:rsid w:val="00F347D3"/>
    <w:rsid w:val="00F37153"/>
    <w:rsid w:val="00F4179F"/>
    <w:rsid w:val="00F43968"/>
    <w:rsid w:val="00F541F6"/>
    <w:rsid w:val="00F549ED"/>
    <w:rsid w:val="00F6010B"/>
    <w:rsid w:val="00F609E5"/>
    <w:rsid w:val="00F61371"/>
    <w:rsid w:val="00F717B1"/>
    <w:rsid w:val="00F7295F"/>
    <w:rsid w:val="00F771D4"/>
    <w:rsid w:val="00F82201"/>
    <w:rsid w:val="00F828FE"/>
    <w:rsid w:val="00F8381A"/>
    <w:rsid w:val="00F85514"/>
    <w:rsid w:val="00F87C25"/>
    <w:rsid w:val="00F94A60"/>
    <w:rsid w:val="00F95225"/>
    <w:rsid w:val="00F9672F"/>
    <w:rsid w:val="00FA1CE2"/>
    <w:rsid w:val="00FA50F8"/>
    <w:rsid w:val="00FA6E11"/>
    <w:rsid w:val="00FB1C6D"/>
    <w:rsid w:val="00FB3444"/>
    <w:rsid w:val="00FB67C0"/>
    <w:rsid w:val="00FB6AE0"/>
    <w:rsid w:val="00FB7AA5"/>
    <w:rsid w:val="00FC0766"/>
    <w:rsid w:val="00FC0F2E"/>
    <w:rsid w:val="00FC31D7"/>
    <w:rsid w:val="00FC39B0"/>
    <w:rsid w:val="00FC511B"/>
    <w:rsid w:val="00FC6062"/>
    <w:rsid w:val="00FC6716"/>
    <w:rsid w:val="00FD0706"/>
    <w:rsid w:val="00FD1A43"/>
    <w:rsid w:val="00FD33F1"/>
    <w:rsid w:val="00FD42A9"/>
    <w:rsid w:val="00FE017A"/>
    <w:rsid w:val="00FE2E0B"/>
    <w:rsid w:val="00FF1E1E"/>
    <w:rsid w:val="00FF43C2"/>
    <w:rsid w:val="00FF5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35F9E4-50FF-4115-9373-35D56BDD0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70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7093"/>
    <w:rPr>
      <w:color w:val="0000FF" w:themeColor="hyperlink"/>
      <w:u w:val="single"/>
    </w:rPr>
  </w:style>
  <w:style w:type="paragraph" w:styleId="NormalWeb">
    <w:name w:val="Normal (Web)"/>
    <w:basedOn w:val="Normal"/>
    <w:unhideWhenUsed/>
    <w:rsid w:val="006A7093"/>
    <w:pPr>
      <w:autoSpaceDN w:val="0"/>
      <w:spacing w:before="100" w:after="100" w:line="240" w:lineRule="auto"/>
    </w:pPr>
    <w:rPr>
      <w:rFonts w:ascii="Times New Roman" w:hAnsi="Times New Roman" w:cs="Times New Roman"/>
      <w:sz w:val="24"/>
      <w:szCs w:val="24"/>
      <w:lang w:eastAsia="en-GB"/>
    </w:rPr>
  </w:style>
  <w:style w:type="paragraph" w:styleId="Header">
    <w:name w:val="header"/>
    <w:basedOn w:val="Normal"/>
    <w:link w:val="HeaderChar"/>
    <w:uiPriority w:val="99"/>
    <w:unhideWhenUsed/>
    <w:rsid w:val="00DF0E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EDE"/>
  </w:style>
  <w:style w:type="paragraph" w:styleId="Footer">
    <w:name w:val="footer"/>
    <w:basedOn w:val="Normal"/>
    <w:link w:val="FooterChar"/>
    <w:uiPriority w:val="99"/>
    <w:unhideWhenUsed/>
    <w:rsid w:val="00DF0E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E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qc.org.uk/guidance-providers/gps/nigel-surgery-8-gillick-competency-fraser-guidelines"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nspcc.org.uk/services-and-resources/research-and-resources/search-library" TargetMode="External"/><Relationship Id="rId12" Type="http://schemas.openxmlformats.org/officeDocument/2006/relationships/hyperlink" Target="https://socialcare.wales/cms_assets/file-uploads/Code-of-Professional-Practice-for-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Chris\Downloads\All-Wales-Child-Protection-Procedures-2008.pdf" TargetMode="External"/><Relationship Id="rId11" Type="http://schemas.openxmlformats.org/officeDocument/2006/relationships/hyperlink" Target="http://www.gaps.org.uk/wp-content/uploads/2017/07/lexicon-of-skills.pdf.%20Last%20accessed%207th%20September2017"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www.lukeclements.co.uk/wp-content/uploads/2017/06/2017-03-BASW-Keynote.pdf" TargetMode="External"/><Relationship Id="rId4" Type="http://schemas.openxmlformats.org/officeDocument/2006/relationships/footnotes" Target="footnotes.xml"/><Relationship Id="rId9" Type="http://schemas.openxmlformats.org/officeDocument/2006/relationships/hyperlink" Target="https://www.cqc.org.uk/sites/default/files/20140416_safeguarding_adults_-_roles_and_responsibilities_-_revised_draf....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6595</Words>
  <Characters>37596</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Denbighshire County Council</Company>
  <LinksUpToDate>false</LinksUpToDate>
  <CharactersWithSpaces>44103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Baker</dc:creator>
  <cp:keywords/>
  <dc:description/>
  <cp:lastModifiedBy>Christine Baker</cp:lastModifiedBy>
  <cp:revision>2</cp:revision>
  <dcterms:created xsi:type="dcterms:W3CDTF">2018-03-15T08:53:00Z</dcterms:created>
  <dcterms:modified xsi:type="dcterms:W3CDTF">2018-03-15T08:53:00Z</dcterms:modified>
</cp:coreProperties>
</file>