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8424BB" w14:textId="7199F31B" w:rsidR="001D2192" w:rsidRDefault="00F96D89" w:rsidP="00B4690C">
      <w:pPr>
        <w:spacing w:line="360" w:lineRule="auto"/>
        <w:rPr>
          <w:b/>
        </w:rPr>
      </w:pPr>
      <w:r>
        <w:rPr>
          <w:b/>
        </w:rPr>
        <w:t>Do religious experiences provide evidence of the existence of God?</w:t>
      </w:r>
    </w:p>
    <w:p w14:paraId="07C06911" w14:textId="480C03BB" w:rsidR="00F96D89" w:rsidRDefault="00F96D89" w:rsidP="00B4690C">
      <w:pPr>
        <w:spacing w:line="360" w:lineRule="auto"/>
      </w:pPr>
      <w:r>
        <w:t>Religious experiences come in many different forms. They can be conversations, spiritual connections</w:t>
      </w:r>
      <w:r w:rsidR="00B4690C">
        <w:t>, spiritual encounters</w:t>
      </w:r>
      <w:r>
        <w:t xml:space="preserve"> and some everyday occurrences can be received as ‘signs’ by many believers.</w:t>
      </w:r>
      <w:r w:rsidR="00B4690C">
        <w:t xml:space="preserve"> For a lot of people, these religious experiences are evidence that God exists because they are God’s way of communicating with them individually. The religious experiences are evidence of a religious reality in the same way our everyday experiences are evidence of the world we live in. We see tables and chairs every day and understand they exist without question, for many, there is no difference between seeing these tables and chairs and having a religious experience. </w:t>
      </w:r>
      <w:r w:rsidR="00997F3E">
        <w:t>T</w:t>
      </w:r>
      <w:r w:rsidR="00B4690C">
        <w:t>his argument is criticised because someone having a religious experience does not</w:t>
      </w:r>
      <w:r w:rsidR="00997F3E">
        <w:t xml:space="preserve"> necessarily</w:t>
      </w:r>
      <w:r w:rsidR="00B4690C">
        <w:t xml:space="preserve"> mean that it is real. There may be psychological reasons for these experiences, or it may be dependent on one’s brain state. For example, when one meditates, we cannot conclude whether the purpose of meditation is to achieve a new brain state or to gain access to a higher reality.</w:t>
      </w:r>
    </w:p>
    <w:p w14:paraId="3E2DBB37" w14:textId="7B740937" w:rsidR="00B4690C" w:rsidRDefault="00B4690C" w:rsidP="00B4690C">
      <w:pPr>
        <w:spacing w:line="360" w:lineRule="auto"/>
      </w:pPr>
    </w:p>
    <w:p w14:paraId="07FFBBDA" w14:textId="28832B1D" w:rsidR="00DA6743" w:rsidRDefault="00B4690C" w:rsidP="00B4690C">
      <w:pPr>
        <w:spacing w:line="360" w:lineRule="auto"/>
      </w:pPr>
      <w:r>
        <w:t>Many have argued that religious experiences are not guaranteed evidence of the existence of God because what one believes has an influence on how they interpret such ‘</w:t>
      </w:r>
      <w:r w:rsidR="00AE6A02">
        <w:t>experiences</w:t>
      </w:r>
      <w:r>
        <w:t>.</w:t>
      </w:r>
      <w:r w:rsidR="00AE6A02">
        <w:t>’</w:t>
      </w:r>
      <w:r>
        <w:t xml:space="preserve"> </w:t>
      </w:r>
      <w:r w:rsidR="00AE6A02">
        <w:t xml:space="preserve"> People experience things in different ways and </w:t>
      </w:r>
      <w:r w:rsidR="00997F3E">
        <w:t xml:space="preserve">how </w:t>
      </w:r>
      <w:r w:rsidR="00AE6A02">
        <w:t xml:space="preserve">they want to believe things. For example, if one goes on a ghost hunt, then they are hoping to find </w:t>
      </w:r>
      <w:r w:rsidR="00C27B97">
        <w:t>a ghost</w:t>
      </w:r>
      <w:r w:rsidR="00AE6A02">
        <w:t xml:space="preserve"> or experience one therefore something as simple as a breeze would be interpreted as the presence of a ghost. It is believed that nothing is ever fact, even science. Everything is down to interpretation and therefore the experiences of people cannot be taken as solid evidence. However, there is no justification for those who are not looking for anything, but still have a religious experience and become religious after said experience. Religious experiences are also unreliable to be used as evidence because the quality of said experience is not guaranteed. One might also be more likely to believe in something as a religious experience if it were to have a positive impact on them and their life. It may cause delight and happiness and therefore </w:t>
      </w:r>
      <w:proofErr w:type="gramStart"/>
      <w:r w:rsidR="00AE6A02">
        <w:t>be seen as</w:t>
      </w:r>
      <w:proofErr w:type="gramEnd"/>
      <w:r w:rsidR="00AE6A02">
        <w:t xml:space="preserve"> a religious experience. Bad experiences however, would be regarded as just that and not linked to religion at all which may be contradictory. Inner experienc</w:t>
      </w:r>
      <w:r w:rsidR="00997F3E">
        <w:t>es</w:t>
      </w:r>
      <w:r w:rsidR="00AE6A02">
        <w:t xml:space="preserve"> </w:t>
      </w:r>
      <w:r w:rsidR="00997F3E">
        <w:t>are</w:t>
      </w:r>
      <w:r w:rsidR="00AE6A02">
        <w:t xml:space="preserve"> not enough to be used as evidence either, because if that was so, drunkenness </w:t>
      </w:r>
      <w:r w:rsidR="006C4C00">
        <w:t>w</w:t>
      </w:r>
      <w:r w:rsidR="00AE6A02">
        <w:t>oul</w:t>
      </w:r>
      <w:r w:rsidR="006C4C00">
        <w:t>d</w:t>
      </w:r>
      <w:r w:rsidR="00AE6A02">
        <w:t xml:space="preserve"> be regarded as a valid human experience, which it is not. </w:t>
      </w:r>
    </w:p>
    <w:p w14:paraId="2C937BB5" w14:textId="30FD8EBE" w:rsidR="00DA6743" w:rsidRDefault="00DA6743" w:rsidP="00B4690C">
      <w:pPr>
        <w:spacing w:line="360" w:lineRule="auto"/>
      </w:pPr>
    </w:p>
    <w:p w14:paraId="2478BE1B" w14:textId="7BE654D9" w:rsidR="00E8170C" w:rsidRDefault="00DA6743" w:rsidP="00B4690C">
      <w:pPr>
        <w:spacing w:line="360" w:lineRule="auto"/>
      </w:pPr>
      <w:r>
        <w:t>Brian Davies has listed many of the sceptical reasons by other ph</w:t>
      </w:r>
      <w:r w:rsidR="009961CB">
        <w:t xml:space="preserve">ilosophers </w:t>
      </w:r>
      <w:r>
        <w:t xml:space="preserve">as to why religious experiences would be </w:t>
      </w:r>
      <w:r w:rsidR="009961CB">
        <w:t>unreliable to use as evidence of God’s existence.</w:t>
      </w:r>
      <w:r w:rsidR="009961CB">
        <w:rPr>
          <w:rStyle w:val="FootnoteReference"/>
        </w:rPr>
        <w:footnoteReference w:id="1"/>
      </w:r>
      <w:r w:rsidR="009961CB">
        <w:t xml:space="preserve"> Thomas Aquinas argued that </w:t>
      </w:r>
      <w:r w:rsidR="009961CB">
        <w:lastRenderedPageBreak/>
        <w:t xml:space="preserve">humans are only capable of experiencing things that are material, and God is not material, thus meaning having an experience of God is an impossibility. This would explain my previous point where humans are able to experience tables and chairs which means they must exist. This is in fact different to an experience of God because tables and chairs are material things whereas God is not. </w:t>
      </w:r>
      <w:r w:rsidR="000D6755" w:rsidRPr="000D6755">
        <w:t xml:space="preserve">Some may also question the true meaning of what a ‘religious experience’ or an ‘experience of God’ is. The term ‘I had an experience of God’ is entirely different to someone saying ‘I need an experienced secretary’ </w:t>
      </w:r>
      <w:r w:rsidR="00384691">
        <w:rPr>
          <w:rStyle w:val="FootnoteReference"/>
        </w:rPr>
        <w:footnoteReference w:id="2"/>
      </w:r>
      <w:r w:rsidR="000D6755" w:rsidRPr="000D6755">
        <w:t>. It is widely understood that God is not believed to be a human being or a material object, and therefore it proves impossible for one to have an experience of something when they claim it to be non – material. If theists believed that God was a material being, perhaps the idea of an experience of God would be deemed more plausible because if he were material, we would be able to see him. Brian Davies explains; “objects of sense experience are material, whereas God is supposed to be in-corporeal. Objects of sense experience have definite locations, but God is supposed to be everywhere.”</w:t>
      </w:r>
      <w:r w:rsidR="00384691">
        <w:rPr>
          <w:rStyle w:val="FootnoteReference"/>
        </w:rPr>
        <w:footnoteReference w:id="3"/>
      </w:r>
      <w:r w:rsidR="000D6755" w:rsidRPr="000D6755">
        <w:t xml:space="preserve"> For theists to claim that they have experienced God, yet still argue God is not a material being is contradictory. Only one of the prior characteristics can be correct, and to argue that both are true suggests the unreliability of the argument.</w:t>
      </w:r>
      <w:r w:rsidR="000D6755">
        <w:t xml:space="preserve"> Alt</w:t>
      </w:r>
      <w:r w:rsidR="00E8170C">
        <w:t xml:space="preserve">hough, this could be criticised as we </w:t>
      </w:r>
      <w:proofErr w:type="gramStart"/>
      <w:r w:rsidR="00E8170C">
        <w:t>are capable of experiencing</w:t>
      </w:r>
      <w:proofErr w:type="gramEnd"/>
      <w:r w:rsidR="00E8170C">
        <w:t xml:space="preserve"> our own minds and the minds of others, which are not material. </w:t>
      </w:r>
      <w:r w:rsidR="000D6755">
        <w:t xml:space="preserve">We </w:t>
      </w:r>
      <w:r w:rsidR="00997F3E">
        <w:t>can</w:t>
      </w:r>
      <w:r w:rsidR="000D6755">
        <w:t xml:space="preserve"> experience the minds of others through their expressions of knowledge and the showing of their personalities however, which suggests that we can see and hear the minds of others through ways of speaking and expression. We may not see a physical mind, but we do see in a different way, which some theists may claim is what occurs during the experience of God. </w:t>
      </w:r>
    </w:p>
    <w:p w14:paraId="4E1C9959" w14:textId="3A33BC7B" w:rsidR="00384691" w:rsidRDefault="00384691" w:rsidP="00B4690C">
      <w:pPr>
        <w:spacing w:line="360" w:lineRule="auto"/>
      </w:pPr>
    </w:p>
    <w:p w14:paraId="6DD289A8" w14:textId="413DAC7F" w:rsidR="00384691" w:rsidRDefault="00384691" w:rsidP="00B4690C">
      <w:pPr>
        <w:spacing w:line="360" w:lineRule="auto"/>
      </w:pPr>
      <w:r w:rsidRPr="00384691">
        <w:t>Philosopher H.P Owen understands that God is not a material object</w:t>
      </w:r>
      <w:r w:rsidR="00997F3E">
        <w:t>,</w:t>
      </w:r>
      <w:r w:rsidRPr="00384691">
        <w:t xml:space="preserve"> but </w:t>
      </w:r>
      <w:r w:rsidR="00997F3E">
        <w:t xml:space="preserve">he </w:t>
      </w:r>
      <w:r w:rsidRPr="00384691">
        <w:t>does believe that God can be experienced through intuition. It is argued that “knowledge arises…not from reasoning or argument, but from intuition”</w:t>
      </w:r>
      <w:r>
        <w:rPr>
          <w:rStyle w:val="FootnoteReference"/>
        </w:rPr>
        <w:footnoteReference w:id="4"/>
      </w:r>
      <w:r w:rsidRPr="00384691">
        <w:t xml:space="preserve"> God cannot be known in the same way we know our friends or family, but God can be known through events and experiences instead. H.P Owen believes intuition is needed in order to understand both the material world and non - material world because we need to experience the minds and feelings of others also. Owen continues to explain that a person’s intuitive knowledge of God can be summarised by the following</w:t>
      </w:r>
      <w:r>
        <w:rPr>
          <w:rStyle w:val="FootnoteReference"/>
        </w:rPr>
        <w:footnoteReference w:id="5"/>
      </w:r>
      <w:r w:rsidRPr="00384691">
        <w:t xml:space="preserve">; human beings reveal their personalities and nature through the way they act and speak, God reveals himself to us in the </w:t>
      </w:r>
      <w:r w:rsidRPr="00384691">
        <w:lastRenderedPageBreak/>
        <w:t xml:space="preserve">‘created order’. People </w:t>
      </w:r>
      <w:r w:rsidR="00C27B97">
        <w:t>can</w:t>
      </w:r>
      <w:r w:rsidRPr="00384691">
        <w:t xml:space="preserve"> shine through in certain moments, where their personality seems strongest and catches our attention, this is what God did through his ‘special revelation in Christ’. People grasp onto others as agents with both spiritual and mental effects, and God is one who creates both spiritual and material realities. Many may disagree with H.P Owens views since the evidence of God’s existence tends to be much weaker than that of the existence of human beings. This might be because we are able to see humans, thus meaning there is a slight bias. However, it may be difficult to grasp the idea of people showing their self through their acts and personalities, and God showing his self through his ‘created order’. It would be especially difficult if this point was being used in order to convince a non – believer because the two concepts seem to show one being a weaker example than the other.</w:t>
      </w:r>
    </w:p>
    <w:p w14:paraId="7B06B4B9" w14:textId="77777777" w:rsidR="00E8170C" w:rsidRDefault="00E8170C" w:rsidP="00B4690C">
      <w:pPr>
        <w:spacing w:line="360" w:lineRule="auto"/>
      </w:pPr>
    </w:p>
    <w:p w14:paraId="4E01D1B7" w14:textId="6BB87ED6" w:rsidR="00A05B21" w:rsidRDefault="009961CB" w:rsidP="00B4690C">
      <w:pPr>
        <w:spacing w:line="360" w:lineRule="auto"/>
      </w:pPr>
      <w:r>
        <w:t xml:space="preserve">Brian Davies also states that when I have encountered or perceived something, </w:t>
      </w:r>
      <w:r w:rsidR="00524268">
        <w:t>that something is unique to me. When I tell of my experience, I am merely “offering a piece of self</w:t>
      </w:r>
      <w:r w:rsidR="00C27B97">
        <w:t>-</w:t>
      </w:r>
      <w:r w:rsidR="00524268">
        <w:t xml:space="preserve"> description”</w:t>
      </w:r>
      <w:r w:rsidR="00524268">
        <w:rPr>
          <w:rStyle w:val="FootnoteReference"/>
        </w:rPr>
        <w:footnoteReference w:id="6"/>
      </w:r>
      <w:r w:rsidR="00524268">
        <w:t xml:space="preserve">. It is not guaranteed because </w:t>
      </w:r>
      <w:r w:rsidR="00C27B97">
        <w:t xml:space="preserve">only </w:t>
      </w:r>
      <w:r w:rsidR="00524268">
        <w:t xml:space="preserve">I believe I have seen it and we </w:t>
      </w:r>
      <w:r w:rsidR="00C27B97">
        <w:t>can</w:t>
      </w:r>
      <w:r w:rsidR="00524268">
        <w:t xml:space="preserve"> never fully know whether something is truly guaranteed. This is </w:t>
      </w:r>
      <w:proofErr w:type="gramStart"/>
      <w:r w:rsidR="00524268">
        <w:t>similar to</w:t>
      </w:r>
      <w:proofErr w:type="gramEnd"/>
      <w:r w:rsidR="00524268">
        <w:t xml:space="preserve"> making moral judgements, stating that ‘torture is wrong’ is my own emotional and personal response to the issue. Realism would explain that I am just describing the values held by my culture. Another culture might believe differently, and it cannot be said who is right and who is wrong. </w:t>
      </w:r>
      <w:r w:rsidR="00E8170C">
        <w:t xml:space="preserve">Thomas Aquinas previously explained that there are gradations of good, true and noble. One </w:t>
      </w:r>
      <w:proofErr w:type="gramStart"/>
      <w:r w:rsidR="00E8170C">
        <w:t>has to</w:t>
      </w:r>
      <w:proofErr w:type="gramEnd"/>
      <w:r w:rsidR="00E8170C">
        <w:t xml:space="preserve"> be a being with all of these attributes to the maximum extent to be the source of this knowledge. </w:t>
      </w:r>
      <w:r w:rsidR="00A05B21">
        <w:t xml:space="preserve">To contradict this theory however, when I say that something has happened to me, I am only stating my own experience with no other intention. I have the grounds to believe that what I experience is true, and by sharing what I have experienced, I </w:t>
      </w:r>
      <w:r w:rsidR="00C27B97">
        <w:t>accept</w:t>
      </w:r>
      <w:r w:rsidR="00A05B21">
        <w:t xml:space="preserve"> that it is unique to me and may not be relevant to others. </w:t>
      </w:r>
    </w:p>
    <w:p w14:paraId="7AE6AACA" w14:textId="77777777" w:rsidR="00A05B21" w:rsidRDefault="00A05B21" w:rsidP="00B4690C">
      <w:pPr>
        <w:spacing w:line="360" w:lineRule="auto"/>
      </w:pPr>
    </w:p>
    <w:p w14:paraId="0A59ED83" w14:textId="2055352D" w:rsidR="00DA6743" w:rsidRDefault="00E8170C" w:rsidP="00B4690C">
      <w:pPr>
        <w:spacing w:line="360" w:lineRule="auto"/>
      </w:pPr>
      <w:r>
        <w:t>Religious experiences may also be unreliable because it is not rare for experiences to create false impressions. For example, the sun looks like it moves around the earth, but does not. I might have though</w:t>
      </w:r>
      <w:r w:rsidR="00C27B97">
        <w:t>t</w:t>
      </w:r>
      <w:r>
        <w:t xml:space="preserve"> someone had introduced themselves to me as ‘Don’ and believed that this has been their name for months, however their name is ‘John’. If someone is exhausted or under the influence of drugs, hallucinations become common </w:t>
      </w:r>
      <w:r w:rsidR="00C27B97">
        <w:t>too</w:t>
      </w:r>
      <w:r>
        <w:t xml:space="preserve">. Experience can often mean little when it comes to proving the existence of God. </w:t>
      </w:r>
      <w:r w:rsidR="00A05B21">
        <w:t xml:space="preserve">Although this may be a common occurrence, it does not mean that everything I perceive is a mistake. It could also be argued that mistaking someone’s name for </w:t>
      </w:r>
      <w:r w:rsidR="00A05B21">
        <w:lastRenderedPageBreak/>
        <w:t>something else is a lot more likely because if I were to have a religious experience, I believe that I would be less likely to make mistakes when remembering such an event due to its significance, especially in comparison to the simple mistake of mishearing a name.</w:t>
      </w:r>
    </w:p>
    <w:p w14:paraId="1E0A355E" w14:textId="08AE1DCF" w:rsidR="00B10835" w:rsidRDefault="00B10835" w:rsidP="00B4690C">
      <w:pPr>
        <w:spacing w:line="360" w:lineRule="auto"/>
      </w:pPr>
    </w:p>
    <w:p w14:paraId="203AF45C" w14:textId="145C548C" w:rsidR="005C7B11" w:rsidRDefault="00B10835" w:rsidP="005C7B11">
      <w:pPr>
        <w:spacing w:line="360" w:lineRule="auto"/>
      </w:pPr>
      <w:r>
        <w:t xml:space="preserve">Philosopher William James looked at the varieties of religious experiences and </w:t>
      </w:r>
      <w:r w:rsidR="00195146">
        <w:t>discussed the two types of enquiry. Th</w:t>
      </w:r>
      <w:r w:rsidR="00030002">
        <w:t xml:space="preserve">e first is ‘existential judgement or proposition’ which is the origin and history of the </w:t>
      </w:r>
      <w:proofErr w:type="gramStart"/>
      <w:r w:rsidR="00030002">
        <w:t>particular thing</w:t>
      </w:r>
      <w:proofErr w:type="gramEnd"/>
      <w:r w:rsidR="00030002">
        <w:t xml:space="preserve"> that is being discussed. The second is the ‘second proposition of value’ which is that subject’s significance and importance followed by its meaning</w:t>
      </w:r>
      <w:r w:rsidR="00030002">
        <w:rPr>
          <w:rStyle w:val="FootnoteReference"/>
        </w:rPr>
        <w:footnoteReference w:id="7"/>
      </w:r>
      <w:r w:rsidR="00030002">
        <w:t xml:space="preserve">. </w:t>
      </w:r>
      <w:r w:rsidR="00CB677E">
        <w:t xml:space="preserve">Religious experiences can be interpreted in different ways, so one may want to </w:t>
      </w:r>
      <w:proofErr w:type="gramStart"/>
      <w:r w:rsidR="00CB677E">
        <w:t>look into</w:t>
      </w:r>
      <w:proofErr w:type="gramEnd"/>
      <w:r w:rsidR="00CB677E">
        <w:t xml:space="preserve"> the origins of the experience rather than the experience itself in order to understand where the experience has come from, which will lead to why the experience has occurred. It may be realised that it was not a ‘religious’ experience but a message from that persons own conscious.  Another interpretation may be that the experience itself is not what is significant, but it is the meaning behind said experience. W</w:t>
      </w:r>
      <w:r w:rsidR="00412B21">
        <w:t xml:space="preserve">illiam James also responded to the idea of medical materialism. Medical materialism is when the spiritualism within a person is taken away because scientific evidence </w:t>
      </w:r>
      <w:r w:rsidR="00AC3CFC">
        <w:t>can</w:t>
      </w:r>
      <w:r w:rsidR="00412B21">
        <w:t xml:space="preserve"> replace it. There can be scientific reasons found for almost anything. Psychological experiences are experiences of the mind which then continue to affect the body which is the same as the experiences of people ‘seeing God’. </w:t>
      </w:r>
      <w:r w:rsidR="005C7B11">
        <w:t xml:space="preserve">W. James states; </w:t>
      </w:r>
    </w:p>
    <w:p w14:paraId="405C132D" w14:textId="019CBF3B" w:rsidR="005C7B11" w:rsidRDefault="005C7B11" w:rsidP="005C7B11">
      <w:pPr>
        <w:spacing w:line="360" w:lineRule="auto"/>
      </w:pPr>
      <w:r>
        <w:t xml:space="preserve">“it alters in one way the blood that percolates it, we get the </w:t>
      </w:r>
      <w:proofErr w:type="spellStart"/>
      <w:r>
        <w:t>methodist</w:t>
      </w:r>
      <w:proofErr w:type="spellEnd"/>
      <w:r>
        <w:t xml:space="preserve">, when another way, we get the atheist form of mind. </w:t>
      </w:r>
      <w:proofErr w:type="gramStart"/>
      <w:r>
        <w:t>So</w:t>
      </w:r>
      <w:proofErr w:type="gramEnd"/>
      <w:r>
        <w:t xml:space="preserve"> of all our raptures and our </w:t>
      </w:r>
      <w:proofErr w:type="spellStart"/>
      <w:r>
        <w:t>drynesses</w:t>
      </w:r>
      <w:proofErr w:type="spellEnd"/>
      <w:r>
        <w:t xml:space="preserve">, our longings and </w:t>
      </w:r>
      <w:proofErr w:type="spellStart"/>
      <w:r>
        <w:t>pantings</w:t>
      </w:r>
      <w:proofErr w:type="spellEnd"/>
      <w:r>
        <w:t>, our questions and beliefs. They are equally organically founded, be they of religious or of non-religious content.”</w:t>
      </w:r>
      <w:r>
        <w:rPr>
          <w:rStyle w:val="FootnoteReference"/>
        </w:rPr>
        <w:footnoteReference w:id="8"/>
      </w:r>
    </w:p>
    <w:p w14:paraId="6E40A960" w14:textId="07EC8132" w:rsidR="005C7B11" w:rsidRDefault="005C7B11" w:rsidP="005C7B11">
      <w:pPr>
        <w:spacing w:line="360" w:lineRule="auto"/>
      </w:pPr>
      <w:r>
        <w:t xml:space="preserve">I believe W. James is stating that whether something is religious or not, experiences can be interpreted differently, depending on the person whom experiences it. If a person was looking for a sign from a deceased relative, a breeze on their neck can be taken to be that sign, when it could also be a breeze from an open window. </w:t>
      </w:r>
    </w:p>
    <w:p w14:paraId="531464AE" w14:textId="6F203070" w:rsidR="005C7B11" w:rsidRDefault="005C7B11" w:rsidP="005C7B11">
      <w:pPr>
        <w:spacing w:line="360" w:lineRule="auto"/>
      </w:pPr>
    </w:p>
    <w:p w14:paraId="40EF2C27" w14:textId="047AFE10" w:rsidR="006E529F" w:rsidRDefault="006E529F" w:rsidP="005C7B11">
      <w:pPr>
        <w:spacing w:line="360" w:lineRule="auto"/>
      </w:pPr>
      <w:r>
        <w:t xml:space="preserve">C.B Martin uses a from of deductive argument in order to criticise the idea of religious experiences being evidence of God’s existence. If </w:t>
      </w:r>
      <w:r w:rsidR="005907AF">
        <w:t>someone</w:t>
      </w:r>
      <w:r>
        <w:t xml:space="preserve"> </w:t>
      </w:r>
      <w:r w:rsidR="005907AF">
        <w:t>states</w:t>
      </w:r>
      <w:r>
        <w:t xml:space="preserve"> ‘I have direct experience of God, therefore, I have valid reason to believe God exists’</w:t>
      </w:r>
      <w:r w:rsidR="005907AF">
        <w:rPr>
          <w:rStyle w:val="FootnoteReference"/>
        </w:rPr>
        <w:footnoteReference w:id="9"/>
      </w:r>
      <w:r w:rsidR="005907AF">
        <w:t xml:space="preserve"> it would be inaccurate. If this statement was changed to ‘I </w:t>
      </w:r>
      <w:r w:rsidR="005907AF">
        <w:lastRenderedPageBreak/>
        <w:t>have direct experience of God</w:t>
      </w:r>
      <w:r w:rsidR="00337CFC">
        <w:t>’</w:t>
      </w:r>
      <w:r w:rsidR="00337CFC">
        <w:rPr>
          <w:rStyle w:val="FootnoteReference"/>
        </w:rPr>
        <w:footnoteReference w:id="10"/>
      </w:r>
      <w:r w:rsidR="00337CFC">
        <w:t xml:space="preserve"> it would be a correct form of deductive argument. Claiming the experience itself has the assertion that God exists, whereas the first statement is </w:t>
      </w:r>
      <w:r w:rsidR="00AC3CFC">
        <w:t>seemingly</w:t>
      </w:r>
      <w:r w:rsidR="00337CFC">
        <w:t xml:space="preserve"> useless because saying ‘God exists’ is only a psychological claim that I personally have.</w:t>
      </w:r>
      <w:r w:rsidR="00CD215C">
        <w:t xml:space="preserve"> This is just a claim that I have seen </w:t>
      </w:r>
      <w:proofErr w:type="gramStart"/>
      <w:r w:rsidR="00CD215C">
        <w:t>God</w:t>
      </w:r>
      <w:proofErr w:type="gramEnd"/>
      <w:r w:rsidR="00CD215C">
        <w:t xml:space="preserve"> and this would not qualify as evidence for God’s existence. No tests are </w:t>
      </w:r>
      <w:proofErr w:type="spellStart"/>
      <w:proofErr w:type="gramStart"/>
      <w:r w:rsidR="00AC3CFC">
        <w:t>are</w:t>
      </w:r>
      <w:proofErr w:type="spellEnd"/>
      <w:r w:rsidR="00AC3CFC">
        <w:t xml:space="preserve"> able to</w:t>
      </w:r>
      <w:proofErr w:type="gramEnd"/>
      <w:r w:rsidR="00CD215C">
        <w:t xml:space="preserve"> pro</w:t>
      </w:r>
      <w:r w:rsidR="00AC3CFC">
        <w:t>ve</w:t>
      </w:r>
      <w:r w:rsidR="00CD215C">
        <w:t xml:space="preserve"> whether either statement can be correct. However, a statement like ‘I am a changed man since 18.37pm, May 6</w:t>
      </w:r>
      <w:r w:rsidR="00CD215C" w:rsidRPr="00CD215C">
        <w:rPr>
          <w:vertAlign w:val="superscript"/>
        </w:rPr>
        <w:t>th</w:t>
      </w:r>
      <w:r w:rsidR="00CD215C">
        <w:t>, 1989’</w:t>
      </w:r>
      <w:r w:rsidR="003227F2">
        <w:t xml:space="preserve"> is a straightforward empirical statement. We </w:t>
      </w:r>
      <w:proofErr w:type="gramStart"/>
      <w:r w:rsidR="003227F2">
        <w:t>are able to</w:t>
      </w:r>
      <w:proofErr w:type="gramEnd"/>
      <w:r w:rsidR="003227F2">
        <w:t xml:space="preserve"> test whether or not this is true by finding out if the individual has stopped bad habits, if they haven’t, then evidence will be found. The statement itself is not the proof, much like the religious experience cannot be proof. Evidence must be accessible in order to support the statement. It is impossible to prove one person</w:t>
      </w:r>
      <w:r w:rsidR="00480CAF">
        <w:t>’</w:t>
      </w:r>
      <w:r w:rsidR="003227F2">
        <w:t>s religious experience</w:t>
      </w:r>
      <w:r w:rsidR="00AC3CFC">
        <w:t xml:space="preserve"> </w:t>
      </w:r>
      <w:r w:rsidR="003227F2">
        <w:t xml:space="preserve">therefore religious experiences can not be evidence of God’s existence as the argument is unreliable. </w:t>
      </w:r>
    </w:p>
    <w:p w14:paraId="2147E272" w14:textId="5DC6F013" w:rsidR="00480CAF" w:rsidRDefault="00480CAF" w:rsidP="005C7B11">
      <w:pPr>
        <w:spacing w:line="360" w:lineRule="auto"/>
      </w:pPr>
    </w:p>
    <w:p w14:paraId="33F4FFBD" w14:textId="01A11C23" w:rsidR="00480CAF" w:rsidRDefault="00480CAF" w:rsidP="005C7B11">
      <w:pPr>
        <w:spacing w:line="360" w:lineRule="auto"/>
      </w:pPr>
      <w:r>
        <w:t xml:space="preserve">It could be argued however, that dismissing someone’s experience </w:t>
      </w:r>
      <w:r w:rsidR="00AC3CFC">
        <w:t>is</w:t>
      </w:r>
      <w:r>
        <w:t xml:space="preserve"> wrong. A person’s feelings and experiences that someone would refer to as ‘</w:t>
      </w:r>
      <w:proofErr w:type="gramStart"/>
      <w:r>
        <w:t>religious’</w:t>
      </w:r>
      <w:proofErr w:type="gramEnd"/>
      <w:r>
        <w:t xml:space="preserve"> cannot be denied because we have no way of accurately proving or disproving them. A religious experience cannot be</w:t>
      </w:r>
      <w:r w:rsidR="00AC3CFC">
        <w:t xml:space="preserve"> an</w:t>
      </w:r>
      <w:r>
        <w:t xml:space="preserve"> inductive or deductive argument. Religious experiences are unique to the person experiencing them, and to deny someone of their own experience would be morally wrong. An atheist will not know </w:t>
      </w:r>
      <w:r w:rsidR="006A35AB">
        <w:t xml:space="preserve">what the experience of God is until they have felt it in the same way that someone might say you have not seen a perfect sunset until you have been to Santorini. One has to have a religious experience in order to know what it is </w:t>
      </w:r>
      <w:proofErr w:type="gramStart"/>
      <w:r w:rsidR="006A35AB">
        <w:t>like,</w:t>
      </w:r>
      <w:proofErr w:type="gramEnd"/>
      <w:r w:rsidR="006A35AB">
        <w:t xml:space="preserve"> therefore it would be wrong to dismiss an account of a religious experience without knowing what it is yourself. Professor Baillie discussed the comparison of our knowledge of God to our knowledge of other minds. </w:t>
      </w:r>
    </w:p>
    <w:p w14:paraId="037DCD9A" w14:textId="49A949E7" w:rsidR="006A35AB" w:rsidRDefault="006A35AB" w:rsidP="005C7B11">
      <w:pPr>
        <w:spacing w:line="360" w:lineRule="auto"/>
      </w:pPr>
      <w:r>
        <w:t xml:space="preserve">“Like our knowledge of </w:t>
      </w:r>
      <w:proofErr w:type="spellStart"/>
      <w:r>
        <w:t>t</w:t>
      </w:r>
      <w:r w:rsidR="005F23FF">
        <w:t>ridimensional</w:t>
      </w:r>
      <w:proofErr w:type="spellEnd"/>
      <w:r w:rsidR="005F23FF">
        <w:t xml:space="preserve"> space and all other primary modes of knowledge, something that cannot be imagined by one who does not already possess it, since it cannot be described to him in terms of anything else than itself.”</w:t>
      </w:r>
      <w:r w:rsidR="007D08BE">
        <w:rPr>
          <w:rStyle w:val="FootnoteReference"/>
        </w:rPr>
        <w:footnoteReference w:id="11"/>
      </w:r>
    </w:p>
    <w:p w14:paraId="48365C62" w14:textId="0B0F9F44" w:rsidR="003227F2" w:rsidRDefault="00F004D0" w:rsidP="005C7B11">
      <w:pPr>
        <w:spacing w:line="360" w:lineRule="auto"/>
      </w:pPr>
      <w:r>
        <w:t xml:space="preserve">Personally, I would agree with the above statement. I have not had a religious experience, therefore the only way I am able to know what a religious experience is like is through research and the experiences of others. However, the experiences of others cannot be guaranteed to be accurate, thus meaning I will not know what is considered a religious experience until I have one myself, </w:t>
      </w:r>
      <w:r>
        <w:lastRenderedPageBreak/>
        <w:t xml:space="preserve">because of this, I cannot say that a religious experience is evidence of a God because I do not know what that consists of and whether the experiences of others’ are accurate. </w:t>
      </w:r>
    </w:p>
    <w:p w14:paraId="15BFA119" w14:textId="77777777" w:rsidR="00384691" w:rsidRDefault="00384691" w:rsidP="005C7B11">
      <w:pPr>
        <w:spacing w:line="360" w:lineRule="auto"/>
      </w:pPr>
    </w:p>
    <w:p w14:paraId="0F11EF6C" w14:textId="6548F4FB" w:rsidR="0095001C" w:rsidRDefault="0095001C" w:rsidP="005C7B11">
      <w:pPr>
        <w:spacing w:line="360" w:lineRule="auto"/>
      </w:pPr>
      <w:r>
        <w:t xml:space="preserve">In conclusion, </w:t>
      </w:r>
      <w:r w:rsidR="00384691">
        <w:t xml:space="preserve">I </w:t>
      </w:r>
      <w:proofErr w:type="gramStart"/>
      <w:r w:rsidR="00384691">
        <w:t>am able to</w:t>
      </w:r>
      <w:proofErr w:type="gramEnd"/>
      <w:r w:rsidR="00384691">
        <w:t xml:space="preserve"> see and understand the appeal of believing that a religious experience is evidence of God’s existence. However, there is a large distinction between feeling certain about something and being right about it. There are numerous examples of people believing they have had a religious experience, for example, people have claimed to see a blinding light during a near death experience, or people have asked for ‘signs’ from God and received them, but when it comes to looking for rational reasons for these occurrences too, they can be found. The blinding light may have been a function within the brain and these signs might have been your own conscious looking for that sign, and then taking something that occurs today and allowing yourself to think of it as a sign. </w:t>
      </w:r>
      <w:r w:rsidR="003028A7">
        <w:t xml:space="preserve">Until there is clear evidence of God’s existence, the debate will continue, and the experiences of others will always be questioned in regards of their reliability and likelihood. </w:t>
      </w:r>
    </w:p>
    <w:p w14:paraId="3AEB3FBD" w14:textId="6DF9077B" w:rsidR="000E259A" w:rsidRDefault="000E259A" w:rsidP="005C7B11">
      <w:pPr>
        <w:spacing w:line="360" w:lineRule="auto"/>
      </w:pPr>
    </w:p>
    <w:p w14:paraId="05A0E103" w14:textId="38DDAA30" w:rsidR="000E259A" w:rsidRPr="000E259A" w:rsidRDefault="000E259A" w:rsidP="005C7B11">
      <w:pPr>
        <w:spacing w:line="360" w:lineRule="auto"/>
        <w:rPr>
          <w:b/>
        </w:rPr>
      </w:pPr>
      <w:r>
        <w:rPr>
          <w:b/>
        </w:rPr>
        <w:t>Total words – 2,591</w:t>
      </w:r>
      <w:bookmarkStart w:id="2" w:name="_GoBack"/>
      <w:bookmarkEnd w:id="2"/>
    </w:p>
    <w:p w14:paraId="742D7C1F" w14:textId="0FFF9B23" w:rsidR="004D417B" w:rsidRDefault="004D417B" w:rsidP="005C7B11">
      <w:pPr>
        <w:spacing w:line="360" w:lineRule="auto"/>
      </w:pPr>
    </w:p>
    <w:p w14:paraId="5BEF5A84" w14:textId="08705AC4" w:rsidR="004D417B" w:rsidRDefault="004D417B" w:rsidP="005C7B11">
      <w:pPr>
        <w:spacing w:line="360" w:lineRule="auto"/>
      </w:pPr>
    </w:p>
    <w:p w14:paraId="5956B864" w14:textId="6EECAE17" w:rsidR="004D417B" w:rsidRDefault="004D417B" w:rsidP="005C7B11">
      <w:pPr>
        <w:spacing w:line="360" w:lineRule="auto"/>
      </w:pPr>
    </w:p>
    <w:p w14:paraId="08DF996D" w14:textId="050DA1D3" w:rsidR="004D417B" w:rsidRDefault="004D417B" w:rsidP="005C7B11">
      <w:pPr>
        <w:spacing w:line="360" w:lineRule="auto"/>
      </w:pPr>
    </w:p>
    <w:p w14:paraId="7705CA1B" w14:textId="34275F53" w:rsidR="004D417B" w:rsidRDefault="004D417B" w:rsidP="005C7B11">
      <w:pPr>
        <w:spacing w:line="360" w:lineRule="auto"/>
      </w:pPr>
    </w:p>
    <w:p w14:paraId="6580D42F" w14:textId="1A58F188" w:rsidR="004D417B" w:rsidRDefault="004D417B" w:rsidP="005C7B11">
      <w:pPr>
        <w:spacing w:line="360" w:lineRule="auto"/>
      </w:pPr>
    </w:p>
    <w:p w14:paraId="6136BBCE" w14:textId="0BCFC008" w:rsidR="004D417B" w:rsidRDefault="004D417B" w:rsidP="005C7B11">
      <w:pPr>
        <w:spacing w:line="360" w:lineRule="auto"/>
      </w:pPr>
    </w:p>
    <w:p w14:paraId="3C069F7D" w14:textId="65215B2B" w:rsidR="004D417B" w:rsidRDefault="004D417B" w:rsidP="005C7B11">
      <w:pPr>
        <w:spacing w:line="360" w:lineRule="auto"/>
      </w:pPr>
    </w:p>
    <w:p w14:paraId="4BB37BE1" w14:textId="3FA438DC" w:rsidR="004D417B" w:rsidRDefault="004D417B" w:rsidP="005C7B11">
      <w:pPr>
        <w:spacing w:line="360" w:lineRule="auto"/>
      </w:pPr>
    </w:p>
    <w:p w14:paraId="1A262CC3" w14:textId="458FEA57" w:rsidR="004D417B" w:rsidRDefault="004D417B" w:rsidP="005C7B11">
      <w:pPr>
        <w:spacing w:line="360" w:lineRule="auto"/>
      </w:pPr>
    </w:p>
    <w:p w14:paraId="3D1DD99B" w14:textId="3D31EC85" w:rsidR="004D417B" w:rsidRDefault="004D417B" w:rsidP="005C7B11">
      <w:pPr>
        <w:spacing w:line="360" w:lineRule="auto"/>
      </w:pPr>
    </w:p>
    <w:p w14:paraId="3F4B82A8" w14:textId="4EE046CA" w:rsidR="004D417B" w:rsidRDefault="004D417B" w:rsidP="005C7B11">
      <w:pPr>
        <w:spacing w:line="360" w:lineRule="auto"/>
      </w:pPr>
    </w:p>
    <w:p w14:paraId="0D089278" w14:textId="1CE7CC54" w:rsidR="004D417B" w:rsidRDefault="004D417B" w:rsidP="005C7B11">
      <w:pPr>
        <w:spacing w:line="360" w:lineRule="auto"/>
      </w:pPr>
    </w:p>
    <w:p w14:paraId="039677FA" w14:textId="3E8573E8" w:rsidR="004D417B" w:rsidRDefault="004D417B" w:rsidP="005C7B11">
      <w:pPr>
        <w:spacing w:line="360" w:lineRule="auto"/>
      </w:pPr>
    </w:p>
    <w:p w14:paraId="20BC6D11" w14:textId="77B0DA39" w:rsidR="004D417B" w:rsidRDefault="004D417B" w:rsidP="005C7B11">
      <w:pPr>
        <w:spacing w:line="360" w:lineRule="auto"/>
      </w:pPr>
    </w:p>
    <w:p w14:paraId="56B0AD9F" w14:textId="5301A2C6" w:rsidR="004D417B" w:rsidRDefault="004D417B" w:rsidP="005C7B11">
      <w:pPr>
        <w:spacing w:line="360" w:lineRule="auto"/>
      </w:pPr>
    </w:p>
    <w:p w14:paraId="7665C6A9" w14:textId="0296C1AD" w:rsidR="004D417B" w:rsidRDefault="004D417B" w:rsidP="005C7B11">
      <w:pPr>
        <w:spacing w:line="360" w:lineRule="auto"/>
        <w:rPr>
          <w:b/>
        </w:rPr>
      </w:pPr>
      <w:r>
        <w:rPr>
          <w:b/>
        </w:rPr>
        <w:t>Bibliography</w:t>
      </w:r>
    </w:p>
    <w:p w14:paraId="39C223A2" w14:textId="77777777" w:rsidR="004D417B" w:rsidRDefault="004D417B" w:rsidP="004D417B">
      <w:pPr>
        <w:spacing w:line="360" w:lineRule="auto"/>
      </w:pPr>
      <w:r>
        <w:t>Baillie, J. 1959. Our Knowledge of God (: Oxford University Press)</w:t>
      </w:r>
    </w:p>
    <w:p w14:paraId="67DDC33C" w14:textId="77777777" w:rsidR="004D417B" w:rsidRDefault="004D417B" w:rsidP="004D417B">
      <w:pPr>
        <w:spacing w:line="360" w:lineRule="auto"/>
      </w:pPr>
    </w:p>
    <w:p w14:paraId="4197B647" w14:textId="77777777" w:rsidR="004D417B" w:rsidRDefault="004D417B" w:rsidP="004D417B">
      <w:pPr>
        <w:spacing w:line="360" w:lineRule="auto"/>
      </w:pPr>
      <w:r>
        <w:t xml:space="preserve">Davies, B. 1993. An Introduction to the Philosophy of </w:t>
      </w:r>
      <w:proofErr w:type="spellStart"/>
      <w:r>
        <w:t>Religion&amp;nbsp</w:t>
      </w:r>
      <w:proofErr w:type="spellEnd"/>
      <w:r>
        <w:t>; (Oxford &amp; New York: Oxford University Press)</w:t>
      </w:r>
    </w:p>
    <w:p w14:paraId="7438A7B1" w14:textId="77777777" w:rsidR="004D417B" w:rsidRDefault="004D417B" w:rsidP="004D417B">
      <w:pPr>
        <w:spacing w:line="360" w:lineRule="auto"/>
      </w:pPr>
    </w:p>
    <w:p w14:paraId="6C90B1C8" w14:textId="3B248680" w:rsidR="004D417B" w:rsidRDefault="004D417B" w:rsidP="004D417B">
      <w:pPr>
        <w:spacing w:line="360" w:lineRule="auto"/>
      </w:pPr>
      <w:r>
        <w:t>Davies, B. 2000. Philosophy of Religion: A Guide and Anthology (New York: Oxford University Press)</w:t>
      </w:r>
    </w:p>
    <w:p w14:paraId="0348AD94" w14:textId="1637A869" w:rsidR="004D417B" w:rsidRDefault="004D417B" w:rsidP="004D417B">
      <w:pPr>
        <w:spacing w:line="360" w:lineRule="auto"/>
      </w:pPr>
    </w:p>
    <w:p w14:paraId="70448CF9" w14:textId="4845F007" w:rsidR="004D417B" w:rsidRPr="004D417B" w:rsidRDefault="004D417B" w:rsidP="004D417B">
      <w:pPr>
        <w:spacing w:line="360" w:lineRule="auto"/>
      </w:pPr>
      <w:r w:rsidRPr="004D417B">
        <w:t>James, William, 1902. Varieties of Religious Experience, London: Longmans, Green, and Co.</w:t>
      </w:r>
    </w:p>
    <w:p w14:paraId="00AD5D25" w14:textId="77777777" w:rsidR="003227F2" w:rsidRDefault="003227F2" w:rsidP="005C7B11">
      <w:pPr>
        <w:spacing w:line="360" w:lineRule="auto"/>
      </w:pPr>
    </w:p>
    <w:p w14:paraId="73F57E6E" w14:textId="77777777" w:rsidR="00E8170C" w:rsidRPr="00F96D89" w:rsidRDefault="00E8170C" w:rsidP="00B4690C">
      <w:pPr>
        <w:spacing w:line="360" w:lineRule="auto"/>
      </w:pPr>
    </w:p>
    <w:sectPr w:rsidR="00E8170C" w:rsidRPr="00F96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CF0C76" w14:textId="77777777" w:rsidR="005B50C1" w:rsidRDefault="005B50C1" w:rsidP="009961CB">
      <w:pPr>
        <w:spacing w:after="0" w:line="240" w:lineRule="auto"/>
      </w:pPr>
      <w:r>
        <w:separator/>
      </w:r>
    </w:p>
  </w:endnote>
  <w:endnote w:type="continuationSeparator" w:id="0">
    <w:p w14:paraId="0E15C55F" w14:textId="77777777" w:rsidR="005B50C1" w:rsidRDefault="005B50C1" w:rsidP="009961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B29E7E" w14:textId="77777777" w:rsidR="005B50C1" w:rsidRDefault="005B50C1" w:rsidP="009961CB">
      <w:pPr>
        <w:spacing w:after="0" w:line="240" w:lineRule="auto"/>
      </w:pPr>
      <w:r>
        <w:separator/>
      </w:r>
    </w:p>
  </w:footnote>
  <w:footnote w:type="continuationSeparator" w:id="0">
    <w:p w14:paraId="5A79BF68" w14:textId="77777777" w:rsidR="005B50C1" w:rsidRDefault="005B50C1" w:rsidP="009961CB">
      <w:pPr>
        <w:spacing w:after="0" w:line="240" w:lineRule="auto"/>
      </w:pPr>
      <w:r>
        <w:continuationSeparator/>
      </w:r>
    </w:p>
  </w:footnote>
  <w:footnote w:id="1">
    <w:p w14:paraId="1064ADBA" w14:textId="3281FC9D" w:rsidR="009961CB" w:rsidRDefault="009961CB">
      <w:pPr>
        <w:pStyle w:val="FootnoteText"/>
      </w:pPr>
      <w:r>
        <w:rPr>
          <w:rStyle w:val="FootnoteReference"/>
        </w:rPr>
        <w:footnoteRef/>
      </w:r>
      <w:r>
        <w:t xml:space="preserve"> </w:t>
      </w:r>
      <w:r w:rsidRPr="009961CB">
        <w:t>Davies, B. 2000. Philosophy of Religion: A Guide and Anthology (New York: Oxford University Press)</w:t>
      </w:r>
      <w:r>
        <w:t xml:space="preserve"> p.359</w:t>
      </w:r>
    </w:p>
  </w:footnote>
  <w:footnote w:id="2">
    <w:p w14:paraId="046BE47E" w14:textId="2230F338" w:rsidR="00384691" w:rsidRDefault="00384691">
      <w:pPr>
        <w:pStyle w:val="FootnoteText"/>
      </w:pPr>
      <w:r>
        <w:rPr>
          <w:rStyle w:val="FootnoteReference"/>
        </w:rPr>
        <w:footnoteRef/>
      </w:r>
      <w:r>
        <w:t xml:space="preserve"> </w:t>
      </w:r>
      <w:r w:rsidRPr="00384691">
        <w:t>Davies, B. 1993. An Introduction to the Philosophy of Religio</w:t>
      </w:r>
      <w:r>
        <w:t>n</w:t>
      </w:r>
      <w:r w:rsidRPr="00384691">
        <w:t>; (Oxford &amp; New York: Oxford University Press)</w:t>
      </w:r>
      <w:r>
        <w:t xml:space="preserve"> p.128</w:t>
      </w:r>
    </w:p>
  </w:footnote>
  <w:footnote w:id="3">
    <w:p w14:paraId="3BC48037" w14:textId="1F8C62D0" w:rsidR="00384691" w:rsidRDefault="00384691">
      <w:pPr>
        <w:pStyle w:val="FootnoteText"/>
      </w:pPr>
      <w:r>
        <w:rPr>
          <w:rStyle w:val="FootnoteReference"/>
        </w:rPr>
        <w:footnoteRef/>
      </w:r>
      <w:r>
        <w:t xml:space="preserve"> </w:t>
      </w:r>
      <w:r w:rsidRPr="00384691">
        <w:t>Davies, B. 1993. An Introduction to the Philosophy of Religion; (Oxford &amp; New York: Oxford University Press)</w:t>
      </w:r>
      <w:r>
        <w:t xml:space="preserve"> p.129</w:t>
      </w:r>
    </w:p>
  </w:footnote>
  <w:footnote w:id="4">
    <w:p w14:paraId="3252C040" w14:textId="1F23E141" w:rsidR="00384691" w:rsidRDefault="00384691">
      <w:pPr>
        <w:pStyle w:val="FootnoteText"/>
      </w:pPr>
      <w:r>
        <w:rPr>
          <w:rStyle w:val="FootnoteReference"/>
        </w:rPr>
        <w:footnoteRef/>
      </w:r>
      <w:r>
        <w:t xml:space="preserve"> </w:t>
      </w:r>
      <w:r w:rsidRPr="00384691">
        <w:t>Davies, B. 2000. Philosophy of Religion: A Guide and Anthology (New York: Oxford University Press)</w:t>
      </w:r>
      <w:r>
        <w:t xml:space="preserve"> p.371</w:t>
      </w:r>
    </w:p>
  </w:footnote>
  <w:footnote w:id="5">
    <w:p w14:paraId="5EEF8F1C" w14:textId="66BCBCB1" w:rsidR="00384691" w:rsidRDefault="00384691">
      <w:pPr>
        <w:pStyle w:val="FootnoteText"/>
      </w:pPr>
      <w:r>
        <w:rPr>
          <w:rStyle w:val="FootnoteReference"/>
        </w:rPr>
        <w:footnoteRef/>
      </w:r>
      <w:r>
        <w:t xml:space="preserve"> </w:t>
      </w:r>
      <w:r w:rsidRPr="00384691">
        <w:t>Davies, B. 2000. Philosophy of Religion: A Guide and Anthology (New York: Oxford University Press)</w:t>
      </w:r>
      <w:r>
        <w:t xml:space="preserve"> p.371</w:t>
      </w:r>
    </w:p>
  </w:footnote>
  <w:footnote w:id="6">
    <w:p w14:paraId="422B9FB2" w14:textId="63733680" w:rsidR="00524268" w:rsidRDefault="00524268">
      <w:pPr>
        <w:pStyle w:val="FootnoteText"/>
      </w:pPr>
      <w:r>
        <w:rPr>
          <w:rStyle w:val="FootnoteReference"/>
        </w:rPr>
        <w:footnoteRef/>
      </w:r>
      <w:r>
        <w:t xml:space="preserve"> </w:t>
      </w:r>
      <w:bookmarkStart w:id="0" w:name="_Hlk2866139"/>
      <w:r w:rsidRPr="00524268">
        <w:t>Davies, B. 2000. Philosophy of Religion: A Guide and Anthology (New York: Oxford University Press)</w:t>
      </w:r>
    </w:p>
    <w:bookmarkEnd w:id="0"/>
  </w:footnote>
  <w:footnote w:id="7">
    <w:p w14:paraId="7D37E650" w14:textId="1C4A6F60" w:rsidR="00030002" w:rsidRDefault="00030002">
      <w:pPr>
        <w:pStyle w:val="FootnoteText"/>
      </w:pPr>
      <w:r>
        <w:rPr>
          <w:rStyle w:val="FootnoteReference"/>
        </w:rPr>
        <w:footnoteRef/>
      </w:r>
      <w:r>
        <w:t xml:space="preserve"> </w:t>
      </w:r>
      <w:bookmarkStart w:id="1" w:name="_Hlk2887345"/>
      <w:r w:rsidRPr="00030002">
        <w:t>James, William, 1902. Varieties of Religious Experience, London: Longmans, Green, and Co.</w:t>
      </w:r>
    </w:p>
    <w:bookmarkEnd w:id="1"/>
  </w:footnote>
  <w:footnote w:id="8">
    <w:p w14:paraId="087D40D1" w14:textId="754C0D07" w:rsidR="005C7B11" w:rsidRDefault="005C7B11">
      <w:pPr>
        <w:pStyle w:val="FootnoteText"/>
      </w:pPr>
      <w:r>
        <w:rPr>
          <w:rStyle w:val="FootnoteReference"/>
        </w:rPr>
        <w:footnoteRef/>
      </w:r>
      <w:r>
        <w:t xml:space="preserve"> </w:t>
      </w:r>
      <w:r w:rsidRPr="005C7B11">
        <w:t>James, William, 1902. Varieties of Religious Experience, London: Longmans, Green, and Co.</w:t>
      </w:r>
    </w:p>
  </w:footnote>
  <w:footnote w:id="9">
    <w:p w14:paraId="6214F60E" w14:textId="68E3BC34" w:rsidR="005907AF" w:rsidRDefault="005907AF">
      <w:pPr>
        <w:pStyle w:val="FootnoteText"/>
      </w:pPr>
      <w:r>
        <w:rPr>
          <w:rStyle w:val="FootnoteReference"/>
        </w:rPr>
        <w:footnoteRef/>
      </w:r>
      <w:r>
        <w:t xml:space="preserve"> </w:t>
      </w:r>
      <w:r w:rsidRPr="005907AF">
        <w:t>Davies, B. 2000. Philosophy of Religion: A Guide and Anthology (New York: Oxford University Press)</w:t>
      </w:r>
      <w:r>
        <w:t xml:space="preserve"> p.362</w:t>
      </w:r>
    </w:p>
  </w:footnote>
  <w:footnote w:id="10">
    <w:p w14:paraId="33B3A5A9" w14:textId="19A6697E" w:rsidR="00337CFC" w:rsidRDefault="00337CFC">
      <w:pPr>
        <w:pStyle w:val="FootnoteText"/>
      </w:pPr>
      <w:r>
        <w:rPr>
          <w:rStyle w:val="FootnoteReference"/>
        </w:rPr>
        <w:footnoteRef/>
      </w:r>
      <w:r w:rsidRPr="00337CFC">
        <w:t>Davies, B. 2000. Philosophy of Religion: A Guide and Anthology (New York: Oxford University Press)</w:t>
      </w:r>
      <w:r>
        <w:t xml:space="preserve"> p.362</w:t>
      </w:r>
    </w:p>
  </w:footnote>
  <w:footnote w:id="11">
    <w:p w14:paraId="4ECBC68F" w14:textId="531109A5" w:rsidR="007D08BE" w:rsidRDefault="007D08BE">
      <w:pPr>
        <w:pStyle w:val="FootnoteText"/>
      </w:pPr>
      <w:r>
        <w:rPr>
          <w:rStyle w:val="FootnoteReference"/>
        </w:rPr>
        <w:footnoteRef/>
      </w:r>
      <w:r>
        <w:t xml:space="preserve"> </w:t>
      </w:r>
      <w:r w:rsidRPr="007D08BE">
        <w:t>Baillie, J. 1959. Our Knowledge of God (: Oxford University Press)</w:t>
      </w:r>
      <w:r>
        <w:t xml:space="preserve"> p.217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D89"/>
    <w:rsid w:val="00030002"/>
    <w:rsid w:val="000858FD"/>
    <w:rsid w:val="000D6755"/>
    <w:rsid w:val="000E259A"/>
    <w:rsid w:val="00100C2C"/>
    <w:rsid w:val="00101694"/>
    <w:rsid w:val="00195146"/>
    <w:rsid w:val="001D2192"/>
    <w:rsid w:val="0020147D"/>
    <w:rsid w:val="002054CB"/>
    <w:rsid w:val="0026645F"/>
    <w:rsid w:val="002C438D"/>
    <w:rsid w:val="002D134E"/>
    <w:rsid w:val="003028A7"/>
    <w:rsid w:val="003227F2"/>
    <w:rsid w:val="00337CFC"/>
    <w:rsid w:val="00384691"/>
    <w:rsid w:val="00412B21"/>
    <w:rsid w:val="00480CAF"/>
    <w:rsid w:val="004D417B"/>
    <w:rsid w:val="00524268"/>
    <w:rsid w:val="005756C5"/>
    <w:rsid w:val="005907AF"/>
    <w:rsid w:val="005B50C1"/>
    <w:rsid w:val="005C7B11"/>
    <w:rsid w:val="005F23FF"/>
    <w:rsid w:val="00605BE8"/>
    <w:rsid w:val="006A35AB"/>
    <w:rsid w:val="006C4C00"/>
    <w:rsid w:val="006E529F"/>
    <w:rsid w:val="007208FF"/>
    <w:rsid w:val="007D08BE"/>
    <w:rsid w:val="00823554"/>
    <w:rsid w:val="008D1279"/>
    <w:rsid w:val="0095001C"/>
    <w:rsid w:val="009961CB"/>
    <w:rsid w:val="00997F3E"/>
    <w:rsid w:val="00A05B21"/>
    <w:rsid w:val="00A50571"/>
    <w:rsid w:val="00A70F90"/>
    <w:rsid w:val="00AC3CFC"/>
    <w:rsid w:val="00AE6A02"/>
    <w:rsid w:val="00B01004"/>
    <w:rsid w:val="00B10835"/>
    <w:rsid w:val="00B4690C"/>
    <w:rsid w:val="00C27B97"/>
    <w:rsid w:val="00CA1B4B"/>
    <w:rsid w:val="00CB677E"/>
    <w:rsid w:val="00CD215C"/>
    <w:rsid w:val="00D003EB"/>
    <w:rsid w:val="00D24991"/>
    <w:rsid w:val="00D30340"/>
    <w:rsid w:val="00D45A0C"/>
    <w:rsid w:val="00DA6743"/>
    <w:rsid w:val="00DF78EB"/>
    <w:rsid w:val="00E14C6C"/>
    <w:rsid w:val="00E8170C"/>
    <w:rsid w:val="00E91F53"/>
    <w:rsid w:val="00EE3064"/>
    <w:rsid w:val="00F004D0"/>
    <w:rsid w:val="00F634E3"/>
    <w:rsid w:val="00F67971"/>
    <w:rsid w:val="00F96D89"/>
    <w:rsid w:val="00FC1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593AF"/>
  <w15:chartTrackingRefBased/>
  <w15:docId w15:val="{52DC3841-6FEC-44ED-B744-417099F87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961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61CB"/>
    <w:rPr>
      <w:sz w:val="20"/>
      <w:szCs w:val="20"/>
    </w:rPr>
  </w:style>
  <w:style w:type="character" w:styleId="FootnoteReference">
    <w:name w:val="footnote reference"/>
    <w:basedOn w:val="DefaultParagraphFont"/>
    <w:uiPriority w:val="99"/>
    <w:semiHidden/>
    <w:unhideWhenUsed/>
    <w:rsid w:val="009961C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FA2F03-4FF3-4EFC-A55F-6E04F5D9D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832</TotalTime>
  <Pages>7</Pages>
  <Words>2210</Words>
  <Characters>12598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Shaunna Campbell - cross</dc:creator>
  <cp:keywords/>
  <dc:description/>
  <cp:lastModifiedBy>Shaunna Campbell - cross</cp:lastModifiedBy>
  <cp:revision>8</cp:revision>
  <dcterms:created xsi:type="dcterms:W3CDTF">2019-03-04T16:14:00Z</dcterms:created>
  <dcterms:modified xsi:type="dcterms:W3CDTF">2019-03-09T17:43:00Z</dcterms:modified>
</cp:coreProperties>
</file>