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68535118"/>
        <w:docPartObj>
          <w:docPartGallery w:val="Cover Pages"/>
          <w:docPartUnique/>
        </w:docPartObj>
      </w:sdtPr>
      <w:sdtEndPr>
        <w:rPr>
          <w:rFonts w:eastAsiaTheme="minorEastAsia"/>
          <w:bCs/>
          <w:noProof/>
          <w:color w:val="000000" w:themeColor="text1"/>
        </w:rPr>
      </w:sdtEndPr>
      <w:sdtContent>
        <w:p w14:paraId="46AB2EBE" w14:textId="0A496C8D" w:rsidR="00D4197E" w:rsidRDefault="00416930">
          <w:r>
            <w:rPr>
              <w:noProof/>
            </w:rPr>
            <w:pict w14:anchorId="52ED3012">
              <v:group id="Group 453" o:spid="_x0000_s1051" style="position:absolute;margin-left:357.75pt;margin-top:0;width:237.6pt;height:841.55pt;z-index:251657728;mso-width-percent:400;mso-height-percent:1000;mso-position-horizontal-relative:page;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L64Sw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">
                <v:rect id="Rectangle 459" o:spid="_x0000_s1052"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53"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54"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1-01T00:00:00Z">
                            <w:dateFormat w:val="yyyy"/>
                            <w:lid w:val="en-US"/>
                            <w:storeMappedDataAs w:val="dateTime"/>
                            <w:calendar w:val="gregorian"/>
                          </w:date>
                        </w:sdtPr>
                        <w:sdtEndPr/>
                        <w:sdtContent>
                          <w:p w14:paraId="5EB470AD" w14:textId="60C5CA5A" w:rsidR="00D4197E" w:rsidRDefault="00F00F88">
                            <w:pPr>
                              <w:pStyle w:val="NoSpacing"/>
                              <w:rPr>
                                <w:color w:val="FFFFFF" w:themeColor="background1"/>
                                <w:sz w:val="96"/>
                                <w:szCs w:val="96"/>
                              </w:rPr>
                            </w:pPr>
                            <w:r>
                              <w:rPr>
                                <w:color w:val="FFFFFF" w:themeColor="background1"/>
                                <w:sz w:val="96"/>
                                <w:szCs w:val="96"/>
                              </w:rPr>
                              <w:t>2022</w:t>
                            </w:r>
                          </w:p>
                        </w:sdtContent>
                      </w:sdt>
                    </w:txbxContent>
                  </v:textbox>
                </v:rect>
                <v:rect id="Rectangle 9" o:spid="_x0000_s1055"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4B5397A8" w14:textId="21330FEF" w:rsidR="00D4197E" w:rsidRDefault="00D4197E">
                            <w:pPr>
                              <w:pStyle w:val="NoSpacing"/>
                              <w:spacing w:line="360" w:lineRule="auto"/>
                              <w:rPr>
                                <w:color w:val="FFFFFF" w:themeColor="background1"/>
                              </w:rPr>
                            </w:pPr>
                            <w:r>
                              <w:rPr>
                                <w:color w:val="FFFFFF" w:themeColor="background1"/>
                              </w:rPr>
                              <w:t>Jamie Waters (1</w:t>
                            </w:r>
                            <w:r w:rsidR="00CB33D9">
                              <w:rPr>
                                <w:color w:val="FFFFFF" w:themeColor="background1"/>
                              </w:rPr>
                              <w:t>551425</w:t>
                            </w:r>
                            <w:r>
                              <w:rPr>
                                <w:color w:val="FFFFFF" w:themeColor="background1"/>
                              </w:rPr>
                              <w:t>)</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60EDD6B4" w14:textId="1AF90E0B" w:rsidR="00D4197E" w:rsidRDefault="00E353D2">
                            <w:pPr>
                              <w:pStyle w:val="NoSpacing"/>
                              <w:spacing w:line="360" w:lineRule="auto"/>
                              <w:rPr>
                                <w:color w:val="FFFFFF" w:themeColor="background1"/>
                              </w:rPr>
                            </w:pPr>
                            <w:r>
                              <w:rPr>
                                <w:color w:val="FFFFFF" w:themeColor="background1"/>
                              </w:rPr>
                              <w:t>UWTSD</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1-01T00:00:00Z">
                            <w:dateFormat w:val="M/d/yyyy"/>
                            <w:lid w:val="en-US"/>
                            <w:storeMappedDataAs w:val="dateTime"/>
                            <w:calendar w:val="gregorian"/>
                          </w:date>
                        </w:sdtPr>
                        <w:sdtEndPr/>
                        <w:sdtContent>
                          <w:p w14:paraId="1F52ACF5" w14:textId="153D21ED" w:rsidR="00D4197E" w:rsidRDefault="00F00F88">
                            <w:pPr>
                              <w:pStyle w:val="NoSpacing"/>
                              <w:spacing w:line="360" w:lineRule="auto"/>
                              <w:rPr>
                                <w:color w:val="FFFFFF" w:themeColor="background1"/>
                              </w:rPr>
                            </w:pPr>
                            <w:r>
                              <w:rPr>
                                <w:color w:val="FFFFFF" w:themeColor="background1"/>
                              </w:rPr>
                              <w:t>1/1/2022</w:t>
                            </w:r>
                          </w:p>
                        </w:sdtContent>
                      </w:sdt>
                    </w:txbxContent>
                  </v:textbox>
                </v:rect>
                <w10:wrap anchorx="page" anchory="page"/>
              </v:group>
            </w:pict>
          </w:r>
          <w:r w:rsidR="000D56E1">
            <w:rPr>
              <w:noProof/>
            </w:rPr>
            <w:drawing>
              <wp:inline distT="0" distB="0" distL="0" distR="0" wp14:anchorId="4DCA4046" wp14:editId="47A5BDF7">
                <wp:extent cx="3086100" cy="1543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86100" cy="1543050"/>
                        </a:xfrm>
                        <a:prstGeom prst="rect">
                          <a:avLst/>
                        </a:prstGeom>
                        <a:noFill/>
                      </pic:spPr>
                    </pic:pic>
                  </a:graphicData>
                </a:graphic>
              </wp:inline>
            </w:drawing>
          </w:r>
        </w:p>
        <w:p w14:paraId="3D4BB44A" w14:textId="332721B8" w:rsidR="00196715" w:rsidRPr="00E540B5" w:rsidRDefault="00017D30">
          <w:pPr>
            <w:rPr>
              <w:rFonts w:eastAsiaTheme="minorEastAsia"/>
              <w:bCs/>
              <w:noProof/>
              <w:color w:val="000000" w:themeColor="text1"/>
              <w:sz w:val="32"/>
              <w:szCs w:val="32"/>
            </w:rPr>
          </w:pPr>
          <w:r>
            <w:rPr>
              <w:rFonts w:eastAsiaTheme="minorEastAsia"/>
              <w:bCs/>
              <w:noProof/>
              <w:color w:val="000000" w:themeColor="text1"/>
            </w:rPr>
            <w:drawing>
              <wp:anchor distT="0" distB="0" distL="114300" distR="114300" simplePos="0" relativeHeight="251658240" behindDoc="0" locked="0" layoutInCell="1" allowOverlap="1" wp14:anchorId="06D3350A" wp14:editId="57A84535">
                <wp:simplePos x="0" y="0"/>
                <wp:positionH relativeFrom="column">
                  <wp:posOffset>-898222</wp:posOffset>
                </wp:positionH>
                <wp:positionV relativeFrom="page">
                  <wp:posOffset>3935785</wp:posOffset>
                </wp:positionV>
                <wp:extent cx="4531857" cy="2852149"/>
                <wp:effectExtent l="0" t="0" r="0" b="0"/>
                <wp:wrapNone/>
                <wp:docPr id="2" name="Picture 2" descr="A picture containing text, truck, road, concrete mix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truck, road, concrete mix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1857" cy="2852149"/>
                        </a:xfrm>
                        <a:prstGeom prst="rect">
                          <a:avLst/>
                        </a:prstGeom>
                        <a:noFill/>
                      </pic:spPr>
                    </pic:pic>
                  </a:graphicData>
                </a:graphic>
                <wp14:sizeRelH relativeFrom="margin">
                  <wp14:pctWidth>0</wp14:pctWidth>
                </wp14:sizeRelH>
                <wp14:sizeRelV relativeFrom="margin">
                  <wp14:pctHeight>0</wp14:pctHeight>
                </wp14:sizeRelV>
              </wp:anchor>
            </w:drawing>
          </w:r>
          <w:r w:rsidR="00416930">
            <w:rPr>
              <w:noProof/>
            </w:rPr>
            <w:pict w14:anchorId="762AD1CE">
              <v:rect id="Rectangle 16" o:spid="_x0000_s1050" style="position:absolute;margin-left:0;margin-top:211.75pt;width:532.45pt;height:97pt;z-index:251658752;visibility:visible;mso-top-percent:250;mso-wrap-distance-left:9pt;mso-wrap-distance-top:0;mso-wrap-distance-right:9pt;mso-wrap-distance-bottom:0;mso-position-horizontal:left;mso-position-horizontal-relative:page;mso-position-vertical-relative:page;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inset="14.4pt,,14.4pt">
                  <w:txbxContent>
                    <w:sdt>
                      <w:sdtPr>
                        <w:rPr>
                          <w:rFonts w:ascii="Arial" w:hAnsi="Arial" w:cs="Arial"/>
                          <w:b/>
                          <w:sz w:val="48"/>
                          <w:szCs w:val="48"/>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1C1E641" w14:textId="70DD77A5" w:rsidR="00D4197E" w:rsidRDefault="007A2951">
                          <w:pPr>
                            <w:pStyle w:val="NoSpacing"/>
                            <w:jc w:val="right"/>
                            <w:rPr>
                              <w:color w:val="FFFFFF" w:themeColor="background1"/>
                              <w:sz w:val="72"/>
                              <w:szCs w:val="72"/>
                            </w:rPr>
                          </w:pPr>
                          <w:r w:rsidRPr="007A2951">
                            <w:rPr>
                              <w:rFonts w:ascii="Arial" w:hAnsi="Arial" w:cs="Arial"/>
                              <w:b/>
                              <w:sz w:val="48"/>
                              <w:szCs w:val="48"/>
                            </w:rPr>
                            <w:t>Improving Supply chain Performance</w:t>
                          </w:r>
                        </w:p>
                      </w:sdtContent>
                    </w:sdt>
                  </w:txbxContent>
                </v:textbox>
                <w10:wrap anchorx="page" anchory="page"/>
              </v:rect>
            </w:pict>
          </w:r>
          <w:r w:rsidR="00D4197E">
            <w:rPr>
              <w:rFonts w:eastAsiaTheme="minorEastAsia"/>
              <w:bCs/>
              <w:noProof/>
              <w:color w:val="000000" w:themeColor="text1"/>
            </w:rPr>
            <w:br w:type="page"/>
          </w:r>
        </w:p>
      </w:sdtContent>
    </w:sdt>
    <w:sdt>
      <w:sdtPr>
        <w:rPr>
          <w:rFonts w:asciiTheme="minorHAnsi" w:eastAsiaTheme="minorHAnsi" w:hAnsiTheme="minorHAnsi" w:cstheme="minorBidi"/>
          <w:color w:val="auto"/>
          <w:sz w:val="22"/>
          <w:szCs w:val="22"/>
          <w:lang w:val="en-GB"/>
        </w:rPr>
        <w:id w:val="-1919091210"/>
        <w:docPartObj>
          <w:docPartGallery w:val="Table of Contents"/>
          <w:docPartUnique/>
        </w:docPartObj>
      </w:sdtPr>
      <w:sdtEndPr>
        <w:rPr>
          <w:b/>
          <w:bCs/>
          <w:noProof/>
        </w:rPr>
      </w:sdtEndPr>
      <w:sdtContent>
        <w:p w14:paraId="3D4BB44B" w14:textId="77777777" w:rsidR="00196715" w:rsidRPr="00967125" w:rsidRDefault="00196715">
          <w:pPr>
            <w:pStyle w:val="TOCHeading"/>
            <w:rPr>
              <w:rStyle w:val="Heading1Char"/>
            </w:rPr>
          </w:pPr>
          <w:r w:rsidRPr="00967125">
            <w:rPr>
              <w:rStyle w:val="Heading1Char"/>
            </w:rPr>
            <w:t>Table of Contents</w:t>
          </w:r>
        </w:p>
        <w:p w14:paraId="26AD72FA" w14:textId="77BD8294" w:rsidR="00DD21AD" w:rsidRDefault="000C5EBB">
          <w:pPr>
            <w:pStyle w:val="TOC1"/>
            <w:tabs>
              <w:tab w:val="right" w:leader="dot" w:pos="9016"/>
            </w:tabs>
            <w:rPr>
              <w:rFonts w:eastAsiaTheme="minorEastAsia"/>
              <w:noProof/>
              <w:lang w:eastAsia="en-GB"/>
            </w:rPr>
          </w:pPr>
          <w:r>
            <w:fldChar w:fldCharType="begin"/>
          </w:r>
          <w:r w:rsidR="00196715">
            <w:instrText xml:space="preserve"> TOC \o "1-3" \h \z \u </w:instrText>
          </w:r>
          <w:r>
            <w:fldChar w:fldCharType="separate"/>
          </w:r>
          <w:hyperlink w:anchor="_Toc101469646" w:history="1">
            <w:r w:rsidR="00DD21AD" w:rsidRPr="00EA033C">
              <w:rPr>
                <w:rStyle w:val="Hyperlink"/>
                <w:noProof/>
              </w:rPr>
              <w:t>Table of Figures</w:t>
            </w:r>
            <w:r w:rsidR="00DD21AD">
              <w:rPr>
                <w:noProof/>
                <w:webHidden/>
              </w:rPr>
              <w:tab/>
            </w:r>
            <w:r w:rsidR="00DD21AD">
              <w:rPr>
                <w:noProof/>
                <w:webHidden/>
              </w:rPr>
              <w:fldChar w:fldCharType="begin"/>
            </w:r>
            <w:r w:rsidR="00DD21AD">
              <w:rPr>
                <w:noProof/>
                <w:webHidden/>
              </w:rPr>
              <w:instrText xml:space="preserve"> PAGEREF _Toc101469646 \h </w:instrText>
            </w:r>
            <w:r w:rsidR="00DD21AD">
              <w:rPr>
                <w:noProof/>
                <w:webHidden/>
              </w:rPr>
            </w:r>
            <w:r w:rsidR="00DD21AD">
              <w:rPr>
                <w:noProof/>
                <w:webHidden/>
              </w:rPr>
              <w:fldChar w:fldCharType="separate"/>
            </w:r>
            <w:r w:rsidR="00DD21AD">
              <w:rPr>
                <w:noProof/>
                <w:webHidden/>
              </w:rPr>
              <w:t>1</w:t>
            </w:r>
            <w:r w:rsidR="00DD21AD">
              <w:rPr>
                <w:noProof/>
                <w:webHidden/>
              </w:rPr>
              <w:fldChar w:fldCharType="end"/>
            </w:r>
          </w:hyperlink>
        </w:p>
        <w:p w14:paraId="6720B078" w14:textId="03E66C86" w:rsidR="00DD21AD" w:rsidRDefault="00DD21AD">
          <w:pPr>
            <w:pStyle w:val="TOC1"/>
            <w:tabs>
              <w:tab w:val="right" w:leader="dot" w:pos="9016"/>
            </w:tabs>
            <w:rPr>
              <w:rFonts w:eastAsiaTheme="minorEastAsia"/>
              <w:noProof/>
              <w:lang w:eastAsia="en-GB"/>
            </w:rPr>
          </w:pPr>
          <w:hyperlink w:anchor="_Toc101469647" w:history="1">
            <w:r w:rsidRPr="00EA033C">
              <w:rPr>
                <w:rStyle w:val="Hyperlink"/>
                <w:noProof/>
              </w:rPr>
              <w:t>Introduction</w:t>
            </w:r>
            <w:r>
              <w:rPr>
                <w:noProof/>
                <w:webHidden/>
              </w:rPr>
              <w:tab/>
            </w:r>
            <w:r>
              <w:rPr>
                <w:noProof/>
                <w:webHidden/>
              </w:rPr>
              <w:fldChar w:fldCharType="begin"/>
            </w:r>
            <w:r>
              <w:rPr>
                <w:noProof/>
                <w:webHidden/>
              </w:rPr>
              <w:instrText xml:space="preserve"> PAGEREF _Toc101469647 \h </w:instrText>
            </w:r>
            <w:r>
              <w:rPr>
                <w:noProof/>
                <w:webHidden/>
              </w:rPr>
            </w:r>
            <w:r>
              <w:rPr>
                <w:noProof/>
                <w:webHidden/>
              </w:rPr>
              <w:fldChar w:fldCharType="separate"/>
            </w:r>
            <w:r>
              <w:rPr>
                <w:noProof/>
                <w:webHidden/>
              </w:rPr>
              <w:t>3</w:t>
            </w:r>
            <w:r>
              <w:rPr>
                <w:noProof/>
                <w:webHidden/>
              </w:rPr>
              <w:fldChar w:fldCharType="end"/>
            </w:r>
          </w:hyperlink>
        </w:p>
        <w:p w14:paraId="6C1ED70A" w14:textId="2401FB3A" w:rsidR="00DD21AD" w:rsidRDefault="00DD21AD">
          <w:pPr>
            <w:pStyle w:val="TOC1"/>
            <w:tabs>
              <w:tab w:val="right" w:leader="dot" w:pos="9016"/>
            </w:tabs>
            <w:rPr>
              <w:rFonts w:eastAsiaTheme="minorEastAsia"/>
              <w:noProof/>
              <w:lang w:eastAsia="en-GB"/>
            </w:rPr>
          </w:pPr>
          <w:hyperlink w:anchor="_Toc101469648" w:history="1">
            <w:r w:rsidRPr="00EA033C">
              <w:rPr>
                <w:rStyle w:val="Hyperlink"/>
                <w:noProof/>
              </w:rPr>
              <w:t>Critical evaluation of the steel supply chain vulnerability</w:t>
            </w:r>
            <w:r>
              <w:rPr>
                <w:noProof/>
                <w:webHidden/>
              </w:rPr>
              <w:tab/>
            </w:r>
            <w:r>
              <w:rPr>
                <w:noProof/>
                <w:webHidden/>
              </w:rPr>
              <w:fldChar w:fldCharType="begin"/>
            </w:r>
            <w:r>
              <w:rPr>
                <w:noProof/>
                <w:webHidden/>
              </w:rPr>
              <w:instrText xml:space="preserve"> PAGEREF _Toc101469648 \h </w:instrText>
            </w:r>
            <w:r>
              <w:rPr>
                <w:noProof/>
                <w:webHidden/>
              </w:rPr>
            </w:r>
            <w:r>
              <w:rPr>
                <w:noProof/>
                <w:webHidden/>
              </w:rPr>
              <w:fldChar w:fldCharType="separate"/>
            </w:r>
            <w:r>
              <w:rPr>
                <w:noProof/>
                <w:webHidden/>
              </w:rPr>
              <w:t>5</w:t>
            </w:r>
            <w:r>
              <w:rPr>
                <w:noProof/>
                <w:webHidden/>
              </w:rPr>
              <w:fldChar w:fldCharType="end"/>
            </w:r>
          </w:hyperlink>
        </w:p>
        <w:p w14:paraId="762C869A" w14:textId="743A69B4" w:rsidR="00DD21AD" w:rsidRDefault="00DD21AD">
          <w:pPr>
            <w:pStyle w:val="TOC2"/>
            <w:tabs>
              <w:tab w:val="right" w:leader="dot" w:pos="9016"/>
            </w:tabs>
            <w:rPr>
              <w:rFonts w:eastAsiaTheme="minorEastAsia"/>
              <w:noProof/>
              <w:lang w:eastAsia="en-GB"/>
            </w:rPr>
          </w:pPr>
          <w:hyperlink w:anchor="_Toc101469649" w:history="1">
            <w:r w:rsidRPr="00EA033C">
              <w:rPr>
                <w:rStyle w:val="Hyperlink"/>
                <w:noProof/>
              </w:rPr>
              <w:t>Supply risk</w:t>
            </w:r>
            <w:r>
              <w:rPr>
                <w:noProof/>
                <w:webHidden/>
              </w:rPr>
              <w:tab/>
            </w:r>
            <w:r>
              <w:rPr>
                <w:noProof/>
                <w:webHidden/>
              </w:rPr>
              <w:fldChar w:fldCharType="begin"/>
            </w:r>
            <w:r>
              <w:rPr>
                <w:noProof/>
                <w:webHidden/>
              </w:rPr>
              <w:instrText xml:space="preserve"> PAGEREF _Toc101469649 \h </w:instrText>
            </w:r>
            <w:r>
              <w:rPr>
                <w:noProof/>
                <w:webHidden/>
              </w:rPr>
            </w:r>
            <w:r>
              <w:rPr>
                <w:noProof/>
                <w:webHidden/>
              </w:rPr>
              <w:fldChar w:fldCharType="separate"/>
            </w:r>
            <w:r>
              <w:rPr>
                <w:noProof/>
                <w:webHidden/>
              </w:rPr>
              <w:t>7</w:t>
            </w:r>
            <w:r>
              <w:rPr>
                <w:noProof/>
                <w:webHidden/>
              </w:rPr>
              <w:fldChar w:fldCharType="end"/>
            </w:r>
          </w:hyperlink>
        </w:p>
        <w:p w14:paraId="2534B869" w14:textId="1510F381" w:rsidR="00DD21AD" w:rsidRDefault="00DD21AD">
          <w:pPr>
            <w:pStyle w:val="TOC2"/>
            <w:tabs>
              <w:tab w:val="right" w:leader="dot" w:pos="9016"/>
            </w:tabs>
            <w:rPr>
              <w:rFonts w:eastAsiaTheme="minorEastAsia"/>
              <w:noProof/>
              <w:lang w:eastAsia="en-GB"/>
            </w:rPr>
          </w:pPr>
          <w:hyperlink w:anchor="_Toc101469650" w:history="1">
            <w:r w:rsidRPr="00EA033C">
              <w:rPr>
                <w:rStyle w:val="Hyperlink"/>
                <w:noProof/>
              </w:rPr>
              <w:t>Process risks</w:t>
            </w:r>
            <w:r>
              <w:rPr>
                <w:noProof/>
                <w:webHidden/>
              </w:rPr>
              <w:tab/>
            </w:r>
            <w:r>
              <w:rPr>
                <w:noProof/>
                <w:webHidden/>
              </w:rPr>
              <w:fldChar w:fldCharType="begin"/>
            </w:r>
            <w:r>
              <w:rPr>
                <w:noProof/>
                <w:webHidden/>
              </w:rPr>
              <w:instrText xml:space="preserve"> PAGEREF _Toc101469650 \h </w:instrText>
            </w:r>
            <w:r>
              <w:rPr>
                <w:noProof/>
                <w:webHidden/>
              </w:rPr>
            </w:r>
            <w:r>
              <w:rPr>
                <w:noProof/>
                <w:webHidden/>
              </w:rPr>
              <w:fldChar w:fldCharType="separate"/>
            </w:r>
            <w:r>
              <w:rPr>
                <w:noProof/>
                <w:webHidden/>
              </w:rPr>
              <w:t>8</w:t>
            </w:r>
            <w:r>
              <w:rPr>
                <w:noProof/>
                <w:webHidden/>
              </w:rPr>
              <w:fldChar w:fldCharType="end"/>
            </w:r>
          </w:hyperlink>
        </w:p>
        <w:p w14:paraId="72934E5C" w14:textId="03A7AC5C" w:rsidR="00DD21AD" w:rsidRDefault="00DD21AD">
          <w:pPr>
            <w:pStyle w:val="TOC2"/>
            <w:tabs>
              <w:tab w:val="right" w:leader="dot" w:pos="9016"/>
            </w:tabs>
            <w:rPr>
              <w:rFonts w:eastAsiaTheme="minorEastAsia"/>
              <w:noProof/>
              <w:lang w:eastAsia="en-GB"/>
            </w:rPr>
          </w:pPr>
          <w:hyperlink w:anchor="_Toc101469651" w:history="1">
            <w:r w:rsidRPr="00EA033C">
              <w:rPr>
                <w:rStyle w:val="Hyperlink"/>
                <w:noProof/>
              </w:rPr>
              <w:t>Control Risk</w:t>
            </w:r>
            <w:r>
              <w:rPr>
                <w:noProof/>
                <w:webHidden/>
              </w:rPr>
              <w:tab/>
            </w:r>
            <w:r>
              <w:rPr>
                <w:noProof/>
                <w:webHidden/>
              </w:rPr>
              <w:fldChar w:fldCharType="begin"/>
            </w:r>
            <w:r>
              <w:rPr>
                <w:noProof/>
                <w:webHidden/>
              </w:rPr>
              <w:instrText xml:space="preserve"> PAGEREF _Toc101469651 \h </w:instrText>
            </w:r>
            <w:r>
              <w:rPr>
                <w:noProof/>
                <w:webHidden/>
              </w:rPr>
            </w:r>
            <w:r>
              <w:rPr>
                <w:noProof/>
                <w:webHidden/>
              </w:rPr>
              <w:fldChar w:fldCharType="separate"/>
            </w:r>
            <w:r>
              <w:rPr>
                <w:noProof/>
                <w:webHidden/>
              </w:rPr>
              <w:t>8</w:t>
            </w:r>
            <w:r>
              <w:rPr>
                <w:noProof/>
                <w:webHidden/>
              </w:rPr>
              <w:fldChar w:fldCharType="end"/>
            </w:r>
          </w:hyperlink>
        </w:p>
        <w:p w14:paraId="183224CC" w14:textId="2BD829A1" w:rsidR="00DD21AD" w:rsidRDefault="00DD21AD">
          <w:pPr>
            <w:pStyle w:val="TOC2"/>
            <w:tabs>
              <w:tab w:val="right" w:leader="dot" w:pos="9016"/>
            </w:tabs>
            <w:rPr>
              <w:rFonts w:eastAsiaTheme="minorEastAsia"/>
              <w:noProof/>
              <w:lang w:eastAsia="en-GB"/>
            </w:rPr>
          </w:pPr>
          <w:hyperlink w:anchor="_Toc101469652" w:history="1">
            <w:r w:rsidRPr="00EA033C">
              <w:rPr>
                <w:rStyle w:val="Hyperlink"/>
                <w:noProof/>
              </w:rPr>
              <w:t>Demand Risk</w:t>
            </w:r>
            <w:r>
              <w:rPr>
                <w:noProof/>
                <w:webHidden/>
              </w:rPr>
              <w:tab/>
            </w:r>
            <w:r>
              <w:rPr>
                <w:noProof/>
                <w:webHidden/>
              </w:rPr>
              <w:fldChar w:fldCharType="begin"/>
            </w:r>
            <w:r>
              <w:rPr>
                <w:noProof/>
                <w:webHidden/>
              </w:rPr>
              <w:instrText xml:space="preserve"> PAGEREF _Toc101469652 \h </w:instrText>
            </w:r>
            <w:r>
              <w:rPr>
                <w:noProof/>
                <w:webHidden/>
              </w:rPr>
            </w:r>
            <w:r>
              <w:rPr>
                <w:noProof/>
                <w:webHidden/>
              </w:rPr>
              <w:fldChar w:fldCharType="separate"/>
            </w:r>
            <w:r>
              <w:rPr>
                <w:noProof/>
                <w:webHidden/>
              </w:rPr>
              <w:t>9</w:t>
            </w:r>
            <w:r>
              <w:rPr>
                <w:noProof/>
                <w:webHidden/>
              </w:rPr>
              <w:fldChar w:fldCharType="end"/>
            </w:r>
          </w:hyperlink>
        </w:p>
        <w:p w14:paraId="56BA65DF" w14:textId="2AE4CB95" w:rsidR="00DD21AD" w:rsidRDefault="00DD21AD">
          <w:pPr>
            <w:pStyle w:val="TOC2"/>
            <w:tabs>
              <w:tab w:val="right" w:leader="dot" w:pos="9016"/>
            </w:tabs>
            <w:rPr>
              <w:rFonts w:eastAsiaTheme="minorEastAsia"/>
              <w:noProof/>
              <w:lang w:eastAsia="en-GB"/>
            </w:rPr>
          </w:pPr>
          <w:hyperlink w:anchor="_Toc101469653" w:history="1">
            <w:r w:rsidRPr="00EA033C">
              <w:rPr>
                <w:rStyle w:val="Hyperlink"/>
                <w:noProof/>
              </w:rPr>
              <w:t>Environmental or Disruption</w:t>
            </w:r>
            <w:r>
              <w:rPr>
                <w:noProof/>
                <w:webHidden/>
              </w:rPr>
              <w:tab/>
            </w:r>
            <w:r>
              <w:rPr>
                <w:noProof/>
                <w:webHidden/>
              </w:rPr>
              <w:fldChar w:fldCharType="begin"/>
            </w:r>
            <w:r>
              <w:rPr>
                <w:noProof/>
                <w:webHidden/>
              </w:rPr>
              <w:instrText xml:space="preserve"> PAGEREF _Toc101469653 \h </w:instrText>
            </w:r>
            <w:r>
              <w:rPr>
                <w:noProof/>
                <w:webHidden/>
              </w:rPr>
            </w:r>
            <w:r>
              <w:rPr>
                <w:noProof/>
                <w:webHidden/>
              </w:rPr>
              <w:fldChar w:fldCharType="separate"/>
            </w:r>
            <w:r>
              <w:rPr>
                <w:noProof/>
                <w:webHidden/>
              </w:rPr>
              <w:t>9</w:t>
            </w:r>
            <w:r>
              <w:rPr>
                <w:noProof/>
                <w:webHidden/>
              </w:rPr>
              <w:fldChar w:fldCharType="end"/>
            </w:r>
          </w:hyperlink>
        </w:p>
        <w:p w14:paraId="47E30BF4" w14:textId="1FBC638D" w:rsidR="00DD21AD" w:rsidRDefault="00DD21AD">
          <w:pPr>
            <w:pStyle w:val="TOC1"/>
            <w:tabs>
              <w:tab w:val="right" w:leader="dot" w:pos="9016"/>
            </w:tabs>
            <w:rPr>
              <w:rFonts w:eastAsiaTheme="minorEastAsia"/>
              <w:noProof/>
              <w:lang w:eastAsia="en-GB"/>
            </w:rPr>
          </w:pPr>
          <w:hyperlink w:anchor="_Toc101469654" w:history="1">
            <w:r w:rsidRPr="00EA033C">
              <w:rPr>
                <w:rStyle w:val="Hyperlink"/>
                <w:noProof/>
              </w:rPr>
              <w:t>Steps to make the steel supply chain more resilient</w:t>
            </w:r>
            <w:r>
              <w:rPr>
                <w:noProof/>
                <w:webHidden/>
              </w:rPr>
              <w:tab/>
            </w:r>
            <w:r>
              <w:rPr>
                <w:noProof/>
                <w:webHidden/>
              </w:rPr>
              <w:fldChar w:fldCharType="begin"/>
            </w:r>
            <w:r>
              <w:rPr>
                <w:noProof/>
                <w:webHidden/>
              </w:rPr>
              <w:instrText xml:space="preserve"> PAGEREF _Toc101469654 \h </w:instrText>
            </w:r>
            <w:r>
              <w:rPr>
                <w:noProof/>
                <w:webHidden/>
              </w:rPr>
            </w:r>
            <w:r>
              <w:rPr>
                <w:noProof/>
                <w:webHidden/>
              </w:rPr>
              <w:fldChar w:fldCharType="separate"/>
            </w:r>
            <w:r>
              <w:rPr>
                <w:noProof/>
                <w:webHidden/>
              </w:rPr>
              <w:t>11</w:t>
            </w:r>
            <w:r>
              <w:rPr>
                <w:noProof/>
                <w:webHidden/>
              </w:rPr>
              <w:fldChar w:fldCharType="end"/>
            </w:r>
          </w:hyperlink>
        </w:p>
        <w:p w14:paraId="6C4E77B7" w14:textId="2145CE72" w:rsidR="00DD21AD" w:rsidRDefault="00DD21AD">
          <w:pPr>
            <w:pStyle w:val="TOC2"/>
            <w:tabs>
              <w:tab w:val="right" w:leader="dot" w:pos="9016"/>
            </w:tabs>
            <w:rPr>
              <w:rFonts w:eastAsiaTheme="minorEastAsia"/>
              <w:noProof/>
              <w:lang w:eastAsia="en-GB"/>
            </w:rPr>
          </w:pPr>
          <w:hyperlink w:anchor="_Toc101469655" w:history="1">
            <w:r w:rsidRPr="00EA033C">
              <w:rPr>
                <w:rStyle w:val="Hyperlink"/>
                <w:noProof/>
              </w:rPr>
              <w:t>Avoidance</w:t>
            </w:r>
            <w:r>
              <w:rPr>
                <w:noProof/>
                <w:webHidden/>
              </w:rPr>
              <w:tab/>
            </w:r>
            <w:r>
              <w:rPr>
                <w:noProof/>
                <w:webHidden/>
              </w:rPr>
              <w:fldChar w:fldCharType="begin"/>
            </w:r>
            <w:r>
              <w:rPr>
                <w:noProof/>
                <w:webHidden/>
              </w:rPr>
              <w:instrText xml:space="preserve"> PAGEREF _Toc101469655 \h </w:instrText>
            </w:r>
            <w:r>
              <w:rPr>
                <w:noProof/>
                <w:webHidden/>
              </w:rPr>
            </w:r>
            <w:r>
              <w:rPr>
                <w:noProof/>
                <w:webHidden/>
              </w:rPr>
              <w:fldChar w:fldCharType="separate"/>
            </w:r>
            <w:r>
              <w:rPr>
                <w:noProof/>
                <w:webHidden/>
              </w:rPr>
              <w:t>12</w:t>
            </w:r>
            <w:r>
              <w:rPr>
                <w:noProof/>
                <w:webHidden/>
              </w:rPr>
              <w:fldChar w:fldCharType="end"/>
            </w:r>
          </w:hyperlink>
        </w:p>
        <w:p w14:paraId="19538CC9" w14:textId="264D6160" w:rsidR="00DD21AD" w:rsidRDefault="00DD21AD">
          <w:pPr>
            <w:pStyle w:val="TOC3"/>
            <w:tabs>
              <w:tab w:val="right" w:leader="dot" w:pos="9016"/>
            </w:tabs>
            <w:rPr>
              <w:rFonts w:eastAsiaTheme="minorEastAsia"/>
              <w:noProof/>
              <w:lang w:eastAsia="en-GB"/>
            </w:rPr>
          </w:pPr>
          <w:hyperlink w:anchor="_Toc101469656" w:history="1">
            <w:r w:rsidRPr="00EA033C">
              <w:rPr>
                <w:rStyle w:val="Hyperlink"/>
                <w:noProof/>
              </w:rPr>
              <w:t>Dropping specific products, geographical markets, suppliers, customers.</w:t>
            </w:r>
            <w:r>
              <w:rPr>
                <w:noProof/>
                <w:webHidden/>
              </w:rPr>
              <w:tab/>
            </w:r>
            <w:r>
              <w:rPr>
                <w:noProof/>
                <w:webHidden/>
              </w:rPr>
              <w:fldChar w:fldCharType="begin"/>
            </w:r>
            <w:r>
              <w:rPr>
                <w:noProof/>
                <w:webHidden/>
              </w:rPr>
              <w:instrText xml:space="preserve"> PAGEREF _Toc101469656 \h </w:instrText>
            </w:r>
            <w:r>
              <w:rPr>
                <w:noProof/>
                <w:webHidden/>
              </w:rPr>
            </w:r>
            <w:r>
              <w:rPr>
                <w:noProof/>
                <w:webHidden/>
              </w:rPr>
              <w:fldChar w:fldCharType="separate"/>
            </w:r>
            <w:r>
              <w:rPr>
                <w:noProof/>
                <w:webHidden/>
              </w:rPr>
              <w:t>12</w:t>
            </w:r>
            <w:r>
              <w:rPr>
                <w:noProof/>
                <w:webHidden/>
              </w:rPr>
              <w:fldChar w:fldCharType="end"/>
            </w:r>
          </w:hyperlink>
        </w:p>
        <w:p w14:paraId="354CC4AD" w14:textId="7F828148" w:rsidR="00DD21AD" w:rsidRDefault="00DD21AD">
          <w:pPr>
            <w:pStyle w:val="TOC2"/>
            <w:tabs>
              <w:tab w:val="right" w:leader="dot" w:pos="9016"/>
            </w:tabs>
            <w:rPr>
              <w:rFonts w:eastAsiaTheme="minorEastAsia"/>
              <w:noProof/>
              <w:lang w:eastAsia="en-GB"/>
            </w:rPr>
          </w:pPr>
          <w:hyperlink w:anchor="_Toc101469657" w:history="1">
            <w:r w:rsidRPr="00EA033C">
              <w:rPr>
                <w:rStyle w:val="Hyperlink"/>
                <w:noProof/>
              </w:rPr>
              <w:t>Control</w:t>
            </w:r>
            <w:r>
              <w:rPr>
                <w:noProof/>
                <w:webHidden/>
              </w:rPr>
              <w:tab/>
            </w:r>
            <w:r>
              <w:rPr>
                <w:noProof/>
                <w:webHidden/>
              </w:rPr>
              <w:fldChar w:fldCharType="begin"/>
            </w:r>
            <w:r>
              <w:rPr>
                <w:noProof/>
                <w:webHidden/>
              </w:rPr>
              <w:instrText xml:space="preserve"> PAGEREF _Toc101469657 \h </w:instrText>
            </w:r>
            <w:r>
              <w:rPr>
                <w:noProof/>
                <w:webHidden/>
              </w:rPr>
            </w:r>
            <w:r>
              <w:rPr>
                <w:noProof/>
                <w:webHidden/>
              </w:rPr>
              <w:fldChar w:fldCharType="separate"/>
            </w:r>
            <w:r>
              <w:rPr>
                <w:noProof/>
                <w:webHidden/>
              </w:rPr>
              <w:t>12</w:t>
            </w:r>
            <w:r>
              <w:rPr>
                <w:noProof/>
                <w:webHidden/>
              </w:rPr>
              <w:fldChar w:fldCharType="end"/>
            </w:r>
          </w:hyperlink>
        </w:p>
        <w:p w14:paraId="5D21E987" w14:textId="503EDD2E" w:rsidR="00DD21AD" w:rsidRDefault="00DD21AD">
          <w:pPr>
            <w:pStyle w:val="TOC3"/>
            <w:tabs>
              <w:tab w:val="right" w:leader="dot" w:pos="9016"/>
            </w:tabs>
            <w:rPr>
              <w:rFonts w:eastAsiaTheme="minorEastAsia"/>
              <w:noProof/>
              <w:lang w:eastAsia="en-GB"/>
            </w:rPr>
          </w:pPr>
          <w:hyperlink w:anchor="_Toc101469658" w:history="1">
            <w:r w:rsidRPr="00EA033C">
              <w:rPr>
                <w:rStyle w:val="Hyperlink"/>
                <w:noProof/>
              </w:rPr>
              <w:t>Vertical integration</w:t>
            </w:r>
            <w:r>
              <w:rPr>
                <w:noProof/>
                <w:webHidden/>
              </w:rPr>
              <w:tab/>
            </w:r>
            <w:r>
              <w:rPr>
                <w:noProof/>
                <w:webHidden/>
              </w:rPr>
              <w:fldChar w:fldCharType="begin"/>
            </w:r>
            <w:r>
              <w:rPr>
                <w:noProof/>
                <w:webHidden/>
              </w:rPr>
              <w:instrText xml:space="preserve"> PAGEREF _Toc101469658 \h </w:instrText>
            </w:r>
            <w:r>
              <w:rPr>
                <w:noProof/>
                <w:webHidden/>
              </w:rPr>
            </w:r>
            <w:r>
              <w:rPr>
                <w:noProof/>
                <w:webHidden/>
              </w:rPr>
              <w:fldChar w:fldCharType="separate"/>
            </w:r>
            <w:r>
              <w:rPr>
                <w:noProof/>
                <w:webHidden/>
              </w:rPr>
              <w:t>12</w:t>
            </w:r>
            <w:r>
              <w:rPr>
                <w:noProof/>
                <w:webHidden/>
              </w:rPr>
              <w:fldChar w:fldCharType="end"/>
            </w:r>
          </w:hyperlink>
        </w:p>
        <w:p w14:paraId="7908C139" w14:textId="7D058CCD" w:rsidR="00DD21AD" w:rsidRDefault="00DD21AD">
          <w:pPr>
            <w:pStyle w:val="TOC3"/>
            <w:tabs>
              <w:tab w:val="right" w:leader="dot" w:pos="9016"/>
            </w:tabs>
            <w:rPr>
              <w:rFonts w:eastAsiaTheme="minorEastAsia"/>
              <w:noProof/>
              <w:lang w:eastAsia="en-GB"/>
            </w:rPr>
          </w:pPr>
          <w:hyperlink w:anchor="_Toc101469659" w:history="1">
            <w:r w:rsidRPr="00EA033C">
              <w:rPr>
                <w:rStyle w:val="Hyperlink"/>
                <w:noProof/>
              </w:rPr>
              <w:t>Increased Stockpiling and Buffer inventory</w:t>
            </w:r>
            <w:r>
              <w:rPr>
                <w:noProof/>
                <w:webHidden/>
              </w:rPr>
              <w:tab/>
            </w:r>
            <w:r>
              <w:rPr>
                <w:noProof/>
                <w:webHidden/>
              </w:rPr>
              <w:fldChar w:fldCharType="begin"/>
            </w:r>
            <w:r>
              <w:rPr>
                <w:noProof/>
                <w:webHidden/>
              </w:rPr>
              <w:instrText xml:space="preserve"> PAGEREF _Toc101469659 \h </w:instrText>
            </w:r>
            <w:r>
              <w:rPr>
                <w:noProof/>
                <w:webHidden/>
              </w:rPr>
            </w:r>
            <w:r>
              <w:rPr>
                <w:noProof/>
                <w:webHidden/>
              </w:rPr>
              <w:fldChar w:fldCharType="separate"/>
            </w:r>
            <w:r>
              <w:rPr>
                <w:noProof/>
                <w:webHidden/>
              </w:rPr>
              <w:t>12</w:t>
            </w:r>
            <w:r>
              <w:rPr>
                <w:noProof/>
                <w:webHidden/>
              </w:rPr>
              <w:fldChar w:fldCharType="end"/>
            </w:r>
          </w:hyperlink>
        </w:p>
        <w:p w14:paraId="5FE99819" w14:textId="0221C7C3" w:rsidR="00DD21AD" w:rsidRDefault="00DD21AD">
          <w:pPr>
            <w:pStyle w:val="TOC3"/>
            <w:tabs>
              <w:tab w:val="right" w:leader="dot" w:pos="9016"/>
            </w:tabs>
            <w:rPr>
              <w:rFonts w:eastAsiaTheme="minorEastAsia"/>
              <w:noProof/>
              <w:lang w:eastAsia="en-GB"/>
            </w:rPr>
          </w:pPr>
          <w:hyperlink w:anchor="_Toc101469660" w:history="1">
            <w:r w:rsidRPr="00EA033C">
              <w:rPr>
                <w:rStyle w:val="Hyperlink"/>
                <w:noProof/>
              </w:rPr>
              <w:t>Maintaining extra capacity in production, storage, and handling/transport</w:t>
            </w:r>
            <w:r>
              <w:rPr>
                <w:noProof/>
                <w:webHidden/>
              </w:rPr>
              <w:tab/>
            </w:r>
            <w:r>
              <w:rPr>
                <w:noProof/>
                <w:webHidden/>
              </w:rPr>
              <w:fldChar w:fldCharType="begin"/>
            </w:r>
            <w:r>
              <w:rPr>
                <w:noProof/>
                <w:webHidden/>
              </w:rPr>
              <w:instrText xml:space="preserve"> PAGEREF _Toc101469660 \h </w:instrText>
            </w:r>
            <w:r>
              <w:rPr>
                <w:noProof/>
                <w:webHidden/>
              </w:rPr>
            </w:r>
            <w:r>
              <w:rPr>
                <w:noProof/>
                <w:webHidden/>
              </w:rPr>
              <w:fldChar w:fldCharType="separate"/>
            </w:r>
            <w:r>
              <w:rPr>
                <w:noProof/>
                <w:webHidden/>
              </w:rPr>
              <w:t>12</w:t>
            </w:r>
            <w:r>
              <w:rPr>
                <w:noProof/>
                <w:webHidden/>
              </w:rPr>
              <w:fldChar w:fldCharType="end"/>
            </w:r>
          </w:hyperlink>
        </w:p>
        <w:p w14:paraId="1F7CE29B" w14:textId="13198DE0" w:rsidR="00DD21AD" w:rsidRDefault="00DD21AD">
          <w:pPr>
            <w:pStyle w:val="TOC3"/>
            <w:tabs>
              <w:tab w:val="right" w:leader="dot" w:pos="9016"/>
            </w:tabs>
            <w:rPr>
              <w:rFonts w:eastAsiaTheme="minorEastAsia"/>
              <w:noProof/>
              <w:lang w:eastAsia="en-GB"/>
            </w:rPr>
          </w:pPr>
          <w:hyperlink w:anchor="_Toc101469661" w:history="1">
            <w:r w:rsidRPr="00EA033C">
              <w:rPr>
                <w:rStyle w:val="Hyperlink"/>
                <w:noProof/>
              </w:rPr>
              <w:t>Imposing contractual obligations on suppliers</w:t>
            </w:r>
            <w:r>
              <w:rPr>
                <w:noProof/>
                <w:webHidden/>
              </w:rPr>
              <w:tab/>
            </w:r>
            <w:r>
              <w:rPr>
                <w:noProof/>
                <w:webHidden/>
              </w:rPr>
              <w:fldChar w:fldCharType="begin"/>
            </w:r>
            <w:r>
              <w:rPr>
                <w:noProof/>
                <w:webHidden/>
              </w:rPr>
              <w:instrText xml:space="preserve"> PAGEREF _Toc101469661 \h </w:instrText>
            </w:r>
            <w:r>
              <w:rPr>
                <w:noProof/>
                <w:webHidden/>
              </w:rPr>
            </w:r>
            <w:r>
              <w:rPr>
                <w:noProof/>
                <w:webHidden/>
              </w:rPr>
              <w:fldChar w:fldCharType="separate"/>
            </w:r>
            <w:r>
              <w:rPr>
                <w:noProof/>
                <w:webHidden/>
              </w:rPr>
              <w:t>13</w:t>
            </w:r>
            <w:r>
              <w:rPr>
                <w:noProof/>
                <w:webHidden/>
              </w:rPr>
              <w:fldChar w:fldCharType="end"/>
            </w:r>
          </w:hyperlink>
        </w:p>
        <w:p w14:paraId="150E20E3" w14:textId="19C004FC" w:rsidR="00DD21AD" w:rsidRDefault="00DD21AD">
          <w:pPr>
            <w:pStyle w:val="TOC2"/>
            <w:tabs>
              <w:tab w:val="right" w:leader="dot" w:pos="9016"/>
            </w:tabs>
            <w:rPr>
              <w:rFonts w:eastAsiaTheme="minorEastAsia"/>
              <w:noProof/>
              <w:lang w:eastAsia="en-GB"/>
            </w:rPr>
          </w:pPr>
          <w:hyperlink w:anchor="_Toc101469662" w:history="1">
            <w:r w:rsidRPr="00EA033C">
              <w:rPr>
                <w:rStyle w:val="Hyperlink"/>
                <w:noProof/>
              </w:rPr>
              <w:t>Co-Operation</w:t>
            </w:r>
            <w:r>
              <w:rPr>
                <w:noProof/>
                <w:webHidden/>
              </w:rPr>
              <w:tab/>
            </w:r>
            <w:r>
              <w:rPr>
                <w:noProof/>
                <w:webHidden/>
              </w:rPr>
              <w:fldChar w:fldCharType="begin"/>
            </w:r>
            <w:r>
              <w:rPr>
                <w:noProof/>
                <w:webHidden/>
              </w:rPr>
              <w:instrText xml:space="preserve"> PAGEREF _Toc101469662 \h </w:instrText>
            </w:r>
            <w:r>
              <w:rPr>
                <w:noProof/>
                <w:webHidden/>
              </w:rPr>
            </w:r>
            <w:r>
              <w:rPr>
                <w:noProof/>
                <w:webHidden/>
              </w:rPr>
              <w:fldChar w:fldCharType="separate"/>
            </w:r>
            <w:r>
              <w:rPr>
                <w:noProof/>
                <w:webHidden/>
              </w:rPr>
              <w:t>13</w:t>
            </w:r>
            <w:r>
              <w:rPr>
                <w:noProof/>
                <w:webHidden/>
              </w:rPr>
              <w:fldChar w:fldCharType="end"/>
            </w:r>
          </w:hyperlink>
        </w:p>
        <w:p w14:paraId="5A10705E" w14:textId="41F40A9E" w:rsidR="00DD21AD" w:rsidRDefault="00DD21AD">
          <w:pPr>
            <w:pStyle w:val="TOC3"/>
            <w:tabs>
              <w:tab w:val="right" w:leader="dot" w:pos="9016"/>
            </w:tabs>
            <w:rPr>
              <w:rFonts w:eastAsiaTheme="minorEastAsia"/>
              <w:noProof/>
              <w:lang w:eastAsia="en-GB"/>
            </w:rPr>
          </w:pPr>
          <w:hyperlink w:anchor="_Toc101469663" w:history="1">
            <w:r w:rsidRPr="00EA033C">
              <w:rPr>
                <w:rStyle w:val="Hyperlink"/>
                <w:noProof/>
              </w:rPr>
              <w:t>Joint efforts to improve supply chain visibility and understanding</w:t>
            </w:r>
            <w:r>
              <w:rPr>
                <w:noProof/>
                <w:webHidden/>
              </w:rPr>
              <w:tab/>
            </w:r>
            <w:r>
              <w:rPr>
                <w:noProof/>
                <w:webHidden/>
              </w:rPr>
              <w:fldChar w:fldCharType="begin"/>
            </w:r>
            <w:r>
              <w:rPr>
                <w:noProof/>
                <w:webHidden/>
              </w:rPr>
              <w:instrText xml:space="preserve"> PAGEREF _Toc101469663 \h </w:instrText>
            </w:r>
            <w:r>
              <w:rPr>
                <w:noProof/>
                <w:webHidden/>
              </w:rPr>
            </w:r>
            <w:r>
              <w:rPr>
                <w:noProof/>
                <w:webHidden/>
              </w:rPr>
              <w:fldChar w:fldCharType="separate"/>
            </w:r>
            <w:r>
              <w:rPr>
                <w:noProof/>
                <w:webHidden/>
              </w:rPr>
              <w:t>13</w:t>
            </w:r>
            <w:r>
              <w:rPr>
                <w:noProof/>
                <w:webHidden/>
              </w:rPr>
              <w:fldChar w:fldCharType="end"/>
            </w:r>
          </w:hyperlink>
        </w:p>
        <w:p w14:paraId="43B3A010" w14:textId="0ADB8813" w:rsidR="00DD21AD" w:rsidRDefault="00DD21AD">
          <w:pPr>
            <w:pStyle w:val="TOC3"/>
            <w:tabs>
              <w:tab w:val="right" w:leader="dot" w:pos="9016"/>
            </w:tabs>
            <w:rPr>
              <w:rFonts w:eastAsiaTheme="minorEastAsia"/>
              <w:noProof/>
              <w:lang w:eastAsia="en-GB"/>
            </w:rPr>
          </w:pPr>
          <w:hyperlink w:anchor="_Toc101469664" w:history="1">
            <w:r w:rsidRPr="00EA033C">
              <w:rPr>
                <w:rStyle w:val="Hyperlink"/>
                <w:noProof/>
              </w:rPr>
              <w:t>Joint efforts to share risk related information</w:t>
            </w:r>
            <w:r>
              <w:rPr>
                <w:noProof/>
                <w:webHidden/>
              </w:rPr>
              <w:tab/>
            </w:r>
            <w:r>
              <w:rPr>
                <w:noProof/>
                <w:webHidden/>
              </w:rPr>
              <w:fldChar w:fldCharType="begin"/>
            </w:r>
            <w:r>
              <w:rPr>
                <w:noProof/>
                <w:webHidden/>
              </w:rPr>
              <w:instrText xml:space="preserve"> PAGEREF _Toc101469664 \h </w:instrText>
            </w:r>
            <w:r>
              <w:rPr>
                <w:noProof/>
                <w:webHidden/>
              </w:rPr>
            </w:r>
            <w:r>
              <w:rPr>
                <w:noProof/>
                <w:webHidden/>
              </w:rPr>
              <w:fldChar w:fldCharType="separate"/>
            </w:r>
            <w:r>
              <w:rPr>
                <w:noProof/>
                <w:webHidden/>
              </w:rPr>
              <w:t>13</w:t>
            </w:r>
            <w:r>
              <w:rPr>
                <w:noProof/>
                <w:webHidden/>
              </w:rPr>
              <w:fldChar w:fldCharType="end"/>
            </w:r>
          </w:hyperlink>
        </w:p>
        <w:p w14:paraId="5D105E74" w14:textId="0D1D2170" w:rsidR="00DD21AD" w:rsidRDefault="00DD21AD">
          <w:pPr>
            <w:pStyle w:val="TOC3"/>
            <w:tabs>
              <w:tab w:val="right" w:leader="dot" w:pos="9016"/>
            </w:tabs>
            <w:rPr>
              <w:rFonts w:eastAsiaTheme="minorEastAsia"/>
              <w:noProof/>
              <w:lang w:eastAsia="en-GB"/>
            </w:rPr>
          </w:pPr>
          <w:hyperlink w:anchor="_Toc101469665" w:history="1">
            <w:r w:rsidRPr="00EA033C">
              <w:rPr>
                <w:rStyle w:val="Hyperlink"/>
                <w:noProof/>
              </w:rPr>
              <w:t>Joint efforts to prepare supply chain continuity plans</w:t>
            </w:r>
            <w:r>
              <w:rPr>
                <w:noProof/>
                <w:webHidden/>
              </w:rPr>
              <w:tab/>
            </w:r>
            <w:r>
              <w:rPr>
                <w:noProof/>
                <w:webHidden/>
              </w:rPr>
              <w:fldChar w:fldCharType="begin"/>
            </w:r>
            <w:r>
              <w:rPr>
                <w:noProof/>
                <w:webHidden/>
              </w:rPr>
              <w:instrText xml:space="preserve"> PAGEREF _Toc101469665 \h </w:instrText>
            </w:r>
            <w:r>
              <w:rPr>
                <w:noProof/>
                <w:webHidden/>
              </w:rPr>
            </w:r>
            <w:r>
              <w:rPr>
                <w:noProof/>
                <w:webHidden/>
              </w:rPr>
              <w:fldChar w:fldCharType="separate"/>
            </w:r>
            <w:r>
              <w:rPr>
                <w:noProof/>
                <w:webHidden/>
              </w:rPr>
              <w:t>13</w:t>
            </w:r>
            <w:r>
              <w:rPr>
                <w:noProof/>
                <w:webHidden/>
              </w:rPr>
              <w:fldChar w:fldCharType="end"/>
            </w:r>
          </w:hyperlink>
        </w:p>
        <w:p w14:paraId="58045D68" w14:textId="3F01BA0A" w:rsidR="00DD21AD" w:rsidRDefault="00DD21AD">
          <w:pPr>
            <w:pStyle w:val="TOC2"/>
            <w:tabs>
              <w:tab w:val="right" w:leader="dot" w:pos="9016"/>
            </w:tabs>
            <w:rPr>
              <w:rFonts w:eastAsiaTheme="minorEastAsia"/>
              <w:noProof/>
              <w:lang w:eastAsia="en-GB"/>
            </w:rPr>
          </w:pPr>
          <w:hyperlink w:anchor="_Toc101469666" w:history="1">
            <w:r w:rsidRPr="00EA033C">
              <w:rPr>
                <w:rStyle w:val="Hyperlink"/>
                <w:noProof/>
              </w:rPr>
              <w:t>Flexibility</w:t>
            </w:r>
            <w:r>
              <w:rPr>
                <w:noProof/>
                <w:webHidden/>
              </w:rPr>
              <w:tab/>
            </w:r>
            <w:r>
              <w:rPr>
                <w:noProof/>
                <w:webHidden/>
              </w:rPr>
              <w:fldChar w:fldCharType="begin"/>
            </w:r>
            <w:r>
              <w:rPr>
                <w:noProof/>
                <w:webHidden/>
              </w:rPr>
              <w:instrText xml:space="preserve"> PAGEREF _Toc101469666 \h </w:instrText>
            </w:r>
            <w:r>
              <w:rPr>
                <w:noProof/>
                <w:webHidden/>
              </w:rPr>
            </w:r>
            <w:r>
              <w:rPr>
                <w:noProof/>
                <w:webHidden/>
              </w:rPr>
              <w:fldChar w:fldCharType="separate"/>
            </w:r>
            <w:r>
              <w:rPr>
                <w:noProof/>
                <w:webHidden/>
              </w:rPr>
              <w:t>14</w:t>
            </w:r>
            <w:r>
              <w:rPr>
                <w:noProof/>
                <w:webHidden/>
              </w:rPr>
              <w:fldChar w:fldCharType="end"/>
            </w:r>
          </w:hyperlink>
        </w:p>
        <w:p w14:paraId="3A8053BF" w14:textId="78D2F271" w:rsidR="00DD21AD" w:rsidRDefault="00DD21AD">
          <w:pPr>
            <w:pStyle w:val="TOC3"/>
            <w:tabs>
              <w:tab w:val="right" w:leader="dot" w:pos="9016"/>
            </w:tabs>
            <w:rPr>
              <w:rFonts w:eastAsiaTheme="minorEastAsia"/>
              <w:noProof/>
              <w:lang w:eastAsia="en-GB"/>
            </w:rPr>
          </w:pPr>
          <w:hyperlink w:anchor="_Toc101469667" w:history="1">
            <w:r w:rsidRPr="00EA033C">
              <w:rPr>
                <w:rStyle w:val="Hyperlink"/>
                <w:noProof/>
              </w:rPr>
              <w:t>Postponement</w:t>
            </w:r>
            <w:r>
              <w:rPr>
                <w:noProof/>
                <w:webHidden/>
              </w:rPr>
              <w:tab/>
            </w:r>
            <w:r>
              <w:rPr>
                <w:noProof/>
                <w:webHidden/>
              </w:rPr>
              <w:fldChar w:fldCharType="begin"/>
            </w:r>
            <w:r>
              <w:rPr>
                <w:noProof/>
                <w:webHidden/>
              </w:rPr>
              <w:instrText xml:space="preserve"> PAGEREF _Toc101469667 \h </w:instrText>
            </w:r>
            <w:r>
              <w:rPr>
                <w:noProof/>
                <w:webHidden/>
              </w:rPr>
            </w:r>
            <w:r>
              <w:rPr>
                <w:noProof/>
                <w:webHidden/>
              </w:rPr>
              <w:fldChar w:fldCharType="separate"/>
            </w:r>
            <w:r>
              <w:rPr>
                <w:noProof/>
                <w:webHidden/>
              </w:rPr>
              <w:t>14</w:t>
            </w:r>
            <w:r>
              <w:rPr>
                <w:noProof/>
                <w:webHidden/>
              </w:rPr>
              <w:fldChar w:fldCharType="end"/>
            </w:r>
          </w:hyperlink>
        </w:p>
        <w:p w14:paraId="68198E9E" w14:textId="03F107CD" w:rsidR="00DD21AD" w:rsidRDefault="00DD21AD">
          <w:pPr>
            <w:pStyle w:val="TOC3"/>
            <w:tabs>
              <w:tab w:val="right" w:leader="dot" w:pos="9016"/>
            </w:tabs>
            <w:rPr>
              <w:rFonts w:eastAsiaTheme="minorEastAsia"/>
              <w:noProof/>
              <w:lang w:eastAsia="en-GB"/>
            </w:rPr>
          </w:pPr>
          <w:hyperlink w:anchor="_Toc101469668" w:history="1">
            <w:r w:rsidRPr="00EA033C">
              <w:rPr>
                <w:rStyle w:val="Hyperlink"/>
                <w:noProof/>
              </w:rPr>
              <w:t>Multiple sourcing</w:t>
            </w:r>
            <w:r>
              <w:rPr>
                <w:noProof/>
                <w:webHidden/>
              </w:rPr>
              <w:tab/>
            </w:r>
            <w:r>
              <w:rPr>
                <w:noProof/>
                <w:webHidden/>
              </w:rPr>
              <w:fldChar w:fldCharType="begin"/>
            </w:r>
            <w:r>
              <w:rPr>
                <w:noProof/>
                <w:webHidden/>
              </w:rPr>
              <w:instrText xml:space="preserve"> PAGEREF _Toc101469668 \h </w:instrText>
            </w:r>
            <w:r>
              <w:rPr>
                <w:noProof/>
                <w:webHidden/>
              </w:rPr>
            </w:r>
            <w:r>
              <w:rPr>
                <w:noProof/>
                <w:webHidden/>
              </w:rPr>
              <w:fldChar w:fldCharType="separate"/>
            </w:r>
            <w:r>
              <w:rPr>
                <w:noProof/>
                <w:webHidden/>
              </w:rPr>
              <w:t>14</w:t>
            </w:r>
            <w:r>
              <w:rPr>
                <w:noProof/>
                <w:webHidden/>
              </w:rPr>
              <w:fldChar w:fldCharType="end"/>
            </w:r>
          </w:hyperlink>
        </w:p>
        <w:p w14:paraId="37812122" w14:textId="4407D0A4" w:rsidR="00DD21AD" w:rsidRDefault="00DD21AD">
          <w:pPr>
            <w:pStyle w:val="TOC3"/>
            <w:tabs>
              <w:tab w:val="right" w:leader="dot" w:pos="9016"/>
            </w:tabs>
            <w:rPr>
              <w:rFonts w:eastAsiaTheme="minorEastAsia"/>
              <w:noProof/>
              <w:lang w:eastAsia="en-GB"/>
            </w:rPr>
          </w:pPr>
          <w:hyperlink w:anchor="_Toc101469669" w:history="1">
            <w:r w:rsidRPr="00EA033C">
              <w:rPr>
                <w:rStyle w:val="Hyperlink"/>
                <w:noProof/>
              </w:rPr>
              <w:t>Localised sourcing</w:t>
            </w:r>
            <w:r>
              <w:rPr>
                <w:noProof/>
                <w:webHidden/>
              </w:rPr>
              <w:tab/>
            </w:r>
            <w:r>
              <w:rPr>
                <w:noProof/>
                <w:webHidden/>
              </w:rPr>
              <w:fldChar w:fldCharType="begin"/>
            </w:r>
            <w:r>
              <w:rPr>
                <w:noProof/>
                <w:webHidden/>
              </w:rPr>
              <w:instrText xml:space="preserve"> PAGEREF _Toc101469669 \h </w:instrText>
            </w:r>
            <w:r>
              <w:rPr>
                <w:noProof/>
                <w:webHidden/>
              </w:rPr>
            </w:r>
            <w:r>
              <w:rPr>
                <w:noProof/>
                <w:webHidden/>
              </w:rPr>
              <w:fldChar w:fldCharType="separate"/>
            </w:r>
            <w:r>
              <w:rPr>
                <w:noProof/>
                <w:webHidden/>
              </w:rPr>
              <w:t>14</w:t>
            </w:r>
            <w:r>
              <w:rPr>
                <w:noProof/>
                <w:webHidden/>
              </w:rPr>
              <w:fldChar w:fldCharType="end"/>
            </w:r>
          </w:hyperlink>
        </w:p>
        <w:p w14:paraId="6FE0F81B" w14:textId="595C5CAB" w:rsidR="00DD21AD" w:rsidRDefault="00DD21AD">
          <w:pPr>
            <w:pStyle w:val="TOC1"/>
            <w:tabs>
              <w:tab w:val="right" w:leader="dot" w:pos="9016"/>
            </w:tabs>
            <w:rPr>
              <w:rFonts w:eastAsiaTheme="minorEastAsia"/>
              <w:noProof/>
              <w:lang w:eastAsia="en-GB"/>
            </w:rPr>
          </w:pPr>
          <w:hyperlink w:anchor="_Toc101469670" w:history="1">
            <w:r w:rsidRPr="00EA033C">
              <w:rPr>
                <w:rStyle w:val="Hyperlink"/>
                <w:noProof/>
              </w:rPr>
              <w:t>Recommendations</w:t>
            </w:r>
            <w:r>
              <w:rPr>
                <w:noProof/>
                <w:webHidden/>
              </w:rPr>
              <w:tab/>
            </w:r>
            <w:r>
              <w:rPr>
                <w:noProof/>
                <w:webHidden/>
              </w:rPr>
              <w:fldChar w:fldCharType="begin"/>
            </w:r>
            <w:r>
              <w:rPr>
                <w:noProof/>
                <w:webHidden/>
              </w:rPr>
              <w:instrText xml:space="preserve"> PAGEREF _Toc101469670 \h </w:instrText>
            </w:r>
            <w:r>
              <w:rPr>
                <w:noProof/>
                <w:webHidden/>
              </w:rPr>
            </w:r>
            <w:r>
              <w:rPr>
                <w:noProof/>
                <w:webHidden/>
              </w:rPr>
              <w:fldChar w:fldCharType="separate"/>
            </w:r>
            <w:r>
              <w:rPr>
                <w:noProof/>
                <w:webHidden/>
              </w:rPr>
              <w:t>16</w:t>
            </w:r>
            <w:r>
              <w:rPr>
                <w:noProof/>
                <w:webHidden/>
              </w:rPr>
              <w:fldChar w:fldCharType="end"/>
            </w:r>
          </w:hyperlink>
        </w:p>
        <w:p w14:paraId="249B0D16" w14:textId="7A50B2D6" w:rsidR="00DD21AD" w:rsidRDefault="00DD21AD">
          <w:pPr>
            <w:pStyle w:val="TOC1"/>
            <w:tabs>
              <w:tab w:val="right" w:leader="dot" w:pos="9016"/>
            </w:tabs>
            <w:rPr>
              <w:rFonts w:eastAsiaTheme="minorEastAsia"/>
              <w:noProof/>
              <w:lang w:eastAsia="en-GB"/>
            </w:rPr>
          </w:pPr>
          <w:hyperlink w:anchor="_Toc101469671" w:history="1">
            <w:r w:rsidRPr="00EA033C">
              <w:rPr>
                <w:rStyle w:val="Hyperlink"/>
                <w:noProof/>
              </w:rPr>
              <w:t>Reference list</w:t>
            </w:r>
            <w:r>
              <w:rPr>
                <w:noProof/>
                <w:webHidden/>
              </w:rPr>
              <w:tab/>
            </w:r>
            <w:r>
              <w:rPr>
                <w:noProof/>
                <w:webHidden/>
              </w:rPr>
              <w:fldChar w:fldCharType="begin"/>
            </w:r>
            <w:r>
              <w:rPr>
                <w:noProof/>
                <w:webHidden/>
              </w:rPr>
              <w:instrText xml:space="preserve"> PAGEREF _Toc101469671 \h </w:instrText>
            </w:r>
            <w:r>
              <w:rPr>
                <w:noProof/>
                <w:webHidden/>
              </w:rPr>
            </w:r>
            <w:r>
              <w:rPr>
                <w:noProof/>
                <w:webHidden/>
              </w:rPr>
              <w:fldChar w:fldCharType="separate"/>
            </w:r>
            <w:r>
              <w:rPr>
                <w:noProof/>
                <w:webHidden/>
              </w:rPr>
              <w:t>22</w:t>
            </w:r>
            <w:r>
              <w:rPr>
                <w:noProof/>
                <w:webHidden/>
              </w:rPr>
              <w:fldChar w:fldCharType="end"/>
            </w:r>
          </w:hyperlink>
        </w:p>
        <w:p w14:paraId="3D4BB44D" w14:textId="6B51C068" w:rsidR="00196715" w:rsidRDefault="000C5EBB">
          <w:r>
            <w:rPr>
              <w:b/>
              <w:bCs/>
              <w:noProof/>
            </w:rPr>
            <w:fldChar w:fldCharType="end"/>
          </w:r>
        </w:p>
      </w:sdtContent>
    </w:sdt>
    <w:p w14:paraId="1DB45B42" w14:textId="77777777" w:rsidR="00967125" w:rsidRDefault="00967125">
      <w:pPr>
        <w:pStyle w:val="TableofFigures"/>
        <w:tabs>
          <w:tab w:val="right" w:leader="dot" w:pos="9016"/>
        </w:tabs>
        <w:rPr>
          <w:sz w:val="28"/>
          <w:szCs w:val="28"/>
        </w:rPr>
      </w:pPr>
    </w:p>
    <w:p w14:paraId="3D7415CF" w14:textId="77777777" w:rsidR="00DD21AD" w:rsidRDefault="00DD21AD" w:rsidP="00DD21AD"/>
    <w:p w14:paraId="1D19A1A9" w14:textId="77777777" w:rsidR="00DD21AD" w:rsidRDefault="00DD21AD" w:rsidP="00DD21AD"/>
    <w:p w14:paraId="524F55D0" w14:textId="77777777" w:rsidR="00DD21AD" w:rsidRDefault="00DD21AD" w:rsidP="00DD21AD"/>
    <w:p w14:paraId="2657A104" w14:textId="77777777" w:rsidR="00DD21AD" w:rsidRPr="00DD21AD" w:rsidRDefault="00DD21AD" w:rsidP="00DD21AD"/>
    <w:p w14:paraId="2AD829B4" w14:textId="304F7AA5" w:rsidR="00967125" w:rsidRDefault="00967125" w:rsidP="009A64AF">
      <w:pPr>
        <w:pStyle w:val="Heading1"/>
        <w:spacing w:line="360" w:lineRule="auto"/>
      </w:pPr>
      <w:bookmarkStart w:id="0" w:name="_Toc101469646"/>
      <w:r>
        <w:lastRenderedPageBreak/>
        <w:t>Table of Figures</w:t>
      </w:r>
      <w:bookmarkEnd w:id="0"/>
    </w:p>
    <w:p w14:paraId="6170E9AA" w14:textId="19CDE3B2" w:rsidR="009A64AF" w:rsidRDefault="006937A7" w:rsidP="009A64AF">
      <w:pPr>
        <w:pStyle w:val="TableofFigures"/>
        <w:tabs>
          <w:tab w:val="right" w:leader="dot" w:pos="9016"/>
        </w:tabs>
        <w:spacing w:line="360" w:lineRule="auto"/>
        <w:rPr>
          <w:rFonts w:eastAsiaTheme="minorEastAsia"/>
          <w:noProof/>
          <w:lang w:eastAsia="en-GB"/>
        </w:rPr>
      </w:pPr>
      <w:r>
        <w:rPr>
          <w:sz w:val="28"/>
          <w:szCs w:val="28"/>
        </w:rPr>
        <w:fldChar w:fldCharType="begin"/>
      </w:r>
      <w:r>
        <w:rPr>
          <w:sz w:val="28"/>
          <w:szCs w:val="28"/>
        </w:rPr>
        <w:instrText xml:space="preserve"> TOC \h \z \c "Figure" </w:instrText>
      </w:r>
      <w:r>
        <w:rPr>
          <w:sz w:val="28"/>
          <w:szCs w:val="28"/>
        </w:rPr>
        <w:fldChar w:fldCharType="separate"/>
      </w:r>
      <w:hyperlink w:anchor="_Toc101294470" w:history="1">
        <w:r w:rsidR="009A64AF" w:rsidRPr="00394E07">
          <w:rPr>
            <w:rStyle w:val="Hyperlink"/>
            <w:noProof/>
          </w:rPr>
          <w:t xml:space="preserve">Figure 1 The Supply chain </w:t>
        </w:r>
        <w:r w:rsidR="009A64AF" w:rsidRPr="00394E07">
          <w:rPr>
            <w:rStyle w:val="Hyperlink"/>
            <w:rFonts w:ascii="Calibri" w:hAnsi="Calibri" w:cs="Calibri"/>
            <w:noProof/>
          </w:rPr>
          <w:t>(Harrison et al. 2014)</w:t>
        </w:r>
        <w:r w:rsidR="009A64AF">
          <w:rPr>
            <w:noProof/>
            <w:webHidden/>
          </w:rPr>
          <w:tab/>
        </w:r>
        <w:r w:rsidR="009A64AF">
          <w:rPr>
            <w:noProof/>
            <w:webHidden/>
          </w:rPr>
          <w:fldChar w:fldCharType="begin"/>
        </w:r>
        <w:r w:rsidR="009A64AF">
          <w:rPr>
            <w:noProof/>
            <w:webHidden/>
          </w:rPr>
          <w:instrText xml:space="preserve"> PAGEREF _Toc101294470 \h </w:instrText>
        </w:r>
        <w:r w:rsidR="009A64AF">
          <w:rPr>
            <w:noProof/>
            <w:webHidden/>
          </w:rPr>
        </w:r>
        <w:r w:rsidR="009A64AF">
          <w:rPr>
            <w:noProof/>
            <w:webHidden/>
          </w:rPr>
          <w:fldChar w:fldCharType="separate"/>
        </w:r>
        <w:r w:rsidR="009A64AF">
          <w:rPr>
            <w:noProof/>
            <w:webHidden/>
          </w:rPr>
          <w:t>2</w:t>
        </w:r>
        <w:r w:rsidR="009A64AF">
          <w:rPr>
            <w:noProof/>
            <w:webHidden/>
          </w:rPr>
          <w:fldChar w:fldCharType="end"/>
        </w:r>
      </w:hyperlink>
    </w:p>
    <w:p w14:paraId="43C0FE24" w14:textId="27A290C3" w:rsidR="009A64AF" w:rsidRDefault="00416930" w:rsidP="009A64AF">
      <w:pPr>
        <w:pStyle w:val="TableofFigures"/>
        <w:tabs>
          <w:tab w:val="right" w:leader="dot" w:pos="9016"/>
        </w:tabs>
        <w:spacing w:line="360" w:lineRule="auto"/>
        <w:rPr>
          <w:rFonts w:eastAsiaTheme="minorEastAsia"/>
          <w:noProof/>
          <w:lang w:eastAsia="en-GB"/>
        </w:rPr>
      </w:pPr>
      <w:hyperlink w:anchor="_Toc101294471" w:history="1">
        <w:r w:rsidR="009A64AF" w:rsidRPr="00394E07">
          <w:rPr>
            <w:rStyle w:val="Hyperlink"/>
            <w:noProof/>
          </w:rPr>
          <w:t xml:space="preserve">Figure 2 Supply disruption factors between 2019 -2021 </w:t>
        </w:r>
        <w:r w:rsidR="009A64AF" w:rsidRPr="00394E07">
          <w:rPr>
            <w:rStyle w:val="Hyperlink"/>
            <w:rFonts w:ascii="Calibri" w:hAnsi="Calibri" w:cs="Calibri"/>
            <w:noProof/>
          </w:rPr>
          <w:t>(Kingsley 2021)</w:t>
        </w:r>
        <w:r w:rsidR="009A64AF" w:rsidRPr="00394E07">
          <w:rPr>
            <w:rStyle w:val="Hyperlink"/>
            <w:noProof/>
          </w:rPr>
          <w:t>.</w:t>
        </w:r>
        <w:r w:rsidR="009A64AF">
          <w:rPr>
            <w:noProof/>
            <w:webHidden/>
          </w:rPr>
          <w:tab/>
        </w:r>
        <w:r w:rsidR="009A64AF">
          <w:rPr>
            <w:noProof/>
            <w:webHidden/>
          </w:rPr>
          <w:fldChar w:fldCharType="begin"/>
        </w:r>
        <w:r w:rsidR="009A64AF">
          <w:rPr>
            <w:noProof/>
            <w:webHidden/>
          </w:rPr>
          <w:instrText xml:space="preserve"> PAGEREF _Toc101294471 \h </w:instrText>
        </w:r>
        <w:r w:rsidR="009A64AF">
          <w:rPr>
            <w:noProof/>
            <w:webHidden/>
          </w:rPr>
        </w:r>
        <w:r w:rsidR="009A64AF">
          <w:rPr>
            <w:noProof/>
            <w:webHidden/>
          </w:rPr>
          <w:fldChar w:fldCharType="separate"/>
        </w:r>
        <w:r w:rsidR="009A64AF">
          <w:rPr>
            <w:noProof/>
            <w:webHidden/>
          </w:rPr>
          <w:t>3</w:t>
        </w:r>
        <w:r w:rsidR="009A64AF">
          <w:rPr>
            <w:noProof/>
            <w:webHidden/>
          </w:rPr>
          <w:fldChar w:fldCharType="end"/>
        </w:r>
      </w:hyperlink>
    </w:p>
    <w:p w14:paraId="5DE28DAF" w14:textId="5CB1407D" w:rsidR="009A64AF" w:rsidRDefault="00416930" w:rsidP="009A64AF">
      <w:pPr>
        <w:pStyle w:val="TableofFigures"/>
        <w:tabs>
          <w:tab w:val="right" w:leader="dot" w:pos="9016"/>
        </w:tabs>
        <w:spacing w:line="360" w:lineRule="auto"/>
        <w:rPr>
          <w:rFonts w:eastAsiaTheme="minorEastAsia"/>
          <w:noProof/>
          <w:lang w:eastAsia="en-GB"/>
        </w:rPr>
      </w:pPr>
      <w:hyperlink w:anchor="_Toc101294472" w:history="1">
        <w:r w:rsidR="009A64AF" w:rsidRPr="00394E07">
          <w:rPr>
            <w:rStyle w:val="Hyperlink"/>
            <w:noProof/>
          </w:rPr>
          <w:t xml:space="preserve">Figure 3 Steel in society </w:t>
        </w:r>
        <w:r w:rsidR="009A64AF" w:rsidRPr="00394E07">
          <w:rPr>
            <w:rStyle w:val="Hyperlink"/>
            <w:rFonts w:ascii="Calibri" w:hAnsi="Calibri" w:cs="Calibri"/>
            <w:noProof/>
          </w:rPr>
          <w:t>(World Steel Association, 2022)</w:t>
        </w:r>
        <w:r w:rsidR="009A64AF">
          <w:rPr>
            <w:noProof/>
            <w:webHidden/>
          </w:rPr>
          <w:tab/>
        </w:r>
        <w:r w:rsidR="009A64AF">
          <w:rPr>
            <w:noProof/>
            <w:webHidden/>
          </w:rPr>
          <w:fldChar w:fldCharType="begin"/>
        </w:r>
        <w:r w:rsidR="009A64AF">
          <w:rPr>
            <w:noProof/>
            <w:webHidden/>
          </w:rPr>
          <w:instrText xml:space="preserve"> PAGEREF _Toc101294472 \h </w:instrText>
        </w:r>
        <w:r w:rsidR="009A64AF">
          <w:rPr>
            <w:noProof/>
            <w:webHidden/>
          </w:rPr>
        </w:r>
        <w:r w:rsidR="009A64AF">
          <w:rPr>
            <w:noProof/>
            <w:webHidden/>
          </w:rPr>
          <w:fldChar w:fldCharType="separate"/>
        </w:r>
        <w:r w:rsidR="009A64AF">
          <w:rPr>
            <w:noProof/>
            <w:webHidden/>
          </w:rPr>
          <w:t>4</w:t>
        </w:r>
        <w:r w:rsidR="009A64AF">
          <w:rPr>
            <w:noProof/>
            <w:webHidden/>
          </w:rPr>
          <w:fldChar w:fldCharType="end"/>
        </w:r>
      </w:hyperlink>
    </w:p>
    <w:p w14:paraId="57624DE9" w14:textId="2B939ADA" w:rsidR="009A64AF" w:rsidRDefault="00416930" w:rsidP="009A64AF">
      <w:pPr>
        <w:pStyle w:val="TableofFigures"/>
        <w:tabs>
          <w:tab w:val="right" w:leader="dot" w:pos="9016"/>
        </w:tabs>
        <w:spacing w:line="360" w:lineRule="auto"/>
        <w:rPr>
          <w:rFonts w:eastAsiaTheme="minorEastAsia"/>
          <w:noProof/>
          <w:lang w:eastAsia="en-GB"/>
        </w:rPr>
      </w:pPr>
      <w:hyperlink w:anchor="_Toc101294473" w:history="1">
        <w:r w:rsidR="009A64AF" w:rsidRPr="00394E07">
          <w:rPr>
            <w:rStyle w:val="Hyperlink"/>
            <w:noProof/>
          </w:rPr>
          <w:t xml:space="preserve">Figure 4 Sources of risk within a supply chain </w:t>
        </w:r>
        <w:r w:rsidR="009A64AF" w:rsidRPr="00394E07">
          <w:rPr>
            <w:rStyle w:val="Hyperlink"/>
            <w:rFonts w:ascii="Calibri" w:hAnsi="Calibri" w:cs="Calibri"/>
            <w:noProof/>
          </w:rPr>
          <w:t>(Christopher 2011)</w:t>
        </w:r>
        <w:r w:rsidR="009A64AF">
          <w:rPr>
            <w:noProof/>
            <w:webHidden/>
          </w:rPr>
          <w:tab/>
        </w:r>
        <w:r w:rsidR="009A64AF">
          <w:rPr>
            <w:noProof/>
            <w:webHidden/>
          </w:rPr>
          <w:fldChar w:fldCharType="begin"/>
        </w:r>
        <w:r w:rsidR="009A64AF">
          <w:rPr>
            <w:noProof/>
            <w:webHidden/>
          </w:rPr>
          <w:instrText xml:space="preserve"> PAGEREF _Toc101294473 \h </w:instrText>
        </w:r>
        <w:r w:rsidR="009A64AF">
          <w:rPr>
            <w:noProof/>
            <w:webHidden/>
          </w:rPr>
        </w:r>
        <w:r w:rsidR="009A64AF">
          <w:rPr>
            <w:noProof/>
            <w:webHidden/>
          </w:rPr>
          <w:fldChar w:fldCharType="separate"/>
        </w:r>
        <w:r w:rsidR="009A64AF">
          <w:rPr>
            <w:noProof/>
            <w:webHidden/>
          </w:rPr>
          <w:t>5</w:t>
        </w:r>
        <w:r w:rsidR="009A64AF">
          <w:rPr>
            <w:noProof/>
            <w:webHidden/>
          </w:rPr>
          <w:fldChar w:fldCharType="end"/>
        </w:r>
      </w:hyperlink>
    </w:p>
    <w:p w14:paraId="7153CD97" w14:textId="3EC5B185" w:rsidR="009A64AF" w:rsidRDefault="00416930" w:rsidP="009A64AF">
      <w:pPr>
        <w:pStyle w:val="TableofFigures"/>
        <w:tabs>
          <w:tab w:val="right" w:leader="dot" w:pos="9016"/>
        </w:tabs>
        <w:spacing w:line="360" w:lineRule="auto"/>
        <w:rPr>
          <w:rFonts w:eastAsiaTheme="minorEastAsia"/>
          <w:noProof/>
          <w:lang w:eastAsia="en-GB"/>
        </w:rPr>
      </w:pPr>
      <w:hyperlink w:anchor="_Toc101294474" w:history="1">
        <w:r w:rsidR="009A64AF" w:rsidRPr="00394E07">
          <w:rPr>
            <w:rStyle w:val="Hyperlink"/>
            <w:noProof/>
          </w:rPr>
          <w:t xml:space="preserve">Figure 5 The steel industry supply chain </w:t>
        </w:r>
        <w:r w:rsidR="009A64AF" w:rsidRPr="00394E07">
          <w:rPr>
            <w:rStyle w:val="Hyperlink"/>
            <w:rFonts w:ascii="Calibri" w:hAnsi="Calibri" w:cs="Calibri"/>
            <w:noProof/>
          </w:rPr>
          <w:t>(World Steel Association, 2022)</w:t>
        </w:r>
        <w:r w:rsidR="009A64AF">
          <w:rPr>
            <w:noProof/>
            <w:webHidden/>
          </w:rPr>
          <w:tab/>
        </w:r>
        <w:r w:rsidR="009A64AF">
          <w:rPr>
            <w:noProof/>
            <w:webHidden/>
          </w:rPr>
          <w:fldChar w:fldCharType="begin"/>
        </w:r>
        <w:r w:rsidR="009A64AF">
          <w:rPr>
            <w:noProof/>
            <w:webHidden/>
          </w:rPr>
          <w:instrText xml:space="preserve"> PAGEREF _Toc101294474 \h </w:instrText>
        </w:r>
        <w:r w:rsidR="009A64AF">
          <w:rPr>
            <w:noProof/>
            <w:webHidden/>
          </w:rPr>
        </w:r>
        <w:r w:rsidR="009A64AF">
          <w:rPr>
            <w:noProof/>
            <w:webHidden/>
          </w:rPr>
          <w:fldChar w:fldCharType="separate"/>
        </w:r>
        <w:r w:rsidR="009A64AF">
          <w:rPr>
            <w:noProof/>
            <w:webHidden/>
          </w:rPr>
          <w:t>6</w:t>
        </w:r>
        <w:r w:rsidR="009A64AF">
          <w:rPr>
            <w:noProof/>
            <w:webHidden/>
          </w:rPr>
          <w:fldChar w:fldCharType="end"/>
        </w:r>
      </w:hyperlink>
    </w:p>
    <w:p w14:paraId="370313EA" w14:textId="420A0D53" w:rsidR="009A64AF" w:rsidRDefault="00416930" w:rsidP="009A64AF">
      <w:pPr>
        <w:pStyle w:val="TableofFigures"/>
        <w:tabs>
          <w:tab w:val="right" w:leader="dot" w:pos="9016"/>
        </w:tabs>
        <w:spacing w:line="360" w:lineRule="auto"/>
        <w:rPr>
          <w:rFonts w:eastAsiaTheme="minorEastAsia"/>
          <w:noProof/>
          <w:lang w:eastAsia="en-GB"/>
        </w:rPr>
      </w:pPr>
      <w:hyperlink w:anchor="_Toc101294475" w:history="1">
        <w:r w:rsidR="009A64AF" w:rsidRPr="00394E07">
          <w:rPr>
            <w:rStyle w:val="Hyperlink"/>
            <w:noProof/>
          </w:rPr>
          <w:t xml:space="preserve">Figure 6 Supply chain risk management model adapted from </w:t>
        </w:r>
        <w:r w:rsidR="009A64AF" w:rsidRPr="00394E07">
          <w:rPr>
            <w:rStyle w:val="Hyperlink"/>
            <w:rFonts w:ascii="Calibri" w:hAnsi="Calibri" w:cs="Calibri"/>
            <w:noProof/>
          </w:rPr>
          <w:t>(Baz and Ruel 2021)</w:t>
        </w:r>
        <w:r w:rsidR="009A64AF">
          <w:rPr>
            <w:noProof/>
            <w:webHidden/>
          </w:rPr>
          <w:tab/>
        </w:r>
        <w:r w:rsidR="009A64AF">
          <w:rPr>
            <w:noProof/>
            <w:webHidden/>
          </w:rPr>
          <w:fldChar w:fldCharType="begin"/>
        </w:r>
        <w:r w:rsidR="009A64AF">
          <w:rPr>
            <w:noProof/>
            <w:webHidden/>
          </w:rPr>
          <w:instrText xml:space="preserve"> PAGEREF _Toc101294475 \h </w:instrText>
        </w:r>
        <w:r w:rsidR="009A64AF">
          <w:rPr>
            <w:noProof/>
            <w:webHidden/>
          </w:rPr>
        </w:r>
        <w:r w:rsidR="009A64AF">
          <w:rPr>
            <w:noProof/>
            <w:webHidden/>
          </w:rPr>
          <w:fldChar w:fldCharType="separate"/>
        </w:r>
        <w:r w:rsidR="009A64AF">
          <w:rPr>
            <w:noProof/>
            <w:webHidden/>
          </w:rPr>
          <w:t>10</w:t>
        </w:r>
        <w:r w:rsidR="009A64AF">
          <w:rPr>
            <w:noProof/>
            <w:webHidden/>
          </w:rPr>
          <w:fldChar w:fldCharType="end"/>
        </w:r>
      </w:hyperlink>
    </w:p>
    <w:p w14:paraId="0C1FCDCE" w14:textId="4EFA78EA" w:rsidR="009A64AF" w:rsidRDefault="00416930" w:rsidP="009A64AF">
      <w:pPr>
        <w:pStyle w:val="TableofFigures"/>
        <w:tabs>
          <w:tab w:val="right" w:leader="dot" w:pos="9016"/>
        </w:tabs>
        <w:spacing w:line="360" w:lineRule="auto"/>
        <w:rPr>
          <w:rFonts w:eastAsiaTheme="minorEastAsia"/>
          <w:noProof/>
          <w:lang w:eastAsia="en-GB"/>
        </w:rPr>
      </w:pPr>
      <w:hyperlink w:anchor="_Toc101294476" w:history="1">
        <w:r w:rsidR="009A64AF" w:rsidRPr="00394E07">
          <w:rPr>
            <w:rStyle w:val="Hyperlink"/>
            <w:noProof/>
          </w:rPr>
          <w:t xml:space="preserve">Figure 7 The impacts mitigation strategies </w:t>
        </w:r>
        <w:r w:rsidR="009A64AF" w:rsidRPr="00394E07">
          <w:rPr>
            <w:rStyle w:val="Hyperlink"/>
            <w:rFonts w:ascii="Calibri" w:hAnsi="Calibri" w:cs="Calibri"/>
            <w:noProof/>
          </w:rPr>
          <w:t>(Chopra and Sodhi 2004)</w:t>
        </w:r>
        <w:r w:rsidR="009A64AF">
          <w:rPr>
            <w:noProof/>
            <w:webHidden/>
          </w:rPr>
          <w:tab/>
        </w:r>
        <w:r w:rsidR="009A64AF">
          <w:rPr>
            <w:noProof/>
            <w:webHidden/>
          </w:rPr>
          <w:fldChar w:fldCharType="begin"/>
        </w:r>
        <w:r w:rsidR="009A64AF">
          <w:rPr>
            <w:noProof/>
            <w:webHidden/>
          </w:rPr>
          <w:instrText xml:space="preserve"> PAGEREF _Toc101294476 \h </w:instrText>
        </w:r>
        <w:r w:rsidR="009A64AF">
          <w:rPr>
            <w:noProof/>
            <w:webHidden/>
          </w:rPr>
        </w:r>
        <w:r w:rsidR="009A64AF">
          <w:rPr>
            <w:noProof/>
            <w:webHidden/>
          </w:rPr>
          <w:fldChar w:fldCharType="separate"/>
        </w:r>
        <w:r w:rsidR="009A64AF">
          <w:rPr>
            <w:noProof/>
            <w:webHidden/>
          </w:rPr>
          <w:t>14</w:t>
        </w:r>
        <w:r w:rsidR="009A64AF">
          <w:rPr>
            <w:noProof/>
            <w:webHidden/>
          </w:rPr>
          <w:fldChar w:fldCharType="end"/>
        </w:r>
      </w:hyperlink>
    </w:p>
    <w:p w14:paraId="3B270A7D" w14:textId="58023C42" w:rsidR="009A64AF" w:rsidRDefault="00416930" w:rsidP="009A64AF">
      <w:pPr>
        <w:pStyle w:val="TableofFigures"/>
        <w:tabs>
          <w:tab w:val="right" w:leader="dot" w:pos="9016"/>
        </w:tabs>
        <w:spacing w:line="360" w:lineRule="auto"/>
        <w:rPr>
          <w:rFonts w:eastAsiaTheme="minorEastAsia"/>
          <w:noProof/>
          <w:lang w:eastAsia="en-GB"/>
        </w:rPr>
      </w:pPr>
      <w:hyperlink w:anchor="_Toc101294477" w:history="1">
        <w:r w:rsidR="009A64AF" w:rsidRPr="00394E07">
          <w:rPr>
            <w:rStyle w:val="Hyperlink"/>
            <w:noProof/>
          </w:rPr>
          <w:t xml:space="preserve">Figure 8 Supplier evaluation and selection process </w:t>
        </w:r>
        <w:r w:rsidR="009A64AF" w:rsidRPr="00394E07">
          <w:rPr>
            <w:rStyle w:val="Hyperlink"/>
            <w:rFonts w:ascii="Calibri" w:hAnsi="Calibri" w:cs="Calibri"/>
            <w:noProof/>
          </w:rPr>
          <w:t>(Lopes and Rodriguez-Lopez 2021)</w:t>
        </w:r>
        <w:r w:rsidR="009A64AF">
          <w:rPr>
            <w:noProof/>
            <w:webHidden/>
          </w:rPr>
          <w:tab/>
        </w:r>
        <w:r w:rsidR="009A64AF">
          <w:rPr>
            <w:noProof/>
            <w:webHidden/>
          </w:rPr>
          <w:fldChar w:fldCharType="begin"/>
        </w:r>
        <w:r w:rsidR="009A64AF">
          <w:rPr>
            <w:noProof/>
            <w:webHidden/>
          </w:rPr>
          <w:instrText xml:space="preserve"> PAGEREF _Toc101294477 \h </w:instrText>
        </w:r>
        <w:r w:rsidR="009A64AF">
          <w:rPr>
            <w:noProof/>
            <w:webHidden/>
          </w:rPr>
        </w:r>
        <w:r w:rsidR="009A64AF">
          <w:rPr>
            <w:noProof/>
            <w:webHidden/>
          </w:rPr>
          <w:fldChar w:fldCharType="separate"/>
        </w:r>
        <w:r w:rsidR="009A64AF">
          <w:rPr>
            <w:noProof/>
            <w:webHidden/>
          </w:rPr>
          <w:t>15</w:t>
        </w:r>
        <w:r w:rsidR="009A64AF">
          <w:rPr>
            <w:noProof/>
            <w:webHidden/>
          </w:rPr>
          <w:fldChar w:fldCharType="end"/>
        </w:r>
      </w:hyperlink>
    </w:p>
    <w:p w14:paraId="63CA2F28" w14:textId="77776434" w:rsidR="009A64AF" w:rsidRDefault="00416930" w:rsidP="009A64AF">
      <w:pPr>
        <w:pStyle w:val="TableofFigures"/>
        <w:tabs>
          <w:tab w:val="right" w:leader="dot" w:pos="9016"/>
        </w:tabs>
        <w:spacing w:line="360" w:lineRule="auto"/>
        <w:rPr>
          <w:rFonts w:eastAsiaTheme="minorEastAsia"/>
          <w:noProof/>
          <w:lang w:eastAsia="en-GB"/>
        </w:rPr>
      </w:pPr>
      <w:hyperlink w:anchor="_Toc101294478" w:history="1">
        <w:r w:rsidR="009A64AF" w:rsidRPr="00394E07">
          <w:rPr>
            <w:rStyle w:val="Hyperlink"/>
            <w:noProof/>
          </w:rPr>
          <w:t xml:space="preserve">Figure 9 Iron Ore Monthly Price in US Dollars per Dry Metric Ton </w:t>
        </w:r>
        <w:r w:rsidR="009A64AF" w:rsidRPr="00394E07">
          <w:rPr>
            <w:rStyle w:val="Hyperlink"/>
            <w:rFonts w:ascii="Calibri" w:hAnsi="Calibri" w:cs="Calibri"/>
            <w:noProof/>
          </w:rPr>
          <w:t>(World in Maps, 2022)</w:t>
        </w:r>
        <w:r w:rsidR="009A64AF">
          <w:rPr>
            <w:noProof/>
            <w:webHidden/>
          </w:rPr>
          <w:tab/>
        </w:r>
        <w:r w:rsidR="009A64AF">
          <w:rPr>
            <w:noProof/>
            <w:webHidden/>
          </w:rPr>
          <w:fldChar w:fldCharType="begin"/>
        </w:r>
        <w:r w:rsidR="009A64AF">
          <w:rPr>
            <w:noProof/>
            <w:webHidden/>
          </w:rPr>
          <w:instrText xml:space="preserve"> PAGEREF _Toc101294478 \h </w:instrText>
        </w:r>
        <w:r w:rsidR="009A64AF">
          <w:rPr>
            <w:noProof/>
            <w:webHidden/>
          </w:rPr>
        </w:r>
        <w:r w:rsidR="009A64AF">
          <w:rPr>
            <w:noProof/>
            <w:webHidden/>
          </w:rPr>
          <w:fldChar w:fldCharType="separate"/>
        </w:r>
        <w:r w:rsidR="009A64AF">
          <w:rPr>
            <w:noProof/>
            <w:webHidden/>
          </w:rPr>
          <w:t>17</w:t>
        </w:r>
        <w:r w:rsidR="009A64AF">
          <w:rPr>
            <w:noProof/>
            <w:webHidden/>
          </w:rPr>
          <w:fldChar w:fldCharType="end"/>
        </w:r>
      </w:hyperlink>
    </w:p>
    <w:p w14:paraId="5E7FF1E3" w14:textId="329CEA4F" w:rsidR="009A64AF" w:rsidRDefault="00416930" w:rsidP="009A64AF">
      <w:pPr>
        <w:pStyle w:val="TableofFigures"/>
        <w:tabs>
          <w:tab w:val="right" w:leader="dot" w:pos="9016"/>
        </w:tabs>
        <w:spacing w:line="360" w:lineRule="auto"/>
        <w:rPr>
          <w:rFonts w:eastAsiaTheme="minorEastAsia"/>
          <w:noProof/>
          <w:lang w:eastAsia="en-GB"/>
        </w:rPr>
      </w:pPr>
      <w:hyperlink w:anchor="_Toc101294479" w:history="1">
        <w:r w:rsidR="009A64AF" w:rsidRPr="00394E07">
          <w:rPr>
            <w:rStyle w:val="Hyperlink"/>
            <w:noProof/>
          </w:rPr>
          <w:t>Figure 10 Examples of supply chain integration in steel supply chains</w:t>
        </w:r>
        <w:r w:rsidR="009A64AF">
          <w:rPr>
            <w:noProof/>
            <w:webHidden/>
          </w:rPr>
          <w:tab/>
        </w:r>
        <w:r w:rsidR="009A64AF">
          <w:rPr>
            <w:noProof/>
            <w:webHidden/>
          </w:rPr>
          <w:fldChar w:fldCharType="begin"/>
        </w:r>
        <w:r w:rsidR="009A64AF">
          <w:rPr>
            <w:noProof/>
            <w:webHidden/>
          </w:rPr>
          <w:instrText xml:space="preserve"> PAGEREF _Toc101294479 \h </w:instrText>
        </w:r>
        <w:r w:rsidR="009A64AF">
          <w:rPr>
            <w:noProof/>
            <w:webHidden/>
          </w:rPr>
        </w:r>
        <w:r w:rsidR="009A64AF">
          <w:rPr>
            <w:noProof/>
            <w:webHidden/>
          </w:rPr>
          <w:fldChar w:fldCharType="separate"/>
        </w:r>
        <w:r w:rsidR="009A64AF">
          <w:rPr>
            <w:noProof/>
            <w:webHidden/>
          </w:rPr>
          <w:t>18</w:t>
        </w:r>
        <w:r w:rsidR="009A64AF">
          <w:rPr>
            <w:noProof/>
            <w:webHidden/>
          </w:rPr>
          <w:fldChar w:fldCharType="end"/>
        </w:r>
      </w:hyperlink>
    </w:p>
    <w:p w14:paraId="6D6F81EE" w14:textId="277F2079" w:rsidR="009A64AF" w:rsidRDefault="00416930" w:rsidP="009A64AF">
      <w:pPr>
        <w:pStyle w:val="TableofFigures"/>
        <w:tabs>
          <w:tab w:val="right" w:leader="dot" w:pos="9016"/>
        </w:tabs>
        <w:spacing w:line="360" w:lineRule="auto"/>
        <w:rPr>
          <w:rFonts w:eastAsiaTheme="minorEastAsia"/>
          <w:noProof/>
          <w:lang w:eastAsia="en-GB"/>
        </w:rPr>
      </w:pPr>
      <w:hyperlink w:anchor="_Toc101294480" w:history="1">
        <w:r w:rsidR="009A64AF" w:rsidRPr="00394E07">
          <w:rPr>
            <w:rStyle w:val="Hyperlink"/>
            <w:noProof/>
          </w:rPr>
          <w:t xml:space="preserve">Figure 11 EBITDA margin vs self-sufficiency </w:t>
        </w:r>
        <w:r w:rsidR="009A64AF" w:rsidRPr="00394E07">
          <w:rPr>
            <w:rStyle w:val="Hyperlink"/>
            <w:rFonts w:ascii="Calibri" w:hAnsi="Calibri" w:cs="Calibri"/>
            <w:noProof/>
          </w:rPr>
          <w:t>(Global Steel 2014)</w:t>
        </w:r>
        <w:r w:rsidR="009A64AF">
          <w:rPr>
            <w:noProof/>
            <w:webHidden/>
          </w:rPr>
          <w:tab/>
        </w:r>
        <w:r w:rsidR="009A64AF">
          <w:rPr>
            <w:noProof/>
            <w:webHidden/>
          </w:rPr>
          <w:fldChar w:fldCharType="begin"/>
        </w:r>
        <w:r w:rsidR="009A64AF">
          <w:rPr>
            <w:noProof/>
            <w:webHidden/>
          </w:rPr>
          <w:instrText xml:space="preserve"> PAGEREF _Toc101294480 \h </w:instrText>
        </w:r>
        <w:r w:rsidR="009A64AF">
          <w:rPr>
            <w:noProof/>
            <w:webHidden/>
          </w:rPr>
        </w:r>
        <w:r w:rsidR="009A64AF">
          <w:rPr>
            <w:noProof/>
            <w:webHidden/>
          </w:rPr>
          <w:fldChar w:fldCharType="separate"/>
        </w:r>
        <w:r w:rsidR="009A64AF">
          <w:rPr>
            <w:noProof/>
            <w:webHidden/>
          </w:rPr>
          <w:t>19</w:t>
        </w:r>
        <w:r w:rsidR="009A64AF">
          <w:rPr>
            <w:noProof/>
            <w:webHidden/>
          </w:rPr>
          <w:fldChar w:fldCharType="end"/>
        </w:r>
      </w:hyperlink>
    </w:p>
    <w:p w14:paraId="69D879F3" w14:textId="63CC62A6" w:rsidR="009A64AF" w:rsidRDefault="00416930" w:rsidP="009A64AF">
      <w:pPr>
        <w:pStyle w:val="TableofFigures"/>
        <w:tabs>
          <w:tab w:val="right" w:leader="dot" w:pos="9016"/>
        </w:tabs>
        <w:spacing w:line="360" w:lineRule="auto"/>
        <w:rPr>
          <w:rFonts w:eastAsiaTheme="minorEastAsia"/>
          <w:noProof/>
          <w:lang w:eastAsia="en-GB"/>
        </w:rPr>
      </w:pPr>
      <w:hyperlink w:anchor="_Toc101294481" w:history="1">
        <w:r w:rsidR="009A64AF" w:rsidRPr="00394E07">
          <w:rPr>
            <w:rStyle w:val="Hyperlink"/>
            <w:noProof/>
          </w:rPr>
          <w:t xml:space="preserve">Figure 12 Supply chain integration approaches for steelmakers </w:t>
        </w:r>
        <w:r w:rsidR="009A64AF" w:rsidRPr="00394E07">
          <w:rPr>
            <w:rStyle w:val="Hyperlink"/>
            <w:rFonts w:ascii="Calibri" w:hAnsi="Calibri" w:cs="Calibri"/>
            <w:noProof/>
          </w:rPr>
          <w:t>(Pinto 2019)</w:t>
        </w:r>
        <w:r w:rsidR="009A64AF" w:rsidRPr="00394E07">
          <w:rPr>
            <w:rStyle w:val="Hyperlink"/>
            <w:noProof/>
          </w:rPr>
          <w:t>.</w:t>
        </w:r>
        <w:r w:rsidR="009A64AF">
          <w:rPr>
            <w:noProof/>
            <w:webHidden/>
          </w:rPr>
          <w:tab/>
        </w:r>
        <w:r w:rsidR="009A64AF">
          <w:rPr>
            <w:noProof/>
            <w:webHidden/>
          </w:rPr>
          <w:fldChar w:fldCharType="begin"/>
        </w:r>
        <w:r w:rsidR="009A64AF">
          <w:rPr>
            <w:noProof/>
            <w:webHidden/>
          </w:rPr>
          <w:instrText xml:space="preserve"> PAGEREF _Toc101294481 \h </w:instrText>
        </w:r>
        <w:r w:rsidR="009A64AF">
          <w:rPr>
            <w:noProof/>
            <w:webHidden/>
          </w:rPr>
        </w:r>
        <w:r w:rsidR="009A64AF">
          <w:rPr>
            <w:noProof/>
            <w:webHidden/>
          </w:rPr>
          <w:fldChar w:fldCharType="separate"/>
        </w:r>
        <w:r w:rsidR="009A64AF">
          <w:rPr>
            <w:noProof/>
            <w:webHidden/>
          </w:rPr>
          <w:t>19</w:t>
        </w:r>
        <w:r w:rsidR="009A64AF">
          <w:rPr>
            <w:noProof/>
            <w:webHidden/>
          </w:rPr>
          <w:fldChar w:fldCharType="end"/>
        </w:r>
      </w:hyperlink>
    </w:p>
    <w:p w14:paraId="30CB4E19" w14:textId="712A45F7" w:rsidR="009A64AF" w:rsidRDefault="00416930" w:rsidP="009A64AF">
      <w:pPr>
        <w:pStyle w:val="TableofFigures"/>
        <w:tabs>
          <w:tab w:val="right" w:leader="dot" w:pos="9016"/>
        </w:tabs>
        <w:spacing w:line="360" w:lineRule="auto"/>
        <w:rPr>
          <w:rFonts w:eastAsiaTheme="minorEastAsia"/>
          <w:noProof/>
          <w:lang w:eastAsia="en-GB"/>
        </w:rPr>
      </w:pPr>
      <w:hyperlink w:anchor="_Toc101294482" w:history="1">
        <w:r w:rsidR="009A64AF" w:rsidRPr="00394E07">
          <w:rPr>
            <w:rStyle w:val="Hyperlink"/>
            <w:noProof/>
          </w:rPr>
          <w:t xml:space="preserve">Figure 13 The steel supply chain </w:t>
        </w:r>
        <w:r w:rsidR="009A64AF" w:rsidRPr="00394E07">
          <w:rPr>
            <w:rStyle w:val="Hyperlink"/>
            <w:rFonts w:ascii="Calibri" w:hAnsi="Calibri" w:cs="Calibri"/>
            <w:noProof/>
          </w:rPr>
          <w:t>(Sandhu et al. 2013)</w:t>
        </w:r>
        <w:r w:rsidR="009A64AF">
          <w:rPr>
            <w:noProof/>
            <w:webHidden/>
          </w:rPr>
          <w:tab/>
        </w:r>
        <w:r w:rsidR="009A64AF">
          <w:rPr>
            <w:noProof/>
            <w:webHidden/>
          </w:rPr>
          <w:fldChar w:fldCharType="begin"/>
        </w:r>
        <w:r w:rsidR="009A64AF">
          <w:rPr>
            <w:noProof/>
            <w:webHidden/>
          </w:rPr>
          <w:instrText xml:space="preserve"> PAGEREF _Toc101294482 \h </w:instrText>
        </w:r>
        <w:r w:rsidR="009A64AF">
          <w:rPr>
            <w:noProof/>
            <w:webHidden/>
          </w:rPr>
        </w:r>
        <w:r w:rsidR="009A64AF">
          <w:rPr>
            <w:noProof/>
            <w:webHidden/>
          </w:rPr>
          <w:fldChar w:fldCharType="separate"/>
        </w:r>
        <w:r w:rsidR="009A64AF">
          <w:rPr>
            <w:noProof/>
            <w:webHidden/>
          </w:rPr>
          <w:t>20</w:t>
        </w:r>
        <w:r w:rsidR="009A64AF">
          <w:rPr>
            <w:noProof/>
            <w:webHidden/>
          </w:rPr>
          <w:fldChar w:fldCharType="end"/>
        </w:r>
      </w:hyperlink>
    </w:p>
    <w:p w14:paraId="3D4BB44F" w14:textId="027FE15D" w:rsidR="00196715" w:rsidRDefault="006937A7" w:rsidP="009A64AF">
      <w:pPr>
        <w:spacing w:line="360" w:lineRule="auto"/>
        <w:rPr>
          <w:sz w:val="28"/>
          <w:szCs w:val="28"/>
        </w:rPr>
      </w:pPr>
      <w:r>
        <w:rPr>
          <w:sz w:val="28"/>
          <w:szCs w:val="28"/>
        </w:rPr>
        <w:fldChar w:fldCharType="end"/>
      </w:r>
      <w:r w:rsidR="00196715">
        <w:rPr>
          <w:sz w:val="28"/>
          <w:szCs w:val="28"/>
        </w:rPr>
        <w:br w:type="page"/>
      </w:r>
    </w:p>
    <w:p w14:paraId="3D4BB450" w14:textId="77777777" w:rsidR="00196715" w:rsidRDefault="00196715" w:rsidP="00196715">
      <w:pPr>
        <w:pStyle w:val="Heading1"/>
      </w:pPr>
      <w:bookmarkStart w:id="1" w:name="_Toc101469647"/>
      <w:r>
        <w:lastRenderedPageBreak/>
        <w:t>Introduction</w:t>
      </w:r>
      <w:bookmarkEnd w:id="1"/>
    </w:p>
    <w:p w14:paraId="3D4BB451" w14:textId="77777777" w:rsidR="00196715" w:rsidRPr="00196715" w:rsidRDefault="00196715" w:rsidP="00196715"/>
    <w:p w14:paraId="761C5338" w14:textId="646DFE92" w:rsidR="001B3623" w:rsidRDefault="00C719EC" w:rsidP="0088049C">
      <w:pPr>
        <w:spacing w:line="360" w:lineRule="auto"/>
        <w:jc w:val="both"/>
      </w:pPr>
      <w:r>
        <w:t xml:space="preserve">In an </w:t>
      </w:r>
      <w:r w:rsidR="00E907DA">
        <w:t>ever-changing</w:t>
      </w:r>
      <w:r>
        <w:t xml:space="preserve"> world</w:t>
      </w:r>
      <w:r w:rsidR="00110455">
        <w:t>,</w:t>
      </w:r>
      <w:r>
        <w:t xml:space="preserve"> the </w:t>
      </w:r>
      <w:r w:rsidR="004276E6">
        <w:t>growth</w:t>
      </w:r>
      <w:r>
        <w:t xml:space="preserve"> </w:t>
      </w:r>
      <w:r w:rsidR="00F0102E">
        <w:t xml:space="preserve">of global supply chains </w:t>
      </w:r>
      <w:r w:rsidR="00EE5D9F">
        <w:t>has</w:t>
      </w:r>
      <w:r w:rsidR="00530E9F">
        <w:t xml:space="preserve"> forced businesses</w:t>
      </w:r>
      <w:r w:rsidR="00EE5D9F">
        <w:t xml:space="preserve"> across the world</w:t>
      </w:r>
      <w:r w:rsidR="00530E9F">
        <w:t xml:space="preserve"> to adapt</w:t>
      </w:r>
      <w:r w:rsidR="00E907DA">
        <w:t xml:space="preserve">. The </w:t>
      </w:r>
      <w:r w:rsidR="00F62D3E">
        <w:t xml:space="preserve">internet explosion and the resulting </w:t>
      </w:r>
      <w:r w:rsidR="00553BD8">
        <w:t>emergence</w:t>
      </w:r>
      <w:r w:rsidR="00F62D3E">
        <w:t xml:space="preserve"> of E commerce</w:t>
      </w:r>
      <w:r w:rsidR="002F4E19">
        <w:t xml:space="preserve">, </w:t>
      </w:r>
      <w:r w:rsidR="004276E6">
        <w:t xml:space="preserve">the </w:t>
      </w:r>
      <w:r w:rsidR="00553BD8">
        <w:t xml:space="preserve">growth </w:t>
      </w:r>
      <w:r w:rsidR="00330D5F">
        <w:t>of developing economies</w:t>
      </w:r>
      <w:r w:rsidR="00EE5D9F">
        <w:t xml:space="preserve">, </w:t>
      </w:r>
      <w:r w:rsidR="00D8007D">
        <w:t>overseas outsourcing</w:t>
      </w:r>
      <w:r w:rsidR="00A26FBD">
        <w:t xml:space="preserve"> and </w:t>
      </w:r>
      <w:r w:rsidR="00D27349">
        <w:t>fluid customer demand</w:t>
      </w:r>
      <w:r w:rsidR="0025446C">
        <w:t>s</w:t>
      </w:r>
      <w:r w:rsidR="00A26FBD">
        <w:t xml:space="preserve"> with a focus on quality</w:t>
      </w:r>
      <w:r w:rsidR="00E42B31">
        <w:t xml:space="preserve"> has forced </w:t>
      </w:r>
      <w:r w:rsidR="006E441F">
        <w:t>all</w:t>
      </w:r>
      <w:r w:rsidR="003E79E1">
        <w:t xml:space="preserve"> members of</w:t>
      </w:r>
      <w:r w:rsidR="00E42B31">
        <w:t xml:space="preserve"> </w:t>
      </w:r>
      <w:r w:rsidR="005315E6">
        <w:t xml:space="preserve">the </w:t>
      </w:r>
      <w:r w:rsidR="00E42B31">
        <w:t>supply chain</w:t>
      </w:r>
      <w:r w:rsidR="003E79E1">
        <w:t xml:space="preserve"> to </w:t>
      </w:r>
      <w:r w:rsidR="001B3623">
        <w:t xml:space="preserve">collaborate or risk failing </w:t>
      </w:r>
      <w:r w:rsidR="00966E4A">
        <w:fldChar w:fldCharType="begin"/>
      </w:r>
      <w:r w:rsidR="00BD44E7">
        <w:instrText xml:space="preserve"> ADDIN ZOTERO_ITEM CSL_CITATION {"citationID":"P6YSnI1O","properties":{"formattedCitation":"(Crandall et al. 2015)","plainCitation":"(Crandall et al. 2015)","noteIndex":0},"citationItems":[{"id":1536,"uris":["http://zotero.org/users/local/AB2owHL2/items/IR3YUBQ8"],"itemData":{"id":1536,"type":"book","collection-title":"Series on Resource Management","edition":"Second","event-place":"Florida","ISBN":"13: 978-1-4822-1205-1","publisher":"CRC Press","publisher-place":"Florida","title":"Principles of Supply Chain Management","author":[{"family":"Crandall","given":"Richard E."},{"family":"Crandall","given":"William R."},{"family":"Chen","given":"Charlie C."}],"issued":{"date-parts":[["2015"]]}}}],"schema":"https://github.com/citation-style-language/schema/raw/master/csl-citation.json"} </w:instrText>
      </w:r>
      <w:r w:rsidR="00966E4A">
        <w:fldChar w:fldCharType="separate"/>
      </w:r>
      <w:r w:rsidR="00BD44E7" w:rsidRPr="00BD44E7">
        <w:rPr>
          <w:rFonts w:ascii="Calibri" w:hAnsi="Calibri" w:cs="Calibri"/>
        </w:rPr>
        <w:t>(Crandall et al. 2015)</w:t>
      </w:r>
      <w:r w:rsidR="00966E4A">
        <w:fldChar w:fldCharType="end"/>
      </w:r>
      <w:r w:rsidR="001B3623">
        <w:t>.</w:t>
      </w:r>
    </w:p>
    <w:p w14:paraId="17BC7044" w14:textId="3FB0259E" w:rsidR="004646C5" w:rsidRDefault="00552E75" w:rsidP="0088049C">
      <w:pPr>
        <w:spacing w:line="360" w:lineRule="auto"/>
        <w:jc w:val="both"/>
      </w:pPr>
      <w:r>
        <w:t>The supply chain</w:t>
      </w:r>
      <w:r w:rsidR="00280FD2">
        <w:t xml:space="preserve"> (SC)</w:t>
      </w:r>
      <w:r>
        <w:t xml:space="preserve"> can be thought of as the sequence of events</w:t>
      </w:r>
      <w:r w:rsidR="00464FE9">
        <w:t xml:space="preserve"> with numerous participants</w:t>
      </w:r>
      <w:r>
        <w:t xml:space="preserve"> </w:t>
      </w:r>
      <w:r w:rsidR="00C333C0">
        <w:t>that lead to t</w:t>
      </w:r>
      <w:r w:rsidR="00403212">
        <w:t xml:space="preserve">he </w:t>
      </w:r>
      <w:r w:rsidR="00F30540">
        <w:t>sale</w:t>
      </w:r>
      <w:r w:rsidR="0088049C">
        <w:t xml:space="preserve"> a product or the provision of a service</w:t>
      </w:r>
      <w:r w:rsidR="00C333C0">
        <w:t>, it</w:t>
      </w:r>
      <w:r w:rsidR="0088049C">
        <w:t xml:space="preserve"> i</w:t>
      </w:r>
      <w:r w:rsidR="00E87617">
        <w:t>nvolves</w:t>
      </w:r>
      <w:r w:rsidR="0088049C">
        <w:t xml:space="preserve"> </w:t>
      </w:r>
      <w:r w:rsidR="001609B3">
        <w:t>the flow of raw materials</w:t>
      </w:r>
      <w:r w:rsidR="00185288">
        <w:t xml:space="preserve"> from</w:t>
      </w:r>
      <w:r w:rsidR="001D57C7">
        <w:t xml:space="preserve"> the</w:t>
      </w:r>
      <w:r w:rsidR="00185288">
        <w:t xml:space="preserve"> supplier</w:t>
      </w:r>
      <w:r w:rsidR="001609B3">
        <w:t xml:space="preserve"> to the manufact</w:t>
      </w:r>
      <w:r w:rsidR="00185288">
        <w:t>urer</w:t>
      </w:r>
      <w:r w:rsidR="00290D68">
        <w:t>, packaging</w:t>
      </w:r>
      <w:r w:rsidR="00643D07">
        <w:t>,</w:t>
      </w:r>
      <w:r w:rsidR="00F43DD9">
        <w:t xml:space="preserve"> distribution </w:t>
      </w:r>
      <w:r w:rsidR="00C00602">
        <w:t xml:space="preserve">to the </w:t>
      </w:r>
      <w:r w:rsidR="00BE5034">
        <w:t xml:space="preserve">end </w:t>
      </w:r>
      <w:r w:rsidR="00C00602">
        <w:t>c</w:t>
      </w:r>
      <w:r w:rsidR="004D7863">
        <w:t>onsumer</w:t>
      </w:r>
      <w:r w:rsidR="00643D07">
        <w:t xml:space="preserve"> and even th</w:t>
      </w:r>
      <w:r w:rsidR="00735B9F">
        <w:t>e</w:t>
      </w:r>
      <w:r w:rsidR="00643D07">
        <w:t xml:space="preserve"> </w:t>
      </w:r>
      <w:r w:rsidR="00735B9F">
        <w:t>recycling of the used product</w:t>
      </w:r>
      <w:r w:rsidR="001C3B20">
        <w:t xml:space="preserve">. </w:t>
      </w:r>
      <w:r w:rsidR="00B86179">
        <w:t xml:space="preserve"> </w:t>
      </w:r>
      <w:r w:rsidR="008D441B">
        <w:t xml:space="preserve">The </w:t>
      </w:r>
      <w:r w:rsidR="00B00351">
        <w:t>SC</w:t>
      </w:r>
      <w:r w:rsidR="00B86179">
        <w:t xml:space="preserve"> </w:t>
      </w:r>
      <w:r w:rsidR="002171D4">
        <w:t xml:space="preserve">comprises of all the planning and management </w:t>
      </w:r>
      <w:r w:rsidR="00F13CFF">
        <w:t>activities required to source, procure</w:t>
      </w:r>
      <w:r w:rsidR="00ED7278">
        <w:t>, deliver</w:t>
      </w:r>
      <w:r w:rsidR="00CC013D">
        <w:t xml:space="preserve"> (downstream and upstream) and</w:t>
      </w:r>
      <w:r w:rsidR="00ED7278">
        <w:t xml:space="preserve"> manufacture</w:t>
      </w:r>
      <w:r w:rsidR="00027FD2">
        <w:t xml:space="preserve"> all the materials and products </w:t>
      </w:r>
      <w:r w:rsidR="00404628">
        <w:t xml:space="preserve">within the </w:t>
      </w:r>
      <w:r w:rsidR="00966E4A">
        <w:t>SC</w:t>
      </w:r>
      <w:r w:rsidR="007D5978">
        <w:t xml:space="preserve">, it requires </w:t>
      </w:r>
      <w:r w:rsidR="00C119B7">
        <w:t>collaboration with suppliers</w:t>
      </w:r>
      <w:r w:rsidR="00A74762">
        <w:t>,</w:t>
      </w:r>
      <w:r w:rsidR="00C119B7">
        <w:t xml:space="preserve"> customers</w:t>
      </w:r>
      <w:r w:rsidR="00000654">
        <w:t>, distributers and wholesalers</w:t>
      </w:r>
      <w:r w:rsidR="00C119B7">
        <w:t xml:space="preserve"> </w:t>
      </w:r>
      <w:r w:rsidR="00CC4372">
        <w:t xml:space="preserve">to provide the best possible </w:t>
      </w:r>
      <w:r w:rsidR="002E49D6">
        <w:t xml:space="preserve">quality </w:t>
      </w:r>
      <w:r w:rsidR="00CC4372">
        <w:t>product a</w:t>
      </w:r>
      <w:r w:rsidR="002E49D6">
        <w:t>t the lowest cost</w:t>
      </w:r>
      <w:r w:rsidR="00996ADC">
        <w:t>, on time</w:t>
      </w:r>
      <w:r w:rsidR="004B5393">
        <w:t xml:space="preserve"> </w:t>
      </w:r>
      <w:r w:rsidR="004B5393">
        <w:fldChar w:fldCharType="begin"/>
      </w:r>
      <w:r w:rsidR="00BD44E7">
        <w:instrText xml:space="preserve"> ADDIN ZOTERO_ITEM CSL_CITATION {"citationID":"qUFy0nVp","properties":{"formattedCitation":"(Crandall et al. 2015)","plainCitation":"(Crandall et al. 2015)","noteIndex":0},"citationItems":[{"id":1536,"uris":["http://zotero.org/users/local/AB2owHL2/items/IR3YUBQ8"],"itemData":{"id":1536,"type":"book","collection-title":"Series on Resource Management","edition":"Second","event-place":"Florida","ISBN":"13: 978-1-4822-1205-1","publisher":"CRC Press","publisher-place":"Florida","title":"Principles of Supply Chain Management","author":[{"family":"Crandall","given":"Richard E."},{"family":"Crandall","given":"William R."},{"family":"Chen","given":"Charlie C."}],"issued":{"date-parts":[["2015"]]}}}],"schema":"https://github.com/citation-style-language/schema/raw/master/csl-citation.json"} </w:instrText>
      </w:r>
      <w:r w:rsidR="004B5393">
        <w:fldChar w:fldCharType="separate"/>
      </w:r>
      <w:r w:rsidR="00BD44E7" w:rsidRPr="00BD44E7">
        <w:rPr>
          <w:rFonts w:ascii="Calibri" w:hAnsi="Calibri" w:cs="Calibri"/>
        </w:rPr>
        <w:t>(Crandall et al. 2015)</w:t>
      </w:r>
      <w:r w:rsidR="004B5393">
        <w:fldChar w:fldCharType="end"/>
      </w:r>
      <w:r w:rsidR="002E49D6">
        <w:t>.</w:t>
      </w:r>
    </w:p>
    <w:p w14:paraId="45CBC13C" w14:textId="0F2646C4" w:rsidR="002858A3" w:rsidRDefault="00A10429" w:rsidP="0088049C">
      <w:pPr>
        <w:spacing w:line="360" w:lineRule="auto"/>
        <w:jc w:val="both"/>
      </w:pPr>
      <w:r>
        <w:fldChar w:fldCharType="begin"/>
      </w:r>
      <w:r w:rsidR="00BD44E7">
        <w:instrText xml:space="preserve"> ADDIN ZOTERO_ITEM CSL_CITATION {"citationID":"ynIqMagA","properties":{"formattedCitation":"(Christopher 2011)","plainCitation":"(Christopher 2011)","noteIndex":0},"citationItems":[{"id":1537,"uris":["http://zotero.org/users/local/AB2owHL2/items/DPWVTJGT"],"itemData":{"id":1537,"type":"book","edition":"Fourth","event-place":"Harlow United Kingdom","ISBN":"978-0-273-73112-2","publisher":"Prentice Hall","publisher-place":"Harlow United Kingdom","title":"Logistics &amp; Supply Chain Management","author":[{"family":"Christopher","given":"Martin"}],"issued":{"date-parts":[["2011"]]}}}],"schema":"https://github.com/citation-style-language/schema/raw/master/csl-citation.json"} </w:instrText>
      </w:r>
      <w:r>
        <w:fldChar w:fldCharType="separate"/>
      </w:r>
      <w:r w:rsidR="00BD44E7" w:rsidRPr="00BD44E7">
        <w:rPr>
          <w:rFonts w:ascii="Calibri" w:hAnsi="Calibri" w:cs="Calibri"/>
        </w:rPr>
        <w:t xml:space="preserve">Christopher </w:t>
      </w:r>
      <w:r w:rsidR="00757AFC">
        <w:rPr>
          <w:rFonts w:ascii="Calibri" w:hAnsi="Calibri" w:cs="Calibri"/>
        </w:rPr>
        <w:t>(</w:t>
      </w:r>
      <w:r w:rsidR="00BD44E7" w:rsidRPr="00BD44E7">
        <w:rPr>
          <w:rFonts w:ascii="Calibri" w:hAnsi="Calibri" w:cs="Calibri"/>
        </w:rPr>
        <w:t>2011)</w:t>
      </w:r>
      <w:r>
        <w:fldChar w:fldCharType="end"/>
      </w:r>
      <w:r>
        <w:t xml:space="preserve"> </w:t>
      </w:r>
      <w:r w:rsidR="00AB033B">
        <w:t>explains s</w:t>
      </w:r>
      <w:r w:rsidR="00280FD2">
        <w:t>upply chain management (SCM)</w:t>
      </w:r>
      <w:r w:rsidR="00CD0ADF">
        <w:t>, SCM</w:t>
      </w:r>
      <w:r w:rsidR="00F150FC">
        <w:t xml:space="preserve"> aims to</w:t>
      </w:r>
      <w:r w:rsidR="00F0455F">
        <w:t xml:space="preserve"> coordinate and</w:t>
      </w:r>
      <w:r w:rsidR="00F150FC">
        <w:t xml:space="preserve"> </w:t>
      </w:r>
      <w:r w:rsidR="00734722">
        <w:t>facilitate</w:t>
      </w:r>
      <w:r w:rsidR="00A24918">
        <w:t xml:space="preserve"> these</w:t>
      </w:r>
      <w:r w:rsidR="00097CB8">
        <w:t xml:space="preserve"> SC</w:t>
      </w:r>
      <w:r w:rsidR="00A24918">
        <w:t xml:space="preserve"> processes and interactions </w:t>
      </w:r>
      <w:r w:rsidR="00734722">
        <w:t xml:space="preserve">to help them be </w:t>
      </w:r>
      <w:r w:rsidR="00A24918">
        <w:t>as efficient as possible</w:t>
      </w:r>
      <w:r>
        <w:t xml:space="preserve">. </w:t>
      </w:r>
      <w:r w:rsidR="00081152">
        <w:t xml:space="preserve">The definition of SCM according to </w:t>
      </w:r>
      <w:r w:rsidR="00081152">
        <w:fldChar w:fldCharType="begin"/>
      </w:r>
      <w:r w:rsidR="00BD44E7">
        <w:instrText xml:space="preserve"> ADDIN ZOTERO_ITEM CSL_CITATION {"citationID":"2hUajQXF","properties":{"formattedCitation":"(Christopher 2011)","plainCitation":"(Christopher 2011)","noteIndex":0},"citationItems":[{"id":1537,"uris":["http://zotero.org/users/local/AB2owHL2/items/DPWVTJGT"],"itemData":{"id":1537,"type":"book","edition":"Fourth","event-place":"Harlow United Kingdom","ISBN":"978-0-273-73112-2","publisher":"Prentice Hall","publisher-place":"Harlow United Kingdom","title":"Logistics &amp; Supply Chain Management","author":[{"family":"Christopher","given":"Martin"}],"issued":{"date-parts":[["2011"]]}}}],"schema":"https://github.com/citation-style-language/schema/raw/master/csl-citation.json"} </w:instrText>
      </w:r>
      <w:r w:rsidR="00081152">
        <w:fldChar w:fldCharType="separate"/>
      </w:r>
      <w:r w:rsidR="00BD44E7" w:rsidRPr="00BD44E7">
        <w:rPr>
          <w:rFonts w:ascii="Calibri" w:hAnsi="Calibri" w:cs="Calibri"/>
        </w:rPr>
        <w:t>(Christopher 2011)</w:t>
      </w:r>
      <w:r w:rsidR="00081152">
        <w:fldChar w:fldCharType="end"/>
      </w:r>
      <w:r w:rsidR="002858A3">
        <w:t xml:space="preserve"> is:</w:t>
      </w:r>
    </w:p>
    <w:p w14:paraId="029DB5A7" w14:textId="77777777" w:rsidR="00855D8C" w:rsidRDefault="002858A3" w:rsidP="002858A3">
      <w:pPr>
        <w:spacing w:line="360" w:lineRule="auto"/>
        <w:ind w:left="720"/>
        <w:jc w:val="both"/>
      </w:pPr>
      <w:r>
        <w:t xml:space="preserve">‘The management of upstream and downstream relationships with suppliers and customers </w:t>
      </w:r>
      <w:proofErr w:type="gramStart"/>
      <w:r>
        <w:t>in order to</w:t>
      </w:r>
      <w:proofErr w:type="gramEnd"/>
      <w:r>
        <w:t xml:space="preserve"> deliver superior customer value at less cost to the supply chain as a whole.’</w:t>
      </w:r>
    </w:p>
    <w:p w14:paraId="4A8D4BB4" w14:textId="05381D14" w:rsidR="00423B9E" w:rsidRDefault="00423B9E" w:rsidP="00DA4DB9">
      <w:pPr>
        <w:spacing w:line="360" w:lineRule="auto"/>
        <w:jc w:val="both"/>
      </w:pPr>
      <w:r w:rsidRPr="005F58B6">
        <w:rPr>
          <w:noProof/>
        </w:rPr>
        <w:drawing>
          <wp:inline distT="0" distB="0" distL="0" distR="0" wp14:anchorId="54C02D21" wp14:editId="440D6286">
            <wp:extent cx="6037832" cy="2289810"/>
            <wp:effectExtent l="0" t="0" r="0" b="0"/>
            <wp:docPr id="1" name="Picture 1" descr="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ox and whisker chart&#10;&#10;Description automatically generated"/>
                    <pic:cNvPicPr/>
                  </pic:nvPicPr>
                  <pic:blipFill>
                    <a:blip r:embed="rId12"/>
                    <a:stretch>
                      <a:fillRect/>
                    </a:stretch>
                  </pic:blipFill>
                  <pic:spPr>
                    <a:xfrm>
                      <a:off x="0" y="0"/>
                      <a:ext cx="6078926" cy="2305395"/>
                    </a:xfrm>
                    <a:prstGeom prst="rect">
                      <a:avLst/>
                    </a:prstGeom>
                  </pic:spPr>
                </pic:pic>
              </a:graphicData>
            </a:graphic>
          </wp:inline>
        </w:drawing>
      </w:r>
    </w:p>
    <w:p w14:paraId="6BBD5869" w14:textId="44800CFB" w:rsidR="002A03E5" w:rsidRDefault="002A03E5" w:rsidP="002A03E5">
      <w:pPr>
        <w:pStyle w:val="Caption"/>
      </w:pPr>
      <w:bookmarkStart w:id="2" w:name="_Toc101294470"/>
      <w:r>
        <w:t xml:space="preserve">Figure </w:t>
      </w:r>
      <w:fldSimple w:instr=" SEQ Figure \* ARABIC ">
        <w:r w:rsidR="00555FD6">
          <w:rPr>
            <w:noProof/>
          </w:rPr>
          <w:t>1</w:t>
        </w:r>
      </w:fldSimple>
      <w:r>
        <w:t xml:space="preserve"> The Supply chain </w:t>
      </w:r>
      <w:r>
        <w:fldChar w:fldCharType="begin"/>
      </w:r>
      <w:r w:rsidR="00BD44E7">
        <w:instrText xml:space="preserve"> ADDIN ZOTERO_ITEM CSL_CITATION {"citationID":"spA1qMRm","properties":{"formattedCitation":"(Harrison et al. 2014)","plainCitation":"(Harrison et al. 2014)","noteIndex":0},"citationItems":[{"id":1538,"uris":["http://zotero.org/users/local/AB2owHL2/items/7D7MTM4X"],"itemData":{"id":1538,"type":"book","edition":"Fifth","event-place":"Harlow United Kingdom","ISBN":"978-1-292-00418-1","publisher":"Pearson Education Limited","publisher-place":"Harlow United Kingdom","title":"Logistics Management  and Strategy","author":[{"family":"Harrison","given":"Alan"},{"family":"Hoek","given":"Remko","non-dropping-particle":"van"},{"family":"Skipworth","given":"Heather"}],"issued":{"date-parts":[["2014"]]}}}],"schema":"https://github.com/citation-style-language/schema/raw/master/csl-citation.json"} </w:instrText>
      </w:r>
      <w:r>
        <w:fldChar w:fldCharType="separate"/>
      </w:r>
      <w:r w:rsidR="00BD44E7" w:rsidRPr="00BD44E7">
        <w:rPr>
          <w:rFonts w:ascii="Calibri" w:hAnsi="Calibri" w:cs="Calibri"/>
        </w:rPr>
        <w:t>(Harrison et al. 2014)</w:t>
      </w:r>
      <w:bookmarkEnd w:id="2"/>
      <w:r>
        <w:fldChar w:fldCharType="end"/>
      </w:r>
    </w:p>
    <w:p w14:paraId="3D4BB453" w14:textId="7A779E9D" w:rsidR="00196715" w:rsidRDefault="000C277B" w:rsidP="00855D8C">
      <w:pPr>
        <w:spacing w:line="360" w:lineRule="auto"/>
        <w:jc w:val="both"/>
      </w:pPr>
      <w:r>
        <w:t xml:space="preserve">The goal of SCM is to integrate </w:t>
      </w:r>
      <w:r w:rsidR="00E20107">
        <w:t>the inbound</w:t>
      </w:r>
      <w:r w:rsidR="00711E27">
        <w:t xml:space="preserve">, </w:t>
      </w:r>
      <w:r w:rsidR="004A699C">
        <w:t>internal,</w:t>
      </w:r>
      <w:r w:rsidR="00711E27">
        <w:t xml:space="preserve"> and outbound logistics (shown </w:t>
      </w:r>
      <w:r w:rsidR="002A03E5">
        <w:t>above</w:t>
      </w:r>
      <w:r w:rsidR="00711E27">
        <w:t xml:space="preserve"> in figure 1)</w:t>
      </w:r>
      <w:r w:rsidR="00BC1FBD">
        <w:t xml:space="preserve"> into one </w:t>
      </w:r>
      <w:r w:rsidR="0003361F">
        <w:t xml:space="preserve">seamless </w:t>
      </w:r>
      <w:r w:rsidR="00FD676C">
        <w:t>system</w:t>
      </w:r>
      <w:r w:rsidR="004007FF">
        <w:t xml:space="preserve"> </w:t>
      </w:r>
      <w:r w:rsidR="001E7C4C">
        <w:t>working together to</w:t>
      </w:r>
      <w:r w:rsidR="00467879">
        <w:t xml:space="preserve"> meet </w:t>
      </w:r>
      <w:r w:rsidR="005E04EE">
        <w:t>the</w:t>
      </w:r>
      <w:r w:rsidR="00824608">
        <w:t xml:space="preserve"> end</w:t>
      </w:r>
      <w:r w:rsidR="005E04EE">
        <w:t xml:space="preserve"> </w:t>
      </w:r>
      <w:r w:rsidR="00824608">
        <w:t>customers’</w:t>
      </w:r>
      <w:r w:rsidR="005E04EE">
        <w:t xml:space="preserve"> needs</w:t>
      </w:r>
      <w:r w:rsidR="0071179E">
        <w:t xml:space="preserve">. </w:t>
      </w:r>
      <w:r w:rsidR="00587D54">
        <w:t xml:space="preserve">A </w:t>
      </w:r>
      <w:r w:rsidR="00432426">
        <w:t>well-managed</w:t>
      </w:r>
      <w:r w:rsidR="00587D54">
        <w:t xml:space="preserve"> </w:t>
      </w:r>
      <w:r w:rsidR="00432426">
        <w:t xml:space="preserve">efficient SC </w:t>
      </w:r>
      <w:r w:rsidR="000E78BE">
        <w:t xml:space="preserve">can </w:t>
      </w:r>
      <w:r w:rsidR="00432426">
        <w:t>provide the organisation with</w:t>
      </w:r>
      <w:r w:rsidR="00C514E7">
        <w:t xml:space="preserve"> a competitive advantage</w:t>
      </w:r>
      <w:r w:rsidR="009E79A9">
        <w:t xml:space="preserve"> </w:t>
      </w:r>
      <w:r w:rsidR="009E79A9">
        <w:fldChar w:fldCharType="begin"/>
      </w:r>
      <w:r w:rsidR="00BD44E7">
        <w:instrText xml:space="preserve"> ADDIN ZOTERO_ITEM CSL_CITATION {"citationID":"JyUs9bRO","properties":{"formattedCitation":"(Harrison et al. 2014)","plainCitation":"(Harrison et al. 2014)","noteIndex":0},"citationItems":[{"id":1538,"uris":["http://zotero.org/users/local/AB2owHL2/items/7D7MTM4X"],"itemData":{"id":1538,"type":"book","edition":"Fifth","event-place":"Harlow United Kingdom","ISBN":"978-1-292-00418-1","publisher":"Pearson Education Limited","publisher-place":"Harlow United Kingdom","title":"Logistics Management  and Strategy","author":[{"family":"Harrison","given":"Alan"},{"family":"Hoek","given":"Remko","non-dropping-particle":"van"},{"family":"Skipworth","given":"Heather"}],"issued":{"date-parts":[["2014"]]}}}],"schema":"https://github.com/citation-style-language/schema/raw/master/csl-citation.json"} </w:instrText>
      </w:r>
      <w:r w:rsidR="009E79A9">
        <w:fldChar w:fldCharType="separate"/>
      </w:r>
      <w:r w:rsidR="00BD44E7" w:rsidRPr="00BD44E7">
        <w:rPr>
          <w:rFonts w:ascii="Calibri" w:hAnsi="Calibri" w:cs="Calibri"/>
        </w:rPr>
        <w:t>(Harrison et al. 2014)</w:t>
      </w:r>
      <w:r w:rsidR="009E79A9">
        <w:fldChar w:fldCharType="end"/>
      </w:r>
      <w:r w:rsidR="008B4A3B">
        <w:t>.</w:t>
      </w:r>
    </w:p>
    <w:p w14:paraId="3EC2D966" w14:textId="4419A87A" w:rsidR="005221FF" w:rsidRDefault="00DE68E2" w:rsidP="00855D8C">
      <w:pPr>
        <w:spacing w:line="360" w:lineRule="auto"/>
        <w:jc w:val="both"/>
      </w:pPr>
      <w:r>
        <w:lastRenderedPageBreak/>
        <w:t xml:space="preserve">Historically relationships between </w:t>
      </w:r>
      <w:r w:rsidR="00676696">
        <w:t xml:space="preserve">downstream and upstream customers </w:t>
      </w:r>
      <w:r w:rsidR="00C22033">
        <w:t>were</w:t>
      </w:r>
      <w:r w:rsidR="00676696">
        <w:t xml:space="preserve"> adver</w:t>
      </w:r>
      <w:r w:rsidR="00795E33">
        <w:t xml:space="preserve">sarial, </w:t>
      </w:r>
      <w:r w:rsidR="00397300">
        <w:t xml:space="preserve">companies sought to </w:t>
      </w:r>
      <w:r w:rsidR="0002575E">
        <w:t xml:space="preserve">gain profit or </w:t>
      </w:r>
      <w:r w:rsidR="00C22033">
        <w:t>reduce costs</w:t>
      </w:r>
      <w:r w:rsidR="0002575E">
        <w:t xml:space="preserve"> at the expense of </w:t>
      </w:r>
      <w:r w:rsidR="000D0A37">
        <w:t>others in the SC.</w:t>
      </w:r>
      <w:r w:rsidR="00537F3F">
        <w:t xml:space="preserve"> </w:t>
      </w:r>
      <w:r w:rsidR="008F1A00">
        <w:t xml:space="preserve"> Transferring cost in this way did not improve </w:t>
      </w:r>
      <w:r w:rsidR="00607E36">
        <w:t xml:space="preserve">their competitiveness but only </w:t>
      </w:r>
      <w:r w:rsidR="001D41A3">
        <w:t xml:space="preserve">pushed the cost to the </w:t>
      </w:r>
      <w:r w:rsidR="008D6E41">
        <w:t>end customer</w:t>
      </w:r>
      <w:r w:rsidR="0004289C">
        <w:t xml:space="preserve"> in increased prices</w:t>
      </w:r>
      <w:r w:rsidR="008D6E41">
        <w:t>.</w:t>
      </w:r>
      <w:r w:rsidR="00F848DF">
        <w:t xml:space="preserve"> </w:t>
      </w:r>
      <w:r w:rsidR="000149D6">
        <w:t xml:space="preserve">By working together an integrated SC can reduce costs and </w:t>
      </w:r>
      <w:r w:rsidR="00940AE0">
        <w:t>add value</w:t>
      </w:r>
      <w:r w:rsidR="00C22033">
        <w:t xml:space="preserve"> </w:t>
      </w:r>
      <w:r w:rsidR="00C22033">
        <w:fldChar w:fldCharType="begin"/>
      </w:r>
      <w:r w:rsidR="00BD44E7">
        <w:instrText xml:space="preserve"> ADDIN ZOTERO_ITEM CSL_CITATION {"citationID":"bl0wtVEU","properties":{"formattedCitation":"(Christopher 2011)","plainCitation":"(Christopher 2011)","noteIndex":0},"citationItems":[{"id":1537,"uris":["http://zotero.org/users/local/AB2owHL2/items/DPWVTJGT"],"itemData":{"id":1537,"type":"book","edition":"Fourth","event-place":"Harlow United Kingdom","ISBN":"978-0-273-73112-2","publisher":"Prentice Hall","publisher-place":"Harlow United Kingdom","title":"Logistics &amp; Supply Chain Management","author":[{"family":"Christopher","given":"Martin"}],"issued":{"date-parts":[["2011"]]}}}],"schema":"https://github.com/citation-style-language/schema/raw/master/csl-citation.json"} </w:instrText>
      </w:r>
      <w:r w:rsidR="00C22033">
        <w:fldChar w:fldCharType="separate"/>
      </w:r>
      <w:r w:rsidR="00BD44E7" w:rsidRPr="00BD44E7">
        <w:rPr>
          <w:rFonts w:ascii="Calibri" w:hAnsi="Calibri" w:cs="Calibri"/>
        </w:rPr>
        <w:t>(Christopher 2011)</w:t>
      </w:r>
      <w:r w:rsidR="00C22033">
        <w:fldChar w:fldCharType="end"/>
      </w:r>
      <w:r w:rsidR="00C22033">
        <w:t>.</w:t>
      </w:r>
    </w:p>
    <w:p w14:paraId="36BAB55A" w14:textId="79E0F121" w:rsidR="005F58B6" w:rsidRDefault="000D1BAE" w:rsidP="00855D8C">
      <w:pPr>
        <w:spacing w:line="360" w:lineRule="auto"/>
        <w:jc w:val="both"/>
      </w:pPr>
      <w:proofErr w:type="gramStart"/>
      <w:r>
        <w:t>S</w:t>
      </w:r>
      <w:r w:rsidR="00A2423F">
        <w:t>C</w:t>
      </w:r>
      <w:r w:rsidR="00292A53">
        <w:t>’s</w:t>
      </w:r>
      <w:proofErr w:type="gramEnd"/>
      <w:r w:rsidR="00A2423F">
        <w:t xml:space="preserve"> are </w:t>
      </w:r>
      <w:r w:rsidR="0029389D">
        <w:t xml:space="preserve">complex and vulnerable to </w:t>
      </w:r>
      <w:r w:rsidR="008E07E3">
        <w:t>disruption</w:t>
      </w:r>
      <w:r w:rsidR="00B8235E">
        <w:t xml:space="preserve">, frequent events such as </w:t>
      </w:r>
      <w:r w:rsidR="006103EF">
        <w:t xml:space="preserve">industrial accidents, </w:t>
      </w:r>
      <w:r w:rsidR="00721603">
        <w:t>fires, strikes</w:t>
      </w:r>
      <w:r w:rsidR="00811210">
        <w:t xml:space="preserve">, </w:t>
      </w:r>
      <w:r w:rsidR="00F115C8">
        <w:t>adverse weather events</w:t>
      </w:r>
      <w:r w:rsidR="00811210">
        <w:t xml:space="preserve"> and political strife</w:t>
      </w:r>
      <w:r w:rsidR="00292A53">
        <w:t xml:space="preserve"> </w:t>
      </w:r>
      <w:r w:rsidR="00D82392">
        <w:t>can be extremely costly</w:t>
      </w:r>
      <w:r w:rsidR="008E07E3">
        <w:t>.</w:t>
      </w:r>
      <w:r w:rsidR="00155728">
        <w:t xml:space="preserve"> </w:t>
      </w:r>
      <w:r w:rsidR="008E07E3">
        <w:t>A</w:t>
      </w:r>
      <w:r w:rsidR="006F4F0B">
        <w:t xml:space="preserve"> global semiconductor shortage cost </w:t>
      </w:r>
      <w:r w:rsidR="005E70C3">
        <w:t xml:space="preserve">the automotive industry </w:t>
      </w:r>
      <w:r w:rsidR="003D3AE7">
        <w:t>$210 billion revenue in 2021</w:t>
      </w:r>
      <w:r w:rsidR="00D24445">
        <w:t xml:space="preserve"> </w:t>
      </w:r>
      <w:r w:rsidR="00D24445">
        <w:fldChar w:fldCharType="begin"/>
      </w:r>
      <w:r w:rsidR="00BD44E7">
        <w:instrText xml:space="preserve"> ADDIN ZOTERO_ITEM CSL_CITATION {"citationID":"bCXyNJzN","properties":{"formattedCitation":"(Duffy 2021)","plainCitation":"(Duffy 2021)","noteIndex":0},"citationItems":[{"id":1541,"uris":["http://zotero.org/users/local/AB2owHL2/items/RFM5RBAP"],"itemData":{"id":1541,"type":"webpage","abstract":"The chip shortage means fewer cars are being made, and US dealer lots have only 20 days' supply of vehicles left, AlixPartners said.","container-title":"Business Insider","language":"en-US","title":"Global chip shortages are expected to cost automakers $210 billion in 2021 — almost double previous estimates, a consulting firm says","URL":"https://www.businessinsider.com/global-chip-shortage-supply-chain-cost-auto-industry-210-billion-2021-9","author":[{"family":"Duffy","given":"Kate"}],"accessed":{"date-parts":[["2022",3,13]]},"issued":{"date-parts":[["2021"]]}}}],"schema":"https://github.com/citation-style-language/schema/raw/master/csl-citation.json"} </w:instrText>
      </w:r>
      <w:r w:rsidR="00D24445">
        <w:fldChar w:fldCharType="separate"/>
      </w:r>
      <w:r w:rsidR="00BD44E7" w:rsidRPr="00BD44E7">
        <w:rPr>
          <w:rFonts w:ascii="Calibri" w:hAnsi="Calibri" w:cs="Calibri"/>
        </w:rPr>
        <w:t>(Duffy 2021)</w:t>
      </w:r>
      <w:r w:rsidR="00D24445">
        <w:fldChar w:fldCharType="end"/>
      </w:r>
      <w:r w:rsidR="00811A24">
        <w:t>, while</w:t>
      </w:r>
      <w:r w:rsidR="003D3AE7">
        <w:t xml:space="preserve"> </w:t>
      </w:r>
      <w:r w:rsidR="00D6414E">
        <w:t>the total cost of SC disruption</w:t>
      </w:r>
      <w:r w:rsidR="000C65B9">
        <w:t xml:space="preserve"> in 2020</w:t>
      </w:r>
      <w:r w:rsidR="00A62C65">
        <w:t xml:space="preserve"> has been calculated to be as much as $4 </w:t>
      </w:r>
      <w:r w:rsidR="000C65B9">
        <w:t xml:space="preserve">trillion </w:t>
      </w:r>
      <w:r w:rsidR="008032C8">
        <w:fldChar w:fldCharType="begin"/>
      </w:r>
      <w:r w:rsidR="00BD44E7">
        <w:instrText xml:space="preserve"> ADDIN ZOTERO_ITEM CSL_CITATION {"citationID":"0jnXuVIt","properties":{"formattedCitation":"(Hart 2021)","plainCitation":"(Hart 2021)","noteIndex":0},"citationItems":[{"id":1543,"uris":["http://zotero.org/users/local/AB2owHL2/items/RCG5ZMTU"],"itemData":{"id":1543,"type":"webpage","abstract":"https://www.cips.org/Supply%20chain%20disruptions%20including%20Covid-19%20and%20geopolitical%20tensions%20cost%20US%20and%20European%20businesses%20up%20to%20$4bn%20in%202020,%20a%20report%20has%20found.%20.ashx?width=300&amp;quality=80","container-title":"Supply Management","title":"Total cost of supply chain disruption in 2020 'was $4tn'","URL":"https://www.cips.org/supply-management/news/2021/march/total-cost-of-supply-chain-disruption-in-2020-was-4tn/","author":[{"family":"Hart","given":"Charlie"}],"accessed":{"date-parts":[["2022",3,13]]},"issued":{"date-parts":[["2021"]]}}}],"schema":"https://github.com/citation-style-language/schema/raw/master/csl-citation.json"} </w:instrText>
      </w:r>
      <w:r w:rsidR="008032C8">
        <w:fldChar w:fldCharType="separate"/>
      </w:r>
      <w:r w:rsidR="00BD44E7" w:rsidRPr="00BD44E7">
        <w:rPr>
          <w:rFonts w:ascii="Calibri" w:hAnsi="Calibri" w:cs="Calibri"/>
        </w:rPr>
        <w:t>(Hart 2021)</w:t>
      </w:r>
      <w:r w:rsidR="008032C8">
        <w:fldChar w:fldCharType="end"/>
      </w:r>
      <w:r w:rsidR="008032C8">
        <w:t>.</w:t>
      </w:r>
    </w:p>
    <w:p w14:paraId="2CA93BE5" w14:textId="3643CE1A" w:rsidR="00A42545" w:rsidRDefault="004019F7" w:rsidP="00855D8C">
      <w:pPr>
        <w:spacing w:line="360" w:lineRule="auto"/>
        <w:jc w:val="both"/>
      </w:pPr>
      <w:r>
        <w:t>Some</w:t>
      </w:r>
      <w:r w:rsidR="00A42545">
        <w:t xml:space="preserve"> </w:t>
      </w:r>
      <w:r w:rsidR="00AD4F61">
        <w:t xml:space="preserve">factors </w:t>
      </w:r>
      <w:r w:rsidR="00891816">
        <w:t xml:space="preserve">that have impacted </w:t>
      </w:r>
      <w:r w:rsidR="00D038CB">
        <w:t xml:space="preserve">recent </w:t>
      </w:r>
      <w:proofErr w:type="gramStart"/>
      <w:r w:rsidR="00891816">
        <w:t>SC’s</w:t>
      </w:r>
      <w:proofErr w:type="gramEnd"/>
      <w:r w:rsidR="00891816">
        <w:t xml:space="preserve"> are shown below.</w:t>
      </w:r>
    </w:p>
    <w:p w14:paraId="3BB9F005" w14:textId="77777777" w:rsidR="00891816" w:rsidRDefault="0044478A" w:rsidP="00891816">
      <w:pPr>
        <w:keepNext/>
        <w:spacing w:line="360" w:lineRule="auto"/>
        <w:jc w:val="both"/>
      </w:pPr>
      <w:r w:rsidRPr="0044478A">
        <w:rPr>
          <w:noProof/>
        </w:rPr>
        <w:drawing>
          <wp:inline distT="0" distB="0" distL="0" distR="0" wp14:anchorId="05737B0F" wp14:editId="3A449EB4">
            <wp:extent cx="5096586" cy="2591162"/>
            <wp:effectExtent l="0" t="0" r="0" b="0"/>
            <wp:docPr id="4" name="Picture 4"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chart&#10;&#10;Description automatically generated"/>
                    <pic:cNvPicPr/>
                  </pic:nvPicPr>
                  <pic:blipFill>
                    <a:blip r:embed="rId13"/>
                    <a:stretch>
                      <a:fillRect/>
                    </a:stretch>
                  </pic:blipFill>
                  <pic:spPr>
                    <a:xfrm>
                      <a:off x="0" y="0"/>
                      <a:ext cx="5096586" cy="2591162"/>
                    </a:xfrm>
                    <a:prstGeom prst="rect">
                      <a:avLst/>
                    </a:prstGeom>
                  </pic:spPr>
                </pic:pic>
              </a:graphicData>
            </a:graphic>
          </wp:inline>
        </w:drawing>
      </w:r>
    </w:p>
    <w:p w14:paraId="313763D5" w14:textId="15E7A84B" w:rsidR="0044478A" w:rsidRDefault="00891816" w:rsidP="00891816">
      <w:pPr>
        <w:pStyle w:val="Caption"/>
        <w:jc w:val="both"/>
      </w:pPr>
      <w:bookmarkStart w:id="3" w:name="_Toc101294471"/>
      <w:r>
        <w:t xml:space="preserve">Figure </w:t>
      </w:r>
      <w:r w:rsidR="00416930">
        <w:fldChar w:fldCharType="begin"/>
      </w:r>
      <w:r w:rsidR="00416930">
        <w:instrText xml:space="preserve"> SEQ Figure \* ARABIC </w:instrText>
      </w:r>
      <w:r w:rsidR="00416930">
        <w:fldChar w:fldCharType="separate"/>
      </w:r>
      <w:r w:rsidR="00555FD6">
        <w:rPr>
          <w:noProof/>
        </w:rPr>
        <w:t>2</w:t>
      </w:r>
      <w:r w:rsidR="00416930">
        <w:rPr>
          <w:noProof/>
        </w:rPr>
        <w:fldChar w:fldCharType="end"/>
      </w:r>
      <w:r>
        <w:t xml:space="preserve"> Supply disruption factors between 2019 -2021 </w:t>
      </w:r>
      <w:r w:rsidR="00EB25AB">
        <w:fldChar w:fldCharType="begin"/>
      </w:r>
      <w:r w:rsidR="00BD44E7">
        <w:instrText xml:space="preserve"> ADDIN ZOTERO_ITEM CSL_CITATION {"citationID":"BnDiCALd","properties":{"formattedCitation":"(Kingsley 2021)","plainCitation":"(Kingsley 2021)","noteIndex":0},"citationItems":[{"id":1545,"uris":["http://zotero.org/users/local/AB2owHL2/items/LWMGDYX3"],"itemData":{"id":1545,"type":"webpage","abstract":"The Business Costs of Supply-Chain Disruption is a report written by The Economist Intelligence Unit and commissioned by GEP. It explores the impacts of recent instances of disruption to global supply chains, the measures that firms are taking to build resilience and weather future disruption, and the challenges that they are facing in doing so.","container-title":"Economist Impact | Perspectives","language":"en","title":"The Business Costs of Supply Chain Disruption","URL":"https://impact.economist.com/perspectives/sustainability/business-costs-supply-chain-disruption-1","author":[{"family":"Kingsley","given":"Jeremy"}],"accessed":{"date-parts":[["2022",3,13]]},"issued":{"date-parts":[["2021"]]}}}],"schema":"https://github.com/citation-style-language/schema/raw/master/csl-citation.json"} </w:instrText>
      </w:r>
      <w:r w:rsidR="00EB25AB">
        <w:fldChar w:fldCharType="separate"/>
      </w:r>
      <w:r w:rsidR="00BD44E7" w:rsidRPr="00BD44E7">
        <w:rPr>
          <w:rFonts w:ascii="Calibri" w:hAnsi="Calibri" w:cs="Calibri"/>
        </w:rPr>
        <w:t>(Kingsley 2021)</w:t>
      </w:r>
      <w:r w:rsidR="00EB25AB">
        <w:fldChar w:fldCharType="end"/>
      </w:r>
      <w:r w:rsidR="00EB25AB">
        <w:t>.</w:t>
      </w:r>
      <w:bookmarkEnd w:id="3"/>
    </w:p>
    <w:p w14:paraId="65199BE9" w14:textId="5A34D272" w:rsidR="005F58B6" w:rsidRDefault="00343A46" w:rsidP="00855D8C">
      <w:pPr>
        <w:spacing w:line="360" w:lineRule="auto"/>
        <w:jc w:val="both"/>
      </w:pPr>
      <w:r>
        <w:t>Hence the need to build robust SC’s</w:t>
      </w:r>
      <w:r w:rsidR="00CE5027">
        <w:t xml:space="preserve">. </w:t>
      </w:r>
      <w:r w:rsidR="00D40B3B">
        <w:t>This report is going to look at risk in</w:t>
      </w:r>
      <w:r w:rsidR="00E41385">
        <w:t xml:space="preserve"> </w:t>
      </w:r>
      <w:r w:rsidR="0069652A">
        <w:t xml:space="preserve">the </w:t>
      </w:r>
      <w:r w:rsidR="00E41385">
        <w:t>SC,</w:t>
      </w:r>
      <w:r w:rsidR="00D40B3B">
        <w:t xml:space="preserve"> the steel industry </w:t>
      </w:r>
      <w:proofErr w:type="gramStart"/>
      <w:r w:rsidR="00D40B3B">
        <w:t>SC</w:t>
      </w:r>
      <w:r w:rsidR="00E41385">
        <w:t xml:space="preserve"> in particular</w:t>
      </w:r>
      <w:proofErr w:type="gramEnd"/>
      <w:r w:rsidR="00D40B3B">
        <w:t>.</w:t>
      </w:r>
      <w:r w:rsidR="00C3193F">
        <w:t xml:space="preserve"> The aims of this report are:</w:t>
      </w:r>
    </w:p>
    <w:p w14:paraId="758E252D" w14:textId="1844DB79" w:rsidR="00254A0C" w:rsidRDefault="009B5B77" w:rsidP="00855D8C">
      <w:pPr>
        <w:spacing w:line="360" w:lineRule="auto"/>
        <w:jc w:val="both"/>
      </w:pPr>
      <w:r>
        <w:t>A: C</w:t>
      </w:r>
      <w:r w:rsidR="005478BA">
        <w:t xml:space="preserve">ritically evaluate the potential risks </w:t>
      </w:r>
      <w:r w:rsidR="007E49F3">
        <w:t>that exist in the steel</w:t>
      </w:r>
      <w:r w:rsidR="000422E2">
        <w:t xml:space="preserve"> industry</w:t>
      </w:r>
      <w:r w:rsidR="007E49F3">
        <w:t xml:space="preserve"> SC that could </w:t>
      </w:r>
      <w:r w:rsidR="008E12C9">
        <w:t xml:space="preserve">threaten its supply. </w:t>
      </w:r>
    </w:p>
    <w:p w14:paraId="35DEA375" w14:textId="27610749" w:rsidR="00254A0C" w:rsidRDefault="003F79B1" w:rsidP="00855D8C">
      <w:pPr>
        <w:spacing w:line="360" w:lineRule="auto"/>
        <w:jc w:val="both"/>
      </w:pPr>
      <w:r>
        <w:t xml:space="preserve">B: Evaluate the steps that could be taken to make </w:t>
      </w:r>
      <w:r w:rsidR="00AD77ED">
        <w:t>the steel</w:t>
      </w:r>
      <w:r w:rsidR="000422E2">
        <w:t xml:space="preserve"> industry</w:t>
      </w:r>
      <w:r w:rsidR="00AD77ED">
        <w:t xml:space="preserve"> </w:t>
      </w:r>
      <w:r w:rsidR="002807F3">
        <w:t>SC</w:t>
      </w:r>
      <w:r w:rsidR="00AD77ED">
        <w:t xml:space="preserve"> more resilient</w:t>
      </w:r>
      <w:r w:rsidR="0032736C">
        <w:t>.</w:t>
      </w:r>
      <w:r w:rsidR="002807F3">
        <w:t xml:space="preserve"> </w:t>
      </w:r>
    </w:p>
    <w:p w14:paraId="16637B35" w14:textId="7932DC97" w:rsidR="00AD77ED" w:rsidRDefault="00AD77ED" w:rsidP="00855D8C">
      <w:pPr>
        <w:spacing w:line="360" w:lineRule="auto"/>
        <w:jc w:val="both"/>
      </w:pPr>
      <w:r>
        <w:t xml:space="preserve">C: </w:t>
      </w:r>
      <w:r w:rsidR="000811A2">
        <w:t>Recommend</w:t>
      </w:r>
      <w:r w:rsidR="006D7875">
        <w:t xml:space="preserve"> what changes that could be made to the steel industry </w:t>
      </w:r>
      <w:r w:rsidR="0032736C">
        <w:t>supplier appraisal process.</w:t>
      </w:r>
    </w:p>
    <w:p w14:paraId="02EE7C5C" w14:textId="77777777" w:rsidR="00EF0FD2" w:rsidRDefault="00EF0FD2" w:rsidP="00855D8C">
      <w:pPr>
        <w:spacing w:line="360" w:lineRule="auto"/>
        <w:jc w:val="both"/>
      </w:pPr>
    </w:p>
    <w:p w14:paraId="6D6CF301" w14:textId="4D215967" w:rsidR="00CC3235" w:rsidRDefault="00CC3235" w:rsidP="00880A96">
      <w:pPr>
        <w:pStyle w:val="Heading1"/>
        <w:spacing w:line="360" w:lineRule="auto"/>
        <w:jc w:val="both"/>
      </w:pPr>
      <w:bookmarkStart w:id="4" w:name="_Toc101469648"/>
      <w:r>
        <w:lastRenderedPageBreak/>
        <w:t>Critical evaluation of</w:t>
      </w:r>
      <w:r w:rsidR="008269D5">
        <w:t xml:space="preserve"> the steel</w:t>
      </w:r>
      <w:r>
        <w:t xml:space="preserve"> supply chain vulnerability</w:t>
      </w:r>
      <w:bookmarkEnd w:id="4"/>
    </w:p>
    <w:p w14:paraId="35E3CF02" w14:textId="0BBDFF06" w:rsidR="00880A96" w:rsidRDefault="00297627" w:rsidP="00880A96">
      <w:pPr>
        <w:spacing w:line="360" w:lineRule="auto"/>
        <w:jc w:val="both"/>
      </w:pPr>
      <w:r>
        <w:t>Steel is an alloy of Iron</w:t>
      </w:r>
      <w:r w:rsidR="00BE3203">
        <w:t>,</w:t>
      </w:r>
      <w:r>
        <w:t xml:space="preserve"> the fourth most abundant element on earth</w:t>
      </w:r>
      <w:r w:rsidR="00296206">
        <w:t xml:space="preserve"> and Carbon</w:t>
      </w:r>
      <w:r w:rsidR="00BE3203">
        <w:t xml:space="preserve">. Steel is </w:t>
      </w:r>
      <w:r w:rsidR="0010080F">
        <w:t>cru</w:t>
      </w:r>
      <w:r w:rsidR="00B04139">
        <w:t>cial for the development of industrialised economies</w:t>
      </w:r>
      <w:r w:rsidR="0061605C">
        <w:t xml:space="preserve"> </w:t>
      </w:r>
      <w:r w:rsidR="001E73EE">
        <w:t>and remains as important now</w:t>
      </w:r>
      <w:r w:rsidR="00CF14DF">
        <w:t xml:space="preserve"> as it </w:t>
      </w:r>
      <w:r w:rsidR="00296206">
        <w:t>has been</w:t>
      </w:r>
      <w:r w:rsidR="00CF14DF">
        <w:t xml:space="preserve"> </w:t>
      </w:r>
      <w:r w:rsidR="00555C78">
        <w:t>since the industrial revolution. It</w:t>
      </w:r>
      <w:r w:rsidR="008B5DA1">
        <w:t xml:space="preserve"> is used to produce goods for </w:t>
      </w:r>
      <w:r w:rsidR="006E19C7">
        <w:t>key</w:t>
      </w:r>
      <w:r w:rsidR="008B5DA1">
        <w:t xml:space="preserve"> industries </w:t>
      </w:r>
      <w:r w:rsidR="00483F92">
        <w:t>such as</w:t>
      </w:r>
      <w:r w:rsidR="00052BD2">
        <w:t xml:space="preserve"> </w:t>
      </w:r>
      <w:r w:rsidR="00225897">
        <w:t xml:space="preserve">automotive, </w:t>
      </w:r>
      <w:r w:rsidR="00435A63">
        <w:t>construction, energy, packaging, transport and</w:t>
      </w:r>
      <w:r w:rsidR="00483F92">
        <w:t xml:space="preserve"> manufacturing</w:t>
      </w:r>
      <w:r w:rsidR="00AB5A06">
        <w:t xml:space="preserve"> </w:t>
      </w:r>
      <w:r w:rsidR="00D376AC">
        <w:fldChar w:fldCharType="begin"/>
      </w:r>
      <w:r w:rsidR="00BD44E7">
        <w:instrText xml:space="preserve"> ADDIN ZOTERO_ITEM CSL_CITATION {"citationID":"JaK02J1w","properties":{"formattedCitation":"(Pinto et al. 2019)","plainCitation":"(Pinto et al. 2019)","noteIndex":0},"citationItems":[{"id":1460,"uris":["http://zotero.org/users/local/AB2owHL2/items/AKQU8CRA"],"itemData":{"id":1460,"type":"article-journal","abstract":"Background\nSteel is an important material in modern economies but responsible, nevertheless, for substantial environmental impacts throughout its supply chain. During the last couple of decades, this industry has addressed its impacts more incisively with the support of modelling and assessment tools.\nMethodology\nThis article used the European steel industry as a case study to explore the potential benefits of integrating life cycle analysis (LCA) into system dynamics (SD) under the scopes of circular economy and industrial ecology. The goal was to explore if this integration could not only reproduce results generated separately by LCA and SD, but also to provide additional support for decision- and policy-making on the biophysical aspects of long-term materials sourcing. Unlike previous studies focused on methodological exchanges between the two, the entire LCA methodology was brought into the SD modelling environment, following ILCD and ISO guidelines and standards.\nResults\nThe results indicated that integrating LCA into SD is feasible and capable of contributing to both in different levels, supporting discussions on raw material scarcity and self-sufficiency, and resource ownership retention.\nConclusion\nGiven continued effort is put into supporting the use of environmental impact indicators, this approach has potential to interest policy-makers and industrial decision-makers alike.","container-title":"Environmental Systems Research","issue":"1","language":"English","note":"publisher-place: Heidelberg, Netherlands\npublisher: Springer Nature B.V.","source":"ProQuest","title":"Integrating life cycle analysis into system dynamics: the case of steel in Europe","title-short":"Integrating life cycle analysis into system dynamics","URL":"https://www.proquest.com/docview/2223105623/abstract/E166C426F5BD43C9PQ/1","volume":"8","author":[{"family":"Pinto","given":"Julian T. M."},{"family":"Sverdrup","given":"Harald U."},{"family":"Diemer","given":"Arnaud"}],"accessed":{"date-parts":[["2022",1,27]]},"issued":{"date-parts":[["2019",5]]}}}],"schema":"https://github.com/citation-style-language/schema/raw/master/csl-citation.json"} </w:instrText>
      </w:r>
      <w:r w:rsidR="00D376AC">
        <w:fldChar w:fldCharType="separate"/>
      </w:r>
      <w:r w:rsidR="00BD44E7" w:rsidRPr="00BD44E7">
        <w:rPr>
          <w:rFonts w:ascii="Calibri" w:hAnsi="Calibri" w:cs="Calibri"/>
        </w:rPr>
        <w:t>(Pinto et al. 2019)</w:t>
      </w:r>
      <w:r w:rsidR="00D376AC">
        <w:fldChar w:fldCharType="end"/>
      </w:r>
      <w:r w:rsidR="000D1AAB">
        <w:t xml:space="preserve"> </w:t>
      </w:r>
      <w:r w:rsidR="00117B12">
        <w:t>.</w:t>
      </w:r>
      <w:r w:rsidR="00CF546F">
        <w:t xml:space="preserve"> Figure 3 show the uses of steel </w:t>
      </w:r>
      <w:proofErr w:type="gramStart"/>
      <w:r w:rsidR="00CF546F">
        <w:t xml:space="preserve">in </w:t>
      </w:r>
      <w:r w:rsidR="004E07ED">
        <w:t>today’s</w:t>
      </w:r>
      <w:r w:rsidR="00CF546F">
        <w:t xml:space="preserve"> society</w:t>
      </w:r>
      <w:proofErr w:type="gramEnd"/>
      <w:r w:rsidR="00CF546F">
        <w:t>.</w:t>
      </w:r>
    </w:p>
    <w:p w14:paraId="112AF39E" w14:textId="3ED839DE" w:rsidR="00117B12" w:rsidRPr="00880A96" w:rsidRDefault="00117B12" w:rsidP="00880A96">
      <w:pPr>
        <w:spacing w:line="360" w:lineRule="auto"/>
        <w:jc w:val="both"/>
      </w:pPr>
      <w:r w:rsidRPr="00117B12">
        <w:rPr>
          <w:noProof/>
        </w:rPr>
        <w:drawing>
          <wp:inline distT="0" distB="0" distL="0" distR="0" wp14:anchorId="0830CC73" wp14:editId="0089E783">
            <wp:extent cx="5033176" cy="2777490"/>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4"/>
                    <a:stretch>
                      <a:fillRect/>
                    </a:stretch>
                  </pic:blipFill>
                  <pic:spPr>
                    <a:xfrm>
                      <a:off x="0" y="0"/>
                      <a:ext cx="5060980" cy="2792833"/>
                    </a:xfrm>
                    <a:prstGeom prst="rect">
                      <a:avLst/>
                    </a:prstGeom>
                  </pic:spPr>
                </pic:pic>
              </a:graphicData>
            </a:graphic>
          </wp:inline>
        </w:drawing>
      </w:r>
    </w:p>
    <w:p w14:paraId="26D4F9E4" w14:textId="7579C2AB" w:rsidR="006B4E01" w:rsidRDefault="000D1AAB" w:rsidP="006B4E01">
      <w:pPr>
        <w:pStyle w:val="Caption"/>
      </w:pPr>
      <w:bookmarkStart w:id="5" w:name="_Toc101294472"/>
      <w:r>
        <w:t xml:space="preserve">Figure </w:t>
      </w:r>
      <w:fldSimple w:instr=" SEQ Figure \* ARABIC ">
        <w:r w:rsidR="00555FD6">
          <w:rPr>
            <w:noProof/>
          </w:rPr>
          <w:t>3</w:t>
        </w:r>
      </w:fldSimple>
      <w:r>
        <w:t xml:space="preserve"> </w:t>
      </w:r>
      <w:r w:rsidR="00734BA1">
        <w:t>Steel in society</w:t>
      </w:r>
      <w:r w:rsidR="00EF1B67">
        <w:t xml:space="preserve"> </w:t>
      </w:r>
      <w:r w:rsidR="00EF1B67">
        <w:fldChar w:fldCharType="begin"/>
      </w:r>
      <w:r w:rsidR="00021F02">
        <w:instrText xml:space="preserve"> ADDIN ZOTERO_ITEM CSL_CITATION {"citationID":"vHZGcXDD","properties":{"formattedCitation":"({\\i{}Steel markets}, 2022)","plainCitation":"(Steel markets, 2022)","dontUpdate":true,"noteIndex":0},"citationItems":[{"id":1549,"uris":["http://zotero.org/users/local/AB2owHL2/items/R6D9ACHG"],"itemData":{"id":1549,"type":"document","language":"en-US","publisher":"CIRRELT Interuniversity research centre  on enterprise Networks , Logistics and Transportations","title":"Steel markets","URL":"https://www.cirrelt.ca/documentstravail/cirrelt-2016-06.pdf","author":[{"family":"Comtois","given":"Claude"},{"family":"Slack","given":"Brian"}],"accessed":{"date-parts":[["2022",3,16]]},"issued":{"date-parts":[["2016"]]}}}],"schema":"https://github.com/citation-style-language/schema/raw/master/csl-citation.json"} </w:instrText>
      </w:r>
      <w:r w:rsidR="00EF1B67">
        <w:fldChar w:fldCharType="separate"/>
      </w:r>
      <w:r w:rsidR="00EF1B67" w:rsidRPr="00EF1B67">
        <w:rPr>
          <w:rFonts w:ascii="Calibri" w:hAnsi="Calibri" w:cs="Calibri"/>
          <w:szCs w:val="24"/>
        </w:rPr>
        <w:t>(</w:t>
      </w:r>
      <w:r w:rsidR="00D26755">
        <w:rPr>
          <w:rFonts w:ascii="Calibri" w:hAnsi="Calibri" w:cs="Calibri"/>
          <w:i w:val="0"/>
          <w:iCs w:val="0"/>
          <w:szCs w:val="24"/>
        </w:rPr>
        <w:t>World Steel Association</w:t>
      </w:r>
      <w:r w:rsidR="00EF1B67" w:rsidRPr="00EF1B67">
        <w:rPr>
          <w:rFonts w:ascii="Calibri" w:hAnsi="Calibri" w:cs="Calibri"/>
          <w:szCs w:val="24"/>
        </w:rPr>
        <w:t>, 2022)</w:t>
      </w:r>
      <w:bookmarkEnd w:id="5"/>
      <w:r w:rsidR="00EF1B67">
        <w:fldChar w:fldCharType="end"/>
      </w:r>
    </w:p>
    <w:p w14:paraId="6D730B29" w14:textId="50264CCD" w:rsidR="006B4E01" w:rsidRDefault="003F687D" w:rsidP="00F008F5">
      <w:pPr>
        <w:spacing w:line="360" w:lineRule="auto"/>
        <w:jc w:val="both"/>
      </w:pPr>
      <w:r w:rsidRPr="00F008F5">
        <w:t>Steel can be produced i</w:t>
      </w:r>
      <w:r w:rsidR="00A155D3" w:rsidRPr="00F008F5">
        <w:t xml:space="preserve">n hundreds of different grades </w:t>
      </w:r>
      <w:r w:rsidR="00F1155D">
        <w:t>with varying</w:t>
      </w:r>
      <w:r w:rsidR="00A155D3" w:rsidRPr="00F008F5">
        <w:t xml:space="preserve"> </w:t>
      </w:r>
      <w:r w:rsidR="00F008F5" w:rsidRPr="00F008F5">
        <w:t>strength</w:t>
      </w:r>
      <w:r w:rsidR="00F1155D">
        <w:t xml:space="preserve"> and</w:t>
      </w:r>
      <w:r w:rsidR="00F008F5" w:rsidRPr="00F008F5">
        <w:t xml:space="preserve"> </w:t>
      </w:r>
      <w:r w:rsidR="00F823DA">
        <w:t>formability</w:t>
      </w:r>
      <w:r w:rsidR="00F1155D">
        <w:t xml:space="preserve"> properties</w:t>
      </w:r>
      <w:r w:rsidR="00F008F5" w:rsidRPr="00F008F5">
        <w:t>.</w:t>
      </w:r>
      <w:r w:rsidR="00873676">
        <w:t xml:space="preserve"> Its high strength to weight ratio </w:t>
      </w:r>
      <w:r w:rsidR="001E0042">
        <w:t xml:space="preserve">is what enables it to be used in so many applications and it </w:t>
      </w:r>
      <w:r w:rsidR="00861D79">
        <w:t>is 100% recyclable without losing any of its properties.</w:t>
      </w:r>
      <w:r w:rsidR="00AB03D0">
        <w:t xml:space="preserve"> The challenges the industry has is overcoming its energy </w:t>
      </w:r>
      <w:r w:rsidR="00475463">
        <w:t xml:space="preserve">intensity </w:t>
      </w:r>
      <w:r w:rsidR="00A0276D">
        <w:t xml:space="preserve">and </w:t>
      </w:r>
      <w:r w:rsidR="00794E08">
        <w:t>reducing</w:t>
      </w:r>
      <w:r w:rsidR="00E11AA8">
        <w:t xml:space="preserve"> its Carbon Dioxide footprint, to help tackle climate change and become sustainable</w:t>
      </w:r>
      <w:r w:rsidR="004E07ED">
        <w:t xml:space="preserve"> </w:t>
      </w:r>
      <w:r w:rsidR="004E07ED">
        <w:fldChar w:fldCharType="begin"/>
      </w:r>
      <w:r w:rsidR="00021F02">
        <w:instrText xml:space="preserve"> ADDIN ZOTERO_ITEM CSL_CITATION {"citationID":"K5ZKBS1m","properties":{"formattedCitation":"({\\i{}Steel markets}, 2022)","plainCitation":"(Steel markets, 2022)","dontUpdate":true,"noteIndex":0},"citationItems":[{"id":1549,"uris":["http://zotero.org/users/local/AB2owHL2/items/R6D9ACHG"],"itemData":{"id":1549,"type":"document","language":"en-US","publisher":"CIRRELT Interuniversity research centre  on enterprise Networks , Logistics and Transportations","title":"Steel markets","URL":"https://www.cirrelt.ca/documentstravail/cirrelt-2016-06.pdf","author":[{"family":"Comtois","given":"Claude"},{"family":"Slack","given":"Brian"}],"accessed":{"date-parts":[["2022",3,16]]},"issued":{"date-parts":[["2016"]]}}}],"schema":"https://github.com/citation-style-language/schema/raw/master/csl-citation.json"} </w:instrText>
      </w:r>
      <w:r w:rsidR="004E07ED">
        <w:fldChar w:fldCharType="separate"/>
      </w:r>
      <w:r w:rsidR="004E07ED" w:rsidRPr="004E07ED">
        <w:rPr>
          <w:rFonts w:ascii="Calibri" w:hAnsi="Calibri" w:cs="Calibri"/>
          <w:szCs w:val="24"/>
        </w:rPr>
        <w:t>(</w:t>
      </w:r>
      <w:r w:rsidR="00F2774C">
        <w:rPr>
          <w:rFonts w:ascii="Calibri" w:hAnsi="Calibri" w:cs="Calibri"/>
          <w:szCs w:val="24"/>
        </w:rPr>
        <w:t>World Steel Association</w:t>
      </w:r>
      <w:r w:rsidR="004E07ED" w:rsidRPr="004E07ED">
        <w:rPr>
          <w:rFonts w:ascii="Calibri" w:hAnsi="Calibri" w:cs="Calibri"/>
          <w:szCs w:val="24"/>
        </w:rPr>
        <w:t>, 2022)</w:t>
      </w:r>
      <w:r w:rsidR="004E07ED">
        <w:fldChar w:fldCharType="end"/>
      </w:r>
      <w:r w:rsidR="00E11AA8">
        <w:t>.</w:t>
      </w:r>
      <w:r w:rsidR="0094097A">
        <w:t xml:space="preserve"> </w:t>
      </w:r>
    </w:p>
    <w:p w14:paraId="3123CC6F" w14:textId="45CE282F" w:rsidR="00F2774C" w:rsidRDefault="00104C07" w:rsidP="00F008F5">
      <w:pPr>
        <w:spacing w:line="360" w:lineRule="auto"/>
        <w:jc w:val="both"/>
      </w:pPr>
      <w:r>
        <w:t>In recent years t</w:t>
      </w:r>
      <w:r w:rsidR="001841FE">
        <w:t>he s</w:t>
      </w:r>
      <w:r w:rsidR="00F011FD">
        <w:t xml:space="preserve">teel industry </w:t>
      </w:r>
      <w:r>
        <w:t xml:space="preserve">has seen the cost of its raw </w:t>
      </w:r>
      <w:r w:rsidR="00D87B13">
        <w:t>materials</w:t>
      </w:r>
      <w:r w:rsidR="00632605">
        <w:t xml:space="preserve"> (i</w:t>
      </w:r>
      <w:r w:rsidR="00A77214">
        <w:t xml:space="preserve">ron ore, metallurgical coke, </w:t>
      </w:r>
      <w:proofErr w:type="gramStart"/>
      <w:r w:rsidR="00A77214">
        <w:t>coal</w:t>
      </w:r>
      <w:proofErr w:type="gramEnd"/>
      <w:r w:rsidR="00A77214">
        <w:t xml:space="preserve"> and scrap steel</w:t>
      </w:r>
      <w:r w:rsidR="00632605">
        <w:t>)</w:t>
      </w:r>
      <w:r w:rsidR="00FE6726">
        <w:t xml:space="preserve"> </w:t>
      </w:r>
      <w:r w:rsidR="00DB413E">
        <w:t xml:space="preserve">rise significantly, </w:t>
      </w:r>
      <w:r w:rsidR="0030446F">
        <w:t xml:space="preserve">largely driven by the rapid development of the Chinese steel </w:t>
      </w:r>
      <w:r w:rsidR="0078785B">
        <w:t>industry</w:t>
      </w:r>
      <w:r w:rsidR="00FE6726">
        <w:t>.</w:t>
      </w:r>
      <w:r w:rsidR="00894520">
        <w:t xml:space="preserve"> </w:t>
      </w:r>
      <w:r w:rsidR="00D63B56">
        <w:t>With fierce global competition for th</w:t>
      </w:r>
      <w:r w:rsidR="00322B8E">
        <w:t>ese resources the steel</w:t>
      </w:r>
      <w:r w:rsidR="00276870">
        <w:t xml:space="preserve"> </w:t>
      </w:r>
      <w:r w:rsidR="00985E14">
        <w:t>up</w:t>
      </w:r>
      <w:r w:rsidR="0005611B">
        <w:t>stream</w:t>
      </w:r>
      <w:r w:rsidR="00322B8E">
        <w:t xml:space="preserve"> </w:t>
      </w:r>
      <w:r w:rsidR="003A306B">
        <w:t>SC</w:t>
      </w:r>
      <w:r w:rsidR="00322B8E">
        <w:t xml:space="preserve"> has become a </w:t>
      </w:r>
      <w:r w:rsidR="00352CB3">
        <w:t>sellers’ market</w:t>
      </w:r>
      <w:r w:rsidR="00322B8E">
        <w:t>.</w:t>
      </w:r>
      <w:r w:rsidR="00352CB3">
        <w:t xml:space="preserve"> </w:t>
      </w:r>
      <w:r w:rsidR="00C52596">
        <w:t xml:space="preserve">Steel production </w:t>
      </w:r>
      <w:r w:rsidR="001B3957">
        <w:t xml:space="preserve">is </w:t>
      </w:r>
      <w:r w:rsidR="00C30DB2">
        <w:t>dependent</w:t>
      </w:r>
      <w:r w:rsidR="001B3957">
        <w:t xml:space="preserve"> on production </w:t>
      </w:r>
      <w:r w:rsidR="00C30DB2">
        <w:t>stability which relies on a timely supply of raw material</w:t>
      </w:r>
      <w:r w:rsidR="00451134">
        <w:t xml:space="preserve">. The procurement cost of these materials is </w:t>
      </w:r>
      <w:r w:rsidR="0002331E">
        <w:t>substantial</w:t>
      </w:r>
      <w:r w:rsidR="006E51EA">
        <w:t>,</w:t>
      </w:r>
      <w:r w:rsidR="0002331E">
        <w:t xml:space="preserve"> approx. 60 – 70% of total </w:t>
      </w:r>
      <w:r w:rsidR="00E851D2">
        <w:t>production cost</w:t>
      </w:r>
      <w:r w:rsidR="006C37E2">
        <w:t>.</w:t>
      </w:r>
      <w:r w:rsidR="000929C5">
        <w:t xml:space="preserve"> T</w:t>
      </w:r>
      <w:r w:rsidR="00F3225E">
        <w:t>he</w:t>
      </w:r>
      <w:r w:rsidR="006C37E2">
        <w:t xml:space="preserve"> </w:t>
      </w:r>
      <w:r w:rsidR="00BF6F0B">
        <w:t xml:space="preserve">demand for steel </w:t>
      </w:r>
      <w:r w:rsidR="002E00DD">
        <w:t>unpredictable</w:t>
      </w:r>
      <w:r w:rsidR="00BF6F0B">
        <w:t xml:space="preserve"> and its price can fluctuate</w:t>
      </w:r>
      <w:r w:rsidR="000929C5">
        <w:t xml:space="preserve"> and </w:t>
      </w:r>
      <w:r w:rsidR="00F3225E">
        <w:t xml:space="preserve">the  </w:t>
      </w:r>
      <w:r w:rsidR="006C37E2">
        <w:t xml:space="preserve">supply of raw materials </w:t>
      </w:r>
      <w:r w:rsidR="00F870E5">
        <w:t>is</w:t>
      </w:r>
      <w:r w:rsidR="002E00DD">
        <w:t xml:space="preserve"> variable</w:t>
      </w:r>
      <w:r w:rsidR="000929C5">
        <w:t>, so</w:t>
      </w:r>
      <w:r w:rsidR="00F870E5">
        <w:t xml:space="preserve"> </w:t>
      </w:r>
      <w:r w:rsidR="00DF4FAE">
        <w:t>i</w:t>
      </w:r>
      <w:r w:rsidR="00A812C7">
        <w:t xml:space="preserve">t is vital that the </w:t>
      </w:r>
      <w:r w:rsidR="003A306B">
        <w:t>management of risk in the steel SC is minimised</w:t>
      </w:r>
      <w:r w:rsidR="005555BC">
        <w:t xml:space="preserve"> and there are considerable </w:t>
      </w:r>
      <w:r w:rsidR="008A2889">
        <w:t>financial</w:t>
      </w:r>
      <w:r w:rsidR="006C7E5C">
        <w:t xml:space="preserve"> benefits to be made if</w:t>
      </w:r>
      <w:r w:rsidR="00DF4FAE">
        <w:t xml:space="preserve"> improvements can be implemented</w:t>
      </w:r>
      <w:r w:rsidR="00D10295">
        <w:t xml:space="preserve"> </w:t>
      </w:r>
      <w:r w:rsidR="003D4A4A">
        <w:fldChar w:fldCharType="begin"/>
      </w:r>
      <w:r w:rsidR="00BD44E7">
        <w:instrText xml:space="preserve"> ADDIN ZOTERO_ITEM CSL_CITATION {"citationID":"Fgg9SG2M","properties":{"formattedCitation":"(Liu et al. 2017)","plainCitation":"(Liu et al. 2017)","noteIndex":0},"citationItems":[{"id":1432,"uris":["http://zotero.org/users/local/AB2owHL2/items/4TQ5RVWL"],"itemData":{"id":1432,"type":"article-journal","abstract":"Supply risk evaluation is intended for adjusting industrial structure, and provides limited options to reduce supply risk. The links between supply chain and industrial structure deserve better understanding. In this way, the industrial activities can be managed to change industrial structure from supply risk. We took the anthropogenic iron in Mainland China into our case study. The comprehensive evaluation was modeled to tackle the problems of China's iron and steel industry. From the life cycle perspective, we found that extending iron and steel supply chain would digest the oversupply and reduce the excessive emission, the main problems affecting on the steel ratio for electric arc furnaces were steel scrap shortage and relatively high electrovalence, and Fe content of the social stock basically resided in construction industry which significantly influenced on the flow of steel products and steel and iron products. More attention should be paid to the factors of export price, resource allocation efficiency, financing capability and outdated capacity, strict inspection and prevention should be taken to these risks. A comprehensive picture of several customized risk reduction strategies was constructed for those problems. Of the strategies, China’ risks of iron and steel industry could be reduced if the existing industrial structure were adjusted on the basis of the substance flow networks and global iron and steel industrial chains. Based on the result, recommendations were made in this paper, aiming to contribute important reference information for the industrial metabolism, resource management, and recycling of iron and steel industry in Mainland China. The proposed methodology, integrating suppliers’ risk evaluation based on supply chain and substance flow analysis offers a quick and convenient examination on more comprehensive risk reduction alternatives. Further dedicated risk evaluation might be required to estimate the more precise risks for the iron and steel industries or other industries that were pre-identified as the outdated.","container-title":"Resources Policy","DOI":"10.1016/j.resourpol.2017.01.002","ISSN":"0301-4207","journalAbbreviation":"Resources Policy","language":"en","page":"272-282","source":"ScienceDirect","title":"Implications from substance flow analysis, supply chain and supplier’ risk evaluation in iron and steel industry in Mainland China","URL":"https://www.sciencedirect.com/science/article/pii/S0301420716301635","volume":"51","author":[{"family":"Liu","given":"Jian"},{"family":"An","given":"Rui"},{"family":"Xiao","given":"Rongge"},{"family":"Yang","given":"Yongwei"},{"family":"Wang","given":"Gaoshang"},{"family":"Wang","given":"Qian"}],"accessed":{"date-parts":[["2022",1,27]]},"issued":{"date-parts":[["2017",3,1]]}}}],"schema":"https://github.com/citation-style-language/schema/raw/master/csl-citation.json"} </w:instrText>
      </w:r>
      <w:r w:rsidR="003D4A4A">
        <w:fldChar w:fldCharType="separate"/>
      </w:r>
      <w:r w:rsidR="00BD44E7" w:rsidRPr="00BD44E7">
        <w:rPr>
          <w:rFonts w:ascii="Calibri" w:hAnsi="Calibri" w:cs="Calibri"/>
        </w:rPr>
        <w:t>(Liu et al. 2017)</w:t>
      </w:r>
      <w:r w:rsidR="003D4A4A">
        <w:fldChar w:fldCharType="end"/>
      </w:r>
      <w:r w:rsidR="00DF4FAE">
        <w:t>.</w:t>
      </w:r>
      <w:r w:rsidR="006E51EA">
        <w:t xml:space="preserve"> </w:t>
      </w:r>
    </w:p>
    <w:p w14:paraId="2D112833" w14:textId="43241850" w:rsidR="00E13ED8" w:rsidRDefault="00A14917" w:rsidP="00F008F5">
      <w:pPr>
        <w:spacing w:line="360" w:lineRule="auto"/>
        <w:jc w:val="both"/>
      </w:pPr>
      <w:r>
        <w:lastRenderedPageBreak/>
        <w:t xml:space="preserve">Supply chain risk management (SCRM) </w:t>
      </w:r>
      <w:r w:rsidR="00A56131">
        <w:t xml:space="preserve">has been developed to </w:t>
      </w:r>
      <w:r w:rsidR="00AC67A9">
        <w:t>manage and reduce risk in the SC</w:t>
      </w:r>
      <w:r w:rsidR="005D3BC7">
        <w:t xml:space="preserve"> and to mitigate the effects of any disruptions.</w:t>
      </w:r>
      <w:r w:rsidR="00365BBC">
        <w:t xml:space="preserve"> </w:t>
      </w:r>
      <w:r w:rsidR="00161684">
        <w:fldChar w:fldCharType="begin"/>
      </w:r>
      <w:r w:rsidR="00BD44E7">
        <w:instrText xml:space="preserve"> ADDIN ZOTERO_ITEM CSL_CITATION {"citationID":"qnzUa0jM","properties":{"formattedCitation":"(Tang 2006)","plainCitation":"(Tang 2006)","noteIndex":0},"citationItems":[{"id":1505,"uris":["http://zotero.org/users/local/AB2owHL2/items/G7NL8SRK"],"itemData":{"id":1505,"type":"article-journal","abstract":"To gain cost advantage and market share, many firms implemented various initiatives such as outsourced manufacturing and product variety. These initiatives are effective in a stable environment, but they could make a supply chain more vulnerable to various types of disruptions caused by uncertain economic cycles, consumer demands, and natural and man-made disasters. In this paper, we review various quantitative models for managing supply chain risks. We also relate various supply chain risk management (SCRM) strategies examined in the research literature with actual practices. The intent of this paper is three-fold. First, we develop a unified framework for classifying SCRM articles. Second, we hope this review can serve as a practical guide for some researchers to navigate through the sea of research articles in this important area. Third, by highlighting the gap between theory and practice, we hope to motivate researchers to develop new models for mitigating supply chain disruptions.","container-title":"International Journal of Production Economics","DOI":"10.1016/j.ijpe.2005.12.006","ISSN":"0925-5273","issue":"2","journalAbbreviation":"International Journal of Production Economics","language":"en","page":"451-488","source":"ScienceDirect","title":"Perspectives in supply chain risk management","URL":"https://www.sciencedirect.com/science/article/pii/S0925527306000405","volume":"103","author":[{"family":"Tang","given":"Christopher S."}],"accessed":{"date-parts":[["2022",3,3]]},"issued":{"date-parts":[["2006",10,1]]}}}],"schema":"https://github.com/citation-style-language/schema/raw/master/csl-citation.json"} </w:instrText>
      </w:r>
      <w:r w:rsidR="00161684">
        <w:fldChar w:fldCharType="separate"/>
      </w:r>
      <w:r w:rsidR="00BD44E7" w:rsidRPr="00BD44E7">
        <w:rPr>
          <w:rFonts w:ascii="Calibri" w:hAnsi="Calibri" w:cs="Calibri"/>
        </w:rPr>
        <w:t>(Tang 2006)</w:t>
      </w:r>
      <w:r w:rsidR="00161684">
        <w:fldChar w:fldCharType="end"/>
      </w:r>
      <w:r w:rsidR="00161684">
        <w:t xml:space="preserve"> describes </w:t>
      </w:r>
      <w:r w:rsidR="004C6C95">
        <w:t xml:space="preserve">two types of risk that could affect SC’s; Operational risks </w:t>
      </w:r>
      <w:r w:rsidR="00DA5D9C">
        <w:t>refer to the inherent uncertainties</w:t>
      </w:r>
      <w:r w:rsidR="007E680F">
        <w:t xml:space="preserve"> </w:t>
      </w:r>
      <w:r w:rsidR="006C62E8">
        <w:t>of supply and demand</w:t>
      </w:r>
      <w:r w:rsidR="008F421E">
        <w:t xml:space="preserve"> while </w:t>
      </w:r>
      <w:r w:rsidR="00BE38B7">
        <w:t>D</w:t>
      </w:r>
      <w:r w:rsidR="008F421E">
        <w:t>isruption risks</w:t>
      </w:r>
      <w:r w:rsidR="00164E50">
        <w:t xml:space="preserve"> refer to the disruptions caused </w:t>
      </w:r>
      <w:r w:rsidR="000B40D2">
        <w:t>by natur</w:t>
      </w:r>
      <w:r w:rsidR="001F40B5">
        <w:t>al</w:t>
      </w:r>
      <w:r w:rsidR="000B40D2">
        <w:t xml:space="preserve"> disasters including hurricane</w:t>
      </w:r>
      <w:r w:rsidR="001F40B5">
        <w:t>s, floods and earthquakes</w:t>
      </w:r>
      <w:r w:rsidR="00C03F8D">
        <w:t xml:space="preserve"> or man-made incidents su</w:t>
      </w:r>
      <w:r w:rsidR="005C368A">
        <w:t>ch as soc</w:t>
      </w:r>
      <w:r w:rsidR="00A803A6">
        <w:t xml:space="preserve">io-political </w:t>
      </w:r>
      <w:r w:rsidR="002C06D7">
        <w:t>events</w:t>
      </w:r>
      <w:r w:rsidR="00A803A6">
        <w:t>, terrorism</w:t>
      </w:r>
      <w:r w:rsidR="0093056D">
        <w:t xml:space="preserve"> attacks</w:t>
      </w:r>
      <w:r w:rsidR="00D040A5">
        <w:t>,</w:t>
      </w:r>
      <w:r w:rsidR="001D69F2">
        <w:t xml:space="preserve"> economic </w:t>
      </w:r>
      <w:r w:rsidR="00CA4E65">
        <w:t>crises,</w:t>
      </w:r>
      <w:r w:rsidR="00BE38B7">
        <w:t xml:space="preserve"> </w:t>
      </w:r>
      <w:r w:rsidR="00B07D04">
        <w:t xml:space="preserve">and events </w:t>
      </w:r>
      <w:r w:rsidR="00BE38B7">
        <w:t>such as</w:t>
      </w:r>
      <w:r w:rsidR="00B640A5">
        <w:t xml:space="preserve"> the recent</w:t>
      </w:r>
      <w:r w:rsidR="006900E1">
        <w:t xml:space="preserve"> global pandemic and</w:t>
      </w:r>
      <w:r w:rsidR="00CA5E01">
        <w:t xml:space="preserve"> war</w:t>
      </w:r>
      <w:r w:rsidR="00B640A5">
        <w:t xml:space="preserve"> in Ukraine</w:t>
      </w:r>
      <w:r w:rsidR="00866193">
        <w:t>, these</w:t>
      </w:r>
      <w:r w:rsidR="005C23AB">
        <w:t xml:space="preserve"> are essentially events that are beyond human control</w:t>
      </w:r>
      <w:r w:rsidR="00CA5E01">
        <w:t>.</w:t>
      </w:r>
      <w:r w:rsidR="008314A4">
        <w:t xml:space="preserve"> </w:t>
      </w:r>
      <w:r w:rsidR="00244EE8">
        <w:t xml:space="preserve">The financial cost to </w:t>
      </w:r>
      <w:r w:rsidR="000F3995">
        <w:t xml:space="preserve">disruption risks </w:t>
      </w:r>
      <w:r w:rsidR="00EF0639">
        <w:t>is</w:t>
      </w:r>
      <w:r w:rsidR="000F3995">
        <w:t xml:space="preserve"> generally far greater than the operational risks</w:t>
      </w:r>
      <w:r w:rsidR="00866193">
        <w:t xml:space="preserve"> </w:t>
      </w:r>
      <w:r w:rsidR="00866193">
        <w:fldChar w:fldCharType="begin"/>
      </w:r>
      <w:r w:rsidR="00BD44E7">
        <w:instrText xml:space="preserve"> ADDIN ZOTERO_ITEM CSL_CITATION {"citationID":"nRQi43UE","properties":{"formattedCitation":"(Tang 2006)","plainCitation":"(Tang 2006)","noteIndex":0},"citationItems":[{"id":1505,"uris":["http://zotero.org/users/local/AB2owHL2/items/G7NL8SRK"],"itemData":{"id":1505,"type":"article-journal","abstract":"To gain cost advantage and market share, many firms implemented various initiatives such as outsourced manufacturing and product variety. These initiatives are effective in a stable environment, but they could make a supply chain more vulnerable to various types of disruptions caused by uncertain economic cycles, consumer demands, and natural and man-made disasters. In this paper, we review various quantitative models for managing supply chain risks. We also relate various supply chain risk management (SCRM) strategies examined in the research literature with actual practices. The intent of this paper is three-fold. First, we develop a unified framework for classifying SCRM articles. Second, we hope this review can serve as a practical guide for some researchers to navigate through the sea of research articles in this important area. Third, by highlighting the gap between theory and practice, we hope to motivate researchers to develop new models for mitigating supply chain disruptions.","container-title":"International Journal of Production Economics","DOI":"10.1016/j.ijpe.2005.12.006","ISSN":"0925-5273","issue":"2","journalAbbreviation":"International Journal of Production Economics","language":"en","page":"451-488","source":"ScienceDirect","title":"Perspectives in supply chain risk management","URL":"https://www.sciencedirect.com/science/article/pii/S0925527306000405","volume":"103","author":[{"family":"Tang","given":"Christopher S."}],"accessed":{"date-parts":[["2022",3,3]]},"issued":{"date-parts":[["2006",10,1]]}}}],"schema":"https://github.com/citation-style-language/schema/raw/master/csl-citation.json"} </w:instrText>
      </w:r>
      <w:r w:rsidR="00866193">
        <w:fldChar w:fldCharType="separate"/>
      </w:r>
      <w:r w:rsidR="00BD44E7" w:rsidRPr="00BD44E7">
        <w:rPr>
          <w:rFonts w:ascii="Calibri" w:hAnsi="Calibri" w:cs="Calibri"/>
        </w:rPr>
        <w:t>(Tang 2006)</w:t>
      </w:r>
      <w:r w:rsidR="00866193">
        <w:fldChar w:fldCharType="end"/>
      </w:r>
      <w:r w:rsidR="000F3995">
        <w:t>.</w:t>
      </w:r>
    </w:p>
    <w:p w14:paraId="4CBA24F8" w14:textId="201FA674" w:rsidR="001D517F" w:rsidRDefault="001D517F" w:rsidP="00F008F5">
      <w:pPr>
        <w:spacing w:line="360" w:lineRule="auto"/>
        <w:jc w:val="both"/>
      </w:pPr>
      <w:r>
        <w:fldChar w:fldCharType="begin"/>
      </w:r>
      <w:r w:rsidR="00BD44E7">
        <w:instrText xml:space="preserve"> ADDIN ZOTERO_ITEM CSL_CITATION {"citationID":"DdLRhqmz","properties":{"formattedCitation":"(Christopher 2011)","plainCitation":"(Christopher 2011)","noteIndex":0},"citationItems":[{"id":1537,"uris":["http://zotero.org/users/local/AB2owHL2/items/DPWVTJGT"],"itemData":{"id":1537,"type":"book","edition":"Fourth","event-place":"Harlow United Kingdom","ISBN":"978-0-273-73112-2","publisher":"Prentice Hall","publisher-place":"Harlow United Kingdom","title":"Logistics &amp; Supply Chain Management","author":[{"family":"Christopher","given":"Martin"}],"issued":{"date-parts":[["2011"]]}}}],"schema":"https://github.com/citation-style-language/schema/raw/master/csl-citation.json"} </w:instrText>
      </w:r>
      <w:r>
        <w:fldChar w:fldCharType="separate"/>
      </w:r>
      <w:r w:rsidR="00BD44E7" w:rsidRPr="00BD44E7">
        <w:rPr>
          <w:rFonts w:ascii="Calibri" w:hAnsi="Calibri" w:cs="Calibri"/>
        </w:rPr>
        <w:t>(Christopher 2011)</w:t>
      </w:r>
      <w:r>
        <w:fldChar w:fldCharType="end"/>
      </w:r>
      <w:r>
        <w:t xml:space="preserve"> describes </w:t>
      </w:r>
      <w:r w:rsidR="00251E1B">
        <w:t>the main sources of</w:t>
      </w:r>
      <w:r w:rsidR="00400C54">
        <w:t xml:space="preserve"> SC</w:t>
      </w:r>
      <w:r w:rsidR="00251E1B">
        <w:t xml:space="preserve"> risk in a business</w:t>
      </w:r>
      <w:r w:rsidR="00C27DA1">
        <w:t>, illustrated in figure 4:</w:t>
      </w:r>
    </w:p>
    <w:p w14:paraId="000E63B4" w14:textId="1417717C" w:rsidR="00C27DA1" w:rsidRDefault="00C27DA1" w:rsidP="00C27DA1">
      <w:pPr>
        <w:pStyle w:val="ListParagraph"/>
        <w:numPr>
          <w:ilvl w:val="0"/>
          <w:numId w:val="1"/>
        </w:numPr>
        <w:spacing w:line="360" w:lineRule="auto"/>
        <w:jc w:val="both"/>
      </w:pPr>
      <w:r>
        <w:t xml:space="preserve">Supply risk </w:t>
      </w:r>
      <w:r w:rsidR="007716F4">
        <w:t>–</w:t>
      </w:r>
      <w:r>
        <w:t xml:space="preserve"> </w:t>
      </w:r>
      <w:r w:rsidR="007716F4">
        <w:t xml:space="preserve">The vulnerability </w:t>
      </w:r>
      <w:r w:rsidR="00A24CF5">
        <w:t xml:space="preserve">of the SC to disruption to supply. </w:t>
      </w:r>
      <w:r w:rsidR="00FD2357">
        <w:t xml:space="preserve">Risk can be </w:t>
      </w:r>
      <w:proofErr w:type="spellStart"/>
      <w:r w:rsidR="00FD2357">
        <w:t>dependant</w:t>
      </w:r>
      <w:proofErr w:type="spellEnd"/>
      <w:r w:rsidR="00FD2357">
        <w:t xml:space="preserve"> on reliance on overseas suppliers, </w:t>
      </w:r>
      <w:r w:rsidR="00F67639">
        <w:t>poor supply management and over dependence on key suppliers.</w:t>
      </w:r>
    </w:p>
    <w:p w14:paraId="41219909" w14:textId="77E910C8" w:rsidR="00502BD7" w:rsidRDefault="0011231A" w:rsidP="00C27DA1">
      <w:pPr>
        <w:pStyle w:val="ListParagraph"/>
        <w:numPr>
          <w:ilvl w:val="0"/>
          <w:numId w:val="1"/>
        </w:numPr>
        <w:spacing w:line="360" w:lineRule="auto"/>
        <w:jc w:val="both"/>
      </w:pPr>
      <w:r>
        <w:t xml:space="preserve">Demand risk </w:t>
      </w:r>
      <w:r w:rsidR="002029E1">
        <w:t>–</w:t>
      </w:r>
      <w:r>
        <w:t xml:space="preserve"> </w:t>
      </w:r>
      <w:r w:rsidR="002029E1">
        <w:t>Demand volatility</w:t>
      </w:r>
      <w:r w:rsidR="00D53367">
        <w:t xml:space="preserve">, a </w:t>
      </w:r>
      <w:r w:rsidR="001B0DB6">
        <w:t>s</w:t>
      </w:r>
      <w:r w:rsidR="00D53367">
        <w:t>pike in demand can cause</w:t>
      </w:r>
      <w:r w:rsidR="00AE6D0A">
        <w:t xml:space="preserve"> an</w:t>
      </w:r>
      <w:r w:rsidR="00703460">
        <w:t xml:space="preserve"> </w:t>
      </w:r>
      <w:proofErr w:type="spellStart"/>
      <w:r w:rsidR="00703460">
        <w:t>over reaction</w:t>
      </w:r>
      <w:proofErr w:type="spellEnd"/>
      <w:r w:rsidR="00703460">
        <w:t xml:space="preserve"> down the SC known as the bull whip effect</w:t>
      </w:r>
      <w:r w:rsidR="001B0DB6">
        <w:t>.</w:t>
      </w:r>
    </w:p>
    <w:p w14:paraId="01C36D89" w14:textId="06E3A92A" w:rsidR="00AE6D0A" w:rsidRDefault="00AE6D0A" w:rsidP="00C27DA1">
      <w:pPr>
        <w:pStyle w:val="ListParagraph"/>
        <w:numPr>
          <w:ilvl w:val="0"/>
          <w:numId w:val="1"/>
        </w:numPr>
        <w:spacing w:line="360" w:lineRule="auto"/>
        <w:jc w:val="both"/>
      </w:pPr>
      <w:r>
        <w:t xml:space="preserve">Process risk </w:t>
      </w:r>
      <w:r w:rsidR="00830F73">
        <w:t>–</w:t>
      </w:r>
      <w:r>
        <w:t xml:space="preserve"> </w:t>
      </w:r>
      <w:r w:rsidR="00830F73">
        <w:t>Such as</w:t>
      </w:r>
      <w:r w:rsidR="00C73A02">
        <w:t xml:space="preserve"> variation in processes</w:t>
      </w:r>
      <w:r w:rsidR="00EF0DC9">
        <w:t>,</w:t>
      </w:r>
      <w:r w:rsidR="00EC797B">
        <w:t xml:space="preserve"> manufacturing capacity and</w:t>
      </w:r>
      <w:r w:rsidR="00EF0DC9">
        <w:t xml:space="preserve"> process bottlenecks</w:t>
      </w:r>
      <w:r w:rsidR="00EC797B">
        <w:t>.</w:t>
      </w:r>
    </w:p>
    <w:p w14:paraId="7E7B3638" w14:textId="19384D79" w:rsidR="00EC797B" w:rsidRDefault="00C73A02" w:rsidP="00C27DA1">
      <w:pPr>
        <w:pStyle w:val="ListParagraph"/>
        <w:numPr>
          <w:ilvl w:val="0"/>
          <w:numId w:val="1"/>
        </w:numPr>
        <w:spacing w:line="360" w:lineRule="auto"/>
        <w:jc w:val="both"/>
      </w:pPr>
      <w:r>
        <w:t xml:space="preserve">Control risk </w:t>
      </w:r>
      <w:r w:rsidR="00AB7D41">
        <w:t>–</w:t>
      </w:r>
      <w:r>
        <w:t xml:space="preserve"> </w:t>
      </w:r>
      <w:r w:rsidR="00AB7D41">
        <w:t>What is the</w:t>
      </w:r>
      <w:r w:rsidR="00403C7B">
        <w:t xml:space="preserve"> effectiveness of the</w:t>
      </w:r>
      <w:r w:rsidR="00AB7D41">
        <w:t xml:space="preserve"> management of </w:t>
      </w:r>
      <w:r w:rsidR="00403C7B">
        <w:t>internal control systems such as</w:t>
      </w:r>
      <w:r w:rsidR="00AF2213">
        <w:t xml:space="preserve"> order quantities, batch sizes and safety stock</w:t>
      </w:r>
      <w:r w:rsidR="00C01E32">
        <w:t xml:space="preserve">s? </w:t>
      </w:r>
    </w:p>
    <w:p w14:paraId="76C0FAB9" w14:textId="0255CD1E" w:rsidR="00704DB6" w:rsidRDefault="00704DB6" w:rsidP="00C27DA1">
      <w:pPr>
        <w:pStyle w:val="ListParagraph"/>
        <w:numPr>
          <w:ilvl w:val="0"/>
          <w:numId w:val="1"/>
        </w:numPr>
        <w:spacing w:line="360" w:lineRule="auto"/>
        <w:jc w:val="both"/>
      </w:pPr>
      <w:r>
        <w:t xml:space="preserve">Environmental forces </w:t>
      </w:r>
      <w:r w:rsidR="00706B7F">
        <w:t>–</w:t>
      </w:r>
      <w:r>
        <w:t xml:space="preserve"> </w:t>
      </w:r>
      <w:r w:rsidR="00706B7F">
        <w:t xml:space="preserve">These are </w:t>
      </w:r>
      <w:r w:rsidR="001D4BD8">
        <w:t>t</w:t>
      </w:r>
      <w:r w:rsidR="00533EEF">
        <w:t>he Disruption risks</w:t>
      </w:r>
      <w:r w:rsidR="001D4BD8">
        <w:t xml:space="preserve"> that </w:t>
      </w:r>
      <w:r w:rsidR="00DB02FA">
        <w:t>were</w:t>
      </w:r>
      <w:r w:rsidR="001D4BD8">
        <w:t xml:space="preserve"> described</w:t>
      </w:r>
      <w:r w:rsidR="00DB02FA">
        <w:t xml:space="preserve"> in the previous paragraph</w:t>
      </w:r>
      <w:r w:rsidR="001D4BD8">
        <w:t xml:space="preserve">. </w:t>
      </w:r>
      <w:r w:rsidR="00533EEF">
        <w:t xml:space="preserve"> </w:t>
      </w:r>
    </w:p>
    <w:p w14:paraId="09F6A925" w14:textId="1E4C25D2" w:rsidR="00994479" w:rsidRPr="00F008F5" w:rsidRDefault="009A60BB" w:rsidP="00F008F5">
      <w:pPr>
        <w:spacing w:line="360" w:lineRule="auto"/>
        <w:jc w:val="both"/>
      </w:pPr>
      <w:r w:rsidRPr="009A60BB">
        <w:rPr>
          <w:noProof/>
        </w:rPr>
        <w:drawing>
          <wp:inline distT="0" distB="0" distL="0" distR="0" wp14:anchorId="6A539D36" wp14:editId="24C31C1A">
            <wp:extent cx="5487166" cy="2457793"/>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5"/>
                    <a:stretch>
                      <a:fillRect/>
                    </a:stretch>
                  </pic:blipFill>
                  <pic:spPr>
                    <a:xfrm>
                      <a:off x="0" y="0"/>
                      <a:ext cx="5487166" cy="2457793"/>
                    </a:xfrm>
                    <a:prstGeom prst="rect">
                      <a:avLst/>
                    </a:prstGeom>
                  </pic:spPr>
                </pic:pic>
              </a:graphicData>
            </a:graphic>
          </wp:inline>
        </w:drawing>
      </w:r>
    </w:p>
    <w:p w14:paraId="57B155F9" w14:textId="41329013" w:rsidR="006B4E01" w:rsidRDefault="00865E39" w:rsidP="00865E39">
      <w:pPr>
        <w:pStyle w:val="Caption"/>
      </w:pPr>
      <w:bookmarkStart w:id="6" w:name="_Toc101294473"/>
      <w:r>
        <w:t xml:space="preserve">Figure </w:t>
      </w:r>
      <w:r w:rsidR="00416930">
        <w:fldChar w:fldCharType="begin"/>
      </w:r>
      <w:r w:rsidR="00416930">
        <w:instrText xml:space="preserve"> SEQ Figure \* ARABIC </w:instrText>
      </w:r>
      <w:r w:rsidR="00416930">
        <w:fldChar w:fldCharType="separate"/>
      </w:r>
      <w:r w:rsidR="00555FD6">
        <w:rPr>
          <w:noProof/>
        </w:rPr>
        <w:t>4</w:t>
      </w:r>
      <w:r w:rsidR="00416930">
        <w:rPr>
          <w:noProof/>
        </w:rPr>
        <w:fldChar w:fldCharType="end"/>
      </w:r>
      <w:r>
        <w:t xml:space="preserve"> Sources of risk within a supply chain </w:t>
      </w:r>
      <w:r>
        <w:fldChar w:fldCharType="begin"/>
      </w:r>
      <w:r w:rsidR="00BD44E7">
        <w:instrText xml:space="preserve"> ADDIN ZOTERO_ITEM CSL_CITATION {"citationID":"yhj1IWu1","properties":{"formattedCitation":"(Christopher 2011)","plainCitation":"(Christopher 2011)","noteIndex":0},"citationItems":[{"id":1537,"uris":["http://zotero.org/users/local/AB2owHL2/items/DPWVTJGT"],"itemData":{"id":1537,"type":"book","edition":"Fourth","event-place":"Harlow United Kingdom","ISBN":"978-0-273-73112-2","publisher":"Prentice Hall","publisher-place":"Harlow United Kingdom","title":"Logistics &amp; Supply Chain Management","author":[{"family":"Christopher","given":"Martin"}],"issued":{"date-parts":[["2011"]]}}}],"schema":"https://github.com/citation-style-language/schema/raw/master/csl-citation.json"} </w:instrText>
      </w:r>
      <w:r>
        <w:fldChar w:fldCharType="separate"/>
      </w:r>
      <w:r w:rsidR="00BD44E7" w:rsidRPr="00BD44E7">
        <w:rPr>
          <w:rFonts w:ascii="Calibri" w:hAnsi="Calibri" w:cs="Calibri"/>
        </w:rPr>
        <w:t>(Christopher 2011)</w:t>
      </w:r>
      <w:bookmarkEnd w:id="6"/>
      <w:r>
        <w:fldChar w:fldCharType="end"/>
      </w:r>
    </w:p>
    <w:p w14:paraId="1F10F0D1" w14:textId="77777777" w:rsidR="00EF0FD2" w:rsidRDefault="00EF0FD2" w:rsidP="00EF0FD2"/>
    <w:p w14:paraId="7BAA3BAD" w14:textId="77777777" w:rsidR="00EF0FD2" w:rsidRPr="00EF0FD2" w:rsidRDefault="00EF0FD2" w:rsidP="00EF0FD2"/>
    <w:p w14:paraId="776144D6" w14:textId="6A3E2F34" w:rsidR="006B4E01" w:rsidRDefault="0004455C" w:rsidP="00E55332">
      <w:pPr>
        <w:pStyle w:val="Heading2"/>
        <w:spacing w:line="360" w:lineRule="auto"/>
        <w:jc w:val="both"/>
      </w:pPr>
      <w:bookmarkStart w:id="7" w:name="_Toc101469649"/>
      <w:r>
        <w:lastRenderedPageBreak/>
        <w:t>Supply risk</w:t>
      </w:r>
      <w:bookmarkEnd w:id="7"/>
      <w:r>
        <w:t xml:space="preserve"> </w:t>
      </w:r>
    </w:p>
    <w:p w14:paraId="25B77459" w14:textId="18AD67FC" w:rsidR="00DF7124" w:rsidRDefault="00416930" w:rsidP="00C35BC3">
      <w:pPr>
        <w:spacing w:line="360" w:lineRule="auto"/>
        <w:jc w:val="both"/>
      </w:pPr>
      <w:r>
        <w:rPr>
          <w:noProof/>
        </w:rPr>
        <w:pict w14:anchorId="4D047275">
          <v:shapetype id="_x0000_t4" coordsize="21600,21600" o:spt="4" path="m10800,l,10800,10800,21600,21600,10800xe">
            <v:stroke joinstyle="miter"/>
            <v:path gradientshapeok="t" o:connecttype="rect" textboxrect="5400,5400,16200,16200"/>
          </v:shapetype>
          <v:shape id="_x0000_s1060" type="#_x0000_t4" style="position:absolute;left:0;text-align:left;margin-left:272.3pt;margin-top:65.7pt;width:31.35pt;height:18.2pt;z-index:251661824" fillcolor="#a5a5a5 [3206]" strokecolor="#f2f2f2 [3041]" strokeweight="3pt">
            <v:shadow on="t" type="perspective" color="#525252 [1606]" opacity=".5" offset="1pt" offset2="-1pt"/>
          </v:shape>
        </w:pict>
      </w:r>
      <w:r w:rsidR="00F31815">
        <w:t xml:space="preserve">The steel industry </w:t>
      </w:r>
      <w:r w:rsidR="00CA24D1">
        <w:t>requires large amounts of</w:t>
      </w:r>
      <w:r w:rsidR="000634DE">
        <w:t xml:space="preserve"> iron ores, coals, steel scrap and other </w:t>
      </w:r>
      <w:r w:rsidR="00E55332">
        <w:t xml:space="preserve">raw materials and </w:t>
      </w:r>
      <w:r w:rsidR="00EC373F">
        <w:t>consumes large</w:t>
      </w:r>
      <w:r w:rsidR="00E55332">
        <w:t xml:space="preserve"> quantities of gas, electric </w:t>
      </w:r>
      <w:r w:rsidR="003E35A4">
        <w:t>and oils.</w:t>
      </w:r>
      <w:r w:rsidR="00505F93">
        <w:t xml:space="preserve"> </w:t>
      </w:r>
      <w:r w:rsidR="009A467F">
        <w:t>Figure 5 below illustrates</w:t>
      </w:r>
      <w:r w:rsidR="00930905">
        <w:t xml:space="preserve"> complexity of</w:t>
      </w:r>
      <w:r w:rsidR="009A467F">
        <w:t xml:space="preserve"> the steel industry </w:t>
      </w:r>
      <w:r w:rsidR="00D17695">
        <w:t>SC</w:t>
      </w:r>
      <w:r w:rsidR="004C04E4">
        <w:t xml:space="preserve"> </w:t>
      </w:r>
      <w:r w:rsidR="00915975">
        <w:fldChar w:fldCharType="begin"/>
      </w:r>
      <w:r w:rsidR="00BD44E7">
        <w:instrText xml:space="preserve"> ADDIN ZOTERO_ITEM CSL_CITATION {"citationID":"gjOknMKC","properties":{"formattedCitation":"(Liu et al. 2017)","plainCitation":"(Liu et al. 2017)","noteIndex":0},"citationItems":[{"id":1432,"uris":["http://zotero.org/users/local/AB2owHL2/items/4TQ5RVWL"],"itemData":{"id":1432,"type":"article-journal","abstract":"Supply risk evaluation is intended for adjusting industrial structure, and provides limited options to reduce supply risk. The links between supply chain and industrial structure deserve better understanding. In this way, the industrial activities can be managed to change industrial structure from supply risk. We took the anthropogenic iron in Mainland China into our case study. The comprehensive evaluation was modeled to tackle the problems of China's iron and steel industry. From the life cycle perspective, we found that extending iron and steel supply chain would digest the oversupply and reduce the excessive emission, the main problems affecting on the steel ratio for electric arc furnaces were steel scrap shortage and relatively high electrovalence, and Fe content of the social stock basically resided in construction industry which significantly influenced on the flow of steel products and steel and iron products. More attention should be paid to the factors of export price, resource allocation efficiency, financing capability and outdated capacity, strict inspection and prevention should be taken to these risks. A comprehensive picture of several customized risk reduction strategies was constructed for those problems. Of the strategies, China’ risks of iron and steel industry could be reduced if the existing industrial structure were adjusted on the basis of the substance flow networks and global iron and steel industrial chains. Based on the result, recommendations were made in this paper, aiming to contribute important reference information for the industrial metabolism, resource management, and recycling of iron and steel industry in Mainland China. The proposed methodology, integrating suppliers’ risk evaluation based on supply chain and substance flow analysis offers a quick and convenient examination on more comprehensive risk reduction alternatives. Further dedicated risk evaluation might be required to estimate the more precise risks for the iron and steel industries or other industries that were pre-identified as the outdated.","container-title":"Resources Policy","DOI":"10.1016/j.resourpol.2017.01.002","ISSN":"0301-4207","journalAbbreviation":"Resources Policy","language":"en","page":"272-282","source":"ScienceDirect","title":"Implications from substance flow analysis, supply chain and supplier’ risk evaluation in iron and steel industry in Mainland China","URL":"https://www.sciencedirect.com/science/article/pii/S0301420716301635","volume":"51","author":[{"family":"Liu","given":"Jian"},{"family":"An","given":"Rui"},{"family":"Xiao","given":"Rongge"},{"family":"Yang","given":"Yongwei"},{"family":"Wang","given":"Gaoshang"},{"family":"Wang","given":"Qian"}],"accessed":{"date-parts":[["2022",1,27]]},"issued":{"date-parts":[["2017",3,1]]}}}],"schema":"https://github.com/citation-style-language/schema/raw/master/csl-citation.json"} </w:instrText>
      </w:r>
      <w:r w:rsidR="00915975">
        <w:fldChar w:fldCharType="separate"/>
      </w:r>
      <w:r w:rsidR="00BD44E7" w:rsidRPr="00BD44E7">
        <w:rPr>
          <w:rFonts w:ascii="Calibri" w:hAnsi="Calibri" w:cs="Calibri"/>
        </w:rPr>
        <w:t>(Liu et al. 2017)</w:t>
      </w:r>
      <w:r w:rsidR="00915975">
        <w:fldChar w:fldCharType="end"/>
      </w:r>
      <w:r w:rsidR="00D00BF2">
        <w:t>.</w:t>
      </w:r>
    </w:p>
    <w:p w14:paraId="038DC910" w14:textId="72D3E8FD" w:rsidR="00951140" w:rsidRDefault="00416930" w:rsidP="00C35BC3">
      <w:pPr>
        <w:spacing w:line="360" w:lineRule="auto"/>
        <w:jc w:val="both"/>
      </w:pPr>
      <w:r>
        <w:rPr>
          <w:noProof/>
        </w:rPr>
        <w:pict w14:anchorId="3827623E">
          <v:roundrect id="_x0000_s1058" style="position:absolute;left:0;text-align:left;margin-left:110.7pt;margin-top:.35pt;width:28.85pt;height:11.95pt;z-index:251660800" arcsize="10923f" fillcolor="#5b9bd5 [3204]" strokecolor="#f2f2f2 [3041]" strokeweight="3pt">
            <v:shadow on="t" type="perspective" color="#1f4d78 [1604]" opacity=".5" offset="1pt" offset2="-1pt"/>
          </v:roundrect>
        </w:pict>
      </w:r>
      <w:r>
        <w:rPr>
          <w:noProof/>
        </w:rPr>
        <w:pict w14:anchorId="5E2B1C05">
          <v:roundrect id="_x0000_s1057" style="position:absolute;left:0;text-align:left;margin-left:3.8pt;margin-top:.35pt;width:30.65pt;height:13.2pt;z-index:251659776" arcsize="10923f" fillcolor="#ed7d31 [3205]" strokecolor="#f2f2f2 [3041]" strokeweight="3pt">
            <v:shadow on="t" type="perspective" color="#823b0b [1605]" opacity=".5" offset="1pt" offset2="-1pt"/>
          </v:roundrect>
        </w:pict>
      </w:r>
      <w:r w:rsidR="00D7689A">
        <w:t xml:space="preserve">               - </w:t>
      </w:r>
      <w:r w:rsidR="00D00BF2">
        <w:t xml:space="preserve">Raw </w:t>
      </w:r>
      <w:proofErr w:type="gramStart"/>
      <w:r w:rsidR="00D00BF2">
        <w:t>materials</w:t>
      </w:r>
      <w:r w:rsidR="00C35BC3">
        <w:t>,</w:t>
      </w:r>
      <w:r w:rsidR="00D00BF2">
        <w:t xml:space="preserve"> </w:t>
      </w:r>
      <w:r w:rsidR="00C35BC3">
        <w:t xml:space="preserve">  </w:t>
      </w:r>
      <w:proofErr w:type="gramEnd"/>
      <w:r w:rsidR="00C35BC3">
        <w:t xml:space="preserve">            - Manufacturing processes, </w:t>
      </w:r>
      <w:r w:rsidR="0065577B">
        <w:t xml:space="preserve">    </w:t>
      </w:r>
      <w:r w:rsidR="00052EE1">
        <w:t xml:space="preserve">      </w:t>
      </w:r>
      <w:r w:rsidR="00DF7124">
        <w:t xml:space="preserve">   </w:t>
      </w:r>
      <w:r w:rsidR="00052EE1">
        <w:t xml:space="preserve">   </w:t>
      </w:r>
      <w:r w:rsidR="00DF7124">
        <w:t>-</w:t>
      </w:r>
      <w:r w:rsidR="0065577B">
        <w:t xml:space="preserve"> </w:t>
      </w:r>
      <w:r w:rsidR="00401623">
        <w:t>Purpose of raw material</w:t>
      </w:r>
    </w:p>
    <w:p w14:paraId="4351FDD9" w14:textId="135D4070" w:rsidR="006B4E01" w:rsidRDefault="00194135" w:rsidP="00E55332">
      <w:pPr>
        <w:spacing w:line="360" w:lineRule="auto"/>
        <w:jc w:val="both"/>
      </w:pPr>
      <w:r w:rsidRPr="00194135">
        <w:rPr>
          <w:noProof/>
        </w:rPr>
        <w:drawing>
          <wp:inline distT="0" distB="0" distL="0" distR="0" wp14:anchorId="7B7DC467" wp14:editId="5E4A3262">
            <wp:extent cx="5731094" cy="3315694"/>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6"/>
                    <a:stretch>
                      <a:fillRect/>
                    </a:stretch>
                  </pic:blipFill>
                  <pic:spPr>
                    <a:xfrm>
                      <a:off x="0" y="0"/>
                      <a:ext cx="5775790" cy="3341553"/>
                    </a:xfrm>
                    <a:prstGeom prst="rect">
                      <a:avLst/>
                    </a:prstGeom>
                  </pic:spPr>
                </pic:pic>
              </a:graphicData>
            </a:graphic>
          </wp:inline>
        </w:drawing>
      </w:r>
    </w:p>
    <w:p w14:paraId="6AC125AD" w14:textId="3F5225D3" w:rsidR="00E8448F" w:rsidRDefault="00E8448F" w:rsidP="00E8448F">
      <w:pPr>
        <w:pStyle w:val="Caption"/>
      </w:pPr>
      <w:bookmarkStart w:id="8" w:name="_Toc101294474"/>
      <w:r>
        <w:t xml:space="preserve">Figure </w:t>
      </w:r>
      <w:r w:rsidR="00416930">
        <w:fldChar w:fldCharType="begin"/>
      </w:r>
      <w:r w:rsidR="00416930">
        <w:instrText xml:space="preserve"> SEQ Figure \* ARABIC </w:instrText>
      </w:r>
      <w:r w:rsidR="00416930">
        <w:fldChar w:fldCharType="separate"/>
      </w:r>
      <w:r w:rsidR="00555FD6">
        <w:rPr>
          <w:noProof/>
        </w:rPr>
        <w:t>5</w:t>
      </w:r>
      <w:r w:rsidR="00416930">
        <w:rPr>
          <w:noProof/>
        </w:rPr>
        <w:fldChar w:fldCharType="end"/>
      </w:r>
      <w:r>
        <w:t xml:space="preserve"> The steel industry supply chain</w:t>
      </w:r>
      <w:r w:rsidR="003906BD">
        <w:t xml:space="preserve"> </w:t>
      </w:r>
      <w:r w:rsidR="003906BD">
        <w:fldChar w:fldCharType="begin"/>
      </w:r>
      <w:r w:rsidR="00021F02">
        <w:instrText xml:space="preserve"> ADDIN ZOTERO_ITEM CSL_CITATION {"citationID":"OPxxdZni","properties":{"formattedCitation":"({\\i{}Steel markets}, 2022)","plainCitation":"(Steel markets, 2022)","dontUpdate":true,"noteIndex":0},"citationItems":[{"id":1549,"uris":["http://zotero.org/users/local/AB2owHL2/items/R6D9ACHG"],"itemData":{"id":1549,"type":"document","language":"en-US","publisher":"CIRRELT Interuniversity research centre  on enterprise Networks , Logistics and Transportations","title":"Steel markets","URL":"https://www.cirrelt.ca/documentstravail/cirrelt-2016-06.pdf","author":[{"family":"Comtois","given":"Claude"},{"family":"Slack","given":"Brian"}],"accessed":{"date-parts":[["2022",3,16]]},"issued":{"date-parts":[["2016"]]}}}],"schema":"https://github.com/citation-style-language/schema/raw/master/csl-citation.json"} </w:instrText>
      </w:r>
      <w:r w:rsidR="003906BD">
        <w:fldChar w:fldCharType="separate"/>
      </w:r>
      <w:r w:rsidR="003906BD" w:rsidRPr="003906BD">
        <w:rPr>
          <w:rFonts w:ascii="Calibri" w:hAnsi="Calibri" w:cs="Calibri"/>
          <w:szCs w:val="24"/>
        </w:rPr>
        <w:t>(</w:t>
      </w:r>
      <w:r w:rsidR="003906BD">
        <w:rPr>
          <w:rFonts w:ascii="Calibri" w:hAnsi="Calibri" w:cs="Calibri"/>
          <w:i w:val="0"/>
          <w:iCs w:val="0"/>
          <w:szCs w:val="24"/>
        </w:rPr>
        <w:t>World Steel Association</w:t>
      </w:r>
      <w:r w:rsidR="003906BD" w:rsidRPr="003906BD">
        <w:rPr>
          <w:rFonts w:ascii="Calibri" w:hAnsi="Calibri" w:cs="Calibri"/>
          <w:szCs w:val="24"/>
        </w:rPr>
        <w:t>, 2022)</w:t>
      </w:r>
      <w:bookmarkEnd w:id="8"/>
      <w:r w:rsidR="003906BD">
        <w:fldChar w:fldCharType="end"/>
      </w:r>
    </w:p>
    <w:p w14:paraId="693C005F" w14:textId="5C76FC10" w:rsidR="006B4E01" w:rsidRDefault="002A7A41" w:rsidP="00854E07">
      <w:pPr>
        <w:spacing w:line="360" w:lineRule="auto"/>
        <w:jc w:val="both"/>
      </w:pPr>
      <w:r>
        <w:t xml:space="preserve">The supply risk for the steel industry </w:t>
      </w:r>
      <w:r w:rsidR="00501D95">
        <w:t>can be summarised as follows:</w:t>
      </w:r>
    </w:p>
    <w:p w14:paraId="7DDCD3E7" w14:textId="0D6A43F5" w:rsidR="006A39C2" w:rsidRDefault="00357163" w:rsidP="00854E07">
      <w:pPr>
        <w:pStyle w:val="ListParagraph"/>
        <w:numPr>
          <w:ilvl w:val="0"/>
          <w:numId w:val="5"/>
        </w:numPr>
        <w:spacing w:line="360" w:lineRule="auto"/>
        <w:jc w:val="both"/>
      </w:pPr>
      <w:r>
        <w:t xml:space="preserve">Contract </w:t>
      </w:r>
      <w:r w:rsidR="00A83F2C">
        <w:t>–</w:t>
      </w:r>
      <w:r>
        <w:t xml:space="preserve"> </w:t>
      </w:r>
      <w:r w:rsidR="00A83F2C">
        <w:t>The risk of contract related issues disrupting supply</w:t>
      </w:r>
      <w:r w:rsidR="00184CF8">
        <w:t xml:space="preserve">. </w:t>
      </w:r>
      <w:r w:rsidR="00E72251">
        <w:t>Global Iron ore supply is dominated by three majo</w:t>
      </w:r>
      <w:r w:rsidR="005B23B0">
        <w:t>r suppliers. Th</w:t>
      </w:r>
      <w:r w:rsidR="00745013">
        <w:t>is monopoly is driving up the price of iron ore as demand grows</w:t>
      </w:r>
      <w:r w:rsidR="00655023">
        <w:t>.</w:t>
      </w:r>
    </w:p>
    <w:p w14:paraId="3F968D24" w14:textId="2D65799D" w:rsidR="00D44FBB" w:rsidRDefault="00D44FBB" w:rsidP="00854E07">
      <w:pPr>
        <w:pStyle w:val="ListParagraph"/>
        <w:numPr>
          <w:ilvl w:val="0"/>
          <w:numId w:val="5"/>
        </w:numPr>
        <w:spacing w:line="360" w:lineRule="auto"/>
        <w:jc w:val="both"/>
      </w:pPr>
      <w:r>
        <w:t xml:space="preserve">Dependency </w:t>
      </w:r>
      <w:r w:rsidR="00A73EDD">
        <w:t>–</w:t>
      </w:r>
      <w:r>
        <w:t xml:space="preserve"> </w:t>
      </w:r>
      <w:r w:rsidR="00A73EDD">
        <w:t>High dependency on suppliers and shipping corporations.</w:t>
      </w:r>
    </w:p>
    <w:p w14:paraId="3375663F" w14:textId="347FE663" w:rsidR="00A73EDD" w:rsidRDefault="00DB12C5" w:rsidP="00854E07">
      <w:pPr>
        <w:pStyle w:val="ListParagraph"/>
        <w:numPr>
          <w:ilvl w:val="0"/>
          <w:numId w:val="5"/>
        </w:numPr>
        <w:spacing w:line="360" w:lineRule="auto"/>
        <w:jc w:val="both"/>
      </w:pPr>
      <w:r>
        <w:t xml:space="preserve">Logistics </w:t>
      </w:r>
      <w:r w:rsidR="00CD5B6E">
        <w:t>–</w:t>
      </w:r>
      <w:r>
        <w:t xml:space="preserve"> </w:t>
      </w:r>
      <w:r w:rsidR="00CD5B6E">
        <w:t xml:space="preserve">The risks associated with </w:t>
      </w:r>
      <w:r w:rsidR="003E73B9">
        <w:t xml:space="preserve">raw material transport, delays to </w:t>
      </w:r>
      <w:r w:rsidR="006846A4">
        <w:t>cargo ships, insufficient supplier stock</w:t>
      </w:r>
      <w:r w:rsidR="00621649">
        <w:t>s, insufficient railway capacity, high cost of road transport.</w:t>
      </w:r>
    </w:p>
    <w:p w14:paraId="3115C03F" w14:textId="675F3960" w:rsidR="000335EE" w:rsidRDefault="000335EE" w:rsidP="00854E07">
      <w:pPr>
        <w:pStyle w:val="ListParagraph"/>
        <w:numPr>
          <w:ilvl w:val="0"/>
          <w:numId w:val="5"/>
        </w:numPr>
        <w:spacing w:line="360" w:lineRule="auto"/>
        <w:jc w:val="both"/>
      </w:pPr>
      <w:r>
        <w:t xml:space="preserve">Price </w:t>
      </w:r>
      <w:r w:rsidR="009B2520">
        <w:t>–</w:t>
      </w:r>
      <w:r>
        <w:t xml:space="preserve"> </w:t>
      </w:r>
      <w:r w:rsidR="009B2520">
        <w:t xml:space="preserve">The risk that costs </w:t>
      </w:r>
      <w:r w:rsidR="00A95E30">
        <w:t>challenge</w:t>
      </w:r>
      <w:r w:rsidR="009B2520">
        <w:t xml:space="preserve"> the competitiveness of the SC</w:t>
      </w:r>
      <w:r w:rsidR="0014475D">
        <w:t xml:space="preserve">, </w:t>
      </w:r>
      <w:r w:rsidR="002B650C">
        <w:t>instability</w:t>
      </w:r>
      <w:r w:rsidR="0014475D">
        <w:t xml:space="preserve"> in the price of </w:t>
      </w:r>
      <w:r w:rsidR="002B650C">
        <w:t>raw materials, shipping cost fluctuations</w:t>
      </w:r>
      <w:r w:rsidR="00A95E30">
        <w:t>, increasing cost of energy.</w:t>
      </w:r>
    </w:p>
    <w:p w14:paraId="107B5EA3" w14:textId="72690894" w:rsidR="00A95E30" w:rsidRDefault="00B747F5" w:rsidP="00854E07">
      <w:pPr>
        <w:pStyle w:val="ListParagraph"/>
        <w:numPr>
          <w:ilvl w:val="0"/>
          <w:numId w:val="5"/>
        </w:numPr>
        <w:spacing w:line="360" w:lineRule="auto"/>
        <w:jc w:val="both"/>
      </w:pPr>
      <w:r>
        <w:t xml:space="preserve">Quality </w:t>
      </w:r>
      <w:r w:rsidR="00500BEB">
        <w:t>–</w:t>
      </w:r>
      <w:r>
        <w:t xml:space="preserve"> </w:t>
      </w:r>
      <w:r w:rsidR="00500BEB">
        <w:t>The risk of raw material quality not meeting expec</w:t>
      </w:r>
      <w:r w:rsidR="008F41F5">
        <w:t>tations, steel making processes rely on high quality raw materials, impurities are detrimental</w:t>
      </w:r>
      <w:r w:rsidR="007C0741">
        <w:t xml:space="preserve"> to the quality of the final products.</w:t>
      </w:r>
    </w:p>
    <w:p w14:paraId="028310D5" w14:textId="585AA94F" w:rsidR="007C0741" w:rsidRDefault="007C0741" w:rsidP="00854E07">
      <w:pPr>
        <w:pStyle w:val="ListParagraph"/>
        <w:numPr>
          <w:ilvl w:val="0"/>
          <w:numId w:val="5"/>
        </w:numPr>
        <w:spacing w:line="360" w:lineRule="auto"/>
        <w:jc w:val="both"/>
      </w:pPr>
      <w:r>
        <w:lastRenderedPageBreak/>
        <w:t xml:space="preserve">Import and export </w:t>
      </w:r>
      <w:r w:rsidR="00E46428">
        <w:t>–</w:t>
      </w:r>
      <w:r>
        <w:t xml:space="preserve"> </w:t>
      </w:r>
      <w:r w:rsidR="00E46428">
        <w:t>Barriers</w:t>
      </w:r>
      <w:r w:rsidR="00BB0D8E">
        <w:t xml:space="preserve"> to trade</w:t>
      </w:r>
      <w:r w:rsidR="00E46428">
        <w:t xml:space="preserve"> such as Brexit</w:t>
      </w:r>
      <w:r w:rsidR="00BB0D8E">
        <w:t xml:space="preserve"> rule changes </w:t>
      </w:r>
      <w:r w:rsidR="00E46428">
        <w:t xml:space="preserve">can lead to supply </w:t>
      </w:r>
      <w:r w:rsidR="00B9650B">
        <w:t>interruptions</w:t>
      </w:r>
      <w:r w:rsidR="005D6EE7">
        <w:t>.</w:t>
      </w:r>
    </w:p>
    <w:p w14:paraId="54C3668E" w14:textId="0E394CF4" w:rsidR="007D3491" w:rsidRDefault="007D3491" w:rsidP="00854E07">
      <w:pPr>
        <w:pStyle w:val="ListParagraph"/>
        <w:numPr>
          <w:ilvl w:val="0"/>
          <w:numId w:val="5"/>
        </w:numPr>
        <w:spacing w:line="360" w:lineRule="auto"/>
        <w:jc w:val="both"/>
      </w:pPr>
      <w:r>
        <w:t xml:space="preserve">Liquidity </w:t>
      </w:r>
      <w:r w:rsidR="00956B6C">
        <w:t>–</w:t>
      </w:r>
      <w:r>
        <w:t xml:space="preserve"> </w:t>
      </w:r>
      <w:r w:rsidR="00956B6C">
        <w:t xml:space="preserve">The risk of supply interruption </w:t>
      </w:r>
      <w:proofErr w:type="gramStart"/>
      <w:r w:rsidR="00956B6C">
        <w:t>as a result of</w:t>
      </w:r>
      <w:proofErr w:type="gramEnd"/>
      <w:r w:rsidR="00956B6C">
        <w:t xml:space="preserve"> supplier</w:t>
      </w:r>
      <w:r w:rsidR="001E35A6">
        <w:t xml:space="preserve"> companies running into financial difficulties.</w:t>
      </w:r>
    </w:p>
    <w:p w14:paraId="54CF6A37" w14:textId="443D1FE8" w:rsidR="00A66D2D" w:rsidRDefault="004209EA" w:rsidP="00A66D2D">
      <w:pPr>
        <w:spacing w:line="360" w:lineRule="auto"/>
        <w:ind w:left="360"/>
        <w:jc w:val="both"/>
      </w:pPr>
      <w:r>
        <w:t>Summarised from</w:t>
      </w:r>
      <w:r w:rsidR="009627E6">
        <w:t xml:space="preserve"> </w:t>
      </w:r>
      <w:r w:rsidR="009627E6">
        <w:fldChar w:fldCharType="begin"/>
      </w:r>
      <w:r w:rsidR="00BD44E7">
        <w:instrText xml:space="preserve"> ADDIN ZOTERO_ITEM CSL_CITATION {"citationID":"YtyaqVWT","properties":{"formattedCitation":"(Liu et al. 2017)","plainCitation":"(Liu et al. 2017)","noteIndex":0},"citationItems":[{"id":1432,"uris":["http://zotero.org/users/local/AB2owHL2/items/4TQ5RVWL"],"itemData":{"id":1432,"type":"article-journal","abstract":"Supply risk evaluation is intended for adjusting industrial structure, and provides limited options to reduce supply risk. The links between supply chain and industrial structure deserve better understanding. In this way, the industrial activities can be managed to change industrial structure from supply risk. We took the anthropogenic iron in Mainland China into our case study. The comprehensive evaluation was modeled to tackle the problems of China's iron and steel industry. From the life cycle perspective, we found that extending iron and steel supply chain would digest the oversupply and reduce the excessive emission, the main problems affecting on the steel ratio for electric arc furnaces were steel scrap shortage and relatively high electrovalence, and Fe content of the social stock basically resided in construction industry which significantly influenced on the flow of steel products and steel and iron products. More attention should be paid to the factors of export price, resource allocation efficiency, financing capability and outdated capacity, strict inspection and prevention should be taken to these risks. A comprehensive picture of several customized risk reduction strategies was constructed for those problems. Of the strategies, China’ risks of iron and steel industry could be reduced if the existing industrial structure were adjusted on the basis of the substance flow networks and global iron and steel industrial chains. Based on the result, recommendations were made in this paper, aiming to contribute important reference information for the industrial metabolism, resource management, and recycling of iron and steel industry in Mainland China. The proposed methodology, integrating suppliers’ risk evaluation based on supply chain and substance flow analysis offers a quick and convenient examination on more comprehensive risk reduction alternatives. Further dedicated risk evaluation might be required to estimate the more precise risks for the iron and steel industries or other industries that were pre-identified as the outdated.","container-title":"Resources Policy","DOI":"10.1016/j.resourpol.2017.01.002","ISSN":"0301-4207","journalAbbreviation":"Resources Policy","language":"en","page":"272-282","source":"ScienceDirect","title":"Implications from substance flow analysis, supply chain and supplier’ risk evaluation in iron and steel industry in Mainland China","URL":"https://www.sciencedirect.com/science/article/pii/S0301420716301635","volume":"51","author":[{"family":"Liu","given":"Jian"},{"family":"An","given":"Rui"},{"family":"Xiao","given":"Rongge"},{"family":"Yang","given":"Yongwei"},{"family":"Wang","given":"Gaoshang"},{"family":"Wang","given":"Qian"}],"accessed":{"date-parts":[["2022",1,27]]},"issued":{"date-parts":[["2017",3,1]]}}}],"schema":"https://github.com/citation-style-language/schema/raw/master/csl-citation.json"} </w:instrText>
      </w:r>
      <w:r w:rsidR="009627E6">
        <w:fldChar w:fldCharType="separate"/>
      </w:r>
      <w:r w:rsidR="00BD44E7" w:rsidRPr="00BD44E7">
        <w:rPr>
          <w:rFonts w:ascii="Calibri" w:hAnsi="Calibri" w:cs="Calibri"/>
        </w:rPr>
        <w:t>(Liu et al. 2017)</w:t>
      </w:r>
      <w:r w:rsidR="009627E6">
        <w:fldChar w:fldCharType="end"/>
      </w:r>
      <w:r w:rsidR="00891B03">
        <w:t>.</w:t>
      </w:r>
    </w:p>
    <w:p w14:paraId="225ADDD5" w14:textId="776A4EF8" w:rsidR="009627E6" w:rsidRDefault="00BB31CE" w:rsidP="00BE225D">
      <w:pPr>
        <w:pStyle w:val="Heading2"/>
        <w:spacing w:line="360" w:lineRule="auto"/>
        <w:jc w:val="both"/>
      </w:pPr>
      <w:bookmarkStart w:id="9" w:name="_Toc101469650"/>
      <w:r>
        <w:t>Process risks</w:t>
      </w:r>
      <w:bookmarkEnd w:id="9"/>
    </w:p>
    <w:p w14:paraId="5E2FED5B" w14:textId="2A9AF8B8" w:rsidR="009627E6" w:rsidRDefault="00BE225D" w:rsidP="00BE225D">
      <w:pPr>
        <w:spacing w:line="360" w:lineRule="auto"/>
        <w:jc w:val="both"/>
      </w:pPr>
      <w:r>
        <w:t>These risks are mainly internal and can be controlled</w:t>
      </w:r>
      <w:r w:rsidR="00D4370D">
        <w:t xml:space="preserve"> or prevented</w:t>
      </w:r>
      <w:r w:rsidR="00672446">
        <w:t>. They include:</w:t>
      </w:r>
    </w:p>
    <w:p w14:paraId="5C558E3F" w14:textId="3DFF7C06" w:rsidR="00672446" w:rsidRDefault="00286098" w:rsidP="00672446">
      <w:pPr>
        <w:pStyle w:val="ListParagraph"/>
        <w:numPr>
          <w:ilvl w:val="0"/>
          <w:numId w:val="8"/>
        </w:numPr>
        <w:spacing w:line="360" w:lineRule="auto"/>
        <w:jc w:val="both"/>
      </w:pPr>
      <w:r>
        <w:t>Insufficient maintenance</w:t>
      </w:r>
      <w:r w:rsidR="009025C1">
        <w:t xml:space="preserve"> </w:t>
      </w:r>
      <w:r w:rsidR="00111368">
        <w:t>–</w:t>
      </w:r>
      <w:r w:rsidR="009025C1">
        <w:t xml:space="preserve"> </w:t>
      </w:r>
      <w:r w:rsidR="00F626FB">
        <w:t>On</w:t>
      </w:r>
      <w:r w:rsidR="00111368">
        <w:t xml:space="preserve"> equipment, </w:t>
      </w:r>
      <w:proofErr w:type="gramStart"/>
      <w:r w:rsidR="00111368">
        <w:t>assets</w:t>
      </w:r>
      <w:proofErr w:type="gramEnd"/>
      <w:r w:rsidR="00111368">
        <w:t xml:space="preserve"> and infrastructure.</w:t>
      </w:r>
    </w:p>
    <w:p w14:paraId="1A7CEFC8" w14:textId="11031744" w:rsidR="00422BA9" w:rsidRDefault="00AF49EF" w:rsidP="00422BA9">
      <w:pPr>
        <w:pStyle w:val="ListParagraph"/>
        <w:numPr>
          <w:ilvl w:val="0"/>
          <w:numId w:val="8"/>
        </w:numPr>
        <w:spacing w:line="360" w:lineRule="auto"/>
        <w:jc w:val="both"/>
      </w:pPr>
      <w:r>
        <w:t>Production capability</w:t>
      </w:r>
      <w:r w:rsidR="00111368">
        <w:t xml:space="preserve"> </w:t>
      </w:r>
      <w:r w:rsidR="003C584E">
        <w:t>–</w:t>
      </w:r>
      <w:r w:rsidR="00111368">
        <w:t xml:space="preserve"> </w:t>
      </w:r>
      <w:r w:rsidR="00422BA9">
        <w:t xml:space="preserve">Potential to miss out on opportunity for meeting </w:t>
      </w:r>
      <w:r w:rsidR="00FA2C18">
        <w:t>order requirements</w:t>
      </w:r>
      <w:r w:rsidR="00422BA9">
        <w:t>.</w:t>
      </w:r>
    </w:p>
    <w:p w14:paraId="05939662" w14:textId="20407264" w:rsidR="0084758B" w:rsidRDefault="0084758B" w:rsidP="00672446">
      <w:pPr>
        <w:pStyle w:val="ListParagraph"/>
        <w:numPr>
          <w:ilvl w:val="0"/>
          <w:numId w:val="8"/>
        </w:numPr>
        <w:spacing w:line="360" w:lineRule="auto"/>
        <w:jc w:val="both"/>
      </w:pPr>
      <w:r>
        <w:t>Instable manufacturing process</w:t>
      </w:r>
      <w:r w:rsidR="00422BA9">
        <w:t xml:space="preserve"> – Leading to delay</w:t>
      </w:r>
      <w:r w:rsidR="00604A80">
        <w:t>,</w:t>
      </w:r>
      <w:r w:rsidR="00422BA9">
        <w:t xml:space="preserve"> missed </w:t>
      </w:r>
      <w:r w:rsidR="00784A04">
        <w:t>opportunity and increased costs</w:t>
      </w:r>
      <w:r w:rsidR="00422BA9">
        <w:t>.</w:t>
      </w:r>
    </w:p>
    <w:p w14:paraId="4A630362" w14:textId="23F91423" w:rsidR="0084758B" w:rsidRDefault="0084758B" w:rsidP="00672446">
      <w:pPr>
        <w:pStyle w:val="ListParagraph"/>
        <w:numPr>
          <w:ilvl w:val="0"/>
          <w:numId w:val="8"/>
        </w:numPr>
        <w:spacing w:line="360" w:lineRule="auto"/>
        <w:jc w:val="both"/>
      </w:pPr>
      <w:r>
        <w:t>Poor quality</w:t>
      </w:r>
      <w:r w:rsidR="00AA127C">
        <w:t xml:space="preserve"> – Can result in the loss of customers.</w:t>
      </w:r>
    </w:p>
    <w:p w14:paraId="03FF261E" w14:textId="5DC055F6" w:rsidR="0084758B" w:rsidRDefault="0084758B" w:rsidP="00672446">
      <w:pPr>
        <w:pStyle w:val="ListParagraph"/>
        <w:numPr>
          <w:ilvl w:val="0"/>
          <w:numId w:val="8"/>
        </w:numPr>
        <w:spacing w:line="360" w:lineRule="auto"/>
        <w:jc w:val="both"/>
      </w:pPr>
      <w:r>
        <w:t>Production flexibility</w:t>
      </w:r>
      <w:r w:rsidR="00613476">
        <w:t xml:space="preserve"> – The ability to switch between steel grades quickly and seamlessly</w:t>
      </w:r>
      <w:r w:rsidR="00E717B9">
        <w:t>.</w:t>
      </w:r>
    </w:p>
    <w:p w14:paraId="3023B7FB" w14:textId="5B2AA95E" w:rsidR="0084758B" w:rsidRDefault="00BF5BCA" w:rsidP="00672446">
      <w:pPr>
        <w:pStyle w:val="ListParagraph"/>
        <w:numPr>
          <w:ilvl w:val="0"/>
          <w:numId w:val="8"/>
        </w:numPr>
        <w:spacing w:line="360" w:lineRule="auto"/>
        <w:jc w:val="both"/>
      </w:pPr>
      <w:r>
        <w:t>Technological changes</w:t>
      </w:r>
      <w:r w:rsidR="00E717B9">
        <w:t xml:space="preserve"> – Not keeping up with technological advances such as new green steelmaking processes</w:t>
      </w:r>
      <w:r w:rsidR="007A7983">
        <w:t xml:space="preserve"> or failing to implement changes efficiently.</w:t>
      </w:r>
    </w:p>
    <w:p w14:paraId="13698296" w14:textId="3C8C2472" w:rsidR="00155E63" w:rsidRDefault="00155E63" w:rsidP="00672446">
      <w:pPr>
        <w:pStyle w:val="ListParagraph"/>
        <w:numPr>
          <w:ilvl w:val="0"/>
          <w:numId w:val="8"/>
        </w:numPr>
        <w:spacing w:line="360" w:lineRule="auto"/>
        <w:jc w:val="both"/>
      </w:pPr>
      <w:r>
        <w:t>Design changes</w:t>
      </w:r>
      <w:r w:rsidR="00055E0D">
        <w:t xml:space="preserve"> - Can lead to delay and increased costs if not planned correctly.</w:t>
      </w:r>
    </w:p>
    <w:p w14:paraId="78BF0BB8" w14:textId="3A82CF51" w:rsidR="003B4C8F" w:rsidRDefault="007C3039" w:rsidP="00672446">
      <w:pPr>
        <w:pStyle w:val="ListParagraph"/>
        <w:numPr>
          <w:ilvl w:val="0"/>
          <w:numId w:val="8"/>
        </w:numPr>
        <w:spacing w:line="360" w:lineRule="auto"/>
        <w:jc w:val="both"/>
      </w:pPr>
      <w:r>
        <w:t>Lack of capacity</w:t>
      </w:r>
      <w:r w:rsidR="00055E0D">
        <w:t xml:space="preserve"> </w:t>
      </w:r>
      <w:r w:rsidR="00D247B4">
        <w:t>–</w:t>
      </w:r>
      <w:r w:rsidR="00055E0D">
        <w:t xml:space="preserve"> </w:t>
      </w:r>
      <w:r w:rsidR="00D247B4">
        <w:t xml:space="preserve">Failing to meet </w:t>
      </w:r>
      <w:r w:rsidR="00396B7B">
        <w:t>customer demand.</w:t>
      </w:r>
    </w:p>
    <w:p w14:paraId="1494207B" w14:textId="0F7CB985" w:rsidR="00036387" w:rsidRDefault="00036387" w:rsidP="00672446">
      <w:pPr>
        <w:pStyle w:val="ListParagraph"/>
        <w:numPr>
          <w:ilvl w:val="0"/>
          <w:numId w:val="8"/>
        </w:numPr>
        <w:spacing w:line="360" w:lineRule="auto"/>
        <w:jc w:val="both"/>
      </w:pPr>
      <w:r>
        <w:t>Safety incidents</w:t>
      </w:r>
      <w:r w:rsidR="00396B7B">
        <w:t xml:space="preserve"> </w:t>
      </w:r>
      <w:r w:rsidR="00D656EE">
        <w:t>–</w:t>
      </w:r>
      <w:r w:rsidR="00396B7B">
        <w:t xml:space="preserve"> </w:t>
      </w:r>
      <w:r w:rsidR="00D656EE">
        <w:t>Can lead to lengthy delay and significant costs.</w:t>
      </w:r>
    </w:p>
    <w:p w14:paraId="319F7773" w14:textId="77777777" w:rsidR="008F55D3" w:rsidRDefault="008F55D3" w:rsidP="008F55D3">
      <w:pPr>
        <w:pStyle w:val="ListParagraph"/>
        <w:numPr>
          <w:ilvl w:val="0"/>
          <w:numId w:val="8"/>
        </w:numPr>
        <w:spacing w:line="360" w:lineRule="auto"/>
        <w:jc w:val="both"/>
      </w:pPr>
      <w:r>
        <w:t>Information infrastructure breakdown.</w:t>
      </w:r>
    </w:p>
    <w:p w14:paraId="4DB635CB" w14:textId="77777777" w:rsidR="008F55D3" w:rsidRDefault="008F55D3" w:rsidP="008F55D3">
      <w:pPr>
        <w:pStyle w:val="ListParagraph"/>
        <w:numPr>
          <w:ilvl w:val="0"/>
          <w:numId w:val="8"/>
        </w:numPr>
        <w:spacing w:line="360" w:lineRule="auto"/>
        <w:jc w:val="both"/>
      </w:pPr>
      <w:r>
        <w:t>Information delays.</w:t>
      </w:r>
    </w:p>
    <w:p w14:paraId="6F8738EB" w14:textId="3E5E4DD3" w:rsidR="008F55D3" w:rsidRDefault="008F55D3" w:rsidP="008F55D3">
      <w:pPr>
        <w:pStyle w:val="ListParagraph"/>
        <w:numPr>
          <w:ilvl w:val="0"/>
          <w:numId w:val="8"/>
        </w:numPr>
        <w:spacing w:line="360" w:lineRule="auto"/>
        <w:jc w:val="both"/>
      </w:pPr>
      <w:r>
        <w:t>Lack of compatibility of IT platforms along the SC.</w:t>
      </w:r>
    </w:p>
    <w:p w14:paraId="6B1774FA" w14:textId="0482B4E0" w:rsidR="006B4E01" w:rsidRDefault="0056176B" w:rsidP="00D47B8E">
      <w:pPr>
        <w:spacing w:line="360" w:lineRule="auto"/>
        <w:jc w:val="both"/>
      </w:pPr>
      <w:r>
        <w:t>Any of these could lead to downstream supply delays</w:t>
      </w:r>
      <w:r w:rsidR="00643EC2">
        <w:t xml:space="preserve"> and disrupt the SC </w:t>
      </w:r>
      <w:r w:rsidR="009025C1">
        <w:fldChar w:fldCharType="begin"/>
      </w:r>
      <w:r w:rsidR="00BD44E7">
        <w:instrText xml:space="preserve"> ADDIN ZOTERO_ITEM CSL_CITATION {"citationID":"wAUf3IcG","properties":{"formattedCitation":"(Tummala and Schoenherr 2011)","plainCitation":"(Tummala and Schoenherr 2011)","noteIndex":0},"citationItems":[{"id":1554,"uris":["http://zotero.org/users/local/AB2owHL2/items/7R4YC783"],"itemData":{"id":1554,"type":"article-journal","abstract":"Purpose - The purpose of this paper is to propose a comprehensive and coherent approach for managing risks in supply chains. Design/methodology/approach - Building on Tummala et al.'s Risk Management Process (RMP), this paper develops a structured and ready-to-use approach for managers to assess and manage risks in supply chains. Findings - Supply chain risks can be managed more effectively when applying the Supply Chain Risk Management Process (SCRMP). The structured approach can be divided into the phases of risk identification, risk measurement and risk assessment; risk evaluation, and risk mitigation and contingency plans; and risk control and monitoring via data management systems. Specific techniques for conducting this process are suggested. Originality/value - While supply chain risk management is an emerging and important topic in our dynamic and interconnected world, conceptual frameworks providing a clear meaning and normative guidance are scarce (Manuj and Mentzer, 2008). This paper presents such a framework, offering structure and decision support for managers.[PUBLICATION ABSTRACT]","container-title":"Supply Chain Management","DOI":"http://dx.doi.org.ezproxy.uwtsd.ac.uk/10.1108/13598541111171165","ISSN":"13598546","issue":"6","language":"English","note":"number-of-pages: 474-483\npublisher-place: Bradford, United Kingdom\npublisher: Emerald Group Publishing Limited","page":"474-483","source":"ProQuest","title":"Assessing and managing risks using the Supply Chain Risk Management Process (SCRMP)","URL":"http://www.proquest.com/docview/895358914/abstract/8B6D06B6A33C49C8PQ/1","volume":"16","author":[{"family":"Tummala","given":"Rao"},{"family":"Schoenherr","given":"Tobias"}],"accessed":{"date-parts":[["2022",3,21]]},"issued":{"date-parts":[["2011"]]}}}],"schema":"https://github.com/citation-style-language/schema/raw/master/csl-citation.json"} </w:instrText>
      </w:r>
      <w:r w:rsidR="009025C1">
        <w:fldChar w:fldCharType="separate"/>
      </w:r>
      <w:r w:rsidR="00BD44E7" w:rsidRPr="00BD44E7">
        <w:rPr>
          <w:rFonts w:ascii="Calibri" w:hAnsi="Calibri" w:cs="Calibri"/>
        </w:rPr>
        <w:t>(Tummala and Schoenherr 2011)</w:t>
      </w:r>
      <w:r w:rsidR="009025C1">
        <w:fldChar w:fldCharType="end"/>
      </w:r>
      <w:r w:rsidR="00643EC2">
        <w:t>.</w:t>
      </w:r>
      <w:r>
        <w:t xml:space="preserve"> </w:t>
      </w:r>
    </w:p>
    <w:p w14:paraId="040BF7F9" w14:textId="7CBC2396" w:rsidR="00995A13" w:rsidRPr="00995A13" w:rsidRDefault="007000AC" w:rsidP="006D5D5B">
      <w:pPr>
        <w:pStyle w:val="Heading2"/>
        <w:spacing w:line="360" w:lineRule="auto"/>
        <w:jc w:val="both"/>
      </w:pPr>
      <w:bookmarkStart w:id="10" w:name="_Toc101469651"/>
      <w:r>
        <w:t xml:space="preserve">Control </w:t>
      </w:r>
      <w:r w:rsidR="00C80F6D">
        <w:t>Risk</w:t>
      </w:r>
      <w:bookmarkEnd w:id="10"/>
    </w:p>
    <w:p w14:paraId="52EF7DFD" w14:textId="3C1431C5" w:rsidR="0011139E" w:rsidRDefault="00D234FA" w:rsidP="004B1001">
      <w:pPr>
        <w:pStyle w:val="ListParagraph"/>
        <w:numPr>
          <w:ilvl w:val="0"/>
          <w:numId w:val="10"/>
        </w:numPr>
        <w:spacing w:line="360" w:lineRule="auto"/>
        <w:jc w:val="both"/>
      </w:pPr>
      <w:r>
        <w:t>Low technical</w:t>
      </w:r>
      <w:r w:rsidR="00DA1659">
        <w:t xml:space="preserve"> reliability</w:t>
      </w:r>
      <w:r w:rsidR="00B52A75">
        <w:t>.</w:t>
      </w:r>
    </w:p>
    <w:p w14:paraId="5E64DD83" w14:textId="65970F7A" w:rsidR="004606EB" w:rsidRDefault="00333117" w:rsidP="004B1001">
      <w:pPr>
        <w:pStyle w:val="ListParagraph"/>
        <w:numPr>
          <w:ilvl w:val="0"/>
          <w:numId w:val="10"/>
        </w:numPr>
        <w:spacing w:line="360" w:lineRule="auto"/>
        <w:jc w:val="both"/>
      </w:pPr>
      <w:r>
        <w:t>Lead time for processing of payments</w:t>
      </w:r>
      <w:r w:rsidR="00B52A75">
        <w:t>.</w:t>
      </w:r>
    </w:p>
    <w:p w14:paraId="25716258" w14:textId="26B19E03" w:rsidR="007A55D4" w:rsidRDefault="009A0B18" w:rsidP="007A55D4">
      <w:pPr>
        <w:pStyle w:val="ListParagraph"/>
        <w:numPr>
          <w:ilvl w:val="0"/>
          <w:numId w:val="10"/>
        </w:numPr>
        <w:spacing w:line="360" w:lineRule="auto"/>
        <w:jc w:val="both"/>
      </w:pPr>
      <w:r>
        <w:t xml:space="preserve">Credit </w:t>
      </w:r>
      <w:r w:rsidR="00D97AF9">
        <w:t>periods for accounts payable and receivable.</w:t>
      </w:r>
    </w:p>
    <w:p w14:paraId="0A940004" w14:textId="3E13D057" w:rsidR="005C7F2F" w:rsidRDefault="005C7F2F" w:rsidP="007A55D4">
      <w:pPr>
        <w:pStyle w:val="ListParagraph"/>
        <w:numPr>
          <w:ilvl w:val="0"/>
          <w:numId w:val="10"/>
        </w:numPr>
        <w:spacing w:line="360" w:lineRule="auto"/>
        <w:jc w:val="both"/>
      </w:pPr>
      <w:r>
        <w:t>Quality control.</w:t>
      </w:r>
    </w:p>
    <w:p w14:paraId="3306FE08" w14:textId="6F39BAC5" w:rsidR="00F46045" w:rsidRDefault="000004D5" w:rsidP="004B1001">
      <w:pPr>
        <w:pStyle w:val="ListParagraph"/>
        <w:numPr>
          <w:ilvl w:val="0"/>
          <w:numId w:val="10"/>
        </w:numPr>
        <w:spacing w:line="360" w:lineRule="auto"/>
        <w:jc w:val="both"/>
      </w:pPr>
      <w:r>
        <w:t xml:space="preserve">Stock </w:t>
      </w:r>
      <w:r w:rsidR="00F46045">
        <w:t>management</w:t>
      </w:r>
      <w:r w:rsidR="00B52A75">
        <w:t>.</w:t>
      </w:r>
    </w:p>
    <w:p w14:paraId="077663F1" w14:textId="3154A913" w:rsidR="009A0B18" w:rsidRDefault="00F46045" w:rsidP="004B1001">
      <w:pPr>
        <w:pStyle w:val="ListParagraph"/>
        <w:numPr>
          <w:ilvl w:val="0"/>
          <w:numId w:val="10"/>
        </w:numPr>
        <w:spacing w:line="360" w:lineRule="auto"/>
        <w:jc w:val="both"/>
      </w:pPr>
      <w:r>
        <w:t>Working conditions</w:t>
      </w:r>
      <w:r w:rsidR="000C737C">
        <w:t>.</w:t>
      </w:r>
    </w:p>
    <w:p w14:paraId="6C7F3A74" w14:textId="4B3892B2" w:rsidR="008E2516" w:rsidRDefault="008E2516" w:rsidP="004B1001">
      <w:pPr>
        <w:pStyle w:val="ListParagraph"/>
        <w:numPr>
          <w:ilvl w:val="0"/>
          <w:numId w:val="10"/>
        </w:numPr>
        <w:spacing w:line="360" w:lineRule="auto"/>
        <w:jc w:val="both"/>
      </w:pPr>
      <w:r>
        <w:t>Supplier and customer polic</w:t>
      </w:r>
      <w:r w:rsidR="006D5D5B">
        <w:t>ies.</w:t>
      </w:r>
    </w:p>
    <w:p w14:paraId="06138570" w14:textId="03CC2FC5" w:rsidR="00DB527C" w:rsidRDefault="00DB527C" w:rsidP="00DB527C">
      <w:pPr>
        <w:pStyle w:val="ListParagraph"/>
        <w:numPr>
          <w:ilvl w:val="0"/>
          <w:numId w:val="10"/>
        </w:numPr>
        <w:spacing w:line="360" w:lineRule="auto"/>
        <w:jc w:val="both"/>
      </w:pPr>
      <w:r>
        <w:lastRenderedPageBreak/>
        <w:t>Poor customer service</w:t>
      </w:r>
      <w:r w:rsidR="005C7F2F">
        <w:t>.</w:t>
      </w:r>
    </w:p>
    <w:p w14:paraId="2E16D4FF" w14:textId="74D6040E" w:rsidR="002A7720" w:rsidRDefault="002A7720" w:rsidP="004B1001">
      <w:pPr>
        <w:pStyle w:val="ListParagraph"/>
        <w:numPr>
          <w:ilvl w:val="0"/>
          <w:numId w:val="10"/>
        </w:numPr>
        <w:spacing w:line="360" w:lineRule="auto"/>
        <w:jc w:val="both"/>
      </w:pPr>
      <w:r>
        <w:t>Lean inventory.</w:t>
      </w:r>
    </w:p>
    <w:p w14:paraId="2A9C0E15" w14:textId="1ED21C42" w:rsidR="00C0459A" w:rsidRDefault="00C0459A" w:rsidP="00C0459A">
      <w:pPr>
        <w:spacing w:line="360" w:lineRule="auto"/>
        <w:jc w:val="both"/>
      </w:pPr>
      <w:r>
        <w:fldChar w:fldCharType="begin"/>
      </w:r>
      <w:r w:rsidR="00BD44E7">
        <w:instrText xml:space="preserve"> ADDIN ZOTERO_ITEM CSL_CITATION {"citationID":"HNKqcZE2","properties":{"formattedCitation":"(Christopher 2011)","plainCitation":"(Christopher 2011)","noteIndex":0},"citationItems":[{"id":1537,"uris":["http://zotero.org/users/local/AB2owHL2/items/DPWVTJGT"],"itemData":{"id":1537,"type":"book","edition":"Fourth","event-place":"Harlow United Kingdom","ISBN":"978-0-273-73112-2","publisher":"Prentice Hall","publisher-place":"Harlow United Kingdom","title":"Logistics &amp; Supply Chain Management","author":[{"family":"Christopher","given":"Martin"}],"issued":{"date-parts":[["2011"]]}}}],"schema":"https://github.com/citation-style-language/schema/raw/master/csl-citation.json"} </w:instrText>
      </w:r>
      <w:r>
        <w:fldChar w:fldCharType="separate"/>
      </w:r>
      <w:r w:rsidR="00BD44E7" w:rsidRPr="00BD44E7">
        <w:rPr>
          <w:rFonts w:ascii="Calibri" w:hAnsi="Calibri" w:cs="Calibri"/>
        </w:rPr>
        <w:t>(Christopher 2011)</w:t>
      </w:r>
      <w:r>
        <w:fldChar w:fldCharType="end"/>
      </w:r>
    </w:p>
    <w:p w14:paraId="25AFF6FA" w14:textId="632CBC72" w:rsidR="00897BEE" w:rsidRDefault="00897BEE" w:rsidP="00897BEE">
      <w:pPr>
        <w:pStyle w:val="Heading2"/>
        <w:spacing w:line="360" w:lineRule="auto"/>
        <w:jc w:val="both"/>
      </w:pPr>
      <w:bookmarkStart w:id="11" w:name="_Toc101469652"/>
      <w:r>
        <w:t xml:space="preserve">Demand </w:t>
      </w:r>
      <w:r w:rsidR="00C80F6D">
        <w:t>Risk</w:t>
      </w:r>
      <w:bookmarkEnd w:id="11"/>
    </w:p>
    <w:p w14:paraId="44DE672A" w14:textId="19301414" w:rsidR="00897BEE" w:rsidRDefault="003E1FA3" w:rsidP="00897BEE">
      <w:pPr>
        <w:spacing w:line="360" w:lineRule="auto"/>
        <w:jc w:val="both"/>
      </w:pPr>
      <w:r>
        <w:t>Steel c</w:t>
      </w:r>
      <w:r w:rsidR="00F7698B">
        <w:t>ome in many forms such as sheets, coil, bar, wire, tube, pipe and rail</w:t>
      </w:r>
      <w:r w:rsidR="00F20632">
        <w:t xml:space="preserve"> sections and supply many different industries</w:t>
      </w:r>
      <w:r w:rsidR="0057439A">
        <w:t xml:space="preserve"> </w:t>
      </w:r>
      <w:r w:rsidR="009C66F5">
        <w:fldChar w:fldCharType="begin"/>
      </w:r>
      <w:r w:rsidR="00BD44E7">
        <w:instrText xml:space="preserve"> ADDIN ZOTERO_ITEM CSL_CITATION {"citationID":"vtlOjDW6","properties":{"formattedCitation":"(Otsuka et al. 2017)","plainCitation":"(Otsuka et al. 2017)","noteIndex":0},"citationItems":[{"id":1548,"uris":["http://zotero.org/users/local/AB2owHL2/items/VIY8X52D"],"itemData":{"id":1548,"type":"report","event-place":"Paris","language":"en","number":"DSTI/SC(2017)4","page":"46","publisher":"Organisation for Economic Co-operation and Development","publisher-place":"Paris","source":"Zotero","title":"A first look at the steel industry in the context of global value chains","author":[{"family":"Otsuka","given":"Hokuto"},{"family":"Mattera","given":"Gianpiero"},{"family":"Silva","given":"Filipe"}],"issued":{"date-parts":[["2017"]]}}}],"schema":"https://github.com/citation-style-language/schema/raw/master/csl-citation.json"} </w:instrText>
      </w:r>
      <w:r w:rsidR="009C66F5">
        <w:fldChar w:fldCharType="separate"/>
      </w:r>
      <w:r w:rsidR="00BD44E7" w:rsidRPr="00BD44E7">
        <w:rPr>
          <w:rFonts w:ascii="Calibri" w:hAnsi="Calibri" w:cs="Calibri"/>
        </w:rPr>
        <w:t>(Otsuka et al. 2017)</w:t>
      </w:r>
      <w:r w:rsidR="009C66F5">
        <w:fldChar w:fldCharType="end"/>
      </w:r>
      <w:r w:rsidR="00211A7A">
        <w:t>.</w:t>
      </w:r>
      <w:r w:rsidR="00C80F6D">
        <w:t xml:space="preserve"> Risks to the </w:t>
      </w:r>
      <w:r w:rsidR="006159D5">
        <w:t>upstream supply chain</w:t>
      </w:r>
      <w:r w:rsidR="001B0B96">
        <w:t xml:space="preserve"> as explained by </w:t>
      </w:r>
      <w:r w:rsidR="001B0B96">
        <w:fldChar w:fldCharType="begin"/>
      </w:r>
      <w:r w:rsidR="00BD44E7">
        <w:instrText xml:space="preserve"> ADDIN ZOTERO_ITEM CSL_CITATION {"citationID":"2mLHC93U","properties":{"formattedCitation":"(Ho et al. 2015)","plainCitation":"(Ho et al. 2015)","noteIndex":0},"citationItems":[{"id":1532,"uris":["http://zotero.org/users/local/AB2owHL2/items/CLWUES3X"],"itemData":{"id":1532,"type":"article-journal","abstract":"Risk management plays a vital role in effectively operating supply chains in the presence of a variety of uncertainties. Over the years, many researchers have focused on supply chain risk management (SCRM) by contributing in the areas of defining, operationalizing, and mitigating risks. In this paper, we review and synthesize the extant literature in SCRM in the past decade in a comprehensive manner. The purpose of this paper is three-fold. First, we present and categorize SCRM research appearing between 2003 and 2013. Second, we undertake a detailed review associated with research developments in supply chain risk definitions, risk types, risk factors, and risk management/mitigation strategies. Third, we analyze the SCRM literature in exploring potential gaps.","container-title":"International Journal of Production Research","DOI":"10.1080/00207543.2015.1030467","ISSN":"0020-7543, 1366-588X","issue":"16","journalAbbreviation":"International Journal of Production Research","language":"en","page":"5031-5069","source":"DOI.org (Crossref)","title":"Supply chain risk management: a literature review","title-short":"Supply chain risk management","URL":"http://www.tandfonline.com/doi/full/10.1080/00207543.2015.1030467","volume":"53","author":[{"family":"Ho","given":"William"},{"family":"Zheng","given":"Tian"},{"family":"Yildiz","given":"Hakan"},{"family":"Talluri","given":"Srinivas"}],"accessed":{"date-parts":[["2022",3,8]]},"issued":{"date-parts":[["2015",8,18]]}}}],"schema":"https://github.com/citation-style-language/schema/raw/master/csl-citation.json"} </w:instrText>
      </w:r>
      <w:r w:rsidR="001B0B96">
        <w:fldChar w:fldCharType="separate"/>
      </w:r>
      <w:r w:rsidR="00BD44E7" w:rsidRPr="00BD44E7">
        <w:rPr>
          <w:rFonts w:ascii="Calibri" w:hAnsi="Calibri" w:cs="Calibri"/>
        </w:rPr>
        <w:t>(Ho et al. 2015)</w:t>
      </w:r>
      <w:r w:rsidR="001B0B96">
        <w:fldChar w:fldCharType="end"/>
      </w:r>
      <w:r w:rsidR="006159D5">
        <w:t xml:space="preserve"> are as follows:</w:t>
      </w:r>
    </w:p>
    <w:p w14:paraId="627A8D41" w14:textId="44A153D3" w:rsidR="006159D5" w:rsidRDefault="006159D5" w:rsidP="006159D5">
      <w:pPr>
        <w:pStyle w:val="ListParagraph"/>
        <w:numPr>
          <w:ilvl w:val="0"/>
          <w:numId w:val="11"/>
        </w:numPr>
        <w:spacing w:line="360" w:lineRule="auto"/>
        <w:jc w:val="both"/>
      </w:pPr>
      <w:r>
        <w:t>Inaccurate demand forecasts</w:t>
      </w:r>
      <w:r w:rsidR="00FD4355">
        <w:t>.</w:t>
      </w:r>
    </w:p>
    <w:p w14:paraId="690BDB24" w14:textId="619FA59D" w:rsidR="006159D5" w:rsidRDefault="00B92989" w:rsidP="006159D5">
      <w:pPr>
        <w:pStyle w:val="ListParagraph"/>
        <w:numPr>
          <w:ilvl w:val="0"/>
          <w:numId w:val="11"/>
        </w:numPr>
        <w:spacing w:line="360" w:lineRule="auto"/>
        <w:jc w:val="both"/>
      </w:pPr>
      <w:r>
        <w:t>Information distortion (bullwhip effect)</w:t>
      </w:r>
      <w:r w:rsidR="00FD4355">
        <w:t>.</w:t>
      </w:r>
    </w:p>
    <w:p w14:paraId="5AC6A5E4" w14:textId="77610F94" w:rsidR="00B92989" w:rsidRDefault="00B92989" w:rsidP="006159D5">
      <w:pPr>
        <w:pStyle w:val="ListParagraph"/>
        <w:numPr>
          <w:ilvl w:val="0"/>
          <w:numId w:val="11"/>
        </w:numPr>
        <w:spacing w:line="360" w:lineRule="auto"/>
        <w:jc w:val="both"/>
      </w:pPr>
      <w:r>
        <w:t>Demand uncertainty</w:t>
      </w:r>
      <w:r w:rsidR="00FD4355">
        <w:t>.</w:t>
      </w:r>
    </w:p>
    <w:p w14:paraId="786C7BF4" w14:textId="294F9FF7" w:rsidR="0030052E" w:rsidRDefault="0030052E" w:rsidP="006159D5">
      <w:pPr>
        <w:pStyle w:val="ListParagraph"/>
        <w:numPr>
          <w:ilvl w:val="0"/>
          <w:numId w:val="11"/>
        </w:numPr>
        <w:spacing w:line="360" w:lineRule="auto"/>
        <w:jc w:val="both"/>
      </w:pPr>
      <w:r>
        <w:t>Inventory holding costs.</w:t>
      </w:r>
    </w:p>
    <w:p w14:paraId="782CA913" w14:textId="23747860" w:rsidR="00FD4355" w:rsidRDefault="00FD4355" w:rsidP="00FD4355">
      <w:pPr>
        <w:pStyle w:val="ListParagraph"/>
        <w:numPr>
          <w:ilvl w:val="0"/>
          <w:numId w:val="11"/>
        </w:numPr>
        <w:spacing w:line="360" w:lineRule="auto"/>
        <w:jc w:val="both"/>
      </w:pPr>
      <w:r>
        <w:t>Customer dependency</w:t>
      </w:r>
      <w:r w:rsidR="0015265B">
        <w:t xml:space="preserve"> – Can drive up prices and </w:t>
      </w:r>
      <w:proofErr w:type="spellStart"/>
      <w:r w:rsidR="00AE3AE1">
        <w:t>increase</w:t>
      </w:r>
      <w:proofErr w:type="spellEnd"/>
      <w:r w:rsidR="00AE3AE1">
        <w:t xml:space="preserve"> risk.</w:t>
      </w:r>
    </w:p>
    <w:p w14:paraId="7B36F6E7" w14:textId="05B42122" w:rsidR="00FD4355" w:rsidRDefault="00EA2DED" w:rsidP="00FD4355">
      <w:pPr>
        <w:pStyle w:val="ListParagraph"/>
        <w:numPr>
          <w:ilvl w:val="0"/>
          <w:numId w:val="11"/>
        </w:numPr>
        <w:spacing w:line="360" w:lineRule="auto"/>
        <w:jc w:val="both"/>
      </w:pPr>
      <w:r>
        <w:t>Competitive markets</w:t>
      </w:r>
      <w:r w:rsidR="00F83C8F">
        <w:t xml:space="preserve"> – Chinese steel imports.</w:t>
      </w:r>
    </w:p>
    <w:p w14:paraId="337C42F2" w14:textId="0D9E42E1" w:rsidR="00EA2DED" w:rsidRDefault="00EA2DED" w:rsidP="00FD4355">
      <w:pPr>
        <w:pStyle w:val="ListParagraph"/>
        <w:numPr>
          <w:ilvl w:val="0"/>
          <w:numId w:val="11"/>
        </w:numPr>
        <w:spacing w:line="360" w:lineRule="auto"/>
        <w:jc w:val="both"/>
      </w:pPr>
      <w:r>
        <w:t>Order fulfilment issues</w:t>
      </w:r>
      <w:r w:rsidR="00C30278">
        <w:t xml:space="preserve"> – Material quality, </w:t>
      </w:r>
      <w:r w:rsidR="00F83C8F">
        <w:t>correct coil weight and size.</w:t>
      </w:r>
    </w:p>
    <w:p w14:paraId="5F217CF6" w14:textId="0B7862AC" w:rsidR="005932A5" w:rsidRDefault="008D6776" w:rsidP="00FD4355">
      <w:pPr>
        <w:pStyle w:val="ListParagraph"/>
        <w:numPr>
          <w:ilvl w:val="0"/>
          <w:numId w:val="11"/>
        </w:numPr>
        <w:spacing w:line="360" w:lineRule="auto"/>
        <w:jc w:val="both"/>
      </w:pPr>
      <w:r>
        <w:t>Delivery issues</w:t>
      </w:r>
      <w:r w:rsidR="00E64001">
        <w:t xml:space="preserve"> </w:t>
      </w:r>
      <w:r w:rsidR="00D408A9">
        <w:t>– Ontime</w:t>
      </w:r>
      <w:r w:rsidR="00F83C8F">
        <w:t>,</w:t>
      </w:r>
      <w:r w:rsidR="00C30278">
        <w:t xml:space="preserve"> on budget delivery.</w:t>
      </w:r>
    </w:p>
    <w:p w14:paraId="5974616A" w14:textId="4D75EE83" w:rsidR="008D6776" w:rsidRDefault="008D6776" w:rsidP="00FD4355">
      <w:pPr>
        <w:pStyle w:val="ListParagraph"/>
        <w:numPr>
          <w:ilvl w:val="0"/>
          <w:numId w:val="11"/>
        </w:numPr>
        <w:spacing w:line="360" w:lineRule="auto"/>
        <w:jc w:val="both"/>
      </w:pPr>
      <w:r>
        <w:t>Logistics</w:t>
      </w:r>
      <w:r w:rsidR="006D2057">
        <w:t xml:space="preserve"> issues</w:t>
      </w:r>
      <w:r w:rsidR="0011775B">
        <w:t xml:space="preserve"> – Lorry/train driver strikes, </w:t>
      </w:r>
      <w:r w:rsidR="004459F9">
        <w:t>damages, breakdown</w:t>
      </w:r>
      <w:r w:rsidR="00E64001">
        <w:t>s and custom or border issues.</w:t>
      </w:r>
    </w:p>
    <w:p w14:paraId="0DFD1CA5" w14:textId="3446812A" w:rsidR="001B0B96" w:rsidRDefault="001B0B96" w:rsidP="001B0B96">
      <w:pPr>
        <w:spacing w:line="360" w:lineRule="auto"/>
        <w:jc w:val="both"/>
        <w:rPr>
          <w:rStyle w:val="Heading2Char"/>
        </w:rPr>
      </w:pPr>
      <w:bookmarkStart w:id="12" w:name="_Toc101469653"/>
      <w:r w:rsidRPr="00FD17F5">
        <w:rPr>
          <w:rStyle w:val="Heading2Char"/>
        </w:rPr>
        <w:t>Environmental or Disruption</w:t>
      </w:r>
      <w:bookmarkEnd w:id="12"/>
    </w:p>
    <w:p w14:paraId="0DABF69A" w14:textId="1C097019" w:rsidR="00FD17F5" w:rsidRDefault="00FD17F5" w:rsidP="00FD17F5">
      <w:pPr>
        <w:spacing w:line="360" w:lineRule="auto"/>
        <w:jc w:val="both"/>
      </w:pPr>
      <w:r>
        <w:t xml:space="preserve">Acts of </w:t>
      </w:r>
      <w:r w:rsidR="00571B7B">
        <w:t>God</w:t>
      </w:r>
      <w:r w:rsidR="006C228E">
        <w:t xml:space="preserve"> or events out of human control, examples include:</w:t>
      </w:r>
    </w:p>
    <w:p w14:paraId="168B37BC" w14:textId="644BE25F" w:rsidR="006C228E" w:rsidRDefault="006C228E" w:rsidP="006C228E">
      <w:pPr>
        <w:pStyle w:val="ListParagraph"/>
        <w:numPr>
          <w:ilvl w:val="0"/>
          <w:numId w:val="13"/>
        </w:numPr>
        <w:spacing w:line="360" w:lineRule="auto"/>
        <w:jc w:val="both"/>
      </w:pPr>
      <w:r>
        <w:t>Natural disasters</w:t>
      </w:r>
    </w:p>
    <w:p w14:paraId="606992E9" w14:textId="68698E10" w:rsidR="006C228E" w:rsidRDefault="00465896" w:rsidP="006C228E">
      <w:pPr>
        <w:pStyle w:val="ListParagraph"/>
        <w:numPr>
          <w:ilvl w:val="0"/>
          <w:numId w:val="13"/>
        </w:numPr>
        <w:spacing w:line="360" w:lineRule="auto"/>
        <w:jc w:val="both"/>
      </w:pPr>
      <w:r>
        <w:t>War and terrorism</w:t>
      </w:r>
    </w:p>
    <w:p w14:paraId="0E61321A" w14:textId="6FC81E59" w:rsidR="00465896" w:rsidRDefault="00465896" w:rsidP="006C228E">
      <w:pPr>
        <w:pStyle w:val="ListParagraph"/>
        <w:numPr>
          <w:ilvl w:val="0"/>
          <w:numId w:val="13"/>
        </w:numPr>
        <w:spacing w:line="360" w:lineRule="auto"/>
        <w:jc w:val="both"/>
      </w:pPr>
      <w:r>
        <w:t>Political instability</w:t>
      </w:r>
    </w:p>
    <w:p w14:paraId="31A107F6" w14:textId="7EC195D3" w:rsidR="00465896" w:rsidRDefault="0087116B" w:rsidP="006C228E">
      <w:pPr>
        <w:pStyle w:val="ListParagraph"/>
        <w:numPr>
          <w:ilvl w:val="0"/>
          <w:numId w:val="13"/>
        </w:numPr>
        <w:spacing w:line="360" w:lineRule="auto"/>
        <w:jc w:val="both"/>
      </w:pPr>
      <w:r>
        <w:t xml:space="preserve">Economic recessions </w:t>
      </w:r>
    </w:p>
    <w:p w14:paraId="472D15E3" w14:textId="6A99F9D9" w:rsidR="0059739F" w:rsidRDefault="0059739F" w:rsidP="006C228E">
      <w:pPr>
        <w:pStyle w:val="ListParagraph"/>
        <w:numPr>
          <w:ilvl w:val="0"/>
          <w:numId w:val="13"/>
        </w:numPr>
        <w:spacing w:line="360" w:lineRule="auto"/>
        <w:jc w:val="both"/>
      </w:pPr>
      <w:r>
        <w:t>Large accidents</w:t>
      </w:r>
    </w:p>
    <w:p w14:paraId="757C6003" w14:textId="5024B149" w:rsidR="006B4E01" w:rsidRDefault="00571B7B" w:rsidP="006B4E01">
      <w:r>
        <w:fldChar w:fldCharType="begin"/>
      </w:r>
      <w:r w:rsidR="00BD44E7">
        <w:instrText xml:space="preserve"> ADDIN ZOTERO_ITEM CSL_CITATION {"citationID":"SMpuYC72","properties":{"formattedCitation":"(Samvedi et al. 2013)","plainCitation":"(Samvedi et al. 2013)","noteIndex":0},"citationItems":[{"id":1556,"uris":["http://zotero.org/users/local/AB2owHL2/items/LBWSU8PV"],"itemData":{"id":1556,"type":"article-journal","abstract":"Risk is inherent in almost every activity of supply chain management. With the ever-increasing push for efficiency, supply chains today are getting more and more risky. Adding to the difficulty of dealing with these risks is the amount of subjectivity and uncertainty involved. This makes analytical examination of the situation very difficult, especially as the amount of information available at a particular time is not sufficient for such an analysis. Thus a supply chain risk index, which captures the level of risk faced by a supply chain in a given situation, is the need of the hour. This study is an effort towards quantifying the risks in a supply chain and then consolidating the values into a comprehensive risk index. An integrated approach, with a fuzzy analytical hierarchy process (AHP) and a fuzzy technique for order preference by similarity to the ideal solution (TOPSIS) as its important elements, has been used for this purpose. Fuzzy values in this study help in capturing the subjectivity of the situation with a final conversion to a crisp value which is much more comprehensible. A case study is used to illustrate the proposed methodology.","container-title":"International Journal of Production Research","DOI":"10.1080/00207543.2012.741330","ISSN":"00207543","issue":"8","note":"publisher: Taylor &amp; Francis Ltd","page":"2433-2442","source":"EBSCOhost","title":"Quantifying risks in a supply chain through integration of fuzzy AHP and fuzzy TOPSIS","URL":"https://ezproxy.uwtsd.ac.uk/login?url=https://search.ebscohost.com/login.aspx?direct=true&amp;db=bth&amp;AN=85879206&amp;site=ehost-live","volume":"51","author":[{"family":"Samvedi","given":"Avinash"},{"family":"Jain","given":"Vipul"},{"family":"Chan","given":"FelixT. S."}],"accessed":{"date-parts":[["2022",3,21]]},"issued":{"date-parts":[["2013",4,15]]}}}],"schema":"https://github.com/citation-style-language/schema/raw/master/csl-citation.json"} </w:instrText>
      </w:r>
      <w:r>
        <w:fldChar w:fldCharType="separate"/>
      </w:r>
      <w:r w:rsidR="00BD44E7" w:rsidRPr="00BD44E7">
        <w:rPr>
          <w:rFonts w:ascii="Calibri" w:hAnsi="Calibri" w:cs="Calibri"/>
        </w:rPr>
        <w:t>(Samvedi et al. 2013)</w:t>
      </w:r>
      <w:r>
        <w:fldChar w:fldCharType="end"/>
      </w:r>
    </w:p>
    <w:p w14:paraId="63E087FD" w14:textId="6AA9E63F" w:rsidR="00FF61EE" w:rsidRDefault="009017DF" w:rsidP="009E2AAE">
      <w:pPr>
        <w:spacing w:line="360" w:lineRule="auto"/>
        <w:jc w:val="both"/>
      </w:pPr>
      <w:r>
        <w:t>Other</w:t>
      </w:r>
      <w:r w:rsidR="006D447E">
        <w:t xml:space="preserve"> factors vital to the health of SC’s are </w:t>
      </w:r>
      <w:r w:rsidR="009E2AAE">
        <w:t xml:space="preserve">information technology </w:t>
      </w:r>
      <w:r w:rsidR="009E2AAE">
        <w:fldChar w:fldCharType="begin"/>
      </w:r>
      <w:r w:rsidR="00BD44E7">
        <w:instrText xml:space="preserve"> ADDIN ZOTERO_ITEM CSL_CITATION {"citationID":"pWiklTiO","properties":{"formattedCitation":"(Chopra and Sodhi 2004)","plainCitation":"(Chopra and Sodhi 2004)","noteIndex":0},"citationItems":[{"id":1552,"uris":["http://zotero.org/users/local/AB2owHL2/items/3V57ZA78"],"itemData":{"id":1552,"type":"article-journal","abstract":"Natural disasters, labor disputes, terrorism and more mundane risks can seriously disrupt or delay the flow of material, information and cash through an organizations supply chain. It is asserted that how well a company fares against such threats will depend on its level of preparedness, and the type of disruption. Each supply-chain risk - to forecasts, information systems, intellectual property, procurement, inventory and capacity - has its own drivers and effective mitigation strategies. To avoid lost sales, increased costs or both, managers need to tailor proven risk-reduction strategies to their organizations. Managing supply-chain risk is difficult, however. A powerful \"what if?\" team exercise called \"stress testing\" to identify potentially weak links in the supply chain is recommended. Armed with this shared understanding, companies can then select the best mitigation strategy: holding \"reserves,\" pooling inventory, using redundant suppliers, balancing capacity and inventory, implementing robust backup and recovery systems, adjusting pricing and incentives, bringing or keeping production in-house, and using Continuous Replenishment Programs, Collaborative Planning, Forecasting and Replenishment and other supply-chain initiatives.","container-title":"MIT Sloan Management Review","ISSN":"15329194","issue":"1","language":"English","note":"number-of-pages: 53-61\npublisher-place: Cambridge, United States\npublisher: Massachusetts Institute of Technology, Cambridge, MA","page":"53-61","source":"ProQuest","title":"Managing Risk to Avoid Supply-Chain Breakdown","URL":"https://www.proquest.com/docview/224964486/abstract/A6E592F3C96C4741PQ/1","volume":"46","author":[{"family":"Chopra","given":"Sunil"},{"family":"Sodhi","given":"ManMohan S."}],"accessed":{"date-parts":[["2022",3,20]]},"issued":{"date-parts":[["2004"]],"season":"Fall"}}}],"schema":"https://github.com/citation-style-language/schema/raw/master/csl-citation.json"} </w:instrText>
      </w:r>
      <w:r w:rsidR="009E2AAE">
        <w:fldChar w:fldCharType="separate"/>
      </w:r>
      <w:r w:rsidR="00BD44E7" w:rsidRPr="00BD44E7">
        <w:rPr>
          <w:rFonts w:ascii="Calibri" w:hAnsi="Calibri" w:cs="Calibri"/>
        </w:rPr>
        <w:t>(Chopra and Sodhi 2004)</w:t>
      </w:r>
      <w:r w:rsidR="009E2AAE">
        <w:fldChar w:fldCharType="end"/>
      </w:r>
      <w:r w:rsidR="009E2AAE">
        <w:t xml:space="preserve">, financial systems </w:t>
      </w:r>
      <w:r w:rsidR="007C480B">
        <w:fldChar w:fldCharType="begin"/>
      </w:r>
      <w:r w:rsidR="00BD44E7">
        <w:instrText xml:space="preserve"> ADDIN ZOTERO_ITEM CSL_CITATION {"citationID":"YBuwZIhV","properties":{"formattedCitation":"(Heckmann et al. 2015)","plainCitation":"(Heckmann et al. 2015)","noteIndex":0},"citationItems":[{"id":1507,"uris":["http://zotero.org/users/local/AB2owHL2/items/RTWMU7FC"],"itemData":{"id":1507,"type":"article-journal","abstract":"Economic systems are increasingly prone to complexity and uncertainty. Therefore, making well-informed decisions requires risk analysis, control and mitigation. In some areas such as finance, insurance, crisis management and health care, the importance of considering risk is largely acknowledged and well-elaborated, yet rather heterogeneous concepts and approaches for risk management have been developed. The increased frequency and the severe consequences of past supply chain disruptions have resulted in an increasing interest in risk. This development has led to the adoption of the risk concepts, terminologies and methods from related fields. In this paper, existing approaches for quantitative supply chain risk management are reviewed by setting the focus on the definition of supply chain risk and related concepts.","container-title":"Omega","DOI":"10.1016/j.omega.2014.10.004","ISSN":"0305-0483","journalAbbreviation":"Omega","language":"en","page":"119-132","source":"ScienceDirect","title":"A critical review on supply chain risk – Definition, measure and modeling","URL":"https://www.sciencedirect.com/science/article/pii/S030504831400125X","volume":"52","author":[{"family":"Heckmann","given":"Iris"},{"family":"Comes","given":"Tina"},{"family":"Nickel","given":"Stefan"}],"accessed":{"date-parts":[["2022",3,3]]},"issued":{"date-parts":[["2015",4,1]]}}}],"schema":"https://github.com/citation-style-language/schema/raw/master/csl-citation.json"} </w:instrText>
      </w:r>
      <w:r w:rsidR="007C480B">
        <w:fldChar w:fldCharType="separate"/>
      </w:r>
      <w:r w:rsidR="00BD44E7" w:rsidRPr="00BD44E7">
        <w:rPr>
          <w:rFonts w:ascii="Calibri" w:hAnsi="Calibri" w:cs="Calibri"/>
        </w:rPr>
        <w:t>(Heckmann et al. 2015)</w:t>
      </w:r>
      <w:r w:rsidR="007C480B">
        <w:fldChar w:fldCharType="end"/>
      </w:r>
      <w:r w:rsidR="00A214A5">
        <w:t xml:space="preserve"> and transportation</w:t>
      </w:r>
      <w:r w:rsidR="007905DA">
        <w:t xml:space="preserve"> </w:t>
      </w:r>
      <w:r w:rsidR="007905DA">
        <w:fldChar w:fldCharType="begin"/>
      </w:r>
      <w:r w:rsidR="00BD44E7">
        <w:instrText xml:space="preserve"> ADDIN ZOTERO_ITEM CSL_CITATION {"citationID":"R6DcwypN","properties":{"formattedCitation":"(Wu et al. 2006)","plainCitation":"(Wu et al. 2006)","noteIndex":0},"citationItems":[{"id":1557,"uris":["http://zotero.org/users/local/AB2owHL2/items/3SPETHKE"],"itemData":{"id":1557,"type":"article-journal","abstract":"Managing risk has become a critical component of supply chain management. The implications of supply chain failures can be costly and lead to significant customer delivery delays. Though, different types of supply chain vulnerability management methodologies have been proposed for managing supply risk, most offer only point-based solutions that deal with a limited set of risks. This research aims to reinforce inbound supply chain risk management by proposing an integrated methodology to classify, manage and assess inbound supply risks. The contributions of this paper are four-fold: (1) inbound supply risk factors are identified through both an extensive academic literature review on supply risk literature review as well as a series of industry interviews; (2) from these factors, a hierarchical risk factor classification structure is created; (3) an analytical hierarchy processing (AHP) method with enhanced consistency to rank risk factor for suppliers is created; and (4) a prototype computer implementation system is developed and tested on an industry example.","container-title":"Computers in Industry","DOI":"10.1016/j.compind.2005.11.001","ISSN":"0166-3615","issue":"4","journalAbbreviation":"Computers in Industry","language":"en","page":"350-365","source":"ScienceDirect","title":"A model for inbound supply risk analysis","URL":"https://www.sciencedirect.com/science/article/pii/S016636150500179X","volume":"57","author":[{"family":"Wu","given":"Teresa"},{"family":"Blackhurst","given":"Jennifer"},{"family":"Chidambaram","given":"Vellayappan"}],"accessed":{"date-parts":[["2022",3,22]]},"issued":{"date-parts":[["2006",5,1]]}}}],"schema":"https://github.com/citation-style-language/schema/raw/master/csl-citation.json"} </w:instrText>
      </w:r>
      <w:r w:rsidR="007905DA">
        <w:fldChar w:fldCharType="separate"/>
      </w:r>
      <w:r w:rsidR="00BD44E7" w:rsidRPr="00BD44E7">
        <w:rPr>
          <w:rFonts w:ascii="Calibri" w:hAnsi="Calibri" w:cs="Calibri"/>
        </w:rPr>
        <w:t>(Wu et al. 2006)</w:t>
      </w:r>
      <w:r w:rsidR="007905DA">
        <w:fldChar w:fldCharType="end"/>
      </w:r>
      <w:r w:rsidR="007905DA">
        <w:t>.</w:t>
      </w:r>
    </w:p>
    <w:p w14:paraId="0EC2A3B1" w14:textId="1F608A3F" w:rsidR="00BE18CC" w:rsidRDefault="00B30EC2" w:rsidP="00BE18CC">
      <w:pPr>
        <w:spacing w:line="360" w:lineRule="auto"/>
        <w:jc w:val="both"/>
      </w:pPr>
      <w:r>
        <w:t>The price of steel has a significant impa</w:t>
      </w:r>
      <w:r w:rsidR="00253D70">
        <w:t>ct on the price of iron ore, scrap steel</w:t>
      </w:r>
      <w:r w:rsidR="00DB7C33">
        <w:t>, transportation</w:t>
      </w:r>
      <w:r w:rsidR="00427719">
        <w:t xml:space="preserve"> by sea</w:t>
      </w:r>
      <w:r w:rsidR="00253D70">
        <w:t xml:space="preserve"> and on carbon emission allowances. </w:t>
      </w:r>
      <w:r w:rsidR="00FF4AAC">
        <w:t xml:space="preserve"> China is the </w:t>
      </w:r>
      <w:proofErr w:type="spellStart"/>
      <w:r w:rsidR="00FF4AAC">
        <w:t>worlds</w:t>
      </w:r>
      <w:proofErr w:type="spellEnd"/>
      <w:r w:rsidR="00FF4AAC">
        <w:t xml:space="preserve"> largest iron ore </w:t>
      </w:r>
      <w:r w:rsidR="00271A8F">
        <w:t>importer and accounts for approx. 60% of global imports</w:t>
      </w:r>
      <w:r w:rsidR="00170049">
        <w:t xml:space="preserve">. In 2009 the spot price of iron ore rose to a record high of </w:t>
      </w:r>
      <w:r w:rsidR="004A1B78">
        <w:t>$180/t US.</w:t>
      </w:r>
      <w:r w:rsidR="001C27BD">
        <w:t xml:space="preserve"> </w:t>
      </w:r>
      <w:r w:rsidR="001C27BD">
        <w:lastRenderedPageBreak/>
        <w:t>Steel prices</w:t>
      </w:r>
      <w:r w:rsidR="000B3C09">
        <w:t xml:space="preserve"> have a high level of uncertainty and volatility</w:t>
      </w:r>
      <w:r w:rsidR="00890EC7">
        <w:t xml:space="preserve"> </w:t>
      </w:r>
      <w:r w:rsidR="007B6D2B">
        <w:t>and are vulnerable to shocks from the iron ore market</w:t>
      </w:r>
      <w:r w:rsidR="00105455">
        <w:t xml:space="preserve">. </w:t>
      </w:r>
      <w:r w:rsidR="007600CB">
        <w:t xml:space="preserve">Iron ore supply is struggling to cope with </w:t>
      </w:r>
      <w:r w:rsidR="00B11B6F">
        <w:t>downstream demand</w:t>
      </w:r>
      <w:r w:rsidR="00CF4DF4">
        <w:t xml:space="preserve"> because</w:t>
      </w:r>
      <w:r w:rsidR="00CB7132">
        <w:t xml:space="preserve"> of</w:t>
      </w:r>
      <w:r w:rsidR="00CF4DF4">
        <w:t xml:space="preserve"> </w:t>
      </w:r>
      <w:r w:rsidR="00081EF7">
        <w:t>disru</w:t>
      </w:r>
      <w:r w:rsidR="00071880">
        <w:t xml:space="preserve">ptions such as </w:t>
      </w:r>
      <w:r w:rsidR="007E6AC8">
        <w:t xml:space="preserve">trade restrictions, </w:t>
      </w:r>
      <w:r w:rsidR="006964E5">
        <w:t xml:space="preserve">the coronavirus outbreak, and regular </w:t>
      </w:r>
      <w:r w:rsidR="00CB7132">
        <w:t>SC</w:t>
      </w:r>
      <w:r w:rsidR="006964E5">
        <w:t xml:space="preserve"> </w:t>
      </w:r>
      <w:r w:rsidR="00CF4DF4">
        <w:t>issues</w:t>
      </w:r>
      <w:r w:rsidR="00D16EEC">
        <w:t xml:space="preserve"> </w:t>
      </w:r>
      <w:r w:rsidR="00D16EEC">
        <w:fldChar w:fldCharType="begin"/>
      </w:r>
      <w:r w:rsidR="00BD44E7">
        <w:instrText xml:space="preserve"> ADDIN ZOTERO_ITEM CSL_CITATION {"citationID":"v7JQqK1V","properties":{"formattedCitation":"(Ma 2021)","plainCitation":"(Ma 2021)","noteIndex":0},"citationItems":[{"id":1574,"uris":["http://zotero.org/users/local/AB2owHL2/items/6AIX5EC6"],"itemData":{"id":1574,"type":"article-journal","abstract":"We examine the sensitivity of China's steel price movements to iron ore, scrap steel, carbon emission allowance, and seaborne transportation prices over the period 2010–2020. More specifically, the price spillover, the dependence structure, and the spillover risk between iron ore, scrap steel, carbon emission allowance, seaborne transportation, and China's steel prices are analyzed in a multivariate framework, vine copula, and conditional risk setup. Our results demonstrate that before and after the implementation of China's policy to cut overcapacity in steelmaking, China's steel prices are mainly subject to iron ore prices. Our results have potential implications for policymakers to exploit market incentives to regulate steelmakers' investments and capacity in steelmaking.","container-title":"Resources Policy","DOI":"10.1016/j.resourpol.2021.102115","ISSN":"0301-4207","journalAbbreviation":"Resources Policy","language":"en","page":"102115","source":"ScienceDirect","title":"Do iron ore, scrap steel, carbon emission allowance, and seaborne transportation prices drive steel price fluctuations?","URL":"https://www.sciencedirect.com/science/article/pii/S030142072100129X","volume":"72","author":[{"family":"Ma","given":"Yiqun"}],"accessed":{"date-parts":[["2022",3,22]]},"issued":{"date-parts":[["2021",8,1]]}}}],"schema":"https://github.com/citation-style-language/schema/raw/master/csl-citation.json"} </w:instrText>
      </w:r>
      <w:r w:rsidR="00D16EEC">
        <w:fldChar w:fldCharType="separate"/>
      </w:r>
      <w:r w:rsidR="00BD44E7" w:rsidRPr="00BD44E7">
        <w:rPr>
          <w:rFonts w:ascii="Calibri" w:hAnsi="Calibri" w:cs="Calibri"/>
        </w:rPr>
        <w:t>(Ma 2021)</w:t>
      </w:r>
      <w:r w:rsidR="00D16EEC">
        <w:fldChar w:fldCharType="end"/>
      </w:r>
      <w:r w:rsidR="00B11B6F">
        <w:t>.</w:t>
      </w:r>
    </w:p>
    <w:p w14:paraId="008F0C59" w14:textId="444D9E8C" w:rsidR="00AA5374" w:rsidRDefault="00AA5374" w:rsidP="00BE18CC">
      <w:pPr>
        <w:spacing w:line="360" w:lineRule="auto"/>
        <w:jc w:val="both"/>
      </w:pPr>
      <w:r>
        <w:t xml:space="preserve">Scrap steel </w:t>
      </w:r>
      <w:r w:rsidR="00C07303">
        <w:t>can be</w:t>
      </w:r>
      <w:r w:rsidR="00C758FD">
        <w:t xml:space="preserve"> used as a </w:t>
      </w:r>
      <w:r w:rsidR="004B14FF">
        <w:t xml:space="preserve">partial </w:t>
      </w:r>
      <w:r w:rsidR="00C758FD">
        <w:t>substitute for iron ore in steelmaking</w:t>
      </w:r>
      <w:r w:rsidR="00B95AF0">
        <w:t xml:space="preserve"> </w:t>
      </w:r>
      <w:proofErr w:type="gramStart"/>
      <w:r w:rsidR="00B95AF0">
        <w:t>and also</w:t>
      </w:r>
      <w:proofErr w:type="gramEnd"/>
      <w:r w:rsidR="00B95AF0">
        <w:t xml:space="preserve"> as an alternative</w:t>
      </w:r>
      <w:r w:rsidR="001667E9">
        <w:t>, 20% of steel in Japan is made using scrap steel and as much as 60% in the US</w:t>
      </w:r>
      <w:r w:rsidR="004B14FF">
        <w:t xml:space="preserve">. </w:t>
      </w:r>
      <w:r w:rsidR="00F466DD">
        <w:t>Scrap steel prices are currently higher than iron ore</w:t>
      </w:r>
      <w:r w:rsidR="00B95AF0">
        <w:t>.</w:t>
      </w:r>
      <w:r w:rsidR="00F65845">
        <w:t xml:space="preserve"> The steel industry is coming under intense pressure to reduce carbon </w:t>
      </w:r>
      <w:r w:rsidR="00751677">
        <w:t xml:space="preserve">emissions and </w:t>
      </w:r>
      <w:r w:rsidR="000040D8">
        <w:t xml:space="preserve">so </w:t>
      </w:r>
      <w:r w:rsidR="005A6FCA">
        <w:t xml:space="preserve">steelmaking methods </w:t>
      </w:r>
      <w:r w:rsidR="00B65A50">
        <w:t>using</w:t>
      </w:r>
      <w:r w:rsidR="005A6FCA">
        <w:t xml:space="preserve"> electric arc</w:t>
      </w:r>
      <w:r w:rsidR="00B65A50">
        <w:t xml:space="preserve"> furnaces</w:t>
      </w:r>
      <w:r w:rsidR="005A6FCA">
        <w:t xml:space="preserve"> may become </w:t>
      </w:r>
      <w:r w:rsidR="0019489D">
        <w:t xml:space="preserve">more frequently used and therefore </w:t>
      </w:r>
      <w:r w:rsidR="00043608">
        <w:t>the demand for scrap will increase</w:t>
      </w:r>
      <w:r w:rsidR="004A4D42">
        <w:t xml:space="preserve"> </w:t>
      </w:r>
      <w:r w:rsidR="004A4D42">
        <w:fldChar w:fldCharType="begin"/>
      </w:r>
      <w:r w:rsidR="00BD44E7">
        <w:instrText xml:space="preserve"> ADDIN ZOTERO_ITEM CSL_CITATION {"citationID":"LvGB1lmE","properties":{"formattedCitation":"(Ma 2021)","plainCitation":"(Ma 2021)","noteIndex":0},"citationItems":[{"id":1574,"uris":["http://zotero.org/users/local/AB2owHL2/items/6AIX5EC6"],"itemData":{"id":1574,"type":"article-journal","abstract":"We examine the sensitivity of China's steel price movements to iron ore, scrap steel, carbon emission allowance, and seaborne transportation prices over the period 2010–2020. More specifically, the price spillover, the dependence structure, and the spillover risk between iron ore, scrap steel, carbon emission allowance, seaborne transportation, and China's steel prices are analyzed in a multivariate framework, vine copula, and conditional risk setup. Our results demonstrate that before and after the implementation of China's policy to cut overcapacity in steelmaking, China's steel prices are mainly subject to iron ore prices. Our results have potential implications for policymakers to exploit market incentives to regulate steelmakers' investments and capacity in steelmaking.","container-title":"Resources Policy","DOI":"10.1016/j.resourpol.2021.102115","ISSN":"0301-4207","journalAbbreviation":"Resources Policy","language":"en","page":"102115","source":"ScienceDirect","title":"Do iron ore, scrap steel, carbon emission allowance, and seaborne transportation prices drive steel price fluctuations?","URL":"https://www.sciencedirect.com/science/article/pii/S030142072100129X","volume":"72","author":[{"family":"Ma","given":"Yiqun"}],"accessed":{"date-parts":[["2022",3,22]]},"issued":{"date-parts":[["2021",8,1]]}}}],"schema":"https://github.com/citation-style-language/schema/raw/master/csl-citation.json"} </w:instrText>
      </w:r>
      <w:r w:rsidR="004A4D42">
        <w:fldChar w:fldCharType="separate"/>
      </w:r>
      <w:r w:rsidR="00BD44E7" w:rsidRPr="00BD44E7">
        <w:rPr>
          <w:rFonts w:ascii="Calibri" w:hAnsi="Calibri" w:cs="Calibri"/>
        </w:rPr>
        <w:t>(Ma 2021)</w:t>
      </w:r>
      <w:r w:rsidR="004A4D42">
        <w:fldChar w:fldCharType="end"/>
      </w:r>
      <w:r w:rsidR="00043608">
        <w:t>.</w:t>
      </w:r>
      <w:r w:rsidR="004A4D42">
        <w:t xml:space="preserve"> </w:t>
      </w:r>
    </w:p>
    <w:p w14:paraId="041BCFA0" w14:textId="497A690C" w:rsidR="00EB07AD" w:rsidRDefault="00EB07AD" w:rsidP="00BE18CC">
      <w:pPr>
        <w:spacing w:line="360" w:lineRule="auto"/>
        <w:jc w:val="both"/>
      </w:pPr>
      <w:r>
        <w:t xml:space="preserve">The steel industry </w:t>
      </w:r>
      <w:r w:rsidR="0052399E">
        <w:t xml:space="preserve">is guilty of emitting a substantial amount of </w:t>
      </w:r>
      <w:r w:rsidR="00356D1D">
        <w:t>CO</w:t>
      </w:r>
      <w:r w:rsidR="0055222E" w:rsidRPr="0055222E">
        <w:rPr>
          <w:vertAlign w:val="subscript"/>
        </w:rPr>
        <w:t>2</w:t>
      </w:r>
      <w:r w:rsidR="00A86817">
        <w:rPr>
          <w:sz w:val="20"/>
          <w:szCs w:val="20"/>
        </w:rPr>
        <w:t xml:space="preserve">. </w:t>
      </w:r>
      <w:proofErr w:type="gramStart"/>
      <w:r w:rsidR="00A86817" w:rsidRPr="00A86817">
        <w:t>In an effort to</w:t>
      </w:r>
      <w:proofErr w:type="gramEnd"/>
      <w:r w:rsidR="00A86817" w:rsidRPr="00A86817">
        <w:t xml:space="preserve"> reduce emissions</w:t>
      </w:r>
      <w:r w:rsidR="00A86817">
        <w:t xml:space="preserve"> Europe </w:t>
      </w:r>
      <w:r w:rsidR="00060851">
        <w:t>has implemented the emission trading scheme (ETS)</w:t>
      </w:r>
      <w:r w:rsidR="00F12597">
        <w:t>, which has set limits of allowable CO</w:t>
      </w:r>
      <w:r w:rsidR="00F12597" w:rsidRPr="0055222E">
        <w:rPr>
          <w:vertAlign w:val="subscript"/>
        </w:rPr>
        <w:t xml:space="preserve">2 </w:t>
      </w:r>
      <w:r w:rsidR="00F12597" w:rsidRPr="0055222E">
        <w:t>emission</w:t>
      </w:r>
      <w:r w:rsidR="004D7754">
        <w:t>. These allowances are tradable on the market</w:t>
      </w:r>
      <w:r w:rsidR="00956B51">
        <w:t>. The ETS scheme has further driven up the cost of steelmaking.</w:t>
      </w:r>
    </w:p>
    <w:p w14:paraId="387E16C5" w14:textId="5B248D66" w:rsidR="00F321F4" w:rsidRDefault="00270B8D" w:rsidP="00BE18CC">
      <w:pPr>
        <w:spacing w:line="360" w:lineRule="auto"/>
        <w:jc w:val="both"/>
      </w:pPr>
      <w:r>
        <w:t xml:space="preserve">Iron ore </w:t>
      </w:r>
      <w:r w:rsidR="00040B63">
        <w:t>is transported a</w:t>
      </w:r>
      <w:r w:rsidR="004F0429">
        <w:t>round</w:t>
      </w:r>
      <w:r w:rsidR="00040B63">
        <w:t xml:space="preserve"> the globe using large cargo ships, </w:t>
      </w:r>
      <w:r w:rsidR="00AB1F43">
        <w:t xml:space="preserve">countries such as Australia and Brazil account for a large percentage of </w:t>
      </w:r>
      <w:r w:rsidR="00253625">
        <w:t>iron ore export</w:t>
      </w:r>
      <w:r w:rsidR="00F8321C">
        <w:t>ation</w:t>
      </w:r>
      <w:r w:rsidR="00864689">
        <w:t xml:space="preserve">. </w:t>
      </w:r>
      <w:r w:rsidR="00254D0C">
        <w:t xml:space="preserve"> The cost</w:t>
      </w:r>
      <w:r w:rsidR="002F3484">
        <w:t xml:space="preserve"> of</w:t>
      </w:r>
      <w:r w:rsidR="00AC6EE6">
        <w:t xml:space="preserve"> transporting iron ore across the</w:t>
      </w:r>
      <w:r w:rsidR="00D11F49">
        <w:t xml:space="preserve">se large distances by sea is </w:t>
      </w:r>
      <w:r w:rsidR="00C550BD">
        <w:t>correlated with economic conditions</w:t>
      </w:r>
      <w:r w:rsidR="00253393">
        <w:t xml:space="preserve">. High demand </w:t>
      </w:r>
      <w:r w:rsidR="003F5BE7">
        <w:t>for iron ore has driven these costs upwards</w:t>
      </w:r>
      <w:r w:rsidR="00A7695E">
        <w:t xml:space="preserve"> </w:t>
      </w:r>
      <w:r w:rsidR="00A7695E">
        <w:fldChar w:fldCharType="begin"/>
      </w:r>
      <w:r w:rsidR="00BD44E7">
        <w:instrText xml:space="preserve"> ADDIN ZOTERO_ITEM CSL_CITATION {"citationID":"IJFKHBr4","properties":{"formattedCitation":"(Ma 2021)","plainCitation":"(Ma 2021)","noteIndex":0},"citationItems":[{"id":1574,"uris":["http://zotero.org/users/local/AB2owHL2/items/6AIX5EC6"],"itemData":{"id":1574,"type":"article-journal","abstract":"We examine the sensitivity of China's steel price movements to iron ore, scrap steel, carbon emission allowance, and seaborne transportation prices over the period 2010–2020. More specifically, the price spillover, the dependence structure, and the spillover risk between iron ore, scrap steel, carbon emission allowance, seaborne transportation, and China's steel prices are analyzed in a multivariate framework, vine copula, and conditional risk setup. Our results demonstrate that before and after the implementation of China's policy to cut overcapacity in steelmaking, China's steel prices are mainly subject to iron ore prices. Our results have potential implications for policymakers to exploit market incentives to regulate steelmakers' investments and capacity in steelmaking.","container-title":"Resources Policy","DOI":"10.1016/j.resourpol.2021.102115","ISSN":"0301-4207","journalAbbreviation":"Resources Policy","language":"en","page":"102115","source":"ScienceDirect","title":"Do iron ore, scrap steel, carbon emission allowance, and seaborne transportation prices drive steel price fluctuations?","URL":"https://www.sciencedirect.com/science/article/pii/S030142072100129X","volume":"72","author":[{"family":"Ma","given":"Yiqun"}],"accessed":{"date-parts":[["2022",3,22]]},"issued":{"date-parts":[["2021",8,1]]}}}],"schema":"https://github.com/citation-style-language/schema/raw/master/csl-citation.json"} </w:instrText>
      </w:r>
      <w:r w:rsidR="00A7695E">
        <w:fldChar w:fldCharType="separate"/>
      </w:r>
      <w:r w:rsidR="00BD44E7" w:rsidRPr="00BD44E7">
        <w:rPr>
          <w:rFonts w:ascii="Calibri" w:hAnsi="Calibri" w:cs="Calibri"/>
        </w:rPr>
        <w:t>(Ma 2021)</w:t>
      </w:r>
      <w:r w:rsidR="00A7695E">
        <w:fldChar w:fldCharType="end"/>
      </w:r>
      <w:r w:rsidR="003F5BE7">
        <w:t>.</w:t>
      </w:r>
    </w:p>
    <w:p w14:paraId="7013F7FF" w14:textId="4B8E72F3" w:rsidR="004D2C17" w:rsidRDefault="00C358B0" w:rsidP="00BE18CC">
      <w:pPr>
        <w:spacing w:line="360" w:lineRule="auto"/>
        <w:jc w:val="both"/>
      </w:pPr>
      <w:r>
        <w:t>Governments</w:t>
      </w:r>
      <w:r w:rsidR="00335FD3">
        <w:t xml:space="preserve"> can exert considerable influence on steel markets</w:t>
      </w:r>
      <w:r w:rsidR="007750C0">
        <w:t xml:space="preserve"> through means such as trade regulation and international diplomacy</w:t>
      </w:r>
      <w:r w:rsidR="009E7788">
        <w:t xml:space="preserve">. </w:t>
      </w:r>
      <w:r w:rsidR="00B04CFB">
        <w:t>Examples include</w:t>
      </w:r>
      <w:r w:rsidR="00313657">
        <w:t xml:space="preserve">: Domestic steel production being supported </w:t>
      </w:r>
      <w:r w:rsidR="00CF2718">
        <w:t>by government subsid</w:t>
      </w:r>
      <w:r w:rsidR="00482744">
        <w:t>i</w:t>
      </w:r>
      <w:r w:rsidR="00CF2718">
        <w:t xml:space="preserve">es, the lowering of interest rates </w:t>
      </w:r>
      <w:r w:rsidR="00551EAC">
        <w:t xml:space="preserve">for capital to </w:t>
      </w:r>
      <w:r w:rsidR="006F535E">
        <w:t>allow</w:t>
      </w:r>
      <w:r w:rsidR="00551EAC">
        <w:t xml:space="preserve"> investment in domestic steel</w:t>
      </w:r>
      <w:r w:rsidR="00E805F1">
        <w:t xml:space="preserve"> industry activities and technologies, taxes</w:t>
      </w:r>
      <w:r w:rsidR="0062055A">
        <w:t xml:space="preserve"> implemented</w:t>
      </w:r>
      <w:r w:rsidR="00E805F1">
        <w:t xml:space="preserve"> to discourage</w:t>
      </w:r>
      <w:r w:rsidR="0062055A">
        <w:t xml:space="preserve"> steel imports, </w:t>
      </w:r>
      <w:r w:rsidR="00813B6C">
        <w:t xml:space="preserve">government support for the investment in </w:t>
      </w:r>
      <w:r w:rsidR="006D1FAC">
        <w:t xml:space="preserve">decentralised </w:t>
      </w:r>
      <w:r w:rsidR="0063415B">
        <w:t xml:space="preserve">off-shore sourcing and production capacity and </w:t>
      </w:r>
      <w:r w:rsidR="00AF5F70">
        <w:t>the taxation of shipping</w:t>
      </w:r>
      <w:r w:rsidR="00B72207">
        <w:t xml:space="preserve"> and</w:t>
      </w:r>
      <w:r w:rsidR="00D14DE6">
        <w:t xml:space="preserve"> </w:t>
      </w:r>
      <w:r w:rsidR="00AF5F70">
        <w:t>transportation</w:t>
      </w:r>
      <w:r w:rsidR="006F535E">
        <w:t xml:space="preserve"> </w:t>
      </w:r>
      <w:r w:rsidR="006F535E">
        <w:fldChar w:fldCharType="begin"/>
      </w:r>
      <w:r w:rsidR="00BD44E7">
        <w:instrText xml:space="preserve"> ADDIN ZOTERO_ITEM CSL_CITATION {"citationID":"CZ4dC0eG","properties":{"formattedCitation":"(Pinto 2019)","plainCitation":"(Pinto 2019)","noteIndex":0},"citationItems":[{"id":1522,"uris":["http://zotero.org/users/local/AB2owHL2/items/CFDYWNHU"],"itemData":{"id":1522,"type":"thesis","event-place":"France","genre":"Doctorate","language":"fr","publisher":"Universty of Clermont Auvergne","publisher-place":"France","source":"Zotero","title":"Sustainable resource management in european steel supply chains","author":[{"family":"Pinto","given":"Julian"}],"issued":{"date-parts":[["2019"]]}}}],"schema":"https://github.com/citation-style-language/schema/raw/master/csl-citation.json"} </w:instrText>
      </w:r>
      <w:r w:rsidR="006F535E">
        <w:fldChar w:fldCharType="separate"/>
      </w:r>
      <w:r w:rsidR="00BD44E7" w:rsidRPr="00BD44E7">
        <w:rPr>
          <w:rFonts w:ascii="Calibri" w:hAnsi="Calibri" w:cs="Calibri"/>
        </w:rPr>
        <w:t>(Pinto 2019)</w:t>
      </w:r>
      <w:r w:rsidR="006F535E">
        <w:fldChar w:fldCharType="end"/>
      </w:r>
      <w:r w:rsidR="00B72207">
        <w:t>.</w:t>
      </w:r>
      <w:r w:rsidR="00E805F1">
        <w:t xml:space="preserve"> </w:t>
      </w:r>
    </w:p>
    <w:p w14:paraId="359BC69E" w14:textId="77777777" w:rsidR="004D2C17" w:rsidRDefault="004D2C17" w:rsidP="00BE18CC">
      <w:pPr>
        <w:spacing w:line="360" w:lineRule="auto"/>
        <w:jc w:val="both"/>
      </w:pPr>
    </w:p>
    <w:p w14:paraId="33EA6D77" w14:textId="77777777" w:rsidR="004D2C17" w:rsidRDefault="004D2C17" w:rsidP="00BE18CC">
      <w:pPr>
        <w:spacing w:line="360" w:lineRule="auto"/>
        <w:jc w:val="both"/>
      </w:pPr>
    </w:p>
    <w:p w14:paraId="6098945E" w14:textId="77777777" w:rsidR="004D2C17" w:rsidRDefault="004D2C17" w:rsidP="00BE18CC">
      <w:pPr>
        <w:spacing w:line="360" w:lineRule="auto"/>
        <w:jc w:val="both"/>
      </w:pPr>
    </w:p>
    <w:p w14:paraId="37E9BA06" w14:textId="77777777" w:rsidR="00A55DF4" w:rsidRDefault="00A55DF4" w:rsidP="00BE18CC">
      <w:pPr>
        <w:spacing w:line="360" w:lineRule="auto"/>
        <w:jc w:val="both"/>
      </w:pPr>
    </w:p>
    <w:p w14:paraId="31F1978E" w14:textId="77777777" w:rsidR="00A55DF4" w:rsidRDefault="00A55DF4" w:rsidP="00BE18CC">
      <w:pPr>
        <w:spacing w:line="360" w:lineRule="auto"/>
        <w:jc w:val="both"/>
      </w:pPr>
    </w:p>
    <w:p w14:paraId="3F8BC1B3" w14:textId="77777777" w:rsidR="00A55DF4" w:rsidRDefault="00A55DF4" w:rsidP="00BE18CC">
      <w:pPr>
        <w:spacing w:line="360" w:lineRule="auto"/>
        <w:jc w:val="both"/>
      </w:pPr>
    </w:p>
    <w:p w14:paraId="75137765" w14:textId="77777777" w:rsidR="00FE24AF" w:rsidRDefault="00FE24AF" w:rsidP="00BE18CC">
      <w:pPr>
        <w:spacing w:line="360" w:lineRule="auto"/>
        <w:jc w:val="both"/>
      </w:pPr>
    </w:p>
    <w:p w14:paraId="32A00E15" w14:textId="77777777" w:rsidR="00FE24AF" w:rsidRDefault="00FE24AF" w:rsidP="00BE18CC">
      <w:pPr>
        <w:spacing w:line="360" w:lineRule="auto"/>
        <w:jc w:val="both"/>
      </w:pPr>
    </w:p>
    <w:p w14:paraId="0038FB64" w14:textId="77777777" w:rsidR="007375EB" w:rsidRDefault="007375EB" w:rsidP="00BE18CC">
      <w:pPr>
        <w:spacing w:line="360" w:lineRule="auto"/>
        <w:jc w:val="both"/>
      </w:pPr>
    </w:p>
    <w:p w14:paraId="593E7B14" w14:textId="0AC21AE7" w:rsidR="00DA4DB9" w:rsidRDefault="00D46519" w:rsidP="004041E9">
      <w:pPr>
        <w:spacing w:line="360" w:lineRule="auto"/>
        <w:jc w:val="both"/>
      </w:pPr>
      <w:r>
        <w:t xml:space="preserve">The following </w:t>
      </w:r>
      <w:r w:rsidR="00352BB1">
        <w:t xml:space="preserve">section will explore </w:t>
      </w:r>
      <w:r w:rsidR="004A315B">
        <w:t xml:space="preserve">strategies that would make SC’s more resilient to </w:t>
      </w:r>
      <w:r w:rsidR="001E77CA">
        <w:t>disruption</w:t>
      </w:r>
      <w:r w:rsidR="003E5E42">
        <w:t xml:space="preserve"> and risk</w:t>
      </w:r>
    </w:p>
    <w:p w14:paraId="5E331754" w14:textId="1707CF86" w:rsidR="005628DA" w:rsidRDefault="005628DA" w:rsidP="001E77CA">
      <w:pPr>
        <w:pStyle w:val="Heading1"/>
        <w:spacing w:line="360" w:lineRule="auto"/>
        <w:jc w:val="both"/>
      </w:pPr>
      <w:bookmarkStart w:id="13" w:name="_Toc101469654"/>
      <w:r>
        <w:t>Steps to make the</w:t>
      </w:r>
      <w:r w:rsidR="008B1F75">
        <w:t xml:space="preserve"> steel</w:t>
      </w:r>
      <w:r>
        <w:t xml:space="preserve"> supply chain more resilient</w:t>
      </w:r>
      <w:bookmarkEnd w:id="13"/>
    </w:p>
    <w:p w14:paraId="6CC43E5F" w14:textId="751E91DF" w:rsidR="003C0B2D" w:rsidRDefault="003C0B2D" w:rsidP="003C0B2D">
      <w:pPr>
        <w:spacing w:line="360" w:lineRule="auto"/>
        <w:jc w:val="both"/>
      </w:pPr>
      <w:r>
        <w:t xml:space="preserve">Once the categories of risk are understood, the next step after risk identification would be risk assessment, to measure the probability of a disruption event and the likely consequence. Risk mitigation strategies then need to be decided upon to minimise any effects that the disruptions cause, before, through and after the event. Lastly a strategy for risk control needs to be implemented. Risk control aims to reduce the frequency and impact of SC disruptions </w:t>
      </w:r>
      <w:r>
        <w:fldChar w:fldCharType="begin"/>
      </w:r>
      <w:r w:rsidR="00BD44E7">
        <w:instrText xml:space="preserve"> ADDIN ZOTERO_ITEM CSL_CITATION {"citationID":"f6QlZeLA","properties":{"formattedCitation":"(Baz and Ruel 2021)","plainCitation":"(Baz and Ruel 2021)","noteIndex":0},"citationItems":[{"id":1508,"uris":["http://zotero.org/users/local/AB2owHL2/items/TKIDE243"],"itemData":{"id":1508,"type":"article-journal","abstract":"This study investigates the role of supply chain risk management (SCRM) in mitigating the effects of disruptions impacts on supply chain resilience and robustness in the context of COVID-19 outbreak. Using structural equation modeling on a survey data from 470 French firms, the results confirm the basic tenets of resource-based view and organizational information processing theories regarding the combination of dynamic resources to face disruptions’ uncertainty. Furthermore, the findings reveal the mediating role of SCRM practices and the prominent role they play in fostering supply chain resilience and robustness. Overall, by providing empirical assessment of a comprehensive SCRM framework, this research contributes to the extant literature and suggests further avenues for research.","container-title":"International Journal of Production Economics","DOI":"10.1016/j.ijpe.2020.107972","ISSN":"0925-5273","journalAbbreviation":"International Journal of Production Economics","language":"en","page":"107972","source":"ScienceDirect","title":"Can supply chain risk management practices mitigate the disruption impacts on supply chains’ resilience and robustness? Evidence from an empirical survey in a COVID-19 outbreak era","title-short":"Can supply chain risk management practices mitigate the disruption impacts on supply chains’ resilience and robustness?","URL":"https://www.sciencedirect.com/science/article/pii/S0925527320303224","volume":"233","author":[{"family":"Baz","given":"Jamal El"},{"family":"Ruel","given":"Salomée"}],"accessed":{"date-parts":[["2022",3,3]]},"issued":{"date-parts":[["2021",3,1]]}}}],"schema":"https://github.com/citation-style-language/schema/raw/master/csl-citation.json"} </w:instrText>
      </w:r>
      <w:r>
        <w:fldChar w:fldCharType="separate"/>
      </w:r>
      <w:r w:rsidR="00BD44E7" w:rsidRPr="00BD44E7">
        <w:rPr>
          <w:rFonts w:ascii="Calibri" w:hAnsi="Calibri" w:cs="Calibri"/>
        </w:rPr>
        <w:t>(Baz and Ruel 2021)</w:t>
      </w:r>
      <w:r>
        <w:fldChar w:fldCharType="end"/>
      </w:r>
      <w:r>
        <w:t xml:space="preserve">. </w:t>
      </w:r>
    </w:p>
    <w:p w14:paraId="3F99BE12" w14:textId="77777777" w:rsidR="003C0B2D" w:rsidRDefault="003C0B2D" w:rsidP="003C0B2D">
      <w:pPr>
        <w:spacing w:line="360" w:lineRule="auto"/>
        <w:jc w:val="both"/>
      </w:pPr>
      <w:r w:rsidRPr="001C54CD">
        <w:rPr>
          <w:noProof/>
        </w:rPr>
        <w:drawing>
          <wp:inline distT="0" distB="0" distL="0" distR="0" wp14:anchorId="66ECFE7E" wp14:editId="2FBF4A25">
            <wp:extent cx="4308425" cy="3633746"/>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7"/>
                    <a:stretch>
                      <a:fillRect/>
                    </a:stretch>
                  </pic:blipFill>
                  <pic:spPr>
                    <a:xfrm>
                      <a:off x="0" y="0"/>
                      <a:ext cx="4323826" cy="3646735"/>
                    </a:xfrm>
                    <a:prstGeom prst="rect">
                      <a:avLst/>
                    </a:prstGeom>
                  </pic:spPr>
                </pic:pic>
              </a:graphicData>
            </a:graphic>
          </wp:inline>
        </w:drawing>
      </w:r>
    </w:p>
    <w:p w14:paraId="081D8040" w14:textId="37EB3004" w:rsidR="003C0B2D" w:rsidRDefault="003C0B2D" w:rsidP="003C0B2D">
      <w:pPr>
        <w:pStyle w:val="Caption"/>
      </w:pPr>
      <w:bookmarkStart w:id="14" w:name="_Toc101294475"/>
      <w:r>
        <w:t xml:space="preserve">Figure </w:t>
      </w:r>
      <w:r w:rsidR="00416930">
        <w:fldChar w:fldCharType="begin"/>
      </w:r>
      <w:r w:rsidR="00416930">
        <w:instrText xml:space="preserve"> SEQ Figure \* ARABIC </w:instrText>
      </w:r>
      <w:r w:rsidR="00416930">
        <w:fldChar w:fldCharType="separate"/>
      </w:r>
      <w:r w:rsidR="00555FD6">
        <w:rPr>
          <w:noProof/>
        </w:rPr>
        <w:t>6</w:t>
      </w:r>
      <w:r w:rsidR="00416930">
        <w:rPr>
          <w:noProof/>
        </w:rPr>
        <w:fldChar w:fldCharType="end"/>
      </w:r>
      <w:r>
        <w:t xml:space="preserve"> Supply chain risk management model adapted from </w:t>
      </w:r>
      <w:r>
        <w:fldChar w:fldCharType="begin"/>
      </w:r>
      <w:r w:rsidR="00BD44E7">
        <w:instrText xml:space="preserve"> ADDIN ZOTERO_ITEM CSL_CITATION {"citationID":"pUAxr1w6","properties":{"formattedCitation":"(Baz and Ruel 2021)","plainCitation":"(Baz and Ruel 2021)","noteIndex":0},"citationItems":[{"id":1508,"uris":["http://zotero.org/users/local/AB2owHL2/items/TKIDE243"],"itemData":{"id":1508,"type":"article-journal","abstract":"This study investigates the role of supply chain risk management (SCRM) in mitigating the effects of disruptions impacts on supply chain resilience and robustness in the context of COVID-19 outbreak. Using structural equation modeling on a survey data from 470 French firms, the results confirm the basic tenets of resource-based view and organizational information processing theories regarding the combination of dynamic resources to face disruptions’ uncertainty. Furthermore, the findings reveal the mediating role of SCRM practices and the prominent role they play in fostering supply chain resilience and robustness. Overall, by providing empirical assessment of a comprehensive SCRM framework, this research contributes to the extant literature and suggests further avenues for research.","container-title":"International Journal of Production Economics","DOI":"10.1016/j.ijpe.2020.107972","ISSN":"0925-5273","journalAbbreviation":"International Journal of Production Economics","language":"en","page":"107972","source":"ScienceDirect","title":"Can supply chain risk management practices mitigate the disruption impacts on supply chains’ resilience and robustness? Evidence from an empirical survey in a COVID-19 outbreak era","title-short":"Can supply chain risk management practices mitigate the disruption impacts on supply chains’ resilience and robustness?","URL":"https://www.sciencedirect.com/science/article/pii/S0925527320303224","volume":"233","author":[{"family":"Baz","given":"Jamal El"},{"family":"Ruel","given":"Salomée"}],"accessed":{"date-parts":[["2022",3,3]]},"issued":{"date-parts":[["2021",3,1]]}}}],"schema":"https://github.com/citation-style-language/schema/raw/master/csl-citation.json"} </w:instrText>
      </w:r>
      <w:r>
        <w:fldChar w:fldCharType="separate"/>
      </w:r>
      <w:r w:rsidR="00BD44E7" w:rsidRPr="00BD44E7">
        <w:rPr>
          <w:rFonts w:ascii="Calibri" w:hAnsi="Calibri" w:cs="Calibri"/>
        </w:rPr>
        <w:t>(Baz and Ruel 2021)</w:t>
      </w:r>
      <w:bookmarkEnd w:id="14"/>
      <w:r>
        <w:fldChar w:fldCharType="end"/>
      </w:r>
    </w:p>
    <w:p w14:paraId="6ECDC434" w14:textId="7300E690" w:rsidR="003C0B2D" w:rsidRDefault="003C0B2D" w:rsidP="003C0B2D">
      <w:pPr>
        <w:spacing w:line="360" w:lineRule="auto"/>
        <w:jc w:val="both"/>
      </w:pPr>
      <w:r>
        <w:t>SC resilience</w:t>
      </w:r>
      <w:r w:rsidR="002A358E">
        <w:t xml:space="preserve"> (SCRES)</w:t>
      </w:r>
      <w:r>
        <w:t xml:space="preserve"> can be defined as the SC’s capability to react and recover from SC disruption. While SC robustness refers to the ability of a SC to maintain’ business as usual’ throughout SC disturbances </w:t>
      </w:r>
      <w:r>
        <w:fldChar w:fldCharType="begin"/>
      </w:r>
      <w:r w:rsidR="00BD44E7">
        <w:instrText xml:space="preserve"> ADDIN ZOTERO_ITEM CSL_CITATION {"citationID":"pI2pcUpr","properties":{"formattedCitation":"(Baz and Ruel 2021)","plainCitation":"(Baz and Ruel 2021)","noteIndex":0},"citationItems":[{"id":1508,"uris":["http://zotero.org/users/local/AB2owHL2/items/TKIDE243"],"itemData":{"id":1508,"type":"article-journal","abstract":"This study investigates the role of supply chain risk management (SCRM) in mitigating the effects of disruptions impacts on supply chain resilience and robustness in the context of COVID-19 outbreak. Using structural equation modeling on a survey data from 470 French firms, the results confirm the basic tenets of resource-based view and organizational information processing theories regarding the combination of dynamic resources to face disruptions’ uncertainty. Furthermore, the findings reveal the mediating role of SCRM practices and the prominent role they play in fostering supply chain resilience and robustness. Overall, by providing empirical assessment of a comprehensive SCRM framework, this research contributes to the extant literature and suggests further avenues for research.","container-title":"International Journal of Production Economics","DOI":"10.1016/j.ijpe.2020.107972","ISSN":"0925-5273","journalAbbreviation":"International Journal of Production Economics","language":"en","page":"107972","source":"ScienceDirect","title":"Can supply chain risk management practices mitigate the disruption impacts on supply chains’ resilience and robustness? Evidence from an empirical survey in a COVID-19 outbreak era","title-short":"Can supply chain risk management practices mitigate the disruption impacts on supply chains’ resilience and robustness?","URL":"https://www.sciencedirect.com/science/article/pii/S0925527320303224","volume":"233","author":[{"family":"Baz","given":"Jamal El"},{"family":"Ruel","given":"Salomée"}],"accessed":{"date-parts":[["2022",3,3]]},"issued":{"date-parts":[["2021",3,1]]}}}],"schema":"https://github.com/citation-style-language/schema/raw/master/csl-citation.json"} </w:instrText>
      </w:r>
      <w:r>
        <w:fldChar w:fldCharType="separate"/>
      </w:r>
      <w:r w:rsidR="00BD44E7" w:rsidRPr="00BD44E7">
        <w:rPr>
          <w:rFonts w:ascii="Calibri" w:hAnsi="Calibri" w:cs="Calibri"/>
        </w:rPr>
        <w:t>(Baz and Ruel 2021)</w:t>
      </w:r>
      <w:r>
        <w:fldChar w:fldCharType="end"/>
      </w:r>
      <w:r>
        <w:t xml:space="preserve">. </w:t>
      </w:r>
    </w:p>
    <w:p w14:paraId="19AE3413" w14:textId="76372B63" w:rsidR="00262477" w:rsidRDefault="00B46A7D" w:rsidP="00413643">
      <w:pPr>
        <w:spacing w:line="360" w:lineRule="auto"/>
        <w:jc w:val="both"/>
      </w:pPr>
      <w:r>
        <w:fldChar w:fldCharType="begin"/>
      </w:r>
      <w:r w:rsidR="00BD44E7">
        <w:instrText xml:space="preserve"> ADDIN ZOTERO_ITEM CSL_CITATION {"citationID":"BAozaU6f","properties":{"formattedCitation":"(Juttner et al. 2003)","plainCitation":"(Juttner et al. 2003)","noteIndex":0},"citationItems":[{"id":1593,"uris":["http://zotero.org/users/local/AB2owHL2/items/5E582YC3"],"itemData":{"id":1593,"type":"article-journal","container-title":"International Journal of Logistics Research and Applications","issue":"4","page":"197 - 210","title":"Supply chain risk management: outlining an agenda for future research: International Journal of Logistics Research and Applications: Vol 6, No 4","URL":"https://www-tandfonline-com.ezproxy.uwtsd.ac.uk/doi/abs/10.1080/13675560310001627016","volume":"6","author":[{"family":"Juttner","given":"Uta"},{"family":"Peck","given":"Helen"},{"family":"Martin","given":"Christopher"}],"accessed":{"date-parts":[["2022",3,29]]},"issued":{"date-parts":[["2003"]]}}}],"schema":"https://github.com/citation-style-language/schema/raw/master/csl-citation.json"} </w:instrText>
      </w:r>
      <w:r>
        <w:fldChar w:fldCharType="separate"/>
      </w:r>
      <w:r w:rsidR="00BD44E7" w:rsidRPr="00BD44E7">
        <w:rPr>
          <w:rFonts w:ascii="Calibri" w:hAnsi="Calibri" w:cs="Calibri"/>
        </w:rPr>
        <w:t xml:space="preserve">Juttner et al. </w:t>
      </w:r>
      <w:r w:rsidR="00A55DF4">
        <w:rPr>
          <w:rFonts w:ascii="Calibri" w:hAnsi="Calibri" w:cs="Calibri"/>
        </w:rPr>
        <w:t>(</w:t>
      </w:r>
      <w:r w:rsidR="00BD44E7" w:rsidRPr="00BD44E7">
        <w:rPr>
          <w:rFonts w:ascii="Calibri" w:hAnsi="Calibri" w:cs="Calibri"/>
        </w:rPr>
        <w:t>2003)</w:t>
      </w:r>
      <w:r>
        <w:fldChar w:fldCharType="end"/>
      </w:r>
      <w:r>
        <w:t xml:space="preserve"> </w:t>
      </w:r>
      <w:r w:rsidR="00AB2A1F">
        <w:t xml:space="preserve">puts forth four </w:t>
      </w:r>
      <w:r w:rsidR="00040CC7">
        <w:t>strategies that companies could use to mitigate risk</w:t>
      </w:r>
      <w:r w:rsidR="00AA41C3">
        <w:t xml:space="preserve"> and make the SC more resilient</w:t>
      </w:r>
      <w:r w:rsidR="00AF2431">
        <w:t xml:space="preserve"> – Avoidance, Control, </w:t>
      </w:r>
      <w:r w:rsidR="009F174C">
        <w:t>Co-operation,</w:t>
      </w:r>
      <w:r w:rsidR="00AF2431">
        <w:t xml:space="preserve"> and </w:t>
      </w:r>
      <w:r w:rsidR="00C103CA">
        <w:t>Flexibility</w:t>
      </w:r>
      <w:r w:rsidR="00CE30C2">
        <w:t>.</w:t>
      </w:r>
    </w:p>
    <w:p w14:paraId="11D43D8C" w14:textId="77777777" w:rsidR="000B0C45" w:rsidRDefault="000B0C45" w:rsidP="00413643">
      <w:pPr>
        <w:spacing w:line="360" w:lineRule="auto"/>
        <w:jc w:val="both"/>
      </w:pPr>
    </w:p>
    <w:p w14:paraId="471EDFE3" w14:textId="03B23B7E" w:rsidR="00CE30C2" w:rsidRDefault="00CE30C2" w:rsidP="001C1520">
      <w:pPr>
        <w:pStyle w:val="Heading2"/>
        <w:spacing w:line="360" w:lineRule="auto"/>
        <w:jc w:val="both"/>
      </w:pPr>
      <w:bookmarkStart w:id="15" w:name="_Toc101469655"/>
      <w:r>
        <w:lastRenderedPageBreak/>
        <w:t>Avoidance</w:t>
      </w:r>
      <w:bookmarkEnd w:id="15"/>
    </w:p>
    <w:p w14:paraId="3AF3E1CE" w14:textId="20BAD21D" w:rsidR="00FC5CB7" w:rsidRPr="00FC5CB7" w:rsidRDefault="001C1520" w:rsidP="001C1520">
      <w:pPr>
        <w:spacing w:line="360" w:lineRule="auto"/>
        <w:jc w:val="both"/>
      </w:pPr>
      <w:r>
        <w:t>Avoidance</w:t>
      </w:r>
      <w:r w:rsidR="00FC5CB7">
        <w:t xml:space="preserve"> strategy is implemented </w:t>
      </w:r>
      <w:r w:rsidR="008C0C21">
        <w:t>when the risks associated with</w:t>
      </w:r>
      <w:r w:rsidR="0093448E">
        <w:t xml:space="preserve"> dealing with specific products, markets, or geographical area</w:t>
      </w:r>
      <w:r>
        <w:t xml:space="preserve"> are deemed unacceptable.</w:t>
      </w:r>
    </w:p>
    <w:p w14:paraId="1166B238" w14:textId="6DB2D3A2" w:rsidR="00747E8E" w:rsidRPr="00747E8E" w:rsidRDefault="00747E8E" w:rsidP="00DD21AD">
      <w:pPr>
        <w:pStyle w:val="Heading3"/>
      </w:pPr>
      <w:bookmarkStart w:id="16" w:name="_Toc101469656"/>
      <w:r w:rsidRPr="00D91B22">
        <w:t>Dropping specific products</w:t>
      </w:r>
      <w:r w:rsidR="00407D35" w:rsidRPr="00D91B22">
        <w:t>, geographical markets, suppliers, customers</w:t>
      </w:r>
      <w:r w:rsidR="000B0C45">
        <w:t>.</w:t>
      </w:r>
      <w:bookmarkEnd w:id="16"/>
    </w:p>
    <w:p w14:paraId="766FCD86" w14:textId="1258BE4F" w:rsidR="008E3371" w:rsidRDefault="00AD7EF2" w:rsidP="000B0C45">
      <w:pPr>
        <w:spacing w:line="360" w:lineRule="auto"/>
        <w:jc w:val="both"/>
      </w:pPr>
      <w:r>
        <w:t>Identified risks that are deemed una</w:t>
      </w:r>
      <w:r w:rsidR="00462AE5">
        <w:t>cceptable can be</w:t>
      </w:r>
      <w:r w:rsidR="00590886">
        <w:t xml:space="preserve"> averted</w:t>
      </w:r>
      <w:r w:rsidR="00AE2DF1">
        <w:t>, for example,</w:t>
      </w:r>
      <w:r w:rsidR="00590886">
        <w:t xml:space="preserve"> </w:t>
      </w:r>
      <w:r w:rsidR="00F0013E">
        <w:t>using</w:t>
      </w:r>
      <w:r w:rsidR="00F940FF">
        <w:t xml:space="preserve"> appropriate </w:t>
      </w:r>
      <w:r w:rsidR="007368CA">
        <w:t>supplier/</w:t>
      </w:r>
      <w:r w:rsidR="00F940FF">
        <w:t>procurement selection</w:t>
      </w:r>
      <w:r w:rsidR="007368CA">
        <w:t xml:space="preserve"> by avoiding</w:t>
      </w:r>
      <w:r w:rsidR="00F0013E">
        <w:t xml:space="preserve"> suppliers in politically unstable </w:t>
      </w:r>
      <w:r w:rsidR="00AE2DF1">
        <w:t xml:space="preserve">areas, </w:t>
      </w:r>
      <w:r w:rsidR="004B3038">
        <w:t>unreliable suppliers</w:t>
      </w:r>
      <w:r w:rsidR="00EC1C92">
        <w:t xml:space="preserve">, suppliers with poor technical support, </w:t>
      </w:r>
      <w:r w:rsidR="00336AF5">
        <w:t xml:space="preserve">financially unstable suppliers, suppliers with poor quality </w:t>
      </w:r>
      <w:r w:rsidR="00D83978">
        <w:t>performance</w:t>
      </w:r>
      <w:r w:rsidR="001C1520">
        <w:t xml:space="preserve"> </w:t>
      </w:r>
      <w:r w:rsidR="00070FA5">
        <w:fldChar w:fldCharType="begin"/>
      </w:r>
      <w:r w:rsidR="00BD44E7">
        <w:instrText xml:space="preserve"> ADDIN ZOTERO_ITEM CSL_CITATION {"citationID":"IJ5zbkvJ","properties":{"formattedCitation":"(Tukamuhabwa et al. 2017)","plainCitation":"(Tukamuhabwa et al. 2017)","noteIndex":0},"citationItems":[{"id":1583,"uris":["http://zotero.org/users/local/AB2owHL2/items/93XMD5ZX"],"itemData":{"id":1583,"type":"article-journal","abstract":"Purpose\nIn few prior empirical studies on supply chain resilience (SCRES), the focus has been on the developed world. Yet, organisations in developing countries constitute a significant part of global supply chains and have also experienced the disastrous effects of supply chain failures. The purpose of this paper is therefore to empirically investigate SCRES in a developing country context and to show that this also provides theoretical insights into the nature of what is meant by resilience.\nUsing a case study approach, a supply network of 20 manufacturing firms in Uganda is analysed based on a total of 45 interviews.\nThe perceived threats to SCRES in this context are mainly small-scale, chronic disruptive events rather than discrete, large-scale catastrophic events typically emphasised in the literature. The data reveal how threats of disruption, resilience strategies and outcomes are inter-related in complex, coupled and non-linear ways. These interrelationships are explained by the political, cultural and territorial embeddedness of the supply network in a developing country. Further, this embeddedness contributes to the phenomenon of supply chain risk migration, whereby an attempt to mitigate one threat produces another threat and/or shifts the threat to another point in the supply network.\nManagers should be aware, for example, of potential risk migration from one threat to another when crafting strategies to build SCRES. Equally, the potential for risk migration across the supply network means managers should look at the supply chain holistically because actors along the chain are so interconnected.\nThe paper goes beyond the extant literature by highlighting how SCRES is not only about responding to specific, isolated threats but about the continuous management of risk migration. It demonstrates that resilience requires both an understanding of the interconnectedness of threats, strategies and outcomes and an understanding of the embeddedness of the supply network. Finally, this study’s focus on the context of a developing country reveals that resilience should be equally concerned both with smaller in scale, chronic disruptions and with occasional, large-scale catastrophic events.","container-title":"Supply Chain Management","DOI":"http://dx.doi.org.ezproxy.uwtsd.ac.uk/10.1108/SCM-02-2017-0059","ISSN":"13598546","issue":"6","language":"English","note":"number-of-pages: 20\npublisher-place: Bradford, United Kingdom\npublisher: Emerald Group Publishing Limited","page":"486-505","source":"ProQuest","title":"Supply chain resilience in a developing country context: a case study on the interconnectedness of threats, strategies and outcomes","title-short":"Supply chain resilience in a developing country context","URL":"http://www.proquest.com/docview/2532952540/abstract/592CD2C62AC44624PQ/1","volume":"22","author":[{"family":"Tukamuhabwa","given":"Benjamin"},{"family":"Stevenson","given":"Mark"},{"family":"Busby","given":"Jerry"}],"accessed":{"date-parts":[["2022",3,28]]},"issued":{"date-parts":[["2017"]]}}}],"schema":"https://github.com/citation-style-language/schema/raw/master/csl-citation.json"} </w:instrText>
      </w:r>
      <w:r w:rsidR="00070FA5">
        <w:fldChar w:fldCharType="separate"/>
      </w:r>
      <w:r w:rsidR="00BD44E7" w:rsidRPr="00BD44E7">
        <w:rPr>
          <w:rFonts w:ascii="Calibri" w:hAnsi="Calibri" w:cs="Calibri"/>
        </w:rPr>
        <w:t>(Tukamuhabwa et al. 2017)</w:t>
      </w:r>
      <w:r w:rsidR="00070FA5">
        <w:fldChar w:fldCharType="end"/>
      </w:r>
      <w:r w:rsidR="00070FA5">
        <w:t xml:space="preserve">. </w:t>
      </w:r>
    </w:p>
    <w:p w14:paraId="7DA6FCFE" w14:textId="03B5BF69" w:rsidR="00970723" w:rsidRDefault="00023054" w:rsidP="000B0C45">
      <w:pPr>
        <w:pStyle w:val="Heading2"/>
        <w:spacing w:line="360" w:lineRule="auto"/>
        <w:jc w:val="both"/>
      </w:pPr>
      <w:bookmarkStart w:id="17" w:name="_Toc101469657"/>
      <w:r>
        <w:t>Control</w:t>
      </w:r>
      <w:bookmarkEnd w:id="17"/>
      <w:r>
        <w:t xml:space="preserve"> </w:t>
      </w:r>
    </w:p>
    <w:p w14:paraId="53F99CB2" w14:textId="3F14D180" w:rsidR="006050FA" w:rsidRPr="006050FA" w:rsidRDefault="006050FA" w:rsidP="000B0C45">
      <w:pPr>
        <w:spacing w:line="360" w:lineRule="auto"/>
        <w:jc w:val="both"/>
      </w:pPr>
      <w:r>
        <w:t>Control</w:t>
      </w:r>
      <w:r w:rsidR="002006E7">
        <w:t xml:space="preserve"> strategy</w:t>
      </w:r>
      <w:r>
        <w:t xml:space="preserve"> seeks </w:t>
      </w:r>
      <w:r w:rsidR="008934EF">
        <w:t xml:space="preserve">to increase the predictability of contingency </w:t>
      </w:r>
      <w:r w:rsidR="002006E7">
        <w:t>measures</w:t>
      </w:r>
      <w:r w:rsidR="00BD623B">
        <w:t xml:space="preserve"> from the </w:t>
      </w:r>
      <w:r w:rsidR="00810952">
        <w:t>numerous risk sources</w:t>
      </w:r>
      <w:r w:rsidR="0021570E">
        <w:t>.</w:t>
      </w:r>
    </w:p>
    <w:p w14:paraId="512D7A06" w14:textId="77777777" w:rsidR="00D91B22" w:rsidRPr="00D91B22" w:rsidRDefault="00DA2904" w:rsidP="00DD21AD">
      <w:pPr>
        <w:pStyle w:val="Heading3"/>
      </w:pPr>
      <w:bookmarkStart w:id="18" w:name="_Toc101469658"/>
      <w:r w:rsidRPr="00D91B22">
        <w:t>Vertical integration</w:t>
      </w:r>
      <w:bookmarkEnd w:id="18"/>
    </w:p>
    <w:p w14:paraId="150A52EC" w14:textId="2C3CA2DB" w:rsidR="000731C7" w:rsidRDefault="008A1F24" w:rsidP="00D91B22">
      <w:pPr>
        <w:spacing w:line="360" w:lineRule="auto"/>
        <w:jc w:val="both"/>
      </w:pPr>
      <w:r>
        <w:t xml:space="preserve">This entails the </w:t>
      </w:r>
      <w:r w:rsidR="00C56DF8">
        <w:t>centralisation of</w:t>
      </w:r>
      <w:r w:rsidR="009857C5">
        <w:t xml:space="preserve"> suppliers</w:t>
      </w:r>
      <w:r w:rsidR="00692F40">
        <w:t xml:space="preserve"> by the main manufacturer</w:t>
      </w:r>
      <w:r w:rsidR="009857C5">
        <w:t xml:space="preserve"> through ownership </w:t>
      </w:r>
      <w:r w:rsidR="00880CEE">
        <w:t xml:space="preserve">by means of mergers or acquisition. </w:t>
      </w:r>
      <w:r w:rsidR="000C537E">
        <w:t xml:space="preserve">Such a strategy requires heavy investment but can lead to </w:t>
      </w:r>
      <w:r w:rsidR="00F110EE">
        <w:t>self-sufficiency and raw material resource ownership</w:t>
      </w:r>
      <w:r w:rsidR="0092464F">
        <w:t xml:space="preserve"> </w:t>
      </w:r>
      <w:r w:rsidR="000A397F">
        <w:fldChar w:fldCharType="begin"/>
      </w:r>
      <w:r w:rsidR="00BD44E7">
        <w:instrText xml:space="preserve"> ADDIN ZOTERO_ITEM CSL_CITATION {"citationID":"4JkenPta","properties":{"formattedCitation":"(Pinto and Diemer 2020)","plainCitation":"(Pinto and Diemer 2020)","noteIndex":0},"citationItems":[{"id":1436,"uris":["http://zotero.org/users/local/AB2owHL2/items/AN48MPVF"],"itemData":{"id":1436,"type":"article-journal","abstract":"As the environmental mindset became increasingly present in the steel industry, so did the concerns with the developments of its market. In an attempt to address both sides of this challenge, this article aimed at identifying how the implementation of different Supply Chain Integration strategies oriented towards raw material self-sufficiency and resource ownership retention could affect circularity. The European steel industry was used as case study and the effects of closing material loops via Supply Chain Integration were tested by running simulations on an integrated Life Cycle Assessment and System Dynamics model. The results brought to light that different approaches can be environmentally and strategically promising, as well as able to drive improvements in raw material self-sufficiency and in resource ownership retention. Noteworthy were the adoption of vertical hedging strategies on the supply side, and of horizontal hedging strategies on end-of-life for either recycling, refurbishing or repair and maintenance services.","container-title":"Resources, Conservation and Recycling","DOI":"10.1016/j.resconrec.2019.104517","ISSN":"0921-3449","journalAbbreviation":"Resources, Conservation and Recycling","language":"en","page":"104517","source":"ScienceDirect","title":"Supply chain integration strategies and circularity in the European steel industry","URL":"https://www.sciencedirect.com/science/article/pii/S0921344919304239","volume":"153","author":[{"family":"Pinto","given":"Julian T. M."},{"family":"Diemer","given":"Arnaud"}],"accessed":{"date-parts":[["2022",1,27]]},"issued":{"date-parts":[["2020",2,1]]}}}],"schema":"https://github.com/citation-style-language/schema/raw/master/csl-citation.json"} </w:instrText>
      </w:r>
      <w:r w:rsidR="000A397F">
        <w:fldChar w:fldCharType="separate"/>
      </w:r>
      <w:r w:rsidR="00BD44E7" w:rsidRPr="00BD44E7">
        <w:rPr>
          <w:rFonts w:ascii="Calibri" w:hAnsi="Calibri" w:cs="Calibri"/>
        </w:rPr>
        <w:t>(Pinto and Diemer 2020)</w:t>
      </w:r>
      <w:r w:rsidR="000A397F">
        <w:fldChar w:fldCharType="end"/>
      </w:r>
      <w:r w:rsidR="0092464F">
        <w:t>.</w:t>
      </w:r>
      <w:r w:rsidR="000A397F">
        <w:t xml:space="preserve"> </w:t>
      </w:r>
      <w:r w:rsidR="00B22BAE">
        <w:t xml:space="preserve">A fully integrated SC can minimise inventory, </w:t>
      </w:r>
      <w:r w:rsidR="00826493">
        <w:t>improve lead times</w:t>
      </w:r>
      <w:r w:rsidR="006466E9">
        <w:t>,</w:t>
      </w:r>
      <w:r w:rsidR="00A046C3">
        <w:t xml:space="preserve"> fully </w:t>
      </w:r>
      <w:r w:rsidR="00D53768">
        <w:t>utilise assets</w:t>
      </w:r>
      <w:r w:rsidR="00826493">
        <w:t xml:space="preserve"> and helps a business become customer focused</w:t>
      </w:r>
      <w:r w:rsidR="00D53768">
        <w:t xml:space="preserve"> </w:t>
      </w:r>
      <w:r w:rsidR="009E2BA6">
        <w:fldChar w:fldCharType="begin"/>
      </w:r>
      <w:r w:rsidR="00BD44E7">
        <w:instrText xml:space="preserve"> ADDIN ZOTERO_ITEM CSL_CITATION {"citationID":"PY4DQPCc","properties":{"formattedCitation":"(Potter et al. 2004)","plainCitation":"(Potter et al. 2004)","noteIndex":0},"citationItems":[{"id":1429,"uris":["http://zotero.org/users/local/AB2owHL2/items/WJ8K5H6D"],"itemData":{"id":1429,"type":"article-journal","abstract":"Many academics have studied the steel industry with the aim of implementing improvements in the sector. Although these provide snapshots of the structure of the supply chain, the evolution that has occurred is less well understood. This paper studies, primarily using process mapping techniques, the evolution of a case study steel supply chain within the UK over the past decade, drawing both on previous work and current research. The changes that have occurred are identified and categorised and their impact on inventory, lead times and asset utilisation will be assessed. It has been proposed that supply chains evolve from a traditional (uncoordinated, disparate, sub-optimal) to an integrated supply chain structure. The paper concludes that although the steel supply chain has evolved between 1990 and 2001 towards an integrated structure, there are currently constraints imposed by organisational boundaries.","collection-title":"Supply Chain Management","container-title":"International Journal of Production Economics","DOI":"10.1016/S0925-5273(02)00449-8","ISSN":"0925-5273","issue":"2","journalAbbreviation":"International Journal of Production Economics","language":"en","page":"207-216","source":"ScienceDirect","title":"The evolution towards an integrated steel supply chain: A case study from the UK","title-short":"The evolution towards an integrated steel supply chain","URL":"https://www.sciencedirect.com/science/article/pii/S0925527302004498","volume":"89","author":[{"family":"Potter","given":"Andrew"},{"family":"Mason","given":"Robert"},{"family":"Naim","given":"Mohamed"},{"family":"Lalwani","given":"Chandra"}],"accessed":{"date-parts":[["2022",1,27]]},"issued":{"date-parts":[["2004",5,28]]}}}],"schema":"https://github.com/citation-style-language/schema/raw/master/csl-citation.json"} </w:instrText>
      </w:r>
      <w:r w:rsidR="009E2BA6">
        <w:fldChar w:fldCharType="separate"/>
      </w:r>
      <w:r w:rsidR="00BD44E7" w:rsidRPr="00BD44E7">
        <w:rPr>
          <w:rFonts w:ascii="Calibri" w:hAnsi="Calibri" w:cs="Calibri"/>
        </w:rPr>
        <w:t>(Potter et al. 2004)</w:t>
      </w:r>
      <w:r w:rsidR="009E2BA6">
        <w:fldChar w:fldCharType="end"/>
      </w:r>
      <w:r w:rsidR="009E2BA6">
        <w:t>.</w:t>
      </w:r>
    </w:p>
    <w:p w14:paraId="7DEFF904" w14:textId="77777777" w:rsidR="00E521E3" w:rsidRPr="00E521E3" w:rsidRDefault="009E2BA6" w:rsidP="00DD21AD">
      <w:pPr>
        <w:pStyle w:val="Heading3"/>
      </w:pPr>
      <w:bookmarkStart w:id="19" w:name="_Toc101469659"/>
      <w:r w:rsidRPr="00D91B22">
        <w:t>Increased Stockpiling</w:t>
      </w:r>
      <w:r w:rsidR="00150BDC" w:rsidRPr="00D91B22">
        <w:t xml:space="preserve"> and Buffer inventory</w:t>
      </w:r>
      <w:bookmarkEnd w:id="19"/>
    </w:p>
    <w:p w14:paraId="77D30A2E" w14:textId="3925EA77" w:rsidR="009E2BA6" w:rsidRDefault="009F5B44" w:rsidP="00E521E3">
      <w:pPr>
        <w:spacing w:line="360" w:lineRule="auto"/>
        <w:jc w:val="both"/>
      </w:pPr>
      <w:r w:rsidRPr="00E521E3">
        <w:rPr>
          <w:i/>
          <w:iCs/>
        </w:rPr>
        <w:fldChar w:fldCharType="begin"/>
      </w:r>
      <w:r w:rsidR="00BD44E7">
        <w:rPr>
          <w:i/>
          <w:iCs/>
        </w:rPr>
        <w:instrText xml:space="preserve"> ADDIN ZOTERO_ITEM CSL_CITATION {"citationID":"yeW4Kv5z","properties":{"formattedCitation":"(Chopra and Sodhi 2004)","plainCitation":"(Chopra and Sodhi 2004)","noteIndex":0},"citationItems":[{"id":1552,"uris":["http://zotero.org/users/local/AB2owHL2/items/3V57ZA78"],"itemData":{"id":1552,"type":"article-journal","abstract":"Natural disasters, labor disputes, terrorism and more mundane risks can seriously disrupt or delay the flow of material, information and cash through an organizations supply chain. It is asserted that how well a company fares against such threats will depend on its level of preparedness, and the type of disruption. Each supply-chain risk - to forecasts, information systems, intellectual property, procurement, inventory and capacity - has its own drivers and effective mitigation strategies. To avoid lost sales, increased costs or both, managers need to tailor proven risk-reduction strategies to their organizations. Managing supply-chain risk is difficult, however. A powerful \"what if?\" team exercise called \"stress testing\" to identify potentially weak links in the supply chain is recommended. Armed with this shared understanding, companies can then select the best mitigation strategy: holding \"reserves,\" pooling inventory, using redundant suppliers, balancing capacity and inventory, implementing robust backup and recovery systems, adjusting pricing and incentives, bringing or keeping production in-house, and using Continuous Replenishment Programs, Collaborative Planning, Forecasting and Replenishment and other supply-chain initiatives.","container-title":"MIT Sloan Management Review","ISSN":"15329194","issue":"1","language":"English","note":"number-of-pages: 53-61\npublisher-place: Cambridge, United States\npublisher: Massachusetts Institute of Technology, Cambridge, MA","page":"53-61","source":"ProQuest","title":"Managing Risk to Avoid Supply-Chain Breakdown","URL":"https://www.proquest.com/docview/224964486/abstract/A6E592F3C96C4741PQ/1","volume":"46","author":[{"family":"Chopra","given":"Sunil"},{"family":"Sodhi","given":"ManMohan S."}],"accessed":{"date-parts":[["2022",3,20]]},"issued":{"date-parts":[["2004"]],"season":"Fall"}}}],"schema":"https://github.com/citation-style-language/schema/raw/master/csl-citation.json"} </w:instrText>
      </w:r>
      <w:r w:rsidRPr="00E521E3">
        <w:rPr>
          <w:i/>
          <w:iCs/>
        </w:rPr>
        <w:fldChar w:fldCharType="separate"/>
      </w:r>
      <w:r w:rsidR="00BD44E7" w:rsidRPr="00BD44E7">
        <w:rPr>
          <w:rFonts w:ascii="Calibri" w:hAnsi="Calibri" w:cs="Calibri"/>
        </w:rPr>
        <w:t xml:space="preserve">Chopra and Sodhi </w:t>
      </w:r>
      <w:r w:rsidR="00A55DF4">
        <w:rPr>
          <w:rFonts w:ascii="Calibri" w:hAnsi="Calibri" w:cs="Calibri"/>
        </w:rPr>
        <w:t>(</w:t>
      </w:r>
      <w:r w:rsidR="00BD44E7" w:rsidRPr="00BD44E7">
        <w:rPr>
          <w:rFonts w:ascii="Calibri" w:hAnsi="Calibri" w:cs="Calibri"/>
        </w:rPr>
        <w:t>2004)</w:t>
      </w:r>
      <w:r w:rsidRPr="00E521E3">
        <w:rPr>
          <w:i/>
          <w:iCs/>
        </w:rPr>
        <w:fldChar w:fldCharType="end"/>
      </w:r>
      <w:r w:rsidRPr="00E521E3">
        <w:rPr>
          <w:i/>
          <w:iCs/>
        </w:rPr>
        <w:t xml:space="preserve"> </w:t>
      </w:r>
      <w:r w:rsidR="009C6B05">
        <w:t xml:space="preserve">discuss </w:t>
      </w:r>
      <w:r w:rsidR="009235C3">
        <w:t>the</w:t>
      </w:r>
      <w:r w:rsidR="00E46D20">
        <w:t xml:space="preserve"> three key relationships</w:t>
      </w:r>
      <w:r w:rsidR="009235C3">
        <w:t xml:space="preserve"> associated with inventory pooling</w:t>
      </w:r>
      <w:r w:rsidR="00E46D20">
        <w:t xml:space="preserve">: </w:t>
      </w:r>
      <w:r w:rsidR="007E55D9">
        <w:t xml:space="preserve">1. </w:t>
      </w:r>
      <w:r w:rsidR="00FB0D0F">
        <w:t>The cost of using inventory to cover</w:t>
      </w:r>
      <w:r w:rsidR="00CA0776">
        <w:t xml:space="preserve"> a </w:t>
      </w:r>
      <w:r w:rsidR="00E521E3">
        <w:t>high-level</w:t>
      </w:r>
      <w:r w:rsidR="00CA0776">
        <w:t xml:space="preserve"> demand risk is higher than the cost of </w:t>
      </w:r>
      <w:r w:rsidR="007E55D9">
        <w:t xml:space="preserve">covering a low level of risk. 2. </w:t>
      </w:r>
      <w:r w:rsidR="00DD7785">
        <w:t xml:space="preserve">For forecast risk, </w:t>
      </w:r>
      <w:r w:rsidR="001C7664">
        <w:t xml:space="preserve">the </w:t>
      </w:r>
      <w:r w:rsidR="000031E6">
        <w:t>necessary</w:t>
      </w:r>
      <w:r w:rsidR="001C7664">
        <w:t xml:space="preserve"> level of inventory </w:t>
      </w:r>
      <w:r w:rsidR="004741CA">
        <w:t>needed to mitigate forecast risk decreases as it is pooled.</w:t>
      </w:r>
      <w:r w:rsidR="00B2349C">
        <w:t xml:space="preserve"> 3. The benefit</w:t>
      </w:r>
      <w:r w:rsidR="00712F1A">
        <w:t xml:space="preserve"> of pooling inventory increases with the level of risk</w:t>
      </w:r>
      <w:r w:rsidR="00E43499">
        <w:t xml:space="preserve">. </w:t>
      </w:r>
      <w:r w:rsidR="00B60408">
        <w:t>Therefore,</w:t>
      </w:r>
      <w:r w:rsidR="00E43499">
        <w:t xml:space="preserve"> this strategy is only </w:t>
      </w:r>
      <w:r w:rsidR="0012145D">
        <w:t>recommended</w:t>
      </w:r>
      <w:r w:rsidR="00E43499">
        <w:t xml:space="preserve"> </w:t>
      </w:r>
      <w:r w:rsidR="0012145D">
        <w:t>if the product has high inventory or forecast risk.</w:t>
      </w:r>
    </w:p>
    <w:p w14:paraId="3195617B" w14:textId="77777777" w:rsidR="00E521E3" w:rsidRPr="00E521E3" w:rsidRDefault="006711A8" w:rsidP="00DD21AD">
      <w:pPr>
        <w:pStyle w:val="Heading3"/>
      </w:pPr>
      <w:bookmarkStart w:id="20" w:name="_Toc101469660"/>
      <w:r w:rsidRPr="00E521E3">
        <w:t xml:space="preserve">Maintaining extra capacity </w:t>
      </w:r>
      <w:r w:rsidR="008B7EF4" w:rsidRPr="00E521E3">
        <w:t xml:space="preserve">in production, </w:t>
      </w:r>
      <w:r w:rsidR="00DA105D" w:rsidRPr="00E521E3">
        <w:t>storage,</w:t>
      </w:r>
      <w:r w:rsidR="008B7EF4" w:rsidRPr="00E521E3">
        <w:t xml:space="preserve"> </w:t>
      </w:r>
      <w:r w:rsidR="00F04791" w:rsidRPr="00E521E3">
        <w:t>and handling/transport</w:t>
      </w:r>
      <w:bookmarkEnd w:id="20"/>
    </w:p>
    <w:p w14:paraId="3844AEBD" w14:textId="3B953499" w:rsidR="006711A8" w:rsidRDefault="00CA7FB7" w:rsidP="00E521E3">
      <w:pPr>
        <w:spacing w:line="360" w:lineRule="auto"/>
        <w:jc w:val="both"/>
      </w:pPr>
      <w:r>
        <w:t xml:space="preserve">Capacity </w:t>
      </w:r>
      <w:r w:rsidR="000B6E21">
        <w:t xml:space="preserve">flexibility </w:t>
      </w:r>
      <w:r w:rsidR="00C754BC">
        <w:t xml:space="preserve">in these areas </w:t>
      </w:r>
      <w:r w:rsidR="00A17105">
        <w:t xml:space="preserve">enable both product mix and volume </w:t>
      </w:r>
      <w:r w:rsidR="00C754BC">
        <w:t xml:space="preserve">flexibility </w:t>
      </w:r>
      <w:r w:rsidR="009C3E92">
        <w:t xml:space="preserve">which are deemed to contribute to </w:t>
      </w:r>
      <w:r w:rsidR="005302EA">
        <w:t>SC</w:t>
      </w:r>
      <w:r w:rsidR="009C3E92">
        <w:t xml:space="preserve"> agility </w:t>
      </w:r>
      <w:r w:rsidR="00397FF0">
        <w:t xml:space="preserve">and </w:t>
      </w:r>
      <w:r w:rsidR="00DF229D">
        <w:t>in turn</w:t>
      </w:r>
      <w:r w:rsidR="005302EA">
        <w:t xml:space="preserve"> SC resilience</w:t>
      </w:r>
      <w:r w:rsidR="008D41AC">
        <w:t xml:space="preserve">. Volume flexibility </w:t>
      </w:r>
      <w:r w:rsidR="00756261">
        <w:t xml:space="preserve">is defined as the ability to </w:t>
      </w:r>
      <w:r w:rsidR="00047962">
        <w:t xml:space="preserve">vary production </w:t>
      </w:r>
      <w:r w:rsidR="003F03C4">
        <w:t xml:space="preserve">capacity </w:t>
      </w:r>
      <w:r w:rsidR="00051289">
        <w:t xml:space="preserve">without </w:t>
      </w:r>
      <w:r w:rsidR="00713E14">
        <w:t xml:space="preserve">negatively affecting the </w:t>
      </w:r>
      <w:r w:rsidR="00397FF0">
        <w:t>cost or capability of the process</w:t>
      </w:r>
      <w:r w:rsidR="00DF229D">
        <w:t>, when impacted by a disruption</w:t>
      </w:r>
      <w:r w:rsidR="0071463C">
        <w:t xml:space="preserve">. Mix flexibility </w:t>
      </w:r>
      <w:r w:rsidR="00AA0BE2">
        <w:t xml:space="preserve">refers to the ability to </w:t>
      </w:r>
      <w:r w:rsidR="00DC0834">
        <w:t>produce a varied range of products</w:t>
      </w:r>
      <w:r w:rsidR="001D59DF">
        <w:t xml:space="preserve"> efficiently in response to variable demand</w:t>
      </w:r>
      <w:r w:rsidR="0002055B">
        <w:t xml:space="preserve"> </w:t>
      </w:r>
      <w:r w:rsidR="00B16853">
        <w:fldChar w:fldCharType="begin"/>
      </w:r>
      <w:r w:rsidR="00BD44E7">
        <w:instrText xml:space="preserve"> ADDIN ZOTERO_ITEM CSL_CITATION {"citationID":"N6lAr4lX","properties":{"formattedCitation":"(Braunscheidel and Suresh 2009)","plainCitation":"(Braunscheidel and Suresh 2009)","noteIndex":0},"citationItems":[{"id":1595,"uris":["http://zotero.org/users/local/AB2owHL2/items/6IZCALAL"],"itemData":{"id":1595,"type":"article-journal","abstract":"Today’s marketplace is characterized by intense competitive pressures as well as high levels of turbulence and uncertainty. Organizations require agility in their supply chains to provide superior value as well as to manage disruption risks and ensure uninterrupted service to customers. Thus the cultivation of agility is approached as a risk management initiative that enables a firm to respond rapidly to marketplace changes, as well as anticipated and actual disruptions in the supply chain. Agility is of value for both risk mitigation and response. This research investigates the impact of two cultural antecedents, market orientation and learning orientation, and three organizational practices, all aimed at augmenting the supply chain agility of a firm. A firm’s supply chain agility (FSCA) is defined as the capability of the firm, both internally and in conjunction with its key suppliers and customers, to adapt or respond in a speedy manner to marketplace changes as well as to potential and actual disruptions, contributing to the agility of the extended supply chain. The two cultural antecedents of market and learning orientations are posited to affect the organizational practices of internal integration, external integration with key suppliers and customers, and external flexibility, and eventually impact the firm’s supply chain agility. The external flexibility elements considered are volume and mix flexibility. In addition, the specific organizational characteristics and practices exhibited by firms with high levels of supply chain agility are also investigated. Through the use of the structural equation modeling technique, partial least squares (PLS), it is shown that strong linkages exist among the cultural antecedents, the three organizational practices considered, and the firm’s supply chain agility. All three organizational practices, internal integration, external integration with key suppliers and customers, and external flexibility are shown to have significant positive impact on the firm’s supply chain agility. Market orientation is shown to significantly impact both internal and external supply chain integration, along with the two elements of external flexibility. Learning orientation, on the other hand, is shown to have a strong and direct influence only on the level of internal integration. Firms with high levels of external integration are also shown to have high levels of internal integration, consistent with past research. Internal and external integration efforts are also seen to be unrelated to the levels of external flexibility present. The results serve to establish a set of key drivers for augmenting supply chain agility as a risk management initiative.","container-title":"Journal of Operations Management","DOI":"10.1016/j.jom.2008.09.006","ISSN":"1873-1317","issue":"2","language":"en","note":"_eprint: https://onlinelibrary.wiley.com/doi/pdf/10.1016/j.jom.2008.09.006","page":"119-140","source":"Wiley Online Library","title":"The organizational antecedents of a firm’s supply chain agility for risk mitigation and response","URL":"http://onlinelibrary.wiley.com/doi/abs/10.1016/j.jom.2008.09.006","volume":"27","author":[{"family":"Braunscheidel","given":"Michael J."},{"family":"Suresh","given":"Nallan C."}],"accessed":{"date-parts":[["2022",3,30]]},"issued":{"date-parts":[["2009"]]}}}],"schema":"https://github.com/citation-style-language/schema/raw/master/csl-citation.json"} </w:instrText>
      </w:r>
      <w:r w:rsidR="00B16853">
        <w:fldChar w:fldCharType="separate"/>
      </w:r>
      <w:r w:rsidR="00BD44E7" w:rsidRPr="00BD44E7">
        <w:rPr>
          <w:rFonts w:ascii="Calibri" w:hAnsi="Calibri" w:cs="Calibri"/>
        </w:rPr>
        <w:t>(Braunscheidel and Suresh 2009)</w:t>
      </w:r>
      <w:r w:rsidR="00B16853">
        <w:fldChar w:fldCharType="end"/>
      </w:r>
      <w:r w:rsidR="00B16853">
        <w:t xml:space="preserve">. </w:t>
      </w:r>
    </w:p>
    <w:p w14:paraId="5EFDF428" w14:textId="77777777" w:rsidR="00E521E3" w:rsidRDefault="00E521E3" w:rsidP="00E521E3">
      <w:pPr>
        <w:spacing w:line="360" w:lineRule="auto"/>
        <w:jc w:val="both"/>
      </w:pPr>
    </w:p>
    <w:p w14:paraId="507E40D0" w14:textId="77777777" w:rsidR="00E521E3" w:rsidRPr="00E521E3" w:rsidRDefault="00CA780E" w:rsidP="00DD21AD">
      <w:pPr>
        <w:pStyle w:val="Heading3"/>
      </w:pPr>
      <w:bookmarkStart w:id="21" w:name="_Toc101469661"/>
      <w:r w:rsidRPr="00E521E3">
        <w:lastRenderedPageBreak/>
        <w:t>Imposing contractual obligations on suppliers</w:t>
      </w:r>
      <w:bookmarkEnd w:id="21"/>
    </w:p>
    <w:p w14:paraId="65450383" w14:textId="63D8F4BE" w:rsidR="00A12FE2" w:rsidRDefault="00E47079" w:rsidP="00E521E3">
      <w:pPr>
        <w:spacing w:line="360" w:lineRule="auto"/>
        <w:jc w:val="both"/>
      </w:pPr>
      <w:r>
        <w:fldChar w:fldCharType="begin"/>
      </w:r>
      <w:r w:rsidR="00BD44E7">
        <w:instrText xml:space="preserve"> ADDIN ZOTERO_ITEM CSL_CITATION {"citationID":"YOSOMXXE","properties":{"formattedCitation":"(Urciuoli et al. 2014)","plainCitation":"(Urciuoli et al. 2014)","noteIndex":0},"citationItems":[{"id":1600,"uris":["http://zotero.org/users/local/AB2owHL2/items/G43G8YPP"],"itemData":{"id":1600,"type":"article-journal","abstract":"Purpose - The purpose of this paper is to enhance the understanding about how energy supply chains work to build resilience against exogenous security threats and thereafter what support mechanisms should be introduced or improved by the European Union. Design/methodology/approach - Five case studies and data collection from multiple sources is used to understand what exogenous security threats could lead to the disruption of oil and gas flows to Europe, how energy companies, from a supply chain perspective, are working to manage these threats and finally, how the EU may coordinate the security of the energy sector in collaboration with supply chain companies. Findings - Results show that today, oil and gas supply chains have in place a good combination of disruption strategies, including portfolio diversification, flexible contracts, transport capacity planning and safety stocks. The most relevant security threats the companies fear, include hijacking of vessels (sea piracy), but also terrorism, and wars. Finally, the study highlights that the European Union has built a comprehensive portfolio of strategies to deal with scarcity of oil and gas resources. However, these approaches are not often synchronized with supply chain strategies. Practical implications - The paper provides guidance for supply chain managers dealing with critical suppliers located in conflict environments. The paper recommends that supply chain managers fine tune their strategies in coordination with governmental actions in foreign politics, dependence reduction and crisis management. This may be achieved by closer communication with governments and potentially through the creation of a pan-European sector alliance. Originality/value - Previous research discusses the topic of supply chain resilience and supply chain risk management. However, none of these studies report on exogenous security threats and disruption strategies of oil and gas supply chains. At the same time, previous research lacks detailed studies describing the interaction between governments and energy supply chains.","container-title":"Supply Chain Management","DOI":"http://dx.doi.org.ezproxy.uwtsd.ac.uk/10.1108/SCM-09-2012-0307","ISSN":"13598546","issue":"1","language":"English","note":"number-of-pages: 46-63\npublisher-place: Bradford, United Kingdom\npublisher: Emerald Group Publishing Limited","page":"46-63","source":"ProQuest","title":"The resilience of energy supply chains: a multiple case study approach on oil and gas supply chains to Europe","title-short":"The resilience of energy supply chains","URL":"http://www.proquest.com/docview/1476457531/abstract/254BF59784894456PQ/1","volume":"19","author":[{"family":"Urciuoli","given":"Luca"},{"family":"Mohanty","given":"Sangeeta"},{"family":"Hintsa","given":"Juha"},{"family":"Boekesteijn","given":"Else Gerine"}],"accessed":{"date-parts":[["2022",3,30]]},"issued":{"date-parts":[["2014"]]}}}],"schema":"https://github.com/citation-style-language/schema/raw/master/csl-citation.json"} </w:instrText>
      </w:r>
      <w:r>
        <w:fldChar w:fldCharType="separate"/>
      </w:r>
      <w:r w:rsidR="00BD44E7" w:rsidRPr="00BD44E7">
        <w:rPr>
          <w:rFonts w:ascii="Calibri" w:hAnsi="Calibri" w:cs="Calibri"/>
        </w:rPr>
        <w:t xml:space="preserve">Urciuoli et al. </w:t>
      </w:r>
      <w:r w:rsidR="00A55DF4">
        <w:rPr>
          <w:rFonts w:ascii="Calibri" w:hAnsi="Calibri" w:cs="Calibri"/>
        </w:rPr>
        <w:t>(</w:t>
      </w:r>
      <w:r w:rsidR="00BD44E7" w:rsidRPr="00BD44E7">
        <w:rPr>
          <w:rFonts w:ascii="Calibri" w:hAnsi="Calibri" w:cs="Calibri"/>
        </w:rPr>
        <w:t>2014)</w:t>
      </w:r>
      <w:r>
        <w:fldChar w:fldCharType="end"/>
      </w:r>
      <w:r>
        <w:t xml:space="preserve"> suggest negotiating contracts with</w:t>
      </w:r>
      <w:r w:rsidR="00D14056">
        <w:t xml:space="preserve"> suppliers so that some level of risk is shared. </w:t>
      </w:r>
      <w:r w:rsidR="005D3AB4">
        <w:t xml:space="preserve">For </w:t>
      </w:r>
      <w:r w:rsidR="00A12FE2">
        <w:t>example,</w:t>
      </w:r>
      <w:r w:rsidR="005D3AB4">
        <w:t xml:space="preserve"> a </w:t>
      </w:r>
      <w:proofErr w:type="gramStart"/>
      <w:r w:rsidR="005D3AB4">
        <w:t>criteria</w:t>
      </w:r>
      <w:proofErr w:type="gramEnd"/>
      <w:r w:rsidR="005D3AB4">
        <w:t xml:space="preserve"> could be included that </w:t>
      </w:r>
      <w:r w:rsidR="00BC71CC">
        <w:t>it is necessary to have extra transport capacity available</w:t>
      </w:r>
      <w:r w:rsidR="008E07D9">
        <w:t xml:space="preserve"> in case of disruption to </w:t>
      </w:r>
      <w:r w:rsidR="007E7439">
        <w:t xml:space="preserve">a vessel. </w:t>
      </w:r>
      <w:r w:rsidR="003059A2">
        <w:t xml:space="preserve">A supply contract could be split </w:t>
      </w:r>
      <w:r w:rsidR="00A43645">
        <w:t>between</w:t>
      </w:r>
      <w:r w:rsidR="003059A2">
        <w:t xml:space="preserve"> </w:t>
      </w:r>
      <w:r w:rsidR="005400B9">
        <w:t xml:space="preserve">long term contracts and partly by </w:t>
      </w:r>
      <w:r w:rsidR="005636B0">
        <w:t>short term deals which would allow flexibility in supply.</w:t>
      </w:r>
      <w:r w:rsidR="00180083">
        <w:t xml:space="preserve"> </w:t>
      </w:r>
      <w:r w:rsidR="001F1E3E">
        <w:fldChar w:fldCharType="begin"/>
      </w:r>
      <w:r w:rsidR="00BD44E7">
        <w:instrText xml:space="preserve"> ADDIN ZOTERO_ITEM CSL_CITATION {"citationID":"fa3W5BtI","properties":{"formattedCitation":"(Xiao and Yang 2009)","plainCitation":"(Xiao and Yang 2009)","noteIndex":0},"citationItems":[{"id":1598,"uris":["http://zotero.org/users/local/AB2owHL2/items/ARIK5SK4"],"itemData":{"id":1598,"type":"article-journal","abstract":"This paper develops an information revelation mechanism model of a one-manufacturer and one-retailer supply chain facing an outside integrated-competitor under demand uncertainty. We investigate how the manufacturer designs a wholesale price-order quantity contract to induce the retailer to report his risk sensitivity information truthfully. We try to explore the effects of the outside competitor and the risk-sharing rule on the optimal price-service level decisions of the retailer and the optimal wholesale prices of the manufacturer. We find that the strategic interaction plays an important role in the effect of risk sensitivity on the order quantity for the retailer. When the fraction of the risk cost shared by the manufacturer is sufficiently large (small), the optimal wholesale price for the high risk-averse retailer is higher (lower) than that for the low risk-averse retailer.","container-title":"European Journal of Operational Research","DOI":"10.1016/j.ejor.2008.05.004","ISSN":"0377-2217","issue":"3","journalAbbreviation":"European Journal of Operational Research","language":"en","page":"1076-1085","source":"ScienceDirect","title":"Risk sharing and information revelation mechanism of a one-manufacturer and one-retailer supply chain facing an integrated competitor","URL":"https://www.sciencedirect.com/science/article/pii/S0377221708004074","volume":"196","author":[{"family":"Xiao","given":"Tiaojun"},{"family":"Yang","given":"Danqin"}],"accessed":{"date-parts":[["2022",3,30]]},"issued":{"date-parts":[["2009",8,1]]}}}],"schema":"https://github.com/citation-style-language/schema/raw/master/csl-citation.json"} </w:instrText>
      </w:r>
      <w:r w:rsidR="001F1E3E">
        <w:fldChar w:fldCharType="separate"/>
      </w:r>
      <w:r w:rsidR="00BD44E7" w:rsidRPr="00BD44E7">
        <w:rPr>
          <w:rFonts w:ascii="Calibri" w:hAnsi="Calibri" w:cs="Calibri"/>
        </w:rPr>
        <w:t>(Xiao and Yang 2009)</w:t>
      </w:r>
      <w:r w:rsidR="001F1E3E">
        <w:fldChar w:fldCharType="end"/>
      </w:r>
      <w:r w:rsidR="001F1E3E">
        <w:t xml:space="preserve"> advise</w:t>
      </w:r>
      <w:r w:rsidR="00D111CA">
        <w:t>s including</w:t>
      </w:r>
      <w:r w:rsidR="00227DBF">
        <w:t xml:space="preserve"> a risk subsidy to offset part of</w:t>
      </w:r>
      <w:r w:rsidR="00D111CA">
        <w:t xml:space="preserve"> the manufacturers </w:t>
      </w:r>
      <w:r w:rsidR="005932E5">
        <w:t xml:space="preserve">risk </w:t>
      </w:r>
      <w:r w:rsidR="00D111CA">
        <w:t>cost</w:t>
      </w:r>
      <w:r w:rsidR="00080667">
        <w:t xml:space="preserve"> and that </w:t>
      </w:r>
      <w:r w:rsidR="00A0755A">
        <w:t>a coordinated contract</w:t>
      </w:r>
      <w:r w:rsidR="007B4DB5">
        <w:t xml:space="preserve"> can improve the members profits.</w:t>
      </w:r>
      <w:r w:rsidR="00534C24">
        <w:t xml:space="preserve"> </w:t>
      </w:r>
      <w:r w:rsidR="00F213E8">
        <w:t xml:space="preserve">Risk sharing is appropriate when dealing with risks that have low probability </w:t>
      </w:r>
      <w:r w:rsidR="00080804">
        <w:t>and high impact</w:t>
      </w:r>
      <w:r w:rsidR="00C1582B">
        <w:t xml:space="preserve">, the strategy can </w:t>
      </w:r>
      <w:r w:rsidR="00FA3609">
        <w:t>increase customer service levels and reduce risk associated costs</w:t>
      </w:r>
      <w:r w:rsidR="00A7190A">
        <w:t xml:space="preserve"> </w:t>
      </w:r>
      <w:r w:rsidR="00BF2A7D">
        <w:fldChar w:fldCharType="begin"/>
      </w:r>
      <w:r w:rsidR="00BD44E7">
        <w:instrText xml:space="preserve"> ADDIN ZOTERO_ITEM CSL_CITATION {"citationID":"uZWT5QtI","properties":{"formattedCitation":"(Lai et al. 2009)","plainCitation":"(Lai et al. 2009)","noteIndex":0},"citationItems":[{"id":1602,"uris":["http://zotero.org/users/local/AB2owHL2/items/BPI5DSEH"],"itemData":{"id":1602,"type":"article-journal","abstract":"A supply chain may operate under either preorder mode, consignment mode or the combination of these two modes. Under preorder, the retailer procures before the sale and takes full inventory risk during the sale, while under consignment, the retailer sells the product for the supplier with the supplier taking the inventory risk. The combination mode shares the risk in the supply chain. The existing research has examined the supply chain modes from various operational aspects. However, the impact of financial constraint is neglected. This paper examines the impact of financial constraint and investigates the supply chain efficiency under each mode. Based on a Stackelberg game with the supplier being the leader, we show that without financial constraint the supplier always prefers the consignment mode, taking full inventory risk. Whereas, in the presence of financial constraint, the supplier will sell part of the inventory to the retailer through preorder, which shares the inventory risk in the supply chain. We show that with financial constraint, the combination mode is the most efficient mode even if the retailer earns zero internal capital.","collection-title":"Role of Flexibility in Supply Chain Design and Modeling","container-title":"Omega","DOI":"10.1016/j.omega.2008.06.003","ISSN":"0305-0483","issue":"4","journalAbbreviation":"Omega","language":"en","page":"811-825","source":"ScienceDirect","title":"Sharing inventory risk in supply chain: The implication of financial constraint","title-short":"Sharing inventory risk in supply chain","URL":"https://www.sciencedirect.com/science/article/pii/S0305048308000911","volume":"37","author":[{"family":"Lai","given":"Guoming"},{"family":"Debo","given":"Laurens G."},{"family":"Sycara","given":"Katia"}],"accessed":{"date-parts":[["2022",3,31]]},"issued":{"date-parts":[["2009",8,1]]}}}],"schema":"https://github.com/citation-style-language/schema/raw/master/csl-citation.json"} </w:instrText>
      </w:r>
      <w:r w:rsidR="00BF2A7D">
        <w:fldChar w:fldCharType="separate"/>
      </w:r>
      <w:r w:rsidR="00BD44E7" w:rsidRPr="00BD44E7">
        <w:rPr>
          <w:rFonts w:ascii="Calibri" w:hAnsi="Calibri" w:cs="Calibri"/>
        </w:rPr>
        <w:t>(Lai et al. 2009)</w:t>
      </w:r>
      <w:r w:rsidR="00BF2A7D">
        <w:fldChar w:fldCharType="end"/>
      </w:r>
      <w:r w:rsidR="00BF2A7D">
        <w:t>.</w:t>
      </w:r>
    </w:p>
    <w:p w14:paraId="1DF372F7" w14:textId="29FE6024" w:rsidR="00CA780E" w:rsidRDefault="00937E8C" w:rsidP="00A12FE2">
      <w:pPr>
        <w:pStyle w:val="Heading2"/>
        <w:spacing w:line="360" w:lineRule="auto"/>
        <w:jc w:val="both"/>
      </w:pPr>
      <w:bookmarkStart w:id="22" w:name="_Toc101469662"/>
      <w:r>
        <w:t>Co-Operation</w:t>
      </w:r>
      <w:bookmarkEnd w:id="22"/>
      <w:r>
        <w:t xml:space="preserve"> </w:t>
      </w:r>
    </w:p>
    <w:p w14:paraId="3FD041A1" w14:textId="40E067EE" w:rsidR="0021570E" w:rsidRPr="0021570E" w:rsidRDefault="0021570E" w:rsidP="00FE219D">
      <w:pPr>
        <w:spacing w:line="360" w:lineRule="auto"/>
        <w:jc w:val="both"/>
      </w:pPr>
      <w:r>
        <w:t xml:space="preserve">Cooperative </w:t>
      </w:r>
      <w:r w:rsidR="00DE1FCF">
        <w:t xml:space="preserve">responses use agreements across the </w:t>
      </w:r>
      <w:r w:rsidR="00D91B09">
        <w:t xml:space="preserve">whole </w:t>
      </w:r>
      <w:r w:rsidR="00DE1FCF">
        <w:t xml:space="preserve">SC </w:t>
      </w:r>
      <w:r w:rsidR="00E251DB">
        <w:t>to improve visibility and understanding</w:t>
      </w:r>
      <w:r w:rsidR="00D91B09">
        <w:t xml:space="preserve"> </w:t>
      </w:r>
      <w:proofErr w:type="gramStart"/>
      <w:r w:rsidR="00187F3E">
        <w:t xml:space="preserve">in order </w:t>
      </w:r>
      <w:r w:rsidR="00D91B09">
        <w:t>to</w:t>
      </w:r>
      <w:proofErr w:type="gramEnd"/>
      <w:r w:rsidR="00D91B09">
        <w:t xml:space="preserve"> reduce uncertainty.</w:t>
      </w:r>
    </w:p>
    <w:p w14:paraId="606531D5" w14:textId="77777777" w:rsidR="00481591" w:rsidRPr="008725C1" w:rsidRDefault="00A12FE2" w:rsidP="00DD21AD">
      <w:pPr>
        <w:pStyle w:val="Heading3"/>
      </w:pPr>
      <w:bookmarkStart w:id="23" w:name="_Toc101469663"/>
      <w:r w:rsidRPr="00481591">
        <w:t>Joint efforts to improve supply chain visibility and understandin</w:t>
      </w:r>
      <w:r w:rsidR="00481591">
        <w:t>g</w:t>
      </w:r>
      <w:bookmarkEnd w:id="23"/>
    </w:p>
    <w:p w14:paraId="19698B00" w14:textId="7E4B0C71" w:rsidR="008725C1" w:rsidRPr="008725C1" w:rsidRDefault="008725C1" w:rsidP="00CD0978">
      <w:pPr>
        <w:spacing w:line="360" w:lineRule="auto"/>
        <w:jc w:val="both"/>
      </w:pPr>
      <w:r>
        <w:t xml:space="preserve">Information sharing can allow a manufacturer to reduce both inventory and cost. Cost savings for the whole supply chain can be made when information such as customer demand, demand forecast, and inventory levels are shared. Although there are obstacles to such information sharing, SC partners are often reluctant to share information with manufacturers because of mistrust, they fear lower bargaining power, information leaks and such </w:t>
      </w:r>
      <w:r>
        <w:fldChar w:fldCharType="begin"/>
      </w:r>
      <w:r w:rsidR="00BD44E7">
        <w:instrText xml:space="preserve"> ADDIN ZOTERO_ITEM CSL_CITATION {"citationID":"nJiIYJtT","properties":{"formattedCitation":"(Tang 2006)","plainCitation":"(Tang 2006)","noteIndex":0},"citationItems":[{"id":1505,"uris":["http://zotero.org/users/local/AB2owHL2/items/G7NL8SRK"],"itemData":{"id":1505,"type":"article-journal","abstract":"To gain cost advantage and market share, many firms implemented various initiatives such as outsourced manufacturing and product variety. These initiatives are effective in a stable environment, but they could make a supply chain more vulnerable to various types of disruptions caused by uncertain economic cycles, consumer demands, and natural and man-made disasters. In this paper, we review various quantitative models for managing supply chain risks. We also relate various supply chain risk management (SCRM) strategies examined in the research literature with actual practices. The intent of this paper is three-fold. First, we develop a unified framework for classifying SCRM articles. Second, we hope this review can serve as a practical guide for some researchers to navigate through the sea of research articles in this important area. Third, by highlighting the gap between theory and practice, we hope to motivate researchers to develop new models for mitigating supply chain disruptions.","container-title":"International Journal of Production Economics","DOI":"10.1016/j.ijpe.2005.12.006","ISSN":"0925-5273","issue":"2","journalAbbreviation":"International Journal of Production Economics","language":"en","page":"451-488","source":"ScienceDirect","title":"Perspectives in supply chain risk management","URL":"https://www.sciencedirect.com/science/article/pii/S0925527306000405","volume":"103","author":[{"family":"Tang","given":"Christopher S."}],"accessed":{"date-parts":[["2022",3,3]]},"issued":{"date-parts":[["2006",10,1]]}}}],"schema":"https://github.com/citation-style-language/schema/raw/master/csl-citation.json"} </w:instrText>
      </w:r>
      <w:r>
        <w:fldChar w:fldCharType="separate"/>
      </w:r>
      <w:r w:rsidR="00BD44E7" w:rsidRPr="00BD44E7">
        <w:rPr>
          <w:rFonts w:ascii="Calibri" w:hAnsi="Calibri" w:cs="Calibri"/>
        </w:rPr>
        <w:t>(Tang 2006)</w:t>
      </w:r>
      <w:r>
        <w:fldChar w:fldCharType="end"/>
      </w:r>
      <w:r>
        <w:t>.</w:t>
      </w:r>
    </w:p>
    <w:p w14:paraId="51D333F9" w14:textId="190E67A6" w:rsidR="00A12FE2" w:rsidRPr="008725C1" w:rsidRDefault="00481591" w:rsidP="00DD21AD">
      <w:pPr>
        <w:pStyle w:val="Heading3"/>
      </w:pPr>
      <w:bookmarkStart w:id="24" w:name="_Toc101469664"/>
      <w:r>
        <w:t xml:space="preserve">Joint efforts </w:t>
      </w:r>
      <w:r w:rsidRPr="00481591">
        <w:t>to share risk related information</w:t>
      </w:r>
      <w:bookmarkEnd w:id="24"/>
    </w:p>
    <w:p w14:paraId="0E801A2C" w14:textId="252851FD" w:rsidR="008725C1" w:rsidRPr="008725C1" w:rsidRDefault="008725C1" w:rsidP="00CD0978">
      <w:pPr>
        <w:spacing w:line="360" w:lineRule="auto"/>
        <w:jc w:val="both"/>
        <w:rPr>
          <w:b/>
          <w:bCs/>
        </w:rPr>
      </w:pPr>
      <w:r>
        <w:rPr>
          <w:b/>
          <w:bCs/>
        </w:rPr>
        <w:fldChar w:fldCharType="begin"/>
      </w:r>
      <w:r w:rsidR="00BD44E7">
        <w:rPr>
          <w:b/>
          <w:bCs/>
        </w:rPr>
        <w:instrText xml:space="preserve"> ADDIN ZOTERO_ITEM CSL_CITATION {"citationID":"bnMZHpTv","properties":{"formattedCitation":"(DuHadway et al. 2019)","plainCitation":"(DuHadway et al. 2019)","noteIndex":0},"citationItems":[{"id":1564,"uris":["http://zotero.org/users/local/AB2owHL2/items/IHMHWIZ6"],"itemData":{"id":1564,"type":"article-journal","abstract":"Strategies to mitigate supply chain risk tend to treat disruptive events as homogenous, despite having different causes and requiring different risk management strategies. We develop a framework to understand effective risk management strategies by considering whether a disruption was caused by an intentional or inadvertent act and whether the source of the disruption was endogenous or exogenous to the supply chain. Based on exploring evidence from risk management strategies for specific disruptions, we find that risk detection is important for both intentional and inadvertent disruptions, while effective risk management practices differ in terms of risk mitigation (relational versus process based approaches) and risk recovery (restructuring versus resilience). The resultant theory-based framework provides a new theoretical perspective on supply chain disruptions and posits that understanding intent and the source of the disruption is critical for appropriate risk management strategies.","container-title":"Annals of Operations Research","DOI":"http://dx.doi.org/10.1007/s10479-017-2452-0","ISSN":"02545330","issue":"1-2","language":"English","note":"number-of-pages: 179-198\npublisher-place: New York, Netherlands\npublisher: Springer Nature B.V.","page":"179-198","source":"ProQuest","title":"Understanding risk management for intentional supply chain disruptions: risk detection, risk mitigation, and risk recovery","title-short":"Understanding risk management for intentional supply chain disruptions","URL":"https://www.proquest.com/docview/2320884596/abstract/3969EF25B1B04BD3PQ/1","volume":"283","author":[{"family":"DuHadway","given":"Scott"},{"family":"Carnovale","given":"Steven"},{"family":"Hazen","given":"Benjamin"}],"accessed":{"date-parts":[["2022",3,22]]},"issued":{"date-parts":[["2019",12]]}}}],"schema":"https://github.com/citation-style-language/schema/raw/master/csl-citation.json"} </w:instrText>
      </w:r>
      <w:r>
        <w:rPr>
          <w:b/>
          <w:bCs/>
        </w:rPr>
        <w:fldChar w:fldCharType="separate"/>
      </w:r>
      <w:r w:rsidR="00BD44E7" w:rsidRPr="00BD44E7">
        <w:rPr>
          <w:rFonts w:ascii="Calibri" w:hAnsi="Calibri" w:cs="Calibri"/>
        </w:rPr>
        <w:t xml:space="preserve">DuHadway et al. </w:t>
      </w:r>
      <w:r w:rsidR="00A55DF4">
        <w:rPr>
          <w:rFonts w:ascii="Calibri" w:hAnsi="Calibri" w:cs="Calibri"/>
        </w:rPr>
        <w:t>(</w:t>
      </w:r>
      <w:r w:rsidR="00BD44E7" w:rsidRPr="00BD44E7">
        <w:rPr>
          <w:rFonts w:ascii="Calibri" w:hAnsi="Calibri" w:cs="Calibri"/>
        </w:rPr>
        <w:t>2019)</w:t>
      </w:r>
      <w:r>
        <w:rPr>
          <w:b/>
          <w:bCs/>
        </w:rPr>
        <w:fldChar w:fldCharType="end"/>
      </w:r>
      <w:r>
        <w:rPr>
          <w:b/>
          <w:bCs/>
        </w:rPr>
        <w:t xml:space="preserve"> </w:t>
      </w:r>
      <w:r>
        <w:t xml:space="preserve">argue that as uncertainty increases, a firms information processing requirements increase in line and the firm should adopt the capability to meet these requirements, as their ability to process information efficiently increases the better </w:t>
      </w:r>
      <w:r w:rsidR="00A55DF4">
        <w:t>equipped,</w:t>
      </w:r>
      <w:r>
        <w:t xml:space="preserve"> they are to deal with uncertainty.  Organisations make their strategic decisions based on the information available to them. The SC can act as a valuable information gathering system that could process this information and positively influence performance.</w:t>
      </w:r>
    </w:p>
    <w:p w14:paraId="14A13635" w14:textId="0F53E87C" w:rsidR="00E84D95" w:rsidRPr="00CD0978" w:rsidRDefault="005A27D6" w:rsidP="00DD21AD">
      <w:pPr>
        <w:pStyle w:val="Heading3"/>
      </w:pPr>
      <w:bookmarkStart w:id="25" w:name="_Toc101469665"/>
      <w:r>
        <w:t>Joint efforts to prepare supply chain continuity plans</w:t>
      </w:r>
      <w:bookmarkEnd w:id="25"/>
    </w:p>
    <w:p w14:paraId="73F40767" w14:textId="67287893" w:rsidR="000731C7" w:rsidRDefault="008D0677" w:rsidP="003C50F4">
      <w:pPr>
        <w:spacing w:line="360" w:lineRule="auto"/>
        <w:jc w:val="both"/>
      </w:pPr>
      <w:r>
        <w:fldChar w:fldCharType="begin"/>
      </w:r>
      <w:r w:rsidR="00BD44E7">
        <w:instrText xml:space="preserve"> ADDIN ZOTERO_ITEM CSL_CITATION {"citationID":"96B0kLbT","properties":{"formattedCitation":"(Azadegan et al. 2020)","plainCitation":"(Azadegan et al. 2020)","noteIndex":0},"citationItems":[{"id":1604,"uris":["http://zotero.org/users/local/AB2owHL2/items/WWE4KW5Q"],"itemData":{"id":1604,"type":"article-journal","abstract":"Are business continuity programs (BCPs) useful in improving company performance? Risk management research suggests that BCPs are important in response and recovery from disruptions. However, critics ...","container-title":"Decision Sciences","DOI":"10.1111/deci.12395","ISSN":"1540-5915","issue":"1","language":"en","note":"publisher: John Wiley &amp; Sons, Ltd","page":"38-73","source":"onlinelibrary-wiley-com.ezproxy.uwtsd.ac.uk","title":"Supply Chain Disruptions and Business Continuity: An Empirical Assessment","title-short":"Supply Chain Disruptions and Business Continuity","URL":"http://onlinelibrary.wiley.com/doi/10.1111/deci.12395","volume":"51","author":[{"family":"Azadegan","given":"Arash"},{"family":"Parast","given":"Mahour Mellat"},{"family":"Lucianetti","given":"Lorenzo"},{"family":"Nishant","given":"Rohit"},{"family":"Blackhurst","given":"Jennifer"}],"accessed":{"date-parts":[["2022",4,2]]},"issued":{"date-parts":[["2020",2,1]]}}}],"schema":"https://github.com/citation-style-language/schema/raw/master/csl-citation.json"} </w:instrText>
      </w:r>
      <w:r>
        <w:fldChar w:fldCharType="separate"/>
      </w:r>
      <w:r w:rsidR="00BD44E7" w:rsidRPr="00BD44E7">
        <w:rPr>
          <w:rFonts w:ascii="Calibri" w:hAnsi="Calibri" w:cs="Calibri"/>
        </w:rPr>
        <w:t xml:space="preserve">Azadegan et al. </w:t>
      </w:r>
      <w:r w:rsidR="00A55DF4">
        <w:rPr>
          <w:rFonts w:ascii="Calibri" w:hAnsi="Calibri" w:cs="Calibri"/>
        </w:rPr>
        <w:t>(</w:t>
      </w:r>
      <w:r w:rsidR="00BD44E7" w:rsidRPr="00BD44E7">
        <w:rPr>
          <w:rFonts w:ascii="Calibri" w:hAnsi="Calibri" w:cs="Calibri"/>
        </w:rPr>
        <w:t>2020)</w:t>
      </w:r>
      <w:r>
        <w:fldChar w:fldCharType="end"/>
      </w:r>
      <w:r>
        <w:t xml:space="preserve"> </w:t>
      </w:r>
      <w:r w:rsidR="00B8007E">
        <w:t xml:space="preserve">promote business continuity programs </w:t>
      </w:r>
      <w:r w:rsidR="00E86FD4">
        <w:t>(BCP’s)</w:t>
      </w:r>
      <w:r>
        <w:t xml:space="preserve"> </w:t>
      </w:r>
      <w:r w:rsidR="00311158">
        <w:t xml:space="preserve">to help </w:t>
      </w:r>
      <w:r w:rsidR="00552DB0">
        <w:t xml:space="preserve">organisations recover from disruptions, a BCP </w:t>
      </w:r>
      <w:r w:rsidR="00815125">
        <w:t xml:space="preserve">procedural </w:t>
      </w:r>
      <w:r w:rsidR="00DD5046">
        <w:t xml:space="preserve">strategy that helps businesses identify risks, set </w:t>
      </w:r>
      <w:proofErr w:type="gramStart"/>
      <w:r w:rsidR="00DD5046">
        <w:t>objectives</w:t>
      </w:r>
      <w:proofErr w:type="gramEnd"/>
      <w:r w:rsidR="00AD4B84">
        <w:t xml:space="preserve"> and </w:t>
      </w:r>
      <w:r w:rsidR="003278DF">
        <w:t xml:space="preserve">institutionalise </w:t>
      </w:r>
      <w:r w:rsidR="00AD4B84">
        <w:t>practices that</w:t>
      </w:r>
      <w:r w:rsidR="003278DF">
        <w:t xml:space="preserve"> </w:t>
      </w:r>
      <w:r w:rsidR="0027755C">
        <w:t>help mitigate risk and disruption.</w:t>
      </w:r>
      <w:r w:rsidR="0019699F">
        <w:t xml:space="preserve"> A BCP encompasses risk mitigation, risk management</w:t>
      </w:r>
      <w:r w:rsidR="00E37122">
        <w:t>, continuity planning and emergency response</w:t>
      </w:r>
      <w:r w:rsidR="00452811">
        <w:t>.</w:t>
      </w:r>
      <w:r w:rsidR="000061D2">
        <w:t xml:space="preserve"> </w:t>
      </w:r>
      <w:r w:rsidR="00583C12">
        <w:t xml:space="preserve">The BCP starts </w:t>
      </w:r>
      <w:r w:rsidR="0083056C">
        <w:t xml:space="preserve">with a business impact analysis which identifies </w:t>
      </w:r>
      <w:r w:rsidR="007003A2">
        <w:t>all the risk to the business and their likely impact</w:t>
      </w:r>
      <w:r w:rsidR="00D1489C">
        <w:t xml:space="preserve">. Next a </w:t>
      </w:r>
      <w:r w:rsidR="00F30CEC">
        <w:t>step-by-step</w:t>
      </w:r>
      <w:r w:rsidR="00D1489C">
        <w:t xml:space="preserve"> </w:t>
      </w:r>
      <w:r w:rsidR="004D5851">
        <w:t xml:space="preserve">process aiding in recovering </w:t>
      </w:r>
      <w:r w:rsidR="001040BF">
        <w:t>critical organisation functions</w:t>
      </w:r>
      <w:r w:rsidR="008E596F">
        <w:t xml:space="preserve">, by delegating specific </w:t>
      </w:r>
      <w:r w:rsidR="00ED6EE3">
        <w:t xml:space="preserve">objectives and tasks a coordinated effort enhances </w:t>
      </w:r>
      <w:r w:rsidR="00C12D89">
        <w:t xml:space="preserve">disruption </w:t>
      </w:r>
      <w:r w:rsidR="00ED6EE3">
        <w:t>recovery</w:t>
      </w:r>
      <w:r w:rsidR="00C12D89">
        <w:t xml:space="preserve">. Institutionalising risk management practice </w:t>
      </w:r>
      <w:r w:rsidR="00C12D89">
        <w:lastRenderedPageBreak/>
        <w:t xml:space="preserve">is achieved </w:t>
      </w:r>
      <w:r w:rsidR="00E6243A">
        <w:t>with training exercises, mock drills and learning exercises</w:t>
      </w:r>
      <w:r w:rsidR="004A111A">
        <w:t xml:space="preserve">. These are effective means of </w:t>
      </w:r>
      <w:r w:rsidR="006F0869">
        <w:t xml:space="preserve">embedding </w:t>
      </w:r>
      <w:r w:rsidR="00A0504F">
        <w:t>the expectations and reactions required</w:t>
      </w:r>
      <w:r w:rsidR="00697631">
        <w:t xml:space="preserve"> when the company is exposed to disruption.</w:t>
      </w:r>
      <w:r w:rsidR="00A0504F">
        <w:t xml:space="preserve"> </w:t>
      </w:r>
      <w:r w:rsidR="00E6243A">
        <w:t xml:space="preserve"> </w:t>
      </w:r>
      <w:r w:rsidR="00AD4B84">
        <w:t xml:space="preserve"> </w:t>
      </w:r>
    </w:p>
    <w:p w14:paraId="162B2061" w14:textId="70A28CCF" w:rsidR="000731C7" w:rsidRDefault="003C37AD" w:rsidP="003C37AD">
      <w:pPr>
        <w:pStyle w:val="Heading2"/>
        <w:spacing w:line="360" w:lineRule="auto"/>
        <w:jc w:val="both"/>
      </w:pPr>
      <w:bookmarkStart w:id="26" w:name="_Toc101469666"/>
      <w:r>
        <w:t>Flexibility</w:t>
      </w:r>
      <w:bookmarkEnd w:id="26"/>
      <w:r>
        <w:t xml:space="preserve"> </w:t>
      </w:r>
    </w:p>
    <w:p w14:paraId="6C37DCF3" w14:textId="77777777" w:rsidR="00B47C02" w:rsidRDefault="00627C31" w:rsidP="003C37AD">
      <w:pPr>
        <w:spacing w:line="360" w:lineRule="auto"/>
        <w:jc w:val="both"/>
      </w:pPr>
      <w:r>
        <w:t xml:space="preserve">Flexibility </w:t>
      </w:r>
      <w:r w:rsidR="00011ED1">
        <w:t xml:space="preserve">strategy attempts </w:t>
      </w:r>
      <w:r w:rsidR="007E1707">
        <w:t xml:space="preserve">to increase </w:t>
      </w:r>
      <w:r w:rsidR="00D8657F">
        <w:t xml:space="preserve">the </w:t>
      </w:r>
      <w:r w:rsidR="007E1707">
        <w:t>responsiveness</w:t>
      </w:r>
      <w:r w:rsidR="00AD641F">
        <w:t xml:space="preserve"> of organisations.</w:t>
      </w:r>
    </w:p>
    <w:p w14:paraId="635911B0" w14:textId="664AD84D" w:rsidR="003C37AD" w:rsidRPr="003C37AD" w:rsidRDefault="005237C7" w:rsidP="00DD21AD">
      <w:pPr>
        <w:pStyle w:val="Heading3"/>
      </w:pPr>
      <w:bookmarkStart w:id="27" w:name="_Toc101469667"/>
      <w:r>
        <w:t>Postponement</w:t>
      </w:r>
      <w:bookmarkEnd w:id="27"/>
    </w:p>
    <w:p w14:paraId="1E1DA265" w14:textId="00664D46" w:rsidR="000731C7" w:rsidRDefault="00B2278C" w:rsidP="003C50F4">
      <w:pPr>
        <w:spacing w:line="360" w:lineRule="auto"/>
        <w:jc w:val="both"/>
      </w:pPr>
      <w:r>
        <w:t xml:space="preserve">When considering </w:t>
      </w:r>
      <w:r w:rsidR="00151963">
        <w:t xml:space="preserve">a </w:t>
      </w:r>
      <w:r w:rsidR="00E3586A">
        <w:t>manufacturing process there may come a point</w:t>
      </w:r>
      <w:r w:rsidR="000C7A2C">
        <w:t xml:space="preserve"> in the process </w:t>
      </w:r>
      <w:r w:rsidR="008343EA">
        <w:t>after which</w:t>
      </w:r>
      <w:r w:rsidR="000C7A2C">
        <w:t xml:space="preserve"> the product </w:t>
      </w:r>
      <w:r w:rsidR="008343EA">
        <w:t>becomes differentiated</w:t>
      </w:r>
      <w:r w:rsidR="004B7F85">
        <w:t xml:space="preserve">, postponement strategies </w:t>
      </w:r>
      <w:r w:rsidR="000F2095">
        <w:t xml:space="preserve">hold </w:t>
      </w:r>
      <w:r w:rsidR="00A90FD7">
        <w:t xml:space="preserve">stock at </w:t>
      </w:r>
      <w:r w:rsidR="001B7774">
        <w:t xml:space="preserve">the optimum </w:t>
      </w:r>
      <w:r w:rsidR="00B81AA7">
        <w:t xml:space="preserve">stage in the manufacturing process so that the </w:t>
      </w:r>
      <w:r w:rsidR="00E73CC5">
        <w:t>product can be manufactured according to demand.</w:t>
      </w:r>
      <w:r w:rsidR="00E21710">
        <w:t xml:space="preserve"> There are two </w:t>
      </w:r>
      <w:r w:rsidR="00FE27B2">
        <w:t xml:space="preserve">systems </w:t>
      </w:r>
      <w:r w:rsidR="001403CA">
        <w:t>used: –</w:t>
      </w:r>
      <w:r w:rsidR="00FE27B2">
        <w:t xml:space="preserve"> Make to order (MTO) and </w:t>
      </w:r>
      <w:proofErr w:type="gramStart"/>
      <w:r w:rsidR="00FE27B2">
        <w:t>Make</w:t>
      </w:r>
      <w:proofErr w:type="gramEnd"/>
      <w:r w:rsidR="00FE27B2">
        <w:t xml:space="preserve"> to stock (MTS)</w:t>
      </w:r>
      <w:r w:rsidR="00F52511">
        <w:t xml:space="preserve">. In the MTO system work in progress </w:t>
      </w:r>
      <w:r w:rsidR="002740D6">
        <w:t>inventory</w:t>
      </w:r>
      <w:r w:rsidR="00DE4342">
        <w:t xml:space="preserve"> (WIP)</w:t>
      </w:r>
      <w:r w:rsidR="002740D6">
        <w:t xml:space="preserve"> is held at the differentiation point</w:t>
      </w:r>
      <w:r w:rsidR="001403CA">
        <w:t xml:space="preserve"> and the product is made/customised </w:t>
      </w:r>
      <w:r w:rsidR="007C6C83">
        <w:t>on demand</w:t>
      </w:r>
      <w:r w:rsidR="00042933">
        <w:t xml:space="preserve">. Holding </w:t>
      </w:r>
      <w:r w:rsidR="008026E3">
        <w:t xml:space="preserve">finished product inventory is more costly that </w:t>
      </w:r>
      <w:r w:rsidR="00DE4342">
        <w:t>holding WIP</w:t>
      </w:r>
      <w:r w:rsidR="006D12E6">
        <w:t xml:space="preserve">. </w:t>
      </w:r>
      <w:r w:rsidR="00825D30">
        <w:t>The MTS system hold only finished product</w:t>
      </w:r>
      <w:r w:rsidR="00171A22">
        <w:t>s</w:t>
      </w:r>
      <w:r w:rsidR="008C3D14">
        <w:t>.</w:t>
      </w:r>
      <w:r w:rsidR="00171A22">
        <w:t xml:space="preserve"> </w:t>
      </w:r>
      <w:r w:rsidR="00FB5411">
        <w:t>This system assumes that the demand distribution</w:t>
      </w:r>
      <w:r w:rsidR="0056540E">
        <w:t>s</w:t>
      </w:r>
      <w:r w:rsidR="00FB5411">
        <w:t xml:space="preserve"> are normal across time</w:t>
      </w:r>
      <w:r w:rsidR="0056540E">
        <w:t xml:space="preserve">, an average base stock level </w:t>
      </w:r>
      <w:r w:rsidR="0058347E">
        <w:t xml:space="preserve">and an average inventory level </w:t>
      </w:r>
      <w:r w:rsidR="0056540E">
        <w:t xml:space="preserve">for each </w:t>
      </w:r>
      <w:proofErr w:type="gramStart"/>
      <w:r w:rsidR="0056540E">
        <w:t>end product</w:t>
      </w:r>
      <w:proofErr w:type="gramEnd"/>
      <w:r w:rsidR="00C60E3C">
        <w:t xml:space="preserve"> is calculated</w:t>
      </w:r>
      <w:r w:rsidR="0056540E">
        <w:t>.</w:t>
      </w:r>
      <w:r w:rsidR="000C4638">
        <w:t xml:space="preserve"> </w:t>
      </w:r>
      <w:r w:rsidR="00476504">
        <w:t xml:space="preserve">When the number of end products reaches a certain threshold then the MTO becomes more cost effective </w:t>
      </w:r>
      <w:r w:rsidR="00476504">
        <w:fldChar w:fldCharType="begin"/>
      </w:r>
      <w:r w:rsidR="00BD44E7">
        <w:instrText xml:space="preserve"> ADDIN ZOTERO_ITEM CSL_CITATION {"citationID":"1LpQRtDr","properties":{"formattedCitation":"(Tang 2006)","plainCitation":"(Tang 2006)","noteIndex":0},"citationItems":[{"id":1505,"uris":["http://zotero.org/users/local/AB2owHL2/items/G7NL8SRK"],"itemData":{"id":1505,"type":"article-journal","abstract":"To gain cost advantage and market share, many firms implemented various initiatives such as outsourced manufacturing and product variety. These initiatives are effective in a stable environment, but they could make a supply chain more vulnerable to various types of disruptions caused by uncertain economic cycles, consumer demands, and natural and man-made disasters. In this paper, we review various quantitative models for managing supply chain risks. We also relate various supply chain risk management (SCRM) strategies examined in the research literature with actual practices. The intent of this paper is three-fold. First, we develop a unified framework for classifying SCRM articles. Second, we hope this review can serve as a practical guide for some researchers to navigate through the sea of research articles in this important area. Third, by highlighting the gap between theory and practice, we hope to motivate researchers to develop new models for mitigating supply chain disruptions.","container-title":"International Journal of Production Economics","DOI":"10.1016/j.ijpe.2005.12.006","ISSN":"0925-5273","issue":"2","journalAbbreviation":"International Journal of Production Economics","language":"en","page":"451-488","source":"ScienceDirect","title":"Perspectives in supply chain risk management","URL":"https://www.sciencedirect.com/science/article/pii/S0925527306000405","volume":"103","author":[{"family":"Tang","given":"Christopher S."}],"accessed":{"date-parts":[["2022",3,3]]},"issued":{"date-parts":[["2006",10,1]]}}}],"schema":"https://github.com/citation-style-language/schema/raw/master/csl-citation.json"} </w:instrText>
      </w:r>
      <w:r w:rsidR="00476504">
        <w:fldChar w:fldCharType="separate"/>
      </w:r>
      <w:r w:rsidR="00BD44E7" w:rsidRPr="00BD44E7">
        <w:rPr>
          <w:rFonts w:ascii="Calibri" w:hAnsi="Calibri" w:cs="Calibri"/>
        </w:rPr>
        <w:t>(Tang 2006)</w:t>
      </w:r>
      <w:r w:rsidR="00476504">
        <w:fldChar w:fldCharType="end"/>
      </w:r>
      <w:r w:rsidR="00476504">
        <w:t>.</w:t>
      </w:r>
      <w:r w:rsidR="006F5736">
        <w:t xml:space="preserve"> Postponement reduces</w:t>
      </w:r>
      <w:r w:rsidR="00F06D06">
        <w:t xml:space="preserve"> the dependence on demand forecasts and increases </w:t>
      </w:r>
      <w:r w:rsidR="005A21BE">
        <w:t xml:space="preserve">an organisations ability to </w:t>
      </w:r>
      <w:r w:rsidR="00155DE6">
        <w:t>respond to disruptions caused by variable demand</w:t>
      </w:r>
      <w:r w:rsidR="00A07817">
        <w:t xml:space="preserve"> </w:t>
      </w:r>
      <w:r w:rsidR="00A07817">
        <w:fldChar w:fldCharType="begin"/>
      </w:r>
      <w:r w:rsidR="00BD44E7">
        <w:instrText xml:space="preserve"> ADDIN ZOTERO_ITEM CSL_CITATION {"citationID":"2LlF8pH7","properties":{"formattedCitation":"(Juttner et al. 2003)","plainCitation":"(Juttner et al. 2003)","noteIndex":0},"citationItems":[{"id":1593,"uris":["http://zotero.org/users/local/AB2owHL2/items/5E582YC3"],"itemData":{"id":1593,"type":"article-journal","container-title":"International Journal of Logistics Research and Applications","issue":"4","page":"197 - 210","title":"Supply chain risk management: outlining an agenda for future research: International Journal of Logistics Research and Applications: Vol 6, No 4","URL":"https://www-tandfonline-com.ezproxy.uwtsd.ac.uk/doi/abs/10.1080/13675560310001627016","volume":"6","author":[{"family":"Juttner","given":"Uta"},{"family":"Peck","given":"Helen"},{"family":"Martin","given":"Christopher"}],"accessed":{"date-parts":[["2022",3,29]]},"issued":{"date-parts":[["2003"]]}}}],"schema":"https://github.com/citation-style-language/schema/raw/master/csl-citation.json"} </w:instrText>
      </w:r>
      <w:r w:rsidR="00A07817">
        <w:fldChar w:fldCharType="separate"/>
      </w:r>
      <w:r w:rsidR="00BD44E7" w:rsidRPr="00BD44E7">
        <w:rPr>
          <w:rFonts w:ascii="Calibri" w:hAnsi="Calibri" w:cs="Calibri"/>
        </w:rPr>
        <w:t>(Juttner et al. 2003)</w:t>
      </w:r>
      <w:r w:rsidR="00A07817">
        <w:fldChar w:fldCharType="end"/>
      </w:r>
      <w:r w:rsidR="00155DE6">
        <w:t>.</w:t>
      </w:r>
    </w:p>
    <w:p w14:paraId="63F40C89" w14:textId="5E1183B1" w:rsidR="00037D3C" w:rsidRPr="00037D3C" w:rsidRDefault="00037D3C" w:rsidP="00DD21AD">
      <w:pPr>
        <w:pStyle w:val="Heading3"/>
      </w:pPr>
      <w:bookmarkStart w:id="28" w:name="_Toc101469668"/>
      <w:r w:rsidRPr="00037D3C">
        <w:t>Multiple sourcing</w:t>
      </w:r>
      <w:bookmarkEnd w:id="28"/>
    </w:p>
    <w:p w14:paraId="7B05D118" w14:textId="7D4E05EB" w:rsidR="003E5797" w:rsidRDefault="004643C8" w:rsidP="003C50F4">
      <w:pPr>
        <w:spacing w:line="360" w:lineRule="auto"/>
        <w:jc w:val="both"/>
      </w:pPr>
      <w:r>
        <w:t xml:space="preserve">The number of suppliers </w:t>
      </w:r>
      <w:r w:rsidR="007055E3">
        <w:t xml:space="preserve">a manufacturer uses </w:t>
      </w:r>
      <w:proofErr w:type="gramStart"/>
      <w:r w:rsidR="007055E3">
        <w:t xml:space="preserve">has an </w:t>
      </w:r>
      <w:r w:rsidR="00B56855">
        <w:t>e</w:t>
      </w:r>
      <w:r w:rsidR="007055E3">
        <w:t>ffect on</w:t>
      </w:r>
      <w:proofErr w:type="gramEnd"/>
      <w:r w:rsidR="007055E3">
        <w:t xml:space="preserve"> its supply risk, working with one supplier (single sourcing) </w:t>
      </w:r>
      <w:r w:rsidR="000A141A">
        <w:t>has benefits</w:t>
      </w:r>
      <w:r w:rsidR="00B56855">
        <w:t>,</w:t>
      </w:r>
      <w:r w:rsidR="000A141A">
        <w:t xml:space="preserve"> such as lower inventories, </w:t>
      </w:r>
      <w:r w:rsidR="004E3940">
        <w:t xml:space="preserve">lower production costs, better quality </w:t>
      </w:r>
      <w:r w:rsidR="00AB69A5">
        <w:t>due to lean activities such as just in time and continuous improvement</w:t>
      </w:r>
      <w:r w:rsidR="00DB34A3">
        <w:t>, stronger relationships and reduced administrative costs. Information sharing is easier as trust can be built</w:t>
      </w:r>
      <w:r w:rsidR="00251C63">
        <w:t xml:space="preserve">. The issue with </w:t>
      </w:r>
      <w:r w:rsidR="000709CB">
        <w:t>single sourcing</w:t>
      </w:r>
      <w:r w:rsidR="005A77CC">
        <w:t>,</w:t>
      </w:r>
      <w:r w:rsidR="00251C63">
        <w:t xml:space="preserve"> is the level of risk</w:t>
      </w:r>
      <w:r w:rsidR="000709CB">
        <w:t xml:space="preserve"> </w:t>
      </w:r>
      <w:r w:rsidR="004B1078">
        <w:t>from disruption</w:t>
      </w:r>
      <w:r w:rsidR="005A77CC">
        <w:t xml:space="preserve"> is significantly increased. </w:t>
      </w:r>
      <w:r w:rsidR="005F234E">
        <w:t xml:space="preserve">Using two or more suppliers (multiple sourcing) </w:t>
      </w:r>
      <w:r w:rsidR="00134999">
        <w:t xml:space="preserve">reduces the risk from disruption </w:t>
      </w:r>
      <w:r w:rsidR="00181C04">
        <w:t xml:space="preserve">and helps maintain competitiveness between </w:t>
      </w:r>
      <w:r w:rsidR="00B25648">
        <w:t>suppliers</w:t>
      </w:r>
      <w:r w:rsidR="00281A51">
        <w:t>.</w:t>
      </w:r>
      <w:r w:rsidR="008F7BE8">
        <w:t xml:space="preserve"> </w:t>
      </w:r>
      <w:r w:rsidR="003327BA">
        <w:t xml:space="preserve">The choice between these strategies depends on the </w:t>
      </w:r>
      <w:r w:rsidR="006321CE">
        <w:t>risk to disruption</w:t>
      </w:r>
      <w:r w:rsidR="006433D5">
        <w:t xml:space="preserve">. </w:t>
      </w:r>
      <w:r w:rsidR="009F1CD8">
        <w:t>For</w:t>
      </w:r>
      <w:r w:rsidR="006433D5">
        <w:t xml:space="preserve"> high impact</w:t>
      </w:r>
      <w:r w:rsidR="009F1CD8">
        <w:t xml:space="preserve">, low frequency events </w:t>
      </w:r>
      <w:r w:rsidR="000E6B57">
        <w:t>with companies with a low to medium risk aversion then single sourcing is</w:t>
      </w:r>
      <w:r w:rsidR="00B3356C">
        <w:t xml:space="preserve"> the most suitable strategy. If risk </w:t>
      </w:r>
      <w:r w:rsidR="006B461E">
        <w:t xml:space="preserve">aversion is </w:t>
      </w:r>
      <w:r w:rsidR="008435D3">
        <w:t>high,</w:t>
      </w:r>
      <w:r w:rsidR="006B461E">
        <w:t xml:space="preserve"> then the multiple sourcing strategy is advised.  </w:t>
      </w:r>
      <w:r w:rsidR="00AA3ABE">
        <w:t>For low impact</w:t>
      </w:r>
      <w:r w:rsidR="0058198E">
        <w:t>,</w:t>
      </w:r>
      <w:r w:rsidR="00AA3ABE">
        <w:t xml:space="preserve"> high frequency </w:t>
      </w:r>
      <w:r w:rsidR="00B36F2A">
        <w:t xml:space="preserve">disruptions, multiple sourcing strategy out preforms </w:t>
      </w:r>
      <w:r w:rsidR="00200529">
        <w:t>single sourcing regardless of the risk aversion</w:t>
      </w:r>
      <w:r w:rsidR="00C4611E">
        <w:t xml:space="preserve"> </w:t>
      </w:r>
      <w:r w:rsidR="00C4611E">
        <w:fldChar w:fldCharType="begin"/>
      </w:r>
      <w:r w:rsidR="00BD44E7">
        <w:instrText xml:space="preserve"> ADDIN ZOTERO_ITEM CSL_CITATION {"citationID":"d9Sq75Ff","properties":{"formattedCitation":"(Namdar et al. 2018)","plainCitation":"(Namdar et al. 2018)","noteIndex":0},"citationItems":[{"id":1610,"uris":["http://zotero.org/users/local/AB2owHL2/items/7QDHYHWM"],"itemData":{"id":1610,"type":"article-journal","container-title":"International Journal of Production Research","DOI":"10.1080/00207543.2017.1370149","ISSN":"0020-7543, 1366-588X","issue":"6","journalAbbreviation":"International Journal of Production Research","language":"en","page":"2339-2360","source":"DOI.org (Crossref)","title":"Supply chain resilience for single and multiple sourcing in the presence of disruption risks","URL":"https://www.tandfonline.com/doi/full/10.1080/00207543.2017.1370149","volume":"56","author":[{"family":"Namdar","given":"Jafar"},{"family":"Li","given":"Xueping"},{"family":"Sawhney","given":"Rupy"},{"family":"Pradhan","given":"Ninad"}],"accessed":{"date-parts":[["2022",4,5]]},"issued":{"date-parts":[["2018",3,19]]}}}],"schema":"https://github.com/citation-style-language/schema/raw/master/csl-citation.json"} </w:instrText>
      </w:r>
      <w:r w:rsidR="00C4611E">
        <w:fldChar w:fldCharType="separate"/>
      </w:r>
      <w:r w:rsidR="00BD44E7" w:rsidRPr="00BD44E7">
        <w:rPr>
          <w:rFonts w:ascii="Calibri" w:hAnsi="Calibri" w:cs="Calibri"/>
        </w:rPr>
        <w:t>(Namdar et al. 2018)</w:t>
      </w:r>
      <w:r w:rsidR="00C4611E">
        <w:fldChar w:fldCharType="end"/>
      </w:r>
      <w:r w:rsidR="00200529">
        <w:t xml:space="preserve">. </w:t>
      </w:r>
    </w:p>
    <w:p w14:paraId="7DB95CE1" w14:textId="1E8B78E3" w:rsidR="000731C7" w:rsidRPr="00142AB2" w:rsidRDefault="00415C62" w:rsidP="00DD21AD">
      <w:pPr>
        <w:pStyle w:val="Heading3"/>
      </w:pPr>
      <w:bookmarkStart w:id="29" w:name="_Toc101469669"/>
      <w:r>
        <w:t>Localised sourcing</w:t>
      </w:r>
      <w:bookmarkEnd w:id="29"/>
    </w:p>
    <w:p w14:paraId="7197CEF0" w14:textId="7B543122" w:rsidR="00142AB2" w:rsidRDefault="00976E60" w:rsidP="00142AB2">
      <w:pPr>
        <w:spacing w:line="360" w:lineRule="auto"/>
        <w:jc w:val="both"/>
      </w:pPr>
      <w:r>
        <w:t>Advantages of globalisation include</w:t>
      </w:r>
      <w:r w:rsidR="0072444C">
        <w:t xml:space="preserve"> lower costs, </w:t>
      </w:r>
      <w:r w:rsidR="00567947">
        <w:t xml:space="preserve">new market opportunities, </w:t>
      </w:r>
      <w:r w:rsidR="007045D4">
        <w:t xml:space="preserve">e-commerce and open lines of communication, however </w:t>
      </w:r>
      <w:r w:rsidR="00963C9F">
        <w:t xml:space="preserve">cultural differences, lack of standardisation, </w:t>
      </w:r>
      <w:r w:rsidR="00CB4D72">
        <w:t>political instability and siz</w:t>
      </w:r>
      <w:r w:rsidR="007F33DB">
        <w:t xml:space="preserve">eable </w:t>
      </w:r>
      <w:r w:rsidR="00CB4D72">
        <w:t>distances</w:t>
      </w:r>
      <w:r w:rsidR="007F33DB">
        <w:t xml:space="preserve"> </w:t>
      </w:r>
      <w:r w:rsidR="003F70A1">
        <w:t>expose</w:t>
      </w:r>
      <w:r w:rsidR="007F33DB">
        <w:t xml:space="preserve"> the SC to</w:t>
      </w:r>
      <w:r w:rsidR="009149FA">
        <w:t xml:space="preserve"> increased</w:t>
      </w:r>
      <w:r w:rsidR="007F33DB">
        <w:t xml:space="preserve"> </w:t>
      </w:r>
      <w:r w:rsidR="003F70A1">
        <w:t>risk</w:t>
      </w:r>
      <w:r w:rsidR="001D2F25">
        <w:t xml:space="preserve"> </w:t>
      </w:r>
      <w:r w:rsidR="001D2F25">
        <w:fldChar w:fldCharType="begin"/>
      </w:r>
      <w:r w:rsidR="00BD44E7">
        <w:instrText xml:space="preserve"> ADDIN ZOTERO_ITEM CSL_CITATION {"citationID":"ijT2zEH4","properties":{"formattedCitation":"(K\\uc0\\u305{}r\\uc0\\u305{}lmaz and Erol 2017)","plainCitation":"(Kırılmaz and Erol 2017)","noteIndex":0},"citationItems":[{"id":1585,"uris":["http://zotero.org/users/local/AB2owHL2/items/YXC7XTTW"],"itemData":{"id":1585,"type":"article-journal","abstract":"Globalization, e-trade, advanced technologies and emerging production techniques have increased supply chains’ efficiency and added value. However, despite numerous advantages, these factors make supply chains more fragile and vulnerable to risks. For this reason, companies that perform supply chain risk management gain competitive advantage. In the past, supply chain managers mainly focused on reducing costs; but recently, they have begun to give importance to supply chain continuity and resiliency which have significant impacts on costs as well. Hence, conventional reactive planning has given way to proactive planning in supply chain risk management. In this study, the supply chain risk management process is investigated and a procedure is proposed in the risk mitigation phase. In the first stage of the proposed procedure, an initial procurement plan is obtained via a linear programming model, considering the cost criterion as the first priority. In the second stage, this plan is revised by including the risk criterion into the planning as the second priority. The aim of this procedure that enables proactive planning is to reduce the supply side risks. The model is tested with a hypothetical data set and the cost analysis is performed to evaluate the performance of the procedure. Finally, the whole supply chain risk management process including the proposed procedure is applied to an international automotive company.","container-title":"Journal of Purchasing and Supply Management","DOI":"10.1016/j.pursup.2016.04.002","ISSN":"1478-4092","issue":"1","journalAbbreviation":"Journal of Purchasing and Supply Management","language":"en","page":"54-65","source":"ScienceDirect","title":"A proactive approach to supply chain risk management: Shifting orders among suppliers to mitigate the supply side risks","title-short":"A proactive approach to supply chain risk management","URL":"https://www.sciencedirect.com/science/article/pii/S1478409216300061","volume":"23","author":[{"family":"Kırılmaz","given":"Oguzhan"},{"family":"Erol","given":"Serpil"}],"accessed":{"date-parts":[["2022",3,28]]},"issued":{"date-parts":[["2017",1,1]]}}}],"schema":"https://github.com/citation-style-language/schema/raw/master/csl-citation.json"} </w:instrText>
      </w:r>
      <w:r w:rsidR="001D2F25">
        <w:fldChar w:fldCharType="separate"/>
      </w:r>
      <w:r w:rsidR="00BD44E7" w:rsidRPr="00BD44E7">
        <w:rPr>
          <w:rFonts w:ascii="Calibri" w:hAnsi="Calibri" w:cs="Calibri"/>
          <w:szCs w:val="24"/>
        </w:rPr>
        <w:t>(Kırılmaz and Erol 2017)</w:t>
      </w:r>
      <w:r w:rsidR="001D2F25">
        <w:fldChar w:fldCharType="end"/>
      </w:r>
      <w:r w:rsidR="003F70A1">
        <w:t>.</w:t>
      </w:r>
      <w:r w:rsidR="00537358">
        <w:t xml:space="preserve"> Local suppliers </w:t>
      </w:r>
      <w:r w:rsidR="00553FA2">
        <w:t>can</w:t>
      </w:r>
      <w:r w:rsidR="00537358">
        <w:t xml:space="preserve"> </w:t>
      </w:r>
      <w:r w:rsidR="00786595">
        <w:t xml:space="preserve">offer </w:t>
      </w:r>
      <w:r w:rsidR="00786595">
        <w:lastRenderedPageBreak/>
        <w:t>short lead times</w:t>
      </w:r>
      <w:r w:rsidR="004D26B6">
        <w:t xml:space="preserve"> and respond quickly.</w:t>
      </w:r>
      <w:r w:rsidR="00BA3CC8">
        <w:t xml:space="preserve"> High levels of disruption risk is best mitigated by </w:t>
      </w:r>
      <w:r w:rsidR="00975721">
        <w:t xml:space="preserve">using a more reliable supplier despite </w:t>
      </w:r>
      <w:r w:rsidR="00477EFB">
        <w:t xml:space="preserve">the increase in cost, there must be a </w:t>
      </w:r>
      <w:r w:rsidR="0025303B">
        <w:t>trade-off</w:t>
      </w:r>
      <w:r w:rsidR="00975721">
        <w:t xml:space="preserve"> </w:t>
      </w:r>
      <w:r w:rsidR="00430DC8">
        <w:fldChar w:fldCharType="begin"/>
      </w:r>
      <w:r w:rsidR="00BD44E7">
        <w:instrText xml:space="preserve"> ADDIN ZOTERO_ITEM CSL_CITATION {"citationID":"bQRee56N","properties":{"formattedCitation":"(Chopra et al. 2007)","plainCitation":"(Chopra et al. 2007)","noteIndex":0},"citationItems":[{"id":1611,"uris":["http://zotero.org/users/local/AB2owHL2/items/LGQ2TLXG"],"itemData":{"id":1611,"type":"article-journal","abstract":"This paper focuses on the importance of decoupling recurrent supply risk and disruption risk when planning appropriate mitigation strategies. We show that bundling the two uncertainties leads a manager to underutilize a reliable source while over utilizing a cheaper but less reliable supplier. As in Dada et al. (working paper, University of Illinois, Champaign, IL, 2003), we show that increasing quantity from a cheaper but less reliable source is an effective risk mitigation strategy if most of the supply risk growth comes from an increase in recurrent uncertainty. In contrast, we show that a firm should order more from a reliable source and less from a cheaper but less reliable source if most of the supply risk growth comes from an increase in disruption probability. © 2007 Wiley Periodicals, Inc. Naval Research Logistics, 2007","container-title":"Naval Research Logistics (NRL)","DOI":"10.1002/nav.20228","ISSN":"1520-6750","issue":"5","language":"fr","note":"_eprint: https://onlinelibrary.wiley.com/doi/pdf/10.1002/nav.20228","page":"544-555","source":"Wiley Online Library","title":"The importance of decoupling recurrent and disruption risks in a supply chain","URL":"http://onlinelibrary.wiley.com/doi/abs/10.1002/nav.20228","volume":"54","author":[{"family":"Chopra","given":"Sunil"},{"family":"Reinhardt","given":"Gilles"},{"family":"Mohan","given":"Usha"}],"accessed":{"date-parts":[["2022",4,5]]},"issued":{"date-parts":[["2007"]]}}}],"schema":"https://github.com/citation-style-language/schema/raw/master/csl-citation.json"} </w:instrText>
      </w:r>
      <w:r w:rsidR="00430DC8">
        <w:fldChar w:fldCharType="separate"/>
      </w:r>
      <w:r w:rsidR="00BD44E7" w:rsidRPr="00BD44E7">
        <w:rPr>
          <w:rFonts w:ascii="Calibri" w:hAnsi="Calibri" w:cs="Calibri"/>
        </w:rPr>
        <w:t>(Chopra et al. 2007)</w:t>
      </w:r>
      <w:r w:rsidR="00430DC8">
        <w:fldChar w:fldCharType="end"/>
      </w:r>
      <w:r w:rsidR="00975721">
        <w:t>.</w:t>
      </w:r>
    </w:p>
    <w:p w14:paraId="27D58BE4" w14:textId="1AEEE0CE" w:rsidR="00E14DBE" w:rsidRDefault="00B125A6" w:rsidP="003C50F4">
      <w:pPr>
        <w:spacing w:line="360" w:lineRule="auto"/>
        <w:jc w:val="both"/>
      </w:pPr>
      <w:r>
        <w:t xml:space="preserve">Managing supply chain risk can </w:t>
      </w:r>
      <w:r w:rsidR="00550721">
        <w:t>often be difficult because the risks are often interconnected. Mitigations put in place</w:t>
      </w:r>
      <w:r w:rsidR="00215014">
        <w:t xml:space="preserve"> to counter risk can </w:t>
      </w:r>
      <w:r w:rsidR="005043DB">
        <w:t>aggravate another risk.</w:t>
      </w:r>
      <w:r w:rsidR="00C46D79">
        <w:t xml:space="preserve"> There are often </w:t>
      </w:r>
      <w:r w:rsidR="003E5797">
        <w:t>trade-offs</w:t>
      </w:r>
      <w:r w:rsidR="00C46D79">
        <w:t xml:space="preserve"> in mitigation policies</w:t>
      </w:r>
      <w:r w:rsidR="00A42F3B">
        <w:t>, see figure 7.</w:t>
      </w:r>
      <w:r w:rsidR="003143DA">
        <w:t xml:space="preserve"> </w:t>
      </w:r>
      <w:r w:rsidR="00547DA7">
        <w:t>Consider a</w:t>
      </w:r>
      <w:r w:rsidR="003143DA">
        <w:t xml:space="preserve"> lean supply chain for example</w:t>
      </w:r>
      <w:r w:rsidR="00547DA7">
        <w:t xml:space="preserve">, having low inventory using just in time </w:t>
      </w:r>
      <w:r w:rsidR="00A53870">
        <w:t xml:space="preserve">decreases the impact of over </w:t>
      </w:r>
      <w:r w:rsidR="00D0523D">
        <w:t>forecasting demand</w:t>
      </w:r>
      <w:r w:rsidR="007D6101">
        <w:t xml:space="preserve"> while simultaneously increasing the impact of a supply chain disruption. </w:t>
      </w:r>
      <w:r w:rsidR="00C46D79">
        <w:t xml:space="preserve"> </w:t>
      </w:r>
      <w:r w:rsidR="00B64630">
        <w:t>Figure 7 shows the impact</w:t>
      </w:r>
      <w:r w:rsidR="00F50214">
        <w:t xml:space="preserve"> of various risk mitigation strategies</w:t>
      </w:r>
      <w:r w:rsidR="0011327E">
        <w:t>.</w:t>
      </w:r>
    </w:p>
    <w:p w14:paraId="16618839" w14:textId="5D9EBA18" w:rsidR="00E14DBE" w:rsidRDefault="00E14DBE" w:rsidP="003C50F4">
      <w:pPr>
        <w:spacing w:line="360" w:lineRule="auto"/>
        <w:jc w:val="both"/>
      </w:pPr>
      <w:r w:rsidRPr="00E14DBE">
        <w:rPr>
          <w:noProof/>
        </w:rPr>
        <w:drawing>
          <wp:inline distT="0" distB="0" distL="0" distR="0" wp14:anchorId="2D560FA6" wp14:editId="59A3207B">
            <wp:extent cx="2934109" cy="2543530"/>
            <wp:effectExtent l="0" t="0" r="0" b="9525"/>
            <wp:docPr id="10" name="Picture 10"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with low confidence"/>
                    <pic:cNvPicPr/>
                  </pic:nvPicPr>
                  <pic:blipFill>
                    <a:blip r:embed="rId18"/>
                    <a:stretch>
                      <a:fillRect/>
                    </a:stretch>
                  </pic:blipFill>
                  <pic:spPr>
                    <a:xfrm>
                      <a:off x="0" y="0"/>
                      <a:ext cx="2934109" cy="2543530"/>
                    </a:xfrm>
                    <a:prstGeom prst="rect">
                      <a:avLst/>
                    </a:prstGeom>
                  </pic:spPr>
                </pic:pic>
              </a:graphicData>
            </a:graphic>
          </wp:inline>
        </w:drawing>
      </w:r>
    </w:p>
    <w:p w14:paraId="4C5659B5" w14:textId="3BF0B408" w:rsidR="000731C7" w:rsidRDefault="00D17082" w:rsidP="00D17082">
      <w:pPr>
        <w:pStyle w:val="Caption"/>
      </w:pPr>
      <w:bookmarkStart w:id="30" w:name="_Toc101294476"/>
      <w:r>
        <w:t xml:space="preserve">Figure </w:t>
      </w:r>
      <w:fldSimple w:instr=" SEQ Figure \* ARABIC ">
        <w:r w:rsidR="00555FD6">
          <w:rPr>
            <w:noProof/>
          </w:rPr>
          <w:t>7</w:t>
        </w:r>
      </w:fldSimple>
      <w:r>
        <w:t xml:space="preserve"> </w:t>
      </w:r>
      <w:r w:rsidR="007777FA">
        <w:t>The impacts</w:t>
      </w:r>
      <w:r>
        <w:t xml:space="preserve"> mitigation strategies </w:t>
      </w:r>
      <w:r>
        <w:fldChar w:fldCharType="begin"/>
      </w:r>
      <w:r w:rsidR="00BD44E7">
        <w:instrText xml:space="preserve"> ADDIN ZOTERO_ITEM CSL_CITATION {"citationID":"LCsfj21D","properties":{"formattedCitation":"(Chopra and Sodhi 2004)","plainCitation":"(Chopra and Sodhi 2004)","noteIndex":0},"citationItems":[{"id":1552,"uris":["http://zotero.org/users/local/AB2owHL2/items/3V57ZA78"],"itemData":{"id":1552,"type":"article-journal","abstract":"Natural disasters, labor disputes, terrorism and more mundane risks can seriously disrupt or delay the flow of material, information and cash through an organizations supply chain. It is asserted that how well a company fares against such threats will depend on its level of preparedness, and the type of disruption. Each supply-chain risk - to forecasts, information systems, intellectual property, procurement, inventory and capacity - has its own drivers and effective mitigation strategies. To avoid lost sales, increased costs or both, managers need to tailor proven risk-reduction strategies to their organizations. Managing supply-chain risk is difficult, however. A powerful \"what if?\" team exercise called \"stress testing\" to identify potentially weak links in the supply chain is recommended. Armed with this shared understanding, companies can then select the best mitigation strategy: holding \"reserves,\" pooling inventory, using redundant suppliers, balancing capacity and inventory, implementing robust backup and recovery systems, adjusting pricing and incentives, bringing or keeping production in-house, and using Continuous Replenishment Programs, Collaborative Planning, Forecasting and Replenishment and other supply-chain initiatives.","container-title":"MIT Sloan Management Review","ISSN":"15329194","issue":"1","language":"English","note":"number-of-pages: 53-61\npublisher-place: Cambridge, United States\npublisher: Massachusetts Institute of Technology, Cambridge, MA","page":"53-61","source":"ProQuest","title":"Managing Risk to Avoid Supply-Chain Breakdown","URL":"https://www.proquest.com/docview/224964486/abstract/A6E592F3C96C4741PQ/1","volume":"46","author":[{"family":"Chopra","given":"Sunil"},{"family":"Sodhi","given":"ManMohan S."}],"accessed":{"date-parts":[["2022",3,20]]},"issued":{"date-parts":[["2004"]],"season":"Fall"}}}],"schema":"https://github.com/citation-style-language/schema/raw/master/csl-citation.json"} </w:instrText>
      </w:r>
      <w:r>
        <w:fldChar w:fldCharType="separate"/>
      </w:r>
      <w:r w:rsidR="00BD44E7" w:rsidRPr="00BD44E7">
        <w:rPr>
          <w:rFonts w:ascii="Calibri" w:hAnsi="Calibri" w:cs="Calibri"/>
        </w:rPr>
        <w:t>(Chopra and Sodhi 2004)</w:t>
      </w:r>
      <w:bookmarkEnd w:id="30"/>
      <w:r>
        <w:fldChar w:fldCharType="end"/>
      </w:r>
    </w:p>
    <w:p w14:paraId="7CEC5CBA" w14:textId="77777777" w:rsidR="000731C7" w:rsidRDefault="000731C7" w:rsidP="003C50F4">
      <w:pPr>
        <w:spacing w:line="360" w:lineRule="auto"/>
        <w:jc w:val="both"/>
      </w:pPr>
    </w:p>
    <w:p w14:paraId="40A3FF06" w14:textId="77777777" w:rsidR="000731C7" w:rsidRDefault="000731C7" w:rsidP="003C50F4">
      <w:pPr>
        <w:spacing w:line="360" w:lineRule="auto"/>
        <w:jc w:val="both"/>
      </w:pPr>
    </w:p>
    <w:p w14:paraId="0D873485" w14:textId="77777777" w:rsidR="000731C7" w:rsidRDefault="000731C7" w:rsidP="003C50F4">
      <w:pPr>
        <w:spacing w:line="360" w:lineRule="auto"/>
        <w:jc w:val="both"/>
      </w:pPr>
    </w:p>
    <w:p w14:paraId="0A5ACFB7" w14:textId="77777777" w:rsidR="000731C7" w:rsidRDefault="000731C7" w:rsidP="003C50F4">
      <w:pPr>
        <w:spacing w:line="360" w:lineRule="auto"/>
        <w:jc w:val="both"/>
      </w:pPr>
    </w:p>
    <w:p w14:paraId="5565711F" w14:textId="77777777" w:rsidR="009A64AF" w:rsidRDefault="009A64AF" w:rsidP="003C50F4">
      <w:pPr>
        <w:spacing w:line="360" w:lineRule="auto"/>
        <w:jc w:val="both"/>
      </w:pPr>
    </w:p>
    <w:p w14:paraId="5BAF768B" w14:textId="77777777" w:rsidR="00DD21AD" w:rsidRDefault="00DD21AD" w:rsidP="003C50F4">
      <w:pPr>
        <w:spacing w:line="360" w:lineRule="auto"/>
        <w:jc w:val="both"/>
      </w:pPr>
    </w:p>
    <w:p w14:paraId="7BCCFEA9" w14:textId="77777777" w:rsidR="00DD21AD" w:rsidRDefault="00DD21AD" w:rsidP="003C50F4">
      <w:pPr>
        <w:spacing w:line="360" w:lineRule="auto"/>
        <w:jc w:val="both"/>
      </w:pPr>
    </w:p>
    <w:p w14:paraId="0ADA4E8A" w14:textId="77777777" w:rsidR="000731C7" w:rsidRDefault="000731C7" w:rsidP="003C50F4">
      <w:pPr>
        <w:spacing w:line="360" w:lineRule="auto"/>
        <w:jc w:val="both"/>
      </w:pPr>
    </w:p>
    <w:p w14:paraId="3D4BB45A" w14:textId="563CA7FE" w:rsidR="009443AA" w:rsidRDefault="009443AA" w:rsidP="00FF7F4F">
      <w:pPr>
        <w:pStyle w:val="Heading1"/>
        <w:spacing w:line="360" w:lineRule="auto"/>
        <w:jc w:val="both"/>
      </w:pPr>
      <w:bookmarkStart w:id="31" w:name="_Toc101469670"/>
      <w:r w:rsidRPr="009443AA">
        <w:lastRenderedPageBreak/>
        <w:t>Recommendations</w:t>
      </w:r>
      <w:bookmarkEnd w:id="31"/>
      <w:r w:rsidR="00B35BD1">
        <w:t xml:space="preserve"> </w:t>
      </w:r>
    </w:p>
    <w:p w14:paraId="55813A56" w14:textId="05BFD74D" w:rsidR="00C348C9" w:rsidRDefault="00AC1412" w:rsidP="00FF7F4F">
      <w:pPr>
        <w:spacing w:line="360" w:lineRule="auto"/>
        <w:jc w:val="both"/>
      </w:pPr>
      <w:r>
        <w:t xml:space="preserve">Fierce competition in global markets has </w:t>
      </w:r>
      <w:r w:rsidR="002059B2">
        <w:t>forced many companies to focus on their core competencies</w:t>
      </w:r>
      <w:r w:rsidR="00E46EB0">
        <w:t xml:space="preserve"> and outsource less profitable activities to suppliers</w:t>
      </w:r>
      <w:r w:rsidR="005E5BB4">
        <w:t xml:space="preserve">. Supplier selection </w:t>
      </w:r>
      <w:r w:rsidR="000C1F0E">
        <w:t xml:space="preserve">has become </w:t>
      </w:r>
      <w:r w:rsidR="00444CB7">
        <w:t>critical</w:t>
      </w:r>
      <w:r w:rsidR="00B76C41">
        <w:t>,</w:t>
      </w:r>
      <w:r w:rsidR="00FA1D25">
        <w:t xml:space="preserve"> enabling companies to source products of high quality, on time</w:t>
      </w:r>
      <w:r w:rsidR="006857E2">
        <w:t>, in the correct quantity, at reduced cost</w:t>
      </w:r>
      <w:r w:rsidR="004F7945">
        <w:t xml:space="preserve"> and fulfilling customer re</w:t>
      </w:r>
      <w:r w:rsidR="00470C93">
        <w:t>quirements.</w:t>
      </w:r>
      <w:r w:rsidR="00DA0894">
        <w:t xml:space="preserve"> The cost of </w:t>
      </w:r>
      <w:r w:rsidR="00B81BE0">
        <w:t xml:space="preserve">purchased materials and components </w:t>
      </w:r>
      <w:r w:rsidR="001967F3">
        <w:t xml:space="preserve">averages 40 – 60% and </w:t>
      </w:r>
      <w:r w:rsidR="00B81BE0">
        <w:t>can be as high as 70%</w:t>
      </w:r>
      <w:r w:rsidR="001E7143">
        <w:t xml:space="preserve"> of total production costs</w:t>
      </w:r>
      <w:r w:rsidR="00FC7B47">
        <w:t xml:space="preserve"> </w:t>
      </w:r>
      <w:r w:rsidR="00497F41">
        <w:t xml:space="preserve">thus choosing the right supplier </w:t>
      </w:r>
      <w:r w:rsidR="009C4601">
        <w:t>directly impacts upon operational performance.</w:t>
      </w:r>
      <w:r w:rsidR="00637CFC">
        <w:t xml:space="preserve"> Supplier selection </w:t>
      </w:r>
      <w:r w:rsidR="00501DC6">
        <w:t>i</w:t>
      </w:r>
      <w:r w:rsidR="00426A46">
        <w:t>nfluences</w:t>
      </w:r>
      <w:r w:rsidR="009C2984">
        <w:t xml:space="preserve"> inventory management, </w:t>
      </w:r>
      <w:r w:rsidR="00420AC6">
        <w:t xml:space="preserve">quality improvement, cost reduction, </w:t>
      </w:r>
      <w:r w:rsidR="008B694F">
        <w:t>production planning and control</w:t>
      </w:r>
      <w:r w:rsidR="001049FB">
        <w:t xml:space="preserve"> and customer satisfaction.</w:t>
      </w:r>
      <w:r w:rsidR="00BC4972">
        <w:t xml:space="preserve"> </w:t>
      </w:r>
      <w:r w:rsidR="006F2A17">
        <w:t xml:space="preserve">Supplier selection </w:t>
      </w:r>
      <w:r w:rsidR="00E4348D">
        <w:t>is vital to a successful organisation</w:t>
      </w:r>
      <w:r w:rsidR="00A20F1A">
        <w:t xml:space="preserve"> </w:t>
      </w:r>
      <w:r w:rsidR="00A20F1A">
        <w:fldChar w:fldCharType="begin"/>
      </w:r>
      <w:r w:rsidR="00460A5A">
        <w:instrText xml:space="preserve"> ADDIN ZOTERO_ITEM CSL_CITATION {"citationID":"YqUcdI32","properties":{"formattedCitation":"(Lopes and Rodriguez-Lopez 2021)","plainCitation":"(Lopes and Rodriguez-Lopez 2021)","noteIndex":0},"citationItems":[{"id":1623,"uris":["http://zotero.org/users/local/AB2owHL2/items/564N2QZC"],"itemData":{"id":1623,"type":"article-journal","abstract":"The supplier selection process is considered one of the most relevant decisions in supply chain management due to its effect on the product quality and on buyer performance. Supplier selection is often unstructured, and is generally based on the lowest-price proposal. However, this type of selection involves a high risk, sometimes resulting in project delays, poor quality of acquired goods, and large financial losses. Price is undoubtedly an important criterion when choosing a supplier; however, other equally important criteria must be considered. Therefore, supplier selection should be formulated as a multi-criteria decision-making (MCDM) problem. This study uses the PROMETHEE-GAIA (Preference Ranking Organization Method for Enrichment of Evaluations—Geometrical Analysis for Interactive Assistance) method to classify and select suppliers in an agrifood company. One of the advantages of this method is that it allows decision-makers to set their preferences considering all the relevant criteria simultaneously, and their relative importance. The case study demonstrates that PROMETHEE constitutes a flexible MCDM tool for supplier evaluation and selection, rank the different alternatives, and provide valuable insights. The results show that the supplier selection process has a strong point related to the existence of two groups of suppliers, one focused on economic criteria and other related to the innovative capacity. However, a flaw emerges, as little relevance is associated to the environmental criterion.","container-title":"Sustainability","DOI":"http://dx.doi.org/10.3390/su132212387","issue":"22","language":"English","note":"number-of-pages: 12387\npublisher-place: Basel, Switzerland\npublisher: MDPI AG","page":"12387","source":"ProQuest","title":"A Decision Support Tool for Supplier Evaluation and Selection","URL":"https://www.proquest.com/docview/2602244901/abstract/7554B234107E45D6PQ/1","volume":"13","author":[{"family":"Lopes","given":"Ana Paula"},{"family":"Rodriguez-Lopez","given":"Nuria"}],"accessed":{"date-parts":[["2022",4,10]]},"issued":{"date-parts":[["2021"]]}}}],"schema":"https://github.com/citation-style-language/schema/raw/master/csl-citation.json"} </w:instrText>
      </w:r>
      <w:r w:rsidR="00A20F1A">
        <w:fldChar w:fldCharType="separate"/>
      </w:r>
      <w:r w:rsidR="00460A5A" w:rsidRPr="00460A5A">
        <w:rPr>
          <w:rFonts w:ascii="Calibri" w:hAnsi="Calibri" w:cs="Calibri"/>
        </w:rPr>
        <w:t>(Lopes and Rodriguez-Lopez 2021)</w:t>
      </w:r>
      <w:r w:rsidR="00A20F1A">
        <w:fldChar w:fldCharType="end"/>
      </w:r>
      <w:r w:rsidR="00E4348D">
        <w:t>.</w:t>
      </w:r>
    </w:p>
    <w:p w14:paraId="037323E7" w14:textId="234E0893" w:rsidR="00B35BD1" w:rsidRDefault="0056489F" w:rsidP="00FF7F4F">
      <w:pPr>
        <w:spacing w:line="360" w:lineRule="auto"/>
        <w:jc w:val="both"/>
      </w:pPr>
      <w:r>
        <w:t xml:space="preserve">There are many different models </w:t>
      </w:r>
      <w:r w:rsidR="00EB1047">
        <w:t>discussed in literature that can be used to help in supplier selection</w:t>
      </w:r>
      <w:r w:rsidR="00E14A29">
        <w:t>, however many of them agree on the stages required in the process</w:t>
      </w:r>
      <w:r w:rsidR="00664E04">
        <w:t xml:space="preserve">, these can be found in the diagram below </w:t>
      </w:r>
      <w:r w:rsidR="00336584">
        <w:t xml:space="preserve">in </w:t>
      </w:r>
      <w:r w:rsidR="00664E04">
        <w:t xml:space="preserve">Figure </w:t>
      </w:r>
      <w:r w:rsidR="00336584">
        <w:t>8.</w:t>
      </w:r>
    </w:p>
    <w:p w14:paraId="65C292E0" w14:textId="72776309" w:rsidR="00664E04" w:rsidRDefault="007F7CC9" w:rsidP="00FF7F4F">
      <w:pPr>
        <w:spacing w:line="360" w:lineRule="auto"/>
        <w:jc w:val="both"/>
      </w:pPr>
      <w:r w:rsidRPr="007F7CC9">
        <w:rPr>
          <w:noProof/>
        </w:rPr>
        <w:drawing>
          <wp:inline distT="0" distB="0" distL="0" distR="0" wp14:anchorId="691F423C" wp14:editId="27EB51D5">
            <wp:extent cx="4760523" cy="2266122"/>
            <wp:effectExtent l="0" t="0" r="0" b="0"/>
            <wp:docPr id="8" name="Picture 8"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text&#10;&#10;Description automatically generated"/>
                    <pic:cNvPicPr/>
                  </pic:nvPicPr>
                  <pic:blipFill>
                    <a:blip r:embed="rId19"/>
                    <a:stretch>
                      <a:fillRect/>
                    </a:stretch>
                  </pic:blipFill>
                  <pic:spPr>
                    <a:xfrm>
                      <a:off x="0" y="0"/>
                      <a:ext cx="4800873" cy="2285330"/>
                    </a:xfrm>
                    <a:prstGeom prst="rect">
                      <a:avLst/>
                    </a:prstGeom>
                  </pic:spPr>
                </pic:pic>
              </a:graphicData>
            </a:graphic>
          </wp:inline>
        </w:drawing>
      </w:r>
    </w:p>
    <w:p w14:paraId="56063954" w14:textId="42CC9AE3" w:rsidR="007F7CC9" w:rsidRDefault="007F7CC9" w:rsidP="007F7CC9">
      <w:pPr>
        <w:pStyle w:val="Caption"/>
      </w:pPr>
      <w:bookmarkStart w:id="32" w:name="_Toc101294477"/>
      <w:r>
        <w:t xml:space="preserve">Figure </w:t>
      </w:r>
      <w:fldSimple w:instr=" SEQ Figure \* ARABIC ">
        <w:r w:rsidR="00555FD6">
          <w:rPr>
            <w:noProof/>
          </w:rPr>
          <w:t>8</w:t>
        </w:r>
      </w:fldSimple>
      <w:r>
        <w:t xml:space="preserve"> Supplier evaluation and selection process </w:t>
      </w:r>
      <w:r>
        <w:fldChar w:fldCharType="begin"/>
      </w:r>
      <w:r w:rsidR="00460A5A">
        <w:instrText xml:space="preserve"> ADDIN ZOTERO_ITEM CSL_CITATION {"citationID":"s80LjV6w","properties":{"formattedCitation":"(Lopes and Rodriguez-Lopez 2021)","plainCitation":"(Lopes and Rodriguez-Lopez 2021)","noteIndex":0},"citationItems":[{"id":1623,"uris":["http://zotero.org/users/local/AB2owHL2/items/564N2QZC"],"itemData":{"id":1623,"type":"article-journal","abstract":"The supplier selection process is considered one of the most relevant decisions in supply chain management due to its effect on the product quality and on buyer performance. Supplier selection is often unstructured, and is generally based on the lowest-price proposal. However, this type of selection involves a high risk, sometimes resulting in project delays, poor quality of acquired goods, and large financial losses. Price is undoubtedly an important criterion when choosing a supplier; however, other equally important criteria must be considered. Therefore, supplier selection should be formulated as a multi-criteria decision-making (MCDM) problem. This study uses the PROMETHEE-GAIA (Preference Ranking Organization Method for Enrichment of Evaluations—Geometrical Analysis for Interactive Assistance) method to classify and select suppliers in an agrifood company. One of the advantages of this method is that it allows decision-makers to set their preferences considering all the relevant criteria simultaneously, and their relative importance. The case study demonstrates that PROMETHEE constitutes a flexible MCDM tool for supplier evaluation and selection, rank the different alternatives, and provide valuable insights. The results show that the supplier selection process has a strong point related to the existence of two groups of suppliers, one focused on economic criteria and other related to the innovative capacity. However, a flaw emerges, as little relevance is associated to the environmental criterion.","container-title":"Sustainability","DOI":"http://dx.doi.org/10.3390/su132212387","issue":"22","language":"English","note":"number-of-pages: 12387\npublisher-place: Basel, Switzerland\npublisher: MDPI AG","page":"12387","source":"ProQuest","title":"A Decision Support Tool for Supplier Evaluation and Selection","URL":"https://www.proquest.com/docview/2602244901/abstract/7554B234107E45D6PQ/1","volume":"13","author":[{"family":"Lopes","given":"Ana Paula"},{"family":"Rodriguez-Lopez","given":"Nuria"}],"accessed":{"date-parts":[["2022",4,10]]},"issued":{"date-parts":[["2021"]]}}}],"schema":"https://github.com/citation-style-language/schema/raw/master/csl-citation.json"} </w:instrText>
      </w:r>
      <w:r>
        <w:fldChar w:fldCharType="separate"/>
      </w:r>
      <w:r w:rsidR="00460A5A" w:rsidRPr="00460A5A">
        <w:rPr>
          <w:rFonts w:ascii="Calibri" w:hAnsi="Calibri" w:cs="Calibri"/>
        </w:rPr>
        <w:t>(Lopes and Rodriguez-Lopez 2021)</w:t>
      </w:r>
      <w:bookmarkEnd w:id="32"/>
      <w:r>
        <w:fldChar w:fldCharType="end"/>
      </w:r>
    </w:p>
    <w:p w14:paraId="56E2E197" w14:textId="0C148736" w:rsidR="00B35BD1" w:rsidRDefault="00985FA4" w:rsidP="00FF7F4F">
      <w:pPr>
        <w:spacing w:line="360" w:lineRule="auto"/>
        <w:jc w:val="both"/>
      </w:pPr>
      <w:r>
        <w:t xml:space="preserve">Previous analysis </w:t>
      </w:r>
      <w:r w:rsidR="00CB2627">
        <w:t xml:space="preserve">involves deciding on the criteria potential suppliers will require and </w:t>
      </w:r>
      <w:r w:rsidR="00296163">
        <w:t xml:space="preserve">compiling a list of </w:t>
      </w:r>
      <w:r w:rsidR="00E63B1F">
        <w:t xml:space="preserve">prospective </w:t>
      </w:r>
      <w:r w:rsidR="00E86E57">
        <w:t xml:space="preserve">candidates. </w:t>
      </w:r>
      <w:r w:rsidR="00AB512E">
        <w:t xml:space="preserve">Next </w:t>
      </w:r>
      <w:r w:rsidR="00093821">
        <w:t xml:space="preserve">during supplier </w:t>
      </w:r>
      <w:r w:rsidR="00C426E6">
        <w:t>evaluation,</w:t>
      </w:r>
      <w:r w:rsidR="00093821">
        <w:t xml:space="preserve"> the number of potential suppliers is reduced </w:t>
      </w:r>
      <w:r w:rsidR="009677DF">
        <w:t>following an evaluation and screening process</w:t>
      </w:r>
      <w:r w:rsidR="0099637E">
        <w:t>.</w:t>
      </w:r>
      <w:r w:rsidR="00207EF9" w:rsidRPr="00207EF9">
        <w:t xml:space="preserve"> </w:t>
      </w:r>
      <w:r w:rsidR="00207EF9">
        <w:t>During this stage the candidates are contacted and asked for further information</w:t>
      </w:r>
      <w:r w:rsidR="006D1B7D">
        <w:t xml:space="preserve">, the analysis of which </w:t>
      </w:r>
      <w:r w:rsidR="00045ACC">
        <w:t>enables</w:t>
      </w:r>
      <w:r w:rsidR="00C426E6">
        <w:t xml:space="preserve"> </w:t>
      </w:r>
      <w:r w:rsidR="00C61954">
        <w:t xml:space="preserve">the </w:t>
      </w:r>
      <w:r w:rsidR="00386E7D">
        <w:t>appraising firm to list the suppliers</w:t>
      </w:r>
      <w:r w:rsidR="00C426E6">
        <w:t xml:space="preserve"> </w:t>
      </w:r>
      <w:r w:rsidR="00CA6DBA">
        <w:t>hierarchically according to suitability.</w:t>
      </w:r>
      <w:r w:rsidR="00B70F31">
        <w:t xml:space="preserve"> Finally</w:t>
      </w:r>
      <w:r w:rsidR="006144DC">
        <w:t>,</w:t>
      </w:r>
      <w:r w:rsidR="00B70F31">
        <w:t xml:space="preserve"> after</w:t>
      </w:r>
      <w:r w:rsidR="00781860">
        <w:t xml:space="preserve"> a thorough</w:t>
      </w:r>
      <w:r w:rsidR="006144DC">
        <w:t xml:space="preserve"> assessment and following</w:t>
      </w:r>
      <w:r w:rsidR="00B70F31">
        <w:t xml:space="preserve"> negotiations with the </w:t>
      </w:r>
      <w:r w:rsidR="00781860">
        <w:t>candidates, a supp</w:t>
      </w:r>
      <w:r w:rsidR="003C57BD">
        <w:t>lier is selected</w:t>
      </w:r>
      <w:r w:rsidR="00A76E83">
        <w:t xml:space="preserve"> </w:t>
      </w:r>
      <w:r w:rsidR="00A76E83">
        <w:fldChar w:fldCharType="begin"/>
      </w:r>
      <w:r w:rsidR="00BD44E7">
        <w:instrText xml:space="preserve"> ADDIN ZOTERO_ITEM CSL_CITATION {"citationID":"ibD4cz3R","properties":{"formattedCitation":"(de Boer 2017)","plainCitation":"(de Boer 2017)","noteIndex":0},"citationItems":[{"id":1625,"uris":["http://zotero.org/users/local/AB2owHL2/items/3NB4EA3U"],"itemData":{"id":1625,"type":"article-journal","abstract":"Purpose\nThe purpose of this paper is to present three heuristics for choosing supplier selection criteria. By considering the balance between the expected relative effort and benefit of using different selection criteria, the heuristics suggest which criteria should be prioritized. The heuristics serve to develop our understanding of the search and evaluation heuristics used in supplier selection and to facilitate further research.\nDesign/methodology/approach\nThe research is primarily theoretical, yet draws on empirical studies of supplier selection. The theoretical basis is Simon's notion of procedural rationality (Simon, 1976). The author makes the general notion of procedural rationality more concrete for supplier selection by formally describing three heuristics for choosing selection criteria. The heuristics share the same logic but differ in terms of the precision of the input information required from the purchaser. The paper provides illustrations of the heuristics.\nFindings\nIt appears that procedural rationality can be specified for the process of designing the supplier selection process by explicitly recognizing the cost and value of selection criteria. There is no one way of doing this, but at the most basic level, it requires an ordinal ranking of criteria. Already such a rudimentary, qualitative, assessment can help identifying suitable criteria. The heuristics developed appear compatible with established approaches for the subsequent selection of suppliers.\nOriginality/value\nThe paper addresses the early stage of supplier selection which has been largely ignored in the literature.","container-title":"Management Decision","DOI":"http://dx.doi.org.ezproxy.uwtsd.ac.uk/10.1108/MD-08-2015-0373","ISSN":"00251747","issue":"1","language":"English","note":"number-of-pages: 25\npublisher-place: London, United Kingdom\npublisher: Emerald Group Publishing Limited","page":"32-56","source":"ProQuest","title":"Procedural rationality in supplier selection: Outlining three heuristics for choosing selection criteria","title-short":"Procedural rationality in supplier selection","URL":"http://www.proquest.com/docview/1858619849/abstract/79DC9638FC5B4842PQ/1","volume":"55","author":[{"family":"Boer","given":"Luitzen","non-dropping-particle":"de"}],"accessed":{"date-parts":[["2022",4,10]]},"issued":{"date-parts":[["2017"]]}}}],"schema":"https://github.com/citation-style-language/schema/raw/master/csl-citation.json"} </w:instrText>
      </w:r>
      <w:r w:rsidR="00A76E83">
        <w:fldChar w:fldCharType="separate"/>
      </w:r>
      <w:r w:rsidR="00BD44E7" w:rsidRPr="00BD44E7">
        <w:rPr>
          <w:rFonts w:ascii="Calibri" w:hAnsi="Calibri" w:cs="Calibri"/>
        </w:rPr>
        <w:t>(de Boer 2017)</w:t>
      </w:r>
      <w:r w:rsidR="00A76E83">
        <w:fldChar w:fldCharType="end"/>
      </w:r>
      <w:r w:rsidR="003C57BD">
        <w:t xml:space="preserve">. </w:t>
      </w:r>
    </w:p>
    <w:p w14:paraId="6DB37F74" w14:textId="77777777" w:rsidR="00336584" w:rsidRDefault="00336584" w:rsidP="00FF7F4F">
      <w:pPr>
        <w:spacing w:line="360" w:lineRule="auto"/>
        <w:jc w:val="both"/>
      </w:pPr>
    </w:p>
    <w:p w14:paraId="474A6BED" w14:textId="77777777" w:rsidR="00600036" w:rsidRDefault="00600036" w:rsidP="00FF7F4F">
      <w:pPr>
        <w:spacing w:line="360" w:lineRule="auto"/>
        <w:jc w:val="both"/>
      </w:pPr>
    </w:p>
    <w:p w14:paraId="32200D30" w14:textId="77777777" w:rsidR="00336584" w:rsidRPr="00B35BD1" w:rsidRDefault="00336584" w:rsidP="00FF7F4F">
      <w:pPr>
        <w:spacing w:line="360" w:lineRule="auto"/>
        <w:jc w:val="both"/>
      </w:pPr>
    </w:p>
    <w:p w14:paraId="3D4BB45C" w14:textId="7350E196" w:rsidR="009443AA" w:rsidRDefault="00915D48" w:rsidP="009443AA">
      <w:r>
        <w:lastRenderedPageBreak/>
        <w:t xml:space="preserve">One </w:t>
      </w:r>
      <w:r w:rsidR="00807E4A">
        <w:t xml:space="preserve">of the most important steps in the process is the </w:t>
      </w:r>
      <w:r w:rsidR="008D6F2F">
        <w:t xml:space="preserve">supplier evaluation, the most often used criteria </w:t>
      </w:r>
      <w:r w:rsidR="002703DC">
        <w:t>are:</w:t>
      </w:r>
    </w:p>
    <w:p w14:paraId="57F01A00" w14:textId="017A410B" w:rsidR="002703DC" w:rsidRDefault="002703DC" w:rsidP="0047595D">
      <w:pPr>
        <w:pStyle w:val="ListParagraph"/>
        <w:numPr>
          <w:ilvl w:val="0"/>
          <w:numId w:val="15"/>
        </w:numPr>
        <w:spacing w:line="360" w:lineRule="auto"/>
        <w:jc w:val="both"/>
      </w:pPr>
      <w:r>
        <w:t xml:space="preserve">Quality </w:t>
      </w:r>
      <w:r w:rsidR="006665A6">
        <w:t>–</w:t>
      </w:r>
      <w:r>
        <w:t xml:space="preserve"> </w:t>
      </w:r>
      <w:r w:rsidR="006665A6">
        <w:t xml:space="preserve">The capability to supply </w:t>
      </w:r>
      <w:r w:rsidR="003A69E5">
        <w:t xml:space="preserve">goods </w:t>
      </w:r>
      <w:r w:rsidR="002E5056">
        <w:t>that conform to specification</w:t>
      </w:r>
      <w:r w:rsidR="00AD02B1">
        <w:t xml:space="preserve"> and government regulations</w:t>
      </w:r>
      <w:r w:rsidR="00136960">
        <w:t xml:space="preserve">, that satisfy customer requirements. </w:t>
      </w:r>
      <w:r w:rsidR="00257E3F">
        <w:t>Suitable quality management systems</w:t>
      </w:r>
      <w:r w:rsidR="00EF26D0">
        <w:t xml:space="preserve"> and continuous improvement programs, </w:t>
      </w:r>
      <w:r w:rsidR="00E527A0">
        <w:t xml:space="preserve">process control management, maintenance and calibration </w:t>
      </w:r>
      <w:proofErr w:type="gramStart"/>
      <w:r w:rsidR="00E527A0">
        <w:t>plans</w:t>
      </w:r>
      <w:proofErr w:type="gramEnd"/>
      <w:r w:rsidR="00AB7273">
        <w:t xml:space="preserve"> and staff training</w:t>
      </w:r>
      <w:r w:rsidR="007F668C">
        <w:t xml:space="preserve"> </w:t>
      </w:r>
    </w:p>
    <w:p w14:paraId="3B4B68BF" w14:textId="65D1AB62" w:rsidR="0047595D" w:rsidRDefault="00C5122E" w:rsidP="0047595D">
      <w:pPr>
        <w:pStyle w:val="ListParagraph"/>
        <w:numPr>
          <w:ilvl w:val="0"/>
          <w:numId w:val="15"/>
        </w:numPr>
        <w:spacing w:line="360" w:lineRule="auto"/>
        <w:jc w:val="both"/>
      </w:pPr>
      <w:r>
        <w:t xml:space="preserve">Delivery </w:t>
      </w:r>
      <w:r w:rsidR="00F303F6">
        <w:t>–</w:t>
      </w:r>
      <w:r>
        <w:t xml:space="preserve"> </w:t>
      </w:r>
      <w:r w:rsidR="00F303F6">
        <w:t>Lead time, on time delivery,</w:t>
      </w:r>
      <w:r w:rsidR="00784C48">
        <w:t xml:space="preserve"> reliability </w:t>
      </w:r>
    </w:p>
    <w:p w14:paraId="38215131" w14:textId="241CA21F" w:rsidR="00964B1F" w:rsidRDefault="00964B1F" w:rsidP="0047595D">
      <w:pPr>
        <w:pStyle w:val="ListParagraph"/>
        <w:numPr>
          <w:ilvl w:val="0"/>
          <w:numId w:val="15"/>
        </w:numPr>
        <w:spacing w:line="360" w:lineRule="auto"/>
        <w:jc w:val="both"/>
      </w:pPr>
      <w:r>
        <w:t xml:space="preserve">Cost </w:t>
      </w:r>
      <w:r w:rsidR="000F4CF8">
        <w:t>–</w:t>
      </w:r>
      <w:r>
        <w:t xml:space="preserve"> </w:t>
      </w:r>
      <w:r w:rsidR="000F4CF8">
        <w:t>Cost of product, transport</w:t>
      </w:r>
      <w:r w:rsidR="005B0133">
        <w:t>, maintenance, labour</w:t>
      </w:r>
      <w:r w:rsidR="00A71819">
        <w:t xml:space="preserve"> </w:t>
      </w:r>
    </w:p>
    <w:p w14:paraId="20E71D8E" w14:textId="339E4DE7" w:rsidR="00A71819" w:rsidRDefault="001F1234" w:rsidP="0047595D">
      <w:pPr>
        <w:pStyle w:val="ListParagraph"/>
        <w:numPr>
          <w:ilvl w:val="0"/>
          <w:numId w:val="15"/>
        </w:numPr>
        <w:spacing w:line="360" w:lineRule="auto"/>
        <w:jc w:val="both"/>
      </w:pPr>
      <w:r>
        <w:t xml:space="preserve">Relationship </w:t>
      </w:r>
      <w:r w:rsidR="004A3491">
        <w:t>–</w:t>
      </w:r>
      <w:r>
        <w:t xml:space="preserve"> </w:t>
      </w:r>
      <w:r w:rsidR="004A3491">
        <w:t xml:space="preserve">The ability to foster long term relationships, </w:t>
      </w:r>
      <w:r w:rsidR="006074A9">
        <w:t>strong communication channels.</w:t>
      </w:r>
    </w:p>
    <w:p w14:paraId="047979FD" w14:textId="19DB5B46" w:rsidR="00B16CA8" w:rsidRDefault="00B16CA8" w:rsidP="0047595D">
      <w:pPr>
        <w:pStyle w:val="ListParagraph"/>
        <w:numPr>
          <w:ilvl w:val="0"/>
          <w:numId w:val="15"/>
        </w:numPr>
        <w:spacing w:line="360" w:lineRule="auto"/>
        <w:jc w:val="both"/>
      </w:pPr>
      <w:r>
        <w:t xml:space="preserve">Facilities and Capacity </w:t>
      </w:r>
      <w:r w:rsidR="00DD0E08">
        <w:t xml:space="preserve">–Suitable </w:t>
      </w:r>
      <w:r w:rsidR="007214FC">
        <w:t>i</w:t>
      </w:r>
      <w:r w:rsidR="00DD0E08">
        <w:t>nfrastructure</w:t>
      </w:r>
      <w:r w:rsidR="00DE79FB">
        <w:t xml:space="preserve"> and resources and location.</w:t>
      </w:r>
      <w:r w:rsidR="00DD0E08">
        <w:t xml:space="preserve"> </w:t>
      </w:r>
    </w:p>
    <w:p w14:paraId="2A54FF85" w14:textId="6F7A68A3" w:rsidR="007214FC" w:rsidRDefault="007214FC" w:rsidP="0047595D">
      <w:pPr>
        <w:pStyle w:val="ListParagraph"/>
        <w:numPr>
          <w:ilvl w:val="0"/>
          <w:numId w:val="15"/>
        </w:numPr>
        <w:spacing w:line="360" w:lineRule="auto"/>
        <w:jc w:val="both"/>
      </w:pPr>
      <w:r>
        <w:t xml:space="preserve">Service </w:t>
      </w:r>
      <w:r w:rsidR="004B406A">
        <w:t>–</w:t>
      </w:r>
      <w:r>
        <w:t xml:space="preserve"> </w:t>
      </w:r>
      <w:r w:rsidR="004B406A">
        <w:t>Level of after service care</w:t>
      </w:r>
      <w:r w:rsidR="00EE2AA0">
        <w:t>.</w:t>
      </w:r>
    </w:p>
    <w:p w14:paraId="049EB1FF" w14:textId="080966BE" w:rsidR="00EE2AA0" w:rsidRDefault="00EE2AA0" w:rsidP="0047595D">
      <w:pPr>
        <w:pStyle w:val="ListParagraph"/>
        <w:numPr>
          <w:ilvl w:val="0"/>
          <w:numId w:val="15"/>
        </w:numPr>
        <w:spacing w:line="360" w:lineRule="auto"/>
        <w:jc w:val="both"/>
      </w:pPr>
      <w:r>
        <w:t xml:space="preserve">Flexibility </w:t>
      </w:r>
      <w:r w:rsidR="00E27245">
        <w:t>–</w:t>
      </w:r>
      <w:r>
        <w:t xml:space="preserve"> </w:t>
      </w:r>
      <w:r w:rsidR="00E27245">
        <w:t xml:space="preserve">The ability to </w:t>
      </w:r>
      <w:r w:rsidR="00B207E8">
        <w:t xml:space="preserve">react to change in terms of product volume, product mix, </w:t>
      </w:r>
      <w:r w:rsidR="00416EB7">
        <w:t>or manufacturing processes.</w:t>
      </w:r>
    </w:p>
    <w:p w14:paraId="71F273A6" w14:textId="6A11A228" w:rsidR="00416EB7" w:rsidRDefault="00416EB7" w:rsidP="0047595D">
      <w:pPr>
        <w:pStyle w:val="ListParagraph"/>
        <w:numPr>
          <w:ilvl w:val="0"/>
          <w:numId w:val="15"/>
        </w:numPr>
        <w:spacing w:line="360" w:lineRule="auto"/>
        <w:jc w:val="both"/>
      </w:pPr>
      <w:r>
        <w:t xml:space="preserve">Culture </w:t>
      </w:r>
      <w:r w:rsidR="00715C0E">
        <w:t>–</w:t>
      </w:r>
      <w:r>
        <w:t xml:space="preserve"> </w:t>
      </w:r>
      <w:r w:rsidR="00715C0E">
        <w:t>Shared values and goals.</w:t>
      </w:r>
    </w:p>
    <w:p w14:paraId="689DCADC" w14:textId="59E98A4A" w:rsidR="00715C0E" w:rsidRDefault="009D51C8" w:rsidP="0047595D">
      <w:pPr>
        <w:pStyle w:val="ListParagraph"/>
        <w:numPr>
          <w:ilvl w:val="0"/>
          <w:numId w:val="15"/>
        </w:numPr>
        <w:spacing w:line="360" w:lineRule="auto"/>
        <w:jc w:val="both"/>
      </w:pPr>
      <w:r>
        <w:t>Geographical location – D</w:t>
      </w:r>
      <w:r w:rsidR="000451DF">
        <w:t>istance between supplier and the company.</w:t>
      </w:r>
    </w:p>
    <w:p w14:paraId="7972381C" w14:textId="700CD956" w:rsidR="000451DF" w:rsidRDefault="000451DF" w:rsidP="0047595D">
      <w:pPr>
        <w:pStyle w:val="ListParagraph"/>
        <w:numPr>
          <w:ilvl w:val="0"/>
          <w:numId w:val="15"/>
        </w:numPr>
        <w:spacing w:line="360" w:lineRule="auto"/>
        <w:jc w:val="both"/>
      </w:pPr>
      <w:r>
        <w:t xml:space="preserve">Performance history </w:t>
      </w:r>
      <w:r w:rsidR="002F6F7C">
        <w:t>–</w:t>
      </w:r>
      <w:r>
        <w:t xml:space="preserve"> </w:t>
      </w:r>
      <w:r w:rsidR="00780E4A">
        <w:t xml:space="preserve">Reputation, </w:t>
      </w:r>
      <w:r w:rsidR="009E56B1">
        <w:t>supplier feedback, experience in the relevant industry.</w:t>
      </w:r>
    </w:p>
    <w:p w14:paraId="26E7B195" w14:textId="36AA4269" w:rsidR="009E56B1" w:rsidRDefault="009E56B1" w:rsidP="0047595D">
      <w:pPr>
        <w:pStyle w:val="ListParagraph"/>
        <w:numPr>
          <w:ilvl w:val="0"/>
          <w:numId w:val="15"/>
        </w:numPr>
        <w:spacing w:line="360" w:lineRule="auto"/>
        <w:jc w:val="both"/>
      </w:pPr>
      <w:r>
        <w:t xml:space="preserve">Financial status </w:t>
      </w:r>
      <w:r w:rsidR="00893B2C">
        <w:t>–</w:t>
      </w:r>
      <w:r>
        <w:t xml:space="preserve"> </w:t>
      </w:r>
      <w:r w:rsidR="00893B2C">
        <w:t>Financial stability, payment terms and conditions</w:t>
      </w:r>
      <w:r w:rsidR="00956D98">
        <w:t xml:space="preserve"> and cash solvency.</w:t>
      </w:r>
    </w:p>
    <w:p w14:paraId="0DF83549" w14:textId="6DE3A87A" w:rsidR="00956D98" w:rsidRDefault="009D0DB1" w:rsidP="0047595D">
      <w:pPr>
        <w:pStyle w:val="ListParagraph"/>
        <w:numPr>
          <w:ilvl w:val="0"/>
          <w:numId w:val="15"/>
        </w:numPr>
        <w:spacing w:line="360" w:lineRule="auto"/>
        <w:jc w:val="both"/>
      </w:pPr>
      <w:r>
        <w:t xml:space="preserve">Innovation </w:t>
      </w:r>
      <w:r w:rsidR="00BE1020">
        <w:t>–</w:t>
      </w:r>
      <w:r>
        <w:t xml:space="preserve"> </w:t>
      </w:r>
      <w:r w:rsidR="00BE1020">
        <w:t>Money spent on research and development</w:t>
      </w:r>
      <w:r>
        <w:t xml:space="preserve"> </w:t>
      </w:r>
      <w:r w:rsidR="008F61D8">
        <w:t xml:space="preserve">activities </w:t>
      </w:r>
      <w:r w:rsidR="007A6C81">
        <w:t>can indicate</w:t>
      </w:r>
      <w:r w:rsidR="00C57E60">
        <w:t xml:space="preserve"> a strong technical ability.</w:t>
      </w:r>
    </w:p>
    <w:p w14:paraId="4A7C92E1" w14:textId="491C93C1" w:rsidR="00C57E60" w:rsidRDefault="00C57E60" w:rsidP="0047595D">
      <w:pPr>
        <w:pStyle w:val="ListParagraph"/>
        <w:numPr>
          <w:ilvl w:val="0"/>
          <w:numId w:val="15"/>
        </w:numPr>
        <w:spacing w:line="360" w:lineRule="auto"/>
        <w:jc w:val="both"/>
      </w:pPr>
      <w:r>
        <w:t xml:space="preserve">Environmental </w:t>
      </w:r>
      <w:r w:rsidR="00C04E9E">
        <w:t>–</w:t>
      </w:r>
      <w:r>
        <w:t xml:space="preserve"> </w:t>
      </w:r>
      <w:r w:rsidR="00C04E9E">
        <w:t>Drive for sustainabil</w:t>
      </w:r>
      <w:r w:rsidR="00EF446B">
        <w:t xml:space="preserve">ity, strong environmental </w:t>
      </w:r>
      <w:proofErr w:type="gramStart"/>
      <w:r w:rsidR="00EF446B">
        <w:t>control</w:t>
      </w:r>
      <w:proofErr w:type="gramEnd"/>
      <w:r w:rsidR="00EF446B">
        <w:t xml:space="preserve"> and programs. </w:t>
      </w:r>
    </w:p>
    <w:p w14:paraId="542727DB" w14:textId="03EE54A6" w:rsidR="001270E7" w:rsidRDefault="001270E7" w:rsidP="0047595D">
      <w:pPr>
        <w:pStyle w:val="ListParagraph"/>
        <w:numPr>
          <w:ilvl w:val="0"/>
          <w:numId w:val="15"/>
        </w:numPr>
        <w:spacing w:line="360" w:lineRule="auto"/>
        <w:jc w:val="both"/>
      </w:pPr>
      <w:r>
        <w:t xml:space="preserve">Safety – Safety record, </w:t>
      </w:r>
      <w:r w:rsidR="005262FC">
        <w:t xml:space="preserve">provides a safe and healthy work environment. </w:t>
      </w:r>
      <w:r w:rsidR="00706D59">
        <w:t xml:space="preserve">Safety is an important factor as accidents can have a significant </w:t>
      </w:r>
      <w:r w:rsidR="00BA4A3E">
        <w:t>financial social and environmental impact.</w:t>
      </w:r>
    </w:p>
    <w:p w14:paraId="3F79DFD7" w14:textId="64CFAF2B" w:rsidR="00BA4A3E" w:rsidRDefault="00BA4A3E" w:rsidP="00BA4A3E">
      <w:pPr>
        <w:spacing w:line="360" w:lineRule="auto"/>
        <w:ind w:left="360"/>
        <w:jc w:val="both"/>
      </w:pPr>
      <w:r>
        <w:fldChar w:fldCharType="begin"/>
      </w:r>
      <w:r w:rsidR="00460A5A">
        <w:instrText xml:space="preserve"> ADDIN ZOTERO_ITEM CSL_CITATION {"citationID":"bL1Lei3t","properties":{"formattedCitation":"(Chen 2011; de Boer 2017; Parkouhi and Ghadikolaei 2017; Lopes and Rodriguez-Lopez 2021)","plainCitation":"(Chen 2011; de Boer 2017; Parkouhi and Ghadikolaei 2017; Lopes and Rodriguez-Lopez 2021)","noteIndex":0},"citationItems":[{"id":1630,"uris":["http://zotero.org/users/local/AB2owHL2/items/UUYD5P9W"],"itemData":{"id":1630,"type":"article-journal","abstract":"Supply chain management (SCM) is one of the most important competitive strategies used by modern enterprises. The main aim of supply chain management is to integrate various suppliers to satisfy market demand. Meanwhile, supplier selection and evaluation plays an important role in establishing an effective supply chain. Traditional supplier selection and evaluation methods focus on the requirements of single enterprises, and fail to consider the entire supply chain. Therefore, this study proposes a structured methodology for supplier selection and evaluation based on the supply chain integration architecture. In developing the methodology for supplier selection and evaluation in a supply chain, enterprise competitive strategy is first identified using strengths weaknesses opportunities threats (SWOT) analysis. Based on the competitive strategy, the criteria and indicators of supplier selection are chosen to establish the supplier selection framework. Subsequently, potential suppliers are screened through data envelopment analysis (DEA). Technique for order preference by similarity to ideal solution (TOPSIS), a multi-attribute decision-making (MADA) method is adapted to rank potential suppliers. Finally, the Taiwanese textile industry is used to illustrate the application and feasibility of the proposed methodology. This study facilitates the improvement of collaborator relationships and the management of potential suppliers to help increase product development capability and quality, reduce product lifecycle time and cost, and thus increase product marketability.","container-title":"Information Sciences","DOI":"10.1016/j.ins.2010.07.026","ISSN":"0020-0255","issue":"9","journalAbbreviation":"Information Sciences","language":"en","page":"1651-1670","source":"ScienceDirect","title":"Structured methodology for supplier selection and evaluation in a supply chain","URL":"https://www.sciencedirect.com/science/article/pii/S0020025510003440","volume":"181","author":[{"family":"Chen","given":"Yuh-Jen"}],"accessed":{"date-parts":[["2022",4,10]]},"issued":{"date-parts":[["2011",5,1]]}},"label":"page"},{"id":1625,"uris":["http://zotero.org/users/local/AB2owHL2/items/3NB4EA3U"],"itemData":{"id":1625,"type":"article-journal","abstract":"Purpose\nThe purpose of this paper is to present three heuristics for choosing supplier selection criteria. By considering the balance between the expected relative effort and benefit of using different selection criteria, the heuristics suggest which criteria should be prioritized. The heuristics serve to develop our understanding of the search and evaluation heuristics used in supplier selection and to facilitate further research.\nDesign/methodology/approach\nThe research is primarily theoretical, yet draws on empirical studies of supplier selection. The theoretical basis is Simon's notion of procedural rationality (Simon, 1976). The author makes the general notion of procedural rationality more concrete for supplier selection by formally describing three heuristics for choosing selection criteria. The heuristics share the same logic but differ in terms of the precision of the input information required from the purchaser. The paper provides illustrations of the heuristics.\nFindings\nIt appears that procedural rationality can be specified for the process of designing the supplier selection process by explicitly recognizing the cost and value of selection criteria. There is no one way of doing this, but at the most basic level, it requires an ordinal ranking of criteria. Already such a rudimentary, qualitative, assessment can help identifying suitable criteria. The heuristics developed appear compatible with established approaches for the subsequent selection of suppliers.\nOriginality/value\nThe paper addresses the early stage of supplier selection which has been largely ignored in the literature.","container-title":"Management Decision","DOI":"http://dx.doi.org.ezproxy.uwtsd.ac.uk/10.1108/MD-08-2015-0373","ISSN":"00251747","issue":"1","language":"English","note":"number-of-pages: 25\npublisher-place: London, United Kingdom\npublisher: Emerald Group Publishing Limited","page":"32-56","source":"ProQuest","title":"Procedural rationality in supplier selection: Outlining three heuristics for choosing selection criteria","title-short":"Procedural rationality in supplier selection","URL":"http://www.proquest.com/docview/1858619849/abstract/79DC9638FC5B4842PQ/1","volume":"55","author":[{"family":"Boer","given":"Luitzen","non-dropping-particle":"de"}],"accessed":{"date-parts":[["2022",4,10]]},"issued":{"date-parts":[["2017"]]}},"label":"page"},{"id":1627,"uris":["http://zotero.org/users/local/AB2owHL2/items/4GQEPUHS"],"itemData":{"id":1627,"type":"article-journal","abstract":"The aim of supplier selection is to select appropriate suppliers corresponding with resilient capabilities of the company's supply chain. Since suppliers are essential sources of vulnerability, better supplier selection results in building resilience thereby reducing the risks in supply chain in general. Therefore, in this study, with the aim of supplier selection by resilience approach and with an extensive review of the literature, an initial conceptual model is proposed. Then, the model was localized using the opinions of experts in a large industrial unit in Wood and Paper Industry. Subsequently, the importance level of the elements effective in resilient supplier selection using Fuzzy Analytic Network Process was determined. Using these elements, the resiliency level of the suppliers of the company was specified through the grey VIKOR method. Based on the obtained results, variation in price, vulnerability, supplier's capacity limit, supplier's capability limit, visibility, supplier's raw material acquisition difficulties and on time delivery were respectively the most important sub-criteria in resilient supplier selection in this unit. Finally, the most resilient suppliers of the industrial unit of the study were identified.","container-title":"Journal of Cleaner Production","DOI":"10.1016/j.jclepro.2017.04.175","ISSN":"0959-6526","journalAbbreviation":"Journal of Cleaner Production","language":"en","page":"431-451","source":"ScienceDirect","title":"A resilience approach for supplier selection: Using Fuzzy Analytic Network Process and grey VIKOR techniques","title-short":"A resilience approach for supplier selection","URL":"https://www.sciencedirect.com/science/article/pii/S0959652617308740","volume":"161","author":[{"family":"Parkouhi","given":"Sahar Valipour"},{"family":"Ghadikolaei","given":"Abdolhamid Safaei"}],"accessed":{"date-parts":[["2022",4,10]]},"issued":{"date-parts":[["2017",9,10]]}},"label":"page"},{"id":1623,"uris":["http://zotero.org/users/local/AB2owHL2/items/564N2QZC"],"itemData":{"id":1623,"type":"article-journal","abstract":"The supplier selection process is considered one of the most relevant decisions in supply chain management due to its effect on the product quality and on buyer performance. Supplier selection is often unstructured, and is generally based on the lowest-price proposal. However, this type of selection involves a high risk, sometimes resulting in project delays, poor quality of acquired goods, and large financial losses. Price is undoubtedly an important criterion when choosing a supplier; however, other equally important criteria must be considered. Therefore, supplier selection should be formulated as a multi-criteria decision-making (MCDM) problem. This study uses the PROMETHEE-GAIA (Preference Ranking Organization Method for Enrichment of Evaluations—Geometrical Analysis for Interactive Assistance) method to classify and select suppliers in an agrifood company. One of the advantages of this method is that it allows decision-makers to set their preferences considering all the relevant criteria simultaneously, and their relative importance. The case study demonstrates that PROMETHEE constitutes a flexible MCDM tool for supplier evaluation and selection, rank the different alternatives, and provide valuable insights. The results show that the supplier selection process has a strong point related to the existence of two groups of suppliers, one focused on economic criteria and other related to the innovative capacity. However, a flaw emerges, as little relevance is associated to the environmental criterion.","container-title":"Sustainability","DOI":"http://dx.doi.org/10.3390/su132212387","issue":"22","language":"English","note":"number-of-pages: 12387\npublisher-place: Basel, Switzerland\npublisher: MDPI AG","page":"12387","source":"ProQuest","title":"A Decision Support Tool for Supplier Evaluation and Selection","URL":"https://www.proquest.com/docview/2602244901/abstract/7554B234107E45D6PQ/1","volume":"13","author":[{"family":"Lopes","given":"Ana Paula"},{"family":"Rodriguez-Lopez","given":"Nuria"}],"accessed":{"date-parts":[["2022",4,10]]},"issued":{"date-parts":[["2021"]]}},"label":"page"}],"schema":"https://github.com/citation-style-language/schema/raw/master/csl-citation.json"} </w:instrText>
      </w:r>
      <w:r>
        <w:fldChar w:fldCharType="separate"/>
      </w:r>
      <w:r w:rsidR="00460A5A" w:rsidRPr="00460A5A">
        <w:rPr>
          <w:rFonts w:ascii="Calibri" w:hAnsi="Calibri" w:cs="Calibri"/>
        </w:rPr>
        <w:t>(Chen 2011; de Boer 2017; Parkouhi and Ghadikolaei 2017; Lopes and Rodriguez-Lopez 2021)</w:t>
      </w:r>
      <w:r>
        <w:fldChar w:fldCharType="end"/>
      </w:r>
    </w:p>
    <w:p w14:paraId="3D4BB45D" w14:textId="52DB7776" w:rsidR="009443AA" w:rsidRDefault="007633A8" w:rsidP="00D52535">
      <w:pPr>
        <w:spacing w:line="360" w:lineRule="auto"/>
        <w:jc w:val="both"/>
      </w:pPr>
      <w:r>
        <w:t xml:space="preserve">The </w:t>
      </w:r>
      <w:r w:rsidR="00EC753F">
        <w:t xml:space="preserve">primary raw material used to make steel is iron ore and therefore </w:t>
      </w:r>
      <w:r w:rsidR="004246FC">
        <w:t xml:space="preserve">volatility in supply and price of this material </w:t>
      </w:r>
      <w:r w:rsidR="001F5BD7">
        <w:t xml:space="preserve">represents a significant risk </w:t>
      </w:r>
      <w:r w:rsidR="004A195D">
        <w:t>to</w:t>
      </w:r>
      <w:r w:rsidR="00416F7B">
        <w:t xml:space="preserve"> steel manufacturer</w:t>
      </w:r>
      <w:r w:rsidR="004A195D">
        <w:t>s.</w:t>
      </w:r>
      <w:r w:rsidR="00391F91">
        <w:t xml:space="preserve"> Despite being the </w:t>
      </w:r>
      <w:r w:rsidR="00602C49">
        <w:t xml:space="preserve">fourth most abundant element on the planet </w:t>
      </w:r>
      <w:r w:rsidR="008F50D5">
        <w:t xml:space="preserve">iron ore reserves are </w:t>
      </w:r>
      <w:r w:rsidR="00D433AC">
        <w:t xml:space="preserve">not widespread, they are concentrated relatively sparsely, the counties with the biggest reserves are: </w:t>
      </w:r>
    </w:p>
    <w:p w14:paraId="254F350A" w14:textId="50274143" w:rsidR="000E1543" w:rsidRDefault="00D859CF" w:rsidP="000E1543">
      <w:pPr>
        <w:pStyle w:val="ListParagraph"/>
        <w:numPr>
          <w:ilvl w:val="0"/>
          <w:numId w:val="17"/>
        </w:numPr>
        <w:spacing w:line="360" w:lineRule="auto"/>
        <w:jc w:val="both"/>
      </w:pPr>
      <w:r>
        <w:t xml:space="preserve">Australia – 48 </w:t>
      </w:r>
      <w:r w:rsidR="00B51353">
        <w:t>billion</w:t>
      </w:r>
      <w:r>
        <w:t xml:space="preserve"> tonnes</w:t>
      </w:r>
    </w:p>
    <w:p w14:paraId="5CBD4CC3" w14:textId="3F370877" w:rsidR="00D859CF" w:rsidRDefault="00D859CF" w:rsidP="000E1543">
      <w:pPr>
        <w:pStyle w:val="ListParagraph"/>
        <w:numPr>
          <w:ilvl w:val="0"/>
          <w:numId w:val="17"/>
        </w:numPr>
        <w:spacing w:line="360" w:lineRule="auto"/>
        <w:jc w:val="both"/>
      </w:pPr>
      <w:r>
        <w:t xml:space="preserve">Brazil – 29 </w:t>
      </w:r>
      <w:r w:rsidR="00B51353">
        <w:t>billion</w:t>
      </w:r>
      <w:r>
        <w:t xml:space="preserve"> tonnes</w:t>
      </w:r>
    </w:p>
    <w:p w14:paraId="2AF74EF8" w14:textId="5E3D261B" w:rsidR="00D859CF" w:rsidRDefault="00B66CEB" w:rsidP="000E1543">
      <w:pPr>
        <w:pStyle w:val="ListParagraph"/>
        <w:numPr>
          <w:ilvl w:val="0"/>
          <w:numId w:val="17"/>
        </w:numPr>
        <w:spacing w:line="360" w:lineRule="auto"/>
        <w:jc w:val="both"/>
      </w:pPr>
      <w:r>
        <w:t xml:space="preserve">Russia – 25 </w:t>
      </w:r>
      <w:r w:rsidR="00B51353">
        <w:t>billion</w:t>
      </w:r>
      <w:r>
        <w:t xml:space="preserve"> tonnes</w:t>
      </w:r>
    </w:p>
    <w:p w14:paraId="1CE89473" w14:textId="706BAC8F" w:rsidR="00B66CEB" w:rsidRDefault="00B66CEB" w:rsidP="000E1543">
      <w:pPr>
        <w:pStyle w:val="ListParagraph"/>
        <w:numPr>
          <w:ilvl w:val="0"/>
          <w:numId w:val="17"/>
        </w:numPr>
        <w:spacing w:line="360" w:lineRule="auto"/>
        <w:jc w:val="both"/>
      </w:pPr>
      <w:r>
        <w:t xml:space="preserve">China – 20 </w:t>
      </w:r>
      <w:r w:rsidR="00B51353">
        <w:t>billion</w:t>
      </w:r>
      <w:r>
        <w:t xml:space="preserve"> tonnes</w:t>
      </w:r>
    </w:p>
    <w:p w14:paraId="5AEAA8C7" w14:textId="3D7EF98E" w:rsidR="00B66CEB" w:rsidRDefault="00B51353" w:rsidP="000E1543">
      <w:pPr>
        <w:pStyle w:val="ListParagraph"/>
        <w:numPr>
          <w:ilvl w:val="0"/>
          <w:numId w:val="17"/>
        </w:numPr>
        <w:spacing w:line="360" w:lineRule="auto"/>
        <w:jc w:val="both"/>
      </w:pPr>
      <w:r>
        <w:t>Ukraine – 6.5 billion tonnes</w:t>
      </w:r>
    </w:p>
    <w:p w14:paraId="54B0681D" w14:textId="2E9FEE84" w:rsidR="00B51353" w:rsidRDefault="00B51353" w:rsidP="000E1543">
      <w:pPr>
        <w:pStyle w:val="ListParagraph"/>
        <w:numPr>
          <w:ilvl w:val="0"/>
          <w:numId w:val="17"/>
        </w:numPr>
        <w:spacing w:line="360" w:lineRule="auto"/>
        <w:jc w:val="both"/>
      </w:pPr>
      <w:r>
        <w:t>Canada – 6 billion tonnes</w:t>
      </w:r>
    </w:p>
    <w:p w14:paraId="0AD81F17" w14:textId="4048695F" w:rsidR="00B51353" w:rsidRDefault="00366251" w:rsidP="000E1543">
      <w:pPr>
        <w:pStyle w:val="ListParagraph"/>
        <w:numPr>
          <w:ilvl w:val="0"/>
          <w:numId w:val="17"/>
        </w:numPr>
        <w:spacing w:line="360" w:lineRule="auto"/>
        <w:jc w:val="both"/>
      </w:pPr>
      <w:r>
        <w:lastRenderedPageBreak/>
        <w:t>India – 5.5 billion tonnes</w:t>
      </w:r>
    </w:p>
    <w:p w14:paraId="0BB7AFC6" w14:textId="784E6169" w:rsidR="004C4386" w:rsidRDefault="00647259" w:rsidP="00366251">
      <w:pPr>
        <w:spacing w:line="360" w:lineRule="auto"/>
        <w:jc w:val="both"/>
      </w:pPr>
      <w:r>
        <w:fldChar w:fldCharType="begin"/>
      </w:r>
      <w:r w:rsidR="009A685A">
        <w:instrText xml:space="preserve"> ADDIN ZOTERO_ITEM CSL_CITATION {"citationID":"NZCvGUOu","properties":{"formattedCitation":"(\\uc0\\u8216{}Seven countries with the largest iron ore reserves in the world in 2019\\uc0\\u8217{}, no date)","plainCitation":"(‘Seven countries with the largest iron ore reserves in the world in 2019’, no date)","dontUpdate":true,"noteIndex":0},"citationItems":[{"id":1633,"uris":["http://zotero.org/users/local/AB2owHL2/items/P9T6WID7"],"itemData":{"id":1633,"type":"post-weblog","abstract":"From Australia and Brazil to Ukraine and India, just a handful of countries claim the biggest iron ore reserves to be found around the world.","language":"en-US","title":"Seven countries with the largest iron ore reserves in the world in 2019","URL":"https://www.nsenergybusiness.com/features/world-iron-ore-reserves-countries/","accessed":{"date-parts":[["2022",4,14]]}}}],"schema":"https://github.com/citation-style-language/schema/raw/master/csl-citation.json"} </w:instrText>
      </w:r>
      <w:r>
        <w:fldChar w:fldCharType="separate"/>
      </w:r>
      <w:r w:rsidRPr="00647259">
        <w:rPr>
          <w:rFonts w:ascii="Calibri" w:hAnsi="Calibri" w:cs="Calibri"/>
          <w:szCs w:val="24"/>
        </w:rPr>
        <w:t>(</w:t>
      </w:r>
      <w:r w:rsidR="00AD2297">
        <w:rPr>
          <w:rFonts w:ascii="Calibri" w:hAnsi="Calibri" w:cs="Calibri"/>
          <w:szCs w:val="24"/>
        </w:rPr>
        <w:t>NS Energy</w:t>
      </w:r>
      <w:r w:rsidRPr="00647259">
        <w:rPr>
          <w:rFonts w:ascii="Calibri" w:hAnsi="Calibri" w:cs="Calibri"/>
          <w:szCs w:val="24"/>
        </w:rPr>
        <w:t>, no date)</w:t>
      </w:r>
      <w:r>
        <w:fldChar w:fldCharType="end"/>
      </w:r>
      <w:r w:rsidR="00EB154F">
        <w:t xml:space="preserve"> </w:t>
      </w:r>
    </w:p>
    <w:p w14:paraId="210F1A27" w14:textId="24AF7BAE" w:rsidR="00366251" w:rsidRDefault="00A61253" w:rsidP="00366251">
      <w:pPr>
        <w:spacing w:line="360" w:lineRule="auto"/>
        <w:jc w:val="both"/>
      </w:pPr>
      <w:r>
        <w:t>Australia</w:t>
      </w:r>
      <w:r w:rsidR="00EB154F">
        <w:t xml:space="preserve"> and Brazil account for </w:t>
      </w:r>
      <w:r w:rsidR="00D17300">
        <w:t xml:space="preserve">approximately 70% of global production of iron ore with </w:t>
      </w:r>
      <w:r>
        <w:t>Australia providing 50% and Brazil making up the remaining 20%</w:t>
      </w:r>
      <w:r w:rsidR="00C80FCF">
        <w:t>.</w:t>
      </w:r>
      <w:r w:rsidR="001B15B3">
        <w:t xml:space="preserve"> Only iron ore of a </w:t>
      </w:r>
      <w:r w:rsidR="00047D17">
        <w:t>s</w:t>
      </w:r>
      <w:r w:rsidR="00844E04">
        <w:t xml:space="preserve">pecific </w:t>
      </w:r>
      <w:r w:rsidR="001B15B3">
        <w:t>grade is suitable for steel making</w:t>
      </w:r>
      <w:r w:rsidR="00EC5672">
        <w:t>,</w:t>
      </w:r>
      <w:r w:rsidR="001B15B3">
        <w:t xml:space="preserve"> approx. </w:t>
      </w:r>
      <w:r w:rsidR="00372B4C">
        <w:t>62% Fe concentration of the ore.</w:t>
      </w:r>
      <w:r w:rsidR="00C80FCF">
        <w:t xml:space="preserve"> </w:t>
      </w:r>
      <w:r w:rsidR="006F43FF">
        <w:t>Three companies dominate this market</w:t>
      </w:r>
      <w:r w:rsidR="00637325">
        <w:t xml:space="preserve">, </w:t>
      </w:r>
      <w:r w:rsidR="00365FB2">
        <w:t xml:space="preserve">the limited number of possible suppliers </w:t>
      </w:r>
      <w:r w:rsidR="001430B1">
        <w:t>put the steel manufacturers at a disadvantage during negotiation for contracts</w:t>
      </w:r>
      <w:r w:rsidR="00021F02">
        <w:t xml:space="preserve"> </w:t>
      </w:r>
      <w:r w:rsidR="00021F02">
        <w:fldChar w:fldCharType="begin"/>
      </w:r>
      <w:r w:rsidR="00BD44E7">
        <w:instrText xml:space="preserve"> ADDIN ZOTERO_ITEM CSL_CITATION {"citationID":"yG9hyrpM","properties":{"formattedCitation":"(Comtois and Slack 2016)","plainCitation":"(Comtois and Slack 2016)","noteIndex":0},"citationItems":[{"id":1549,"uris":["http://zotero.org/users/local/AB2owHL2/items/R6D9ACHG"],"itemData":{"id":1549,"type":"document","language":"en-US","publisher":"CIRRELT Interuniversity research centre  on enterprise Networks , Logistics and Transportations","title":"Steel markets","URL":"https://www.cirrelt.ca/documentstravail/cirrelt-2016-06.pdf","author":[{"family":"Comtois","given":"Claude"},{"family":"Slack","given":"Brian"}],"accessed":{"date-parts":[["2022",3,16]]},"issued":{"date-parts":[["2016"]]}}}],"schema":"https://github.com/citation-style-language/schema/raw/master/csl-citation.json"} </w:instrText>
      </w:r>
      <w:r w:rsidR="00021F02">
        <w:fldChar w:fldCharType="separate"/>
      </w:r>
      <w:r w:rsidR="00BD44E7" w:rsidRPr="00BD44E7">
        <w:rPr>
          <w:rFonts w:ascii="Calibri" w:hAnsi="Calibri" w:cs="Calibri"/>
        </w:rPr>
        <w:t>(Comtois and Slack 2016)</w:t>
      </w:r>
      <w:r w:rsidR="00021F02">
        <w:fldChar w:fldCharType="end"/>
      </w:r>
      <w:r w:rsidR="001430B1">
        <w:t xml:space="preserve">. </w:t>
      </w:r>
      <w:r w:rsidR="0079574C">
        <w:t xml:space="preserve">The large distances that need to be traversed </w:t>
      </w:r>
      <w:r w:rsidR="0063074B">
        <w:t xml:space="preserve">is also a considerable risk. </w:t>
      </w:r>
      <w:r w:rsidR="00110DF3">
        <w:t xml:space="preserve"> Steel and iron ore prices are closely linked and are </w:t>
      </w:r>
      <w:r w:rsidR="007D097A">
        <w:t>volatile</w:t>
      </w:r>
      <w:r w:rsidR="00BF7017">
        <w:t>,</w:t>
      </w:r>
      <w:r w:rsidR="00B96A8B">
        <w:t xml:space="preserve"> </w:t>
      </w:r>
      <w:r w:rsidR="00706944">
        <w:t xml:space="preserve">creating issues in </w:t>
      </w:r>
      <w:r w:rsidR="00F61D52">
        <w:t>iron ore</w:t>
      </w:r>
      <w:r w:rsidR="00706944">
        <w:t xml:space="preserve"> supply</w:t>
      </w:r>
      <w:r w:rsidR="007D097A">
        <w:t xml:space="preserve"> (see </w:t>
      </w:r>
      <w:r w:rsidR="009A685A">
        <w:t>f</w:t>
      </w:r>
      <w:r w:rsidR="007D097A">
        <w:t>igure</w:t>
      </w:r>
      <w:r w:rsidR="009A685A">
        <w:t xml:space="preserve"> 9</w:t>
      </w:r>
      <w:r w:rsidR="007D097A">
        <w:t xml:space="preserve"> </w:t>
      </w:r>
      <w:r w:rsidR="00F61D52">
        <w:t xml:space="preserve">for iron ore prices </w:t>
      </w:r>
      <w:r w:rsidR="006B21B8">
        <w:t>below</w:t>
      </w:r>
      <w:r w:rsidR="007D097A">
        <w:t>)</w:t>
      </w:r>
      <w:r w:rsidR="009A685A">
        <w:t>.</w:t>
      </w:r>
    </w:p>
    <w:p w14:paraId="6351EC7B" w14:textId="08CC7950" w:rsidR="006B21B8" w:rsidRDefault="006B21B8" w:rsidP="00366251">
      <w:pPr>
        <w:spacing w:line="360" w:lineRule="auto"/>
        <w:jc w:val="both"/>
      </w:pPr>
      <w:r w:rsidRPr="006B21B8">
        <w:rPr>
          <w:noProof/>
        </w:rPr>
        <w:drawing>
          <wp:inline distT="0" distB="0" distL="0" distR="0" wp14:anchorId="2756B2CD" wp14:editId="2230608A">
            <wp:extent cx="5731123" cy="2615979"/>
            <wp:effectExtent l="0" t="0" r="0" b="0"/>
            <wp:docPr id="12" name="Picture 12" descr="Chart, line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line chart, histogram&#10;&#10;Description automatically generated"/>
                    <pic:cNvPicPr/>
                  </pic:nvPicPr>
                  <pic:blipFill>
                    <a:blip r:embed="rId20"/>
                    <a:stretch>
                      <a:fillRect/>
                    </a:stretch>
                  </pic:blipFill>
                  <pic:spPr>
                    <a:xfrm>
                      <a:off x="0" y="0"/>
                      <a:ext cx="5742234" cy="2621051"/>
                    </a:xfrm>
                    <a:prstGeom prst="rect">
                      <a:avLst/>
                    </a:prstGeom>
                  </pic:spPr>
                </pic:pic>
              </a:graphicData>
            </a:graphic>
          </wp:inline>
        </w:drawing>
      </w:r>
    </w:p>
    <w:p w14:paraId="357CD2FD" w14:textId="0CCEFB71" w:rsidR="00366251" w:rsidRDefault="006B21B8" w:rsidP="006B21B8">
      <w:pPr>
        <w:pStyle w:val="Caption"/>
      </w:pPr>
      <w:bookmarkStart w:id="33" w:name="_Toc101294478"/>
      <w:r>
        <w:t xml:space="preserve">Figure </w:t>
      </w:r>
      <w:r w:rsidR="00416930">
        <w:fldChar w:fldCharType="begin"/>
      </w:r>
      <w:r w:rsidR="00416930">
        <w:instrText xml:space="preserve"> SEQ Figure \* ARABIC </w:instrText>
      </w:r>
      <w:r w:rsidR="00416930">
        <w:fldChar w:fldCharType="separate"/>
      </w:r>
      <w:r w:rsidR="00555FD6">
        <w:rPr>
          <w:noProof/>
        </w:rPr>
        <w:t>9</w:t>
      </w:r>
      <w:r w:rsidR="00416930">
        <w:rPr>
          <w:noProof/>
        </w:rPr>
        <w:fldChar w:fldCharType="end"/>
      </w:r>
      <w:r>
        <w:t xml:space="preserve"> </w:t>
      </w:r>
      <w:r w:rsidRPr="00FE4788">
        <w:t>Iron Ore Monthly Price in US Dollars per Dry Metric Ton</w:t>
      </w:r>
      <w:r>
        <w:t xml:space="preserve"> </w:t>
      </w:r>
      <w:r w:rsidR="00B20048">
        <w:fldChar w:fldCharType="begin"/>
      </w:r>
      <w:r w:rsidR="009A685A">
        <w:instrText xml:space="preserve"> ADDIN ZOTERO_ITEM CSL_CITATION {"citationID":"RoQcMvrU","properties":{"formattedCitation":"(\\uc0\\u8216{}Iron ore\\uc0\\u8217{}, no date)","plainCitation":"(‘Iron ore’, no date)","dontUpdate":true,"noteIndex":0},"citationItems":[{"id":1634,"uris":["http://zotero.org/users/local/AB2owHL2/items/8K34Q5UF"],"itemData":{"id":1634,"type":"post-weblog","abstract":"Iron ore monthly price, list and map of the major producer countries of iron ore, map of the major deposits ...","container-title":"World in maps","language":"en-US","title":"Iron ore","URL":"https://worldinmaps.com/commodities/iron-ore/","accessed":{"date-parts":[["2022",4,14]]},"issued":{"date-parts":[["2022"]]}}}],"schema":"https://github.com/citation-style-language/schema/raw/master/csl-citation.json"} </w:instrText>
      </w:r>
      <w:r w:rsidR="00B20048">
        <w:fldChar w:fldCharType="separate"/>
      </w:r>
      <w:r w:rsidR="00B20048" w:rsidRPr="00B20048">
        <w:rPr>
          <w:rFonts w:ascii="Calibri" w:hAnsi="Calibri" w:cs="Calibri"/>
          <w:szCs w:val="24"/>
        </w:rPr>
        <w:t>(</w:t>
      </w:r>
      <w:r w:rsidR="00B20048">
        <w:rPr>
          <w:rFonts w:ascii="Calibri" w:hAnsi="Calibri" w:cs="Calibri"/>
          <w:szCs w:val="24"/>
        </w:rPr>
        <w:t>World in Maps</w:t>
      </w:r>
      <w:r w:rsidR="00B20048" w:rsidRPr="00B20048">
        <w:rPr>
          <w:rFonts w:ascii="Calibri" w:hAnsi="Calibri" w:cs="Calibri"/>
          <w:szCs w:val="24"/>
        </w:rPr>
        <w:t xml:space="preserve">, </w:t>
      </w:r>
      <w:r w:rsidR="00D80CC9">
        <w:rPr>
          <w:rFonts w:ascii="Calibri" w:hAnsi="Calibri" w:cs="Calibri"/>
          <w:szCs w:val="24"/>
        </w:rPr>
        <w:t>2022</w:t>
      </w:r>
      <w:r w:rsidR="00B20048" w:rsidRPr="00B20048">
        <w:rPr>
          <w:rFonts w:ascii="Calibri" w:hAnsi="Calibri" w:cs="Calibri"/>
          <w:szCs w:val="24"/>
        </w:rPr>
        <w:t>)</w:t>
      </w:r>
      <w:bookmarkEnd w:id="33"/>
      <w:r w:rsidR="00B20048">
        <w:fldChar w:fldCharType="end"/>
      </w:r>
    </w:p>
    <w:p w14:paraId="59ED8C8A" w14:textId="19F8B800" w:rsidR="00366251" w:rsidRDefault="00483E3C" w:rsidP="00366251">
      <w:pPr>
        <w:spacing w:line="360" w:lineRule="auto"/>
        <w:jc w:val="both"/>
      </w:pPr>
      <w:r>
        <w:t xml:space="preserve">China </w:t>
      </w:r>
      <w:r w:rsidR="00DB65D2">
        <w:t xml:space="preserve">imports 60% of the </w:t>
      </w:r>
      <w:r w:rsidR="009A64AF">
        <w:t>world’s</w:t>
      </w:r>
      <w:r w:rsidR="00DB65D2">
        <w:t xml:space="preserve"> total iron ore supply </w:t>
      </w:r>
      <w:r w:rsidR="00682C1B">
        <w:t xml:space="preserve">and so the fluctuation in prices can </w:t>
      </w:r>
      <w:r w:rsidR="00D95711">
        <w:t>depend on the level of steel production in China</w:t>
      </w:r>
      <w:r w:rsidR="00AB4261">
        <w:t xml:space="preserve"> </w:t>
      </w:r>
      <w:r w:rsidR="00AB4261">
        <w:fldChar w:fldCharType="begin"/>
      </w:r>
      <w:r w:rsidR="00BD44E7">
        <w:instrText xml:space="preserve"> ADDIN ZOTERO_ITEM CSL_CITATION {"citationID":"EnRjymKC","properties":{"formattedCitation":"(Ma 2021)","plainCitation":"(Ma 2021)","noteIndex":0},"citationItems":[{"id":1574,"uris":["http://zotero.org/users/local/AB2owHL2/items/6AIX5EC6"],"itemData":{"id":1574,"type":"article-journal","abstract":"We examine the sensitivity of China's steel price movements to iron ore, scrap steel, carbon emission allowance, and seaborne transportation prices over the period 2010–2020. More specifically, the price spillover, the dependence structure, and the spillover risk between iron ore, scrap steel, carbon emission allowance, seaborne transportation, and China's steel prices are analyzed in a multivariate framework, vine copula, and conditional risk setup. Our results demonstrate that before and after the implementation of China's policy to cut overcapacity in steelmaking, China's steel prices are mainly subject to iron ore prices. Our results have potential implications for policymakers to exploit market incentives to regulate steelmakers' investments and capacity in steelmaking.","container-title":"Resources Policy","DOI":"10.1016/j.resourpol.2021.102115","ISSN":"0301-4207","journalAbbreviation":"Resources Policy","language":"en","page":"102115","source":"ScienceDirect","title":"Do iron ore, scrap steel, carbon emission allowance, and seaborne transportation prices drive steel price fluctuations?","URL":"https://www.sciencedirect.com/science/article/pii/S030142072100129X","volume":"72","author":[{"family":"Ma","given":"Yiqun"}],"accessed":{"date-parts":[["2022",3,22]]},"issued":{"date-parts":[["2021",8,1]]}}}],"schema":"https://github.com/citation-style-language/schema/raw/master/csl-citation.json"} </w:instrText>
      </w:r>
      <w:r w:rsidR="00AB4261">
        <w:fldChar w:fldCharType="separate"/>
      </w:r>
      <w:r w:rsidR="00BD44E7" w:rsidRPr="00BD44E7">
        <w:rPr>
          <w:rFonts w:ascii="Calibri" w:hAnsi="Calibri" w:cs="Calibri"/>
        </w:rPr>
        <w:t>(Ma 2021)</w:t>
      </w:r>
      <w:r w:rsidR="00AB4261">
        <w:fldChar w:fldCharType="end"/>
      </w:r>
      <w:r w:rsidR="0053066C">
        <w:t xml:space="preserve">. </w:t>
      </w:r>
      <w:r w:rsidR="009330A7">
        <w:t xml:space="preserve">Western European </w:t>
      </w:r>
      <w:r w:rsidR="009776F4">
        <w:t xml:space="preserve">and northern American </w:t>
      </w:r>
      <w:r w:rsidR="00C5126B">
        <w:t>can also be disadvantaged by cost of wages</w:t>
      </w:r>
      <w:r w:rsidR="00FA2806">
        <w:t>, over regulation, tax burde</w:t>
      </w:r>
      <w:r w:rsidR="002741F5">
        <w:t xml:space="preserve">ns and energy costs </w:t>
      </w:r>
      <w:r w:rsidR="00C5126B">
        <w:t>when compared to steel manufacturers in developing companies</w:t>
      </w:r>
      <w:r w:rsidR="00E35EE2">
        <w:t>.</w:t>
      </w:r>
    </w:p>
    <w:p w14:paraId="525B848E" w14:textId="7C0CF04D" w:rsidR="003458C9" w:rsidRDefault="00C86DF9" w:rsidP="00366251">
      <w:pPr>
        <w:spacing w:line="360" w:lineRule="auto"/>
        <w:jc w:val="both"/>
      </w:pPr>
      <w:r>
        <w:fldChar w:fldCharType="begin"/>
      </w:r>
      <w:r w:rsidR="00BD44E7">
        <w:instrText xml:space="preserve"> ADDIN ZOTERO_ITEM CSL_CITATION {"citationID":"LAMO1lXn","properties":{"formattedCitation":"(Pinto and Diemer 2020)","plainCitation":"(Pinto and Diemer 2020)","noteIndex":0},"citationItems":[{"id":1436,"uris":["http://zotero.org/users/local/AB2owHL2/items/AN48MPVF"],"itemData":{"id":1436,"type":"article-journal","abstract":"As the environmental mindset became increasingly present in the steel industry, so did the concerns with the developments of its market. In an attempt to address both sides of this challenge, this article aimed at identifying how the implementation of different Supply Chain Integration strategies oriented towards raw material self-sufficiency and resource ownership retention could affect circularity. The European steel industry was used as case study and the effects of closing material loops via Supply Chain Integration were tested by running simulations on an integrated Life Cycle Assessment and System Dynamics model. The results brought to light that different approaches can be environmentally and strategically promising, as well as able to drive improvements in raw material self-sufficiency and in resource ownership retention. Noteworthy were the adoption of vertical hedging strategies on the supply side, and of horizontal hedging strategies on end-of-life for either recycling, refurbishing or repair and maintenance services.","container-title":"Resources, Conservation and Recycling","DOI":"10.1016/j.resconrec.2019.104517","ISSN":"0921-3449","journalAbbreviation":"Resources, Conservation and Recycling","language":"en","page":"104517","source":"ScienceDirect","title":"Supply chain integration strategies and circularity in the European steel industry","URL":"https://www.sciencedirect.com/science/article/pii/S0921344919304239","volume":"153","author":[{"family":"Pinto","given":"Julian T. M."},{"family":"Diemer","given":"Arnaud"}],"accessed":{"date-parts":[["2022",1,27]]},"issued":{"date-parts":[["2020",2,1]]}}}],"schema":"https://github.com/citation-style-language/schema/raw/master/csl-citation.json"} </w:instrText>
      </w:r>
      <w:r>
        <w:fldChar w:fldCharType="separate"/>
      </w:r>
      <w:r w:rsidR="00BD44E7" w:rsidRPr="00BD44E7">
        <w:rPr>
          <w:rFonts w:ascii="Calibri" w:hAnsi="Calibri" w:cs="Calibri"/>
        </w:rPr>
        <w:t xml:space="preserve">Pinto and Diemer </w:t>
      </w:r>
      <w:r w:rsidR="003E5797">
        <w:rPr>
          <w:rFonts w:ascii="Calibri" w:hAnsi="Calibri" w:cs="Calibri"/>
        </w:rPr>
        <w:t>(</w:t>
      </w:r>
      <w:r w:rsidR="00BD44E7" w:rsidRPr="00BD44E7">
        <w:rPr>
          <w:rFonts w:ascii="Calibri" w:hAnsi="Calibri" w:cs="Calibri"/>
        </w:rPr>
        <w:t>2020)</w:t>
      </w:r>
      <w:r>
        <w:fldChar w:fldCharType="end"/>
      </w:r>
      <w:r>
        <w:t xml:space="preserve"> </w:t>
      </w:r>
      <w:r w:rsidR="00AD377B">
        <w:t>examine</w:t>
      </w:r>
      <w:r>
        <w:t xml:space="preserve"> </w:t>
      </w:r>
      <w:r w:rsidR="00AD377B">
        <w:t>o</w:t>
      </w:r>
      <w:r w:rsidR="003458C9">
        <w:t xml:space="preserve">ne </w:t>
      </w:r>
      <w:r w:rsidR="00D62FBD">
        <w:t xml:space="preserve">strategy that is increasing used by steel manufacturers to protect themselves from such </w:t>
      </w:r>
      <w:r w:rsidR="008747DD">
        <w:t>volatility and risk</w:t>
      </w:r>
      <w:r w:rsidR="002741F5">
        <w:t>,</w:t>
      </w:r>
      <w:r w:rsidR="00EC3C7C">
        <w:t xml:space="preserve"> supply chain integration (SCI)</w:t>
      </w:r>
      <w:r w:rsidR="00CD0D47">
        <w:t xml:space="preserve">, steel manufacturers are looking at </w:t>
      </w:r>
      <w:r w:rsidR="00B2008E">
        <w:t>becoming more</w:t>
      </w:r>
      <w:r w:rsidR="00D755EF">
        <w:t xml:space="preserve"> </w:t>
      </w:r>
      <w:r w:rsidR="00B2008E">
        <w:t xml:space="preserve">raw material </w:t>
      </w:r>
      <w:r w:rsidR="002639A9">
        <w:t>self-sufficient</w:t>
      </w:r>
      <w:r w:rsidR="00D96BAE">
        <w:t xml:space="preserve"> </w:t>
      </w:r>
      <w:r w:rsidR="005E696C">
        <w:t xml:space="preserve">and </w:t>
      </w:r>
      <w:r w:rsidR="001A367B">
        <w:t>increase resource ownership</w:t>
      </w:r>
      <w:r w:rsidR="00D96BAE">
        <w:t>.</w:t>
      </w:r>
      <w:r w:rsidR="00D755EF">
        <w:t xml:space="preserve"> </w:t>
      </w:r>
      <w:r w:rsidR="009C4031">
        <w:t xml:space="preserve">SCI </w:t>
      </w:r>
      <w:r w:rsidR="007B42B7">
        <w:t xml:space="preserve">is the </w:t>
      </w:r>
      <w:r w:rsidR="00853586">
        <w:t xml:space="preserve">intention to collaborate with customers and suppliers </w:t>
      </w:r>
      <w:r w:rsidR="00301155">
        <w:t xml:space="preserve">with the aim of optimising </w:t>
      </w:r>
      <w:r w:rsidR="005505F1">
        <w:t xml:space="preserve">the collective performance in the creation, </w:t>
      </w:r>
      <w:r w:rsidR="002639A9">
        <w:t>distribution,</w:t>
      </w:r>
      <w:r w:rsidR="005505F1">
        <w:t xml:space="preserve"> and support of </w:t>
      </w:r>
      <w:proofErr w:type="gramStart"/>
      <w:r w:rsidR="005505F1">
        <w:t>an end product</w:t>
      </w:r>
      <w:proofErr w:type="gramEnd"/>
      <w:r w:rsidR="00D30D8A">
        <w:t>.</w:t>
      </w:r>
      <w:r w:rsidR="00D5696B">
        <w:t xml:space="preserve"> There are three </w:t>
      </w:r>
      <w:r w:rsidR="00BE2E33">
        <w:t>options used in SCI:</w:t>
      </w:r>
    </w:p>
    <w:p w14:paraId="12151DB0" w14:textId="333E3007" w:rsidR="00BE2E33" w:rsidRPr="00884A15" w:rsidRDefault="00BE2E33" w:rsidP="00BE2E33">
      <w:pPr>
        <w:pStyle w:val="ListParagraph"/>
        <w:numPr>
          <w:ilvl w:val="0"/>
          <w:numId w:val="18"/>
        </w:numPr>
        <w:spacing w:line="360" w:lineRule="auto"/>
        <w:jc w:val="both"/>
        <w:rPr>
          <w:b/>
          <w:bCs/>
        </w:rPr>
      </w:pPr>
      <w:r w:rsidRPr="00BE2E33">
        <w:rPr>
          <w:b/>
          <w:bCs/>
        </w:rPr>
        <w:lastRenderedPageBreak/>
        <w:t>Horizontal integration</w:t>
      </w:r>
      <w:r>
        <w:rPr>
          <w:b/>
          <w:bCs/>
        </w:rPr>
        <w:t xml:space="preserve"> </w:t>
      </w:r>
      <w:r w:rsidR="002F4AA0">
        <w:rPr>
          <w:b/>
          <w:bCs/>
        </w:rPr>
        <w:t>–</w:t>
      </w:r>
      <w:r>
        <w:rPr>
          <w:b/>
          <w:bCs/>
        </w:rPr>
        <w:t xml:space="preserve"> </w:t>
      </w:r>
      <w:r w:rsidR="002F4AA0">
        <w:t>Information, strategies and decisions</w:t>
      </w:r>
      <w:r w:rsidR="000B2711">
        <w:t xml:space="preserve"> are shared but ownership and management of </w:t>
      </w:r>
      <w:r w:rsidR="00742CBB">
        <w:t>all the companies</w:t>
      </w:r>
      <w:r w:rsidR="00884A15">
        <w:t xml:space="preserve"> involved</w:t>
      </w:r>
      <w:r w:rsidR="00742CBB">
        <w:t xml:space="preserve"> remain </w:t>
      </w:r>
      <w:r w:rsidR="00884A15">
        <w:t>independent.</w:t>
      </w:r>
    </w:p>
    <w:p w14:paraId="74871FA9" w14:textId="0A3B8220" w:rsidR="00884A15" w:rsidRPr="001D2C5B" w:rsidRDefault="00884A15" w:rsidP="00BE2E33">
      <w:pPr>
        <w:pStyle w:val="ListParagraph"/>
        <w:numPr>
          <w:ilvl w:val="0"/>
          <w:numId w:val="18"/>
        </w:numPr>
        <w:spacing w:line="360" w:lineRule="auto"/>
        <w:jc w:val="both"/>
        <w:rPr>
          <w:b/>
          <w:bCs/>
        </w:rPr>
      </w:pPr>
      <w:r>
        <w:rPr>
          <w:b/>
          <w:bCs/>
        </w:rPr>
        <w:t xml:space="preserve">Vertical integration </w:t>
      </w:r>
      <w:r w:rsidR="00844E7F">
        <w:rPr>
          <w:b/>
          <w:bCs/>
        </w:rPr>
        <w:t xml:space="preserve">– </w:t>
      </w:r>
      <w:r w:rsidR="00844E7F">
        <w:t>Ownership and management</w:t>
      </w:r>
      <w:r w:rsidR="00305DF1">
        <w:t xml:space="preserve"> are shared by means of acquisitions and mergers</w:t>
      </w:r>
      <w:r w:rsidR="001D2C5B">
        <w:t xml:space="preserve"> etc.</w:t>
      </w:r>
    </w:p>
    <w:p w14:paraId="16AFA75D" w14:textId="329F3881" w:rsidR="000A7AF3" w:rsidRPr="00A16986" w:rsidRDefault="001D2C5B" w:rsidP="000A7AF3">
      <w:pPr>
        <w:pStyle w:val="ListParagraph"/>
        <w:numPr>
          <w:ilvl w:val="0"/>
          <w:numId w:val="18"/>
        </w:numPr>
        <w:spacing w:line="360" w:lineRule="auto"/>
        <w:jc w:val="both"/>
        <w:rPr>
          <w:b/>
          <w:bCs/>
        </w:rPr>
      </w:pPr>
      <w:r>
        <w:rPr>
          <w:b/>
          <w:bCs/>
        </w:rPr>
        <w:t xml:space="preserve">Hedging – </w:t>
      </w:r>
      <w:r>
        <w:t>Can occur vertically or horizontally</w:t>
      </w:r>
      <w:r w:rsidR="00B923D0">
        <w:t xml:space="preserve">, responds to market variation </w:t>
      </w:r>
      <w:r w:rsidR="00E222EA">
        <w:t xml:space="preserve">by </w:t>
      </w:r>
      <w:r w:rsidR="00957F3D">
        <w:t>increasing or lowering activity across different areas of the supply chain</w:t>
      </w:r>
      <w:r w:rsidR="008C4EB4">
        <w:t>.</w:t>
      </w:r>
    </w:p>
    <w:p w14:paraId="3982E71D" w14:textId="1268648D" w:rsidR="000A7AF3" w:rsidRDefault="00533A0F" w:rsidP="000A7AF3">
      <w:pPr>
        <w:spacing w:line="360" w:lineRule="auto"/>
        <w:jc w:val="both"/>
        <w:rPr>
          <w:b/>
          <w:bCs/>
        </w:rPr>
      </w:pPr>
      <w:r w:rsidRPr="00533A0F">
        <w:rPr>
          <w:b/>
          <w:bCs/>
          <w:noProof/>
        </w:rPr>
        <w:drawing>
          <wp:inline distT="0" distB="0" distL="0" distR="0" wp14:anchorId="49E64060" wp14:editId="4B123FEB">
            <wp:extent cx="5726219" cy="2282024"/>
            <wp:effectExtent l="0" t="0" r="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21"/>
                    <a:stretch>
                      <a:fillRect/>
                    </a:stretch>
                  </pic:blipFill>
                  <pic:spPr>
                    <a:xfrm>
                      <a:off x="0" y="0"/>
                      <a:ext cx="5814004" cy="2317008"/>
                    </a:xfrm>
                    <a:prstGeom prst="rect">
                      <a:avLst/>
                    </a:prstGeom>
                  </pic:spPr>
                </pic:pic>
              </a:graphicData>
            </a:graphic>
          </wp:inline>
        </w:drawing>
      </w:r>
    </w:p>
    <w:p w14:paraId="1C3FF489" w14:textId="7DF2A4EE" w:rsidR="00533A0F" w:rsidRPr="000A7AF3" w:rsidRDefault="00533A0F" w:rsidP="00533A0F">
      <w:pPr>
        <w:pStyle w:val="Caption"/>
        <w:rPr>
          <w:b/>
          <w:bCs/>
        </w:rPr>
      </w:pPr>
      <w:bookmarkStart w:id="34" w:name="_Toc101294479"/>
      <w:r>
        <w:t xml:space="preserve">Figure </w:t>
      </w:r>
      <w:fldSimple w:instr=" SEQ Figure \* ARABIC ">
        <w:r w:rsidR="00555FD6">
          <w:rPr>
            <w:noProof/>
          </w:rPr>
          <w:t>10</w:t>
        </w:r>
      </w:fldSimple>
      <w:r>
        <w:t xml:space="preserve"> Examples of supply chain integration in steel supply chains</w:t>
      </w:r>
      <w:bookmarkEnd w:id="34"/>
    </w:p>
    <w:p w14:paraId="0F24F0E5" w14:textId="2677284E" w:rsidR="00D81153" w:rsidRDefault="00017979" w:rsidP="00D81153">
      <w:pPr>
        <w:spacing w:line="360" w:lineRule="auto"/>
        <w:jc w:val="both"/>
      </w:pPr>
      <w:r>
        <w:t>Eu</w:t>
      </w:r>
      <w:r w:rsidR="00E507EA">
        <w:t xml:space="preserve">ropean steelmakers </w:t>
      </w:r>
      <w:r w:rsidR="00083E8C">
        <w:t xml:space="preserve">mostly look to vertically integrate </w:t>
      </w:r>
      <w:r w:rsidR="00D70308">
        <w:t>suppliers,</w:t>
      </w:r>
      <w:r w:rsidR="00083E8C">
        <w:t xml:space="preserve"> </w:t>
      </w:r>
      <w:r w:rsidR="00FB3F70">
        <w:t>but</w:t>
      </w:r>
      <w:r w:rsidR="003241D0">
        <w:t xml:space="preserve"> many also try to use horizontal </w:t>
      </w:r>
      <w:r w:rsidR="00366688">
        <w:t>integration</w:t>
      </w:r>
      <w:r w:rsidR="003241D0">
        <w:t xml:space="preserve"> with the customer </w:t>
      </w:r>
      <w:r w:rsidR="00366688">
        <w:t xml:space="preserve">especially when it comes to supplying goods to the automotive </w:t>
      </w:r>
      <w:r w:rsidR="007F03D8">
        <w:t>industry.</w:t>
      </w:r>
      <w:r w:rsidR="00B011D2">
        <w:t xml:space="preserve"> They use hedging mostly vertically </w:t>
      </w:r>
      <w:r w:rsidR="00AF36DE">
        <w:t xml:space="preserve">on the supplier side, European </w:t>
      </w:r>
      <w:r w:rsidR="0049096B">
        <w:t>steel manufacturers c</w:t>
      </w:r>
      <w:r w:rsidR="00212137">
        <w:t>ompensate for ore pr</w:t>
      </w:r>
      <w:r w:rsidR="00AC1288">
        <w:t xml:space="preserve">ice and geopolitical volatility by </w:t>
      </w:r>
      <w:r w:rsidR="002353DE">
        <w:t>controlling different operations abroad</w:t>
      </w:r>
      <w:r w:rsidR="002B7B10">
        <w:t xml:space="preserve">, figure 10 </w:t>
      </w:r>
      <w:r w:rsidR="00FA500F">
        <w:t xml:space="preserve">reveals the </w:t>
      </w:r>
      <w:r w:rsidR="00901125">
        <w:t xml:space="preserve">different integration approaches used by different steelmakers in their </w:t>
      </w:r>
      <w:r w:rsidR="00806D0E">
        <w:t>SC’s</w:t>
      </w:r>
      <w:r w:rsidR="002353DE">
        <w:t>.</w:t>
      </w:r>
      <w:r w:rsidR="00CA3676">
        <w:t xml:space="preserve"> </w:t>
      </w:r>
    </w:p>
    <w:p w14:paraId="79076DBC" w14:textId="6DCA62D7" w:rsidR="0056796E" w:rsidRDefault="00130398" w:rsidP="00366251">
      <w:pPr>
        <w:spacing w:line="360" w:lineRule="auto"/>
        <w:jc w:val="both"/>
      </w:pPr>
      <w:r>
        <w:t xml:space="preserve">For example </w:t>
      </w:r>
      <w:r w:rsidR="00C9797E">
        <w:fldChar w:fldCharType="begin"/>
      </w:r>
      <w:r w:rsidR="00BD44E7">
        <w:instrText xml:space="preserve"> ADDIN ZOTERO_ITEM CSL_CITATION {"citationID":"JTs4xE8G","properties":{"formattedCitation":"(This Week 2021)","plainCitation":"(This Week 2021)","noteIndex":0},"citationItems":[{"id":1641,"uris":["http://zotero.org/users/local/AB2owHL2/items/TGVDQ7FV"],"itemData":{"id":1641,"type":"webpage","abstract":"Tata Steel has a current iron ore output of 30 MTPA","container-title":"The Week","language":"en","title":"Tata Steel to boost iron ore production to 45 million tonnes per annum in 5 yrs","URL":"https://www.theweek.in/news/biz-tech/2021/11/28/tata-steel-to-boost-iron-ore-production-to-45-million-tonnes-per-annum-in-5-yrs.html","author":[{"family":"This Week","given":""}],"accessed":{"date-parts":[["2022",4,17]]},"issued":{"date-parts":[["2021"]]}}}],"schema":"https://github.com/citation-style-language/schema/raw/master/csl-citation.json"} </w:instrText>
      </w:r>
      <w:r w:rsidR="00C9797E">
        <w:fldChar w:fldCharType="separate"/>
      </w:r>
      <w:r w:rsidR="00BD44E7" w:rsidRPr="00BD44E7">
        <w:rPr>
          <w:rFonts w:ascii="Calibri" w:hAnsi="Calibri" w:cs="Calibri"/>
        </w:rPr>
        <w:t>(This Week 2021)</w:t>
      </w:r>
      <w:r w:rsidR="00C9797E">
        <w:fldChar w:fldCharType="end"/>
      </w:r>
      <w:r w:rsidR="00C9797E">
        <w:t xml:space="preserve"> reports that Tata steel </w:t>
      </w:r>
      <w:r w:rsidR="00EC2B18">
        <w:t xml:space="preserve">plans </w:t>
      </w:r>
      <w:r w:rsidR="009309FB">
        <w:t>to</w:t>
      </w:r>
      <w:r w:rsidR="00EC2B18">
        <w:t xml:space="preserve"> boost iron ore production</w:t>
      </w:r>
      <w:r w:rsidR="009005A1">
        <w:t xml:space="preserve"> from 30</w:t>
      </w:r>
      <w:r w:rsidR="00EC2B18">
        <w:t xml:space="preserve"> to 45 million tonnes over the next 5 years.</w:t>
      </w:r>
    </w:p>
    <w:p w14:paraId="2D451914" w14:textId="0E2CF71E" w:rsidR="002B7B10" w:rsidRDefault="00121E2B" w:rsidP="00366251">
      <w:pPr>
        <w:spacing w:line="360" w:lineRule="auto"/>
        <w:jc w:val="both"/>
      </w:pPr>
      <w:r>
        <w:t>There are considerable risks to this strategy however</w:t>
      </w:r>
      <w:r w:rsidR="00FD6CB4">
        <w:t>, competing with mining companies can lead to overpaying for scarce resources</w:t>
      </w:r>
      <w:r w:rsidR="00AA33AB">
        <w:t>, lack of operational experiences of mining</w:t>
      </w:r>
      <w:r w:rsidR="00A73CB2">
        <w:t xml:space="preserve"> business and large investment required</w:t>
      </w:r>
      <w:r w:rsidR="00F93F88">
        <w:t xml:space="preserve">. A report from </w:t>
      </w:r>
      <w:r w:rsidR="00F93F88">
        <w:fldChar w:fldCharType="begin"/>
      </w:r>
      <w:r w:rsidR="00BD44E7">
        <w:instrText xml:space="preserve"> ADDIN ZOTERO_ITEM CSL_CITATION {"citationID":"gsyWdIhV","properties":{"formattedCitation":"(Global Steel 2014)","plainCitation":"(Global Steel 2014)","noteIndex":0},"citationItems":[{"id":1639,"uris":["http://zotero.org/users/local/AB2owHL2/items/GZQL85TN"],"itemData":{"id":1639,"type":"document","abstract":"Preview planning-to-pro-t-from-opportunity-preparing-for.pdf - Global steel 2014 Planning to proﬁ t from opportunity: preparing for future demand","language":"en-US","publisher":"Ernst &amp; Young","title":"Planning to proﬁ t from opportunity: preparing for … preview / planning-to-pro-t-from-opportunity-preparing-for.pdf / PDF4PRO","title-short":"Planning to proﬁ t from opportunity","URL":"https://pdf4pro.com/amp/fullscreen/planning-to-pro-t-from-opportunity-preparing-for-3cb05.html","author":[{"family":"Global Steel","given":""}],"accessed":{"date-parts":[["2022",4,17]]},"issued":{"date-parts":[["2014"]]}}}],"schema":"https://github.com/citation-style-language/schema/raw/master/csl-citation.json"} </w:instrText>
      </w:r>
      <w:r w:rsidR="00F93F88">
        <w:fldChar w:fldCharType="separate"/>
      </w:r>
      <w:r w:rsidR="00BD44E7" w:rsidRPr="00BD44E7">
        <w:rPr>
          <w:rFonts w:ascii="Calibri" w:hAnsi="Calibri" w:cs="Calibri"/>
        </w:rPr>
        <w:t>(Global Steel 2014)</w:t>
      </w:r>
      <w:r w:rsidR="00F93F88">
        <w:fldChar w:fldCharType="end"/>
      </w:r>
      <w:r w:rsidR="00F93F88">
        <w:t xml:space="preserve"> found that </w:t>
      </w:r>
      <w:r w:rsidR="004E2997">
        <w:t xml:space="preserve">raw material </w:t>
      </w:r>
      <w:r w:rsidR="009309FB">
        <w:t>self-sufficiency</w:t>
      </w:r>
      <w:r w:rsidR="004E2997">
        <w:t xml:space="preserve"> had a negative correlation </w:t>
      </w:r>
      <w:r w:rsidR="008816FD">
        <w:t>with the enterprise value of a steelmaker but has a positive impact on its</w:t>
      </w:r>
      <w:r w:rsidR="00AA16FD">
        <w:t xml:space="preserve"> </w:t>
      </w:r>
      <w:r w:rsidR="008816FD">
        <w:lastRenderedPageBreak/>
        <w:t xml:space="preserve">EBITDA </w:t>
      </w:r>
      <w:r w:rsidR="0056796E">
        <w:t>margins</w:t>
      </w:r>
      <w:r w:rsidR="002B7B10">
        <w:t>.</w:t>
      </w:r>
      <w:r w:rsidR="002B7B10" w:rsidRPr="002B7B10">
        <w:t xml:space="preserve"> </w:t>
      </w:r>
      <w:r w:rsidR="002B7B10">
        <w:t>Figure 11 shows the results of self-sufficiency for steelmakers from 2009 – 2013</w:t>
      </w:r>
      <w:r w:rsidR="002B45BF">
        <w:t>.</w:t>
      </w:r>
      <w:r w:rsidR="002B7B10" w:rsidRPr="00121A44">
        <w:rPr>
          <w:noProof/>
        </w:rPr>
        <w:drawing>
          <wp:inline distT="0" distB="0" distL="0" distR="0" wp14:anchorId="7E20661A" wp14:editId="3BA1FF5D">
            <wp:extent cx="5731510" cy="2598420"/>
            <wp:effectExtent l="0" t="0" r="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22"/>
                    <a:stretch>
                      <a:fillRect/>
                    </a:stretch>
                  </pic:blipFill>
                  <pic:spPr>
                    <a:xfrm>
                      <a:off x="0" y="0"/>
                      <a:ext cx="5731510" cy="2598420"/>
                    </a:xfrm>
                    <a:prstGeom prst="rect">
                      <a:avLst/>
                    </a:prstGeom>
                  </pic:spPr>
                </pic:pic>
              </a:graphicData>
            </a:graphic>
          </wp:inline>
        </w:drawing>
      </w:r>
    </w:p>
    <w:p w14:paraId="64AFE66E" w14:textId="039CA427" w:rsidR="00366251" w:rsidRDefault="002B7B10" w:rsidP="002B7B10">
      <w:pPr>
        <w:pStyle w:val="Caption"/>
      </w:pPr>
      <w:bookmarkStart w:id="35" w:name="_Toc101294480"/>
      <w:r>
        <w:t xml:space="preserve">Figure </w:t>
      </w:r>
      <w:fldSimple w:instr=" SEQ Figure \* ARABIC ">
        <w:r w:rsidR="00555FD6">
          <w:rPr>
            <w:noProof/>
          </w:rPr>
          <w:t>11</w:t>
        </w:r>
      </w:fldSimple>
      <w:r>
        <w:t xml:space="preserve"> </w:t>
      </w:r>
      <w:r w:rsidR="00036DF1">
        <w:t>EBITDA margin vs self-suff</w:t>
      </w:r>
      <w:r w:rsidR="002B45BF">
        <w:t xml:space="preserve">iciency </w:t>
      </w:r>
      <w:r w:rsidR="002B45BF">
        <w:fldChar w:fldCharType="begin"/>
      </w:r>
      <w:r w:rsidR="00BD44E7">
        <w:instrText xml:space="preserve"> ADDIN ZOTERO_ITEM CSL_CITATION {"citationID":"XUOMsGsD","properties":{"formattedCitation":"(Global Steel 2014)","plainCitation":"(Global Steel 2014)","noteIndex":0},"citationItems":[{"id":1639,"uris":["http://zotero.org/users/local/AB2owHL2/items/GZQL85TN"],"itemData":{"id":1639,"type":"document","abstract":"Preview planning-to-pro-t-from-opportunity-preparing-for.pdf - Global steel 2014 Planning to proﬁ t from opportunity: preparing for future demand","language":"en-US","publisher":"Ernst &amp; Young","title":"Planning to proﬁ t from opportunity: preparing for … preview / planning-to-pro-t-from-opportunity-preparing-for.pdf / PDF4PRO","title-short":"Planning to proﬁ t from opportunity","URL":"https://pdf4pro.com/amp/fullscreen/planning-to-pro-t-from-opportunity-preparing-for-3cb05.html","author":[{"family":"Global Steel","given":""}],"accessed":{"date-parts":[["2022",4,17]]},"issued":{"date-parts":[["2014"]]}}}],"schema":"https://github.com/citation-style-language/schema/raw/master/csl-citation.json"} </w:instrText>
      </w:r>
      <w:r w:rsidR="002B45BF">
        <w:fldChar w:fldCharType="separate"/>
      </w:r>
      <w:r w:rsidR="00BD44E7" w:rsidRPr="00BD44E7">
        <w:rPr>
          <w:rFonts w:ascii="Calibri" w:hAnsi="Calibri" w:cs="Calibri"/>
        </w:rPr>
        <w:t>(Global Steel 2014)</w:t>
      </w:r>
      <w:bookmarkEnd w:id="35"/>
      <w:r w:rsidR="002B45BF">
        <w:fldChar w:fldCharType="end"/>
      </w:r>
    </w:p>
    <w:p w14:paraId="596886F2" w14:textId="77726845" w:rsidR="00366251" w:rsidRDefault="00404DCA" w:rsidP="00366251">
      <w:pPr>
        <w:spacing w:line="360" w:lineRule="auto"/>
        <w:jc w:val="both"/>
      </w:pPr>
      <w:r>
        <w:t xml:space="preserve">Steelmakers are looking for methods to reduce their impact on the </w:t>
      </w:r>
      <w:r w:rsidR="00517F87">
        <w:t>environment,</w:t>
      </w:r>
      <w:r w:rsidR="005519B4">
        <w:t xml:space="preserve"> the European steel industry has committed to </w:t>
      </w:r>
      <w:r w:rsidR="00797680">
        <w:t>the application of the Circular Economy</w:t>
      </w:r>
      <w:r w:rsidR="00BF0D9B">
        <w:t xml:space="preserve"> (CE)</w:t>
      </w:r>
      <w:r w:rsidR="00DE67B7">
        <w:t xml:space="preserve"> model</w:t>
      </w:r>
      <w:r w:rsidR="00DE1BCA">
        <w:t>, based on the 3 R principle (reduce, reuse, recycle)</w:t>
      </w:r>
      <w:r w:rsidR="00A259A8">
        <w:t>, aim</w:t>
      </w:r>
      <w:r w:rsidR="00DE1BCA">
        <w:t>s</w:t>
      </w:r>
      <w:r w:rsidR="00A259A8">
        <w:t xml:space="preserve"> at</w:t>
      </w:r>
      <w:r w:rsidR="00514545">
        <w:t xml:space="preserve"> reducing pollution and waste generation by </w:t>
      </w:r>
      <w:r w:rsidR="008B33C2">
        <w:t>recycling all the many by-products and output</w:t>
      </w:r>
      <w:r w:rsidR="00AC3FAD">
        <w:t>s</w:t>
      </w:r>
      <w:r w:rsidR="008B33C2">
        <w:t xml:space="preserve"> created during steelmaking </w:t>
      </w:r>
      <w:r w:rsidR="00AC3FAD">
        <w:t xml:space="preserve">back into the economy. </w:t>
      </w:r>
      <w:r w:rsidR="00FC4A3E">
        <w:t xml:space="preserve">CE suggests that all industrial activity </w:t>
      </w:r>
      <w:r w:rsidR="00AB10B3">
        <w:t xml:space="preserve">be designed so that renewable and clean energy sources are </w:t>
      </w:r>
      <w:r w:rsidR="00BC4967">
        <w:t>used,</w:t>
      </w:r>
      <w:r w:rsidR="00AB10B3">
        <w:t xml:space="preserve"> and the outputs </w:t>
      </w:r>
      <w:r w:rsidR="00110677">
        <w:t xml:space="preserve">collected in a way that allows for collection, </w:t>
      </w:r>
      <w:r w:rsidR="00F43DFA">
        <w:t>recycling</w:t>
      </w:r>
      <w:r w:rsidR="00110677">
        <w:t xml:space="preserve">, refurbishing, </w:t>
      </w:r>
      <w:proofErr w:type="gramStart"/>
      <w:r w:rsidR="00110677">
        <w:t>reuse</w:t>
      </w:r>
      <w:proofErr w:type="gramEnd"/>
      <w:r w:rsidR="00F43DFA">
        <w:t xml:space="preserve"> and</w:t>
      </w:r>
      <w:r w:rsidR="00110677">
        <w:t xml:space="preserve"> redistribution</w:t>
      </w:r>
      <w:r w:rsidR="00F43DFA">
        <w:t xml:space="preserve"> throughout their lifespan</w:t>
      </w:r>
      <w:r w:rsidR="004F18B3">
        <w:t>.</w:t>
      </w:r>
      <w:r w:rsidR="00A109D3">
        <w:t xml:space="preserve"> This can only be achieved </w:t>
      </w:r>
      <w:r w:rsidR="00391DAB">
        <w:t>with full cooperation with the SC stakeholders</w:t>
      </w:r>
      <w:r w:rsidR="00BC5A43">
        <w:t xml:space="preserve">. The decisions on whether to centralise, decentralise or outsource the different </w:t>
      </w:r>
      <w:r w:rsidR="00255435">
        <w:t xml:space="preserve">steps involved can </w:t>
      </w:r>
      <w:r w:rsidR="00455905">
        <w:t xml:space="preserve">have a considerable impact on lead times, </w:t>
      </w:r>
      <w:r w:rsidR="009644BC">
        <w:t xml:space="preserve">raw material </w:t>
      </w:r>
      <w:r w:rsidR="004E50D2">
        <w:t>self-sufficiency</w:t>
      </w:r>
      <w:r w:rsidR="009644BC">
        <w:t xml:space="preserve">, resource ownership, environmental </w:t>
      </w:r>
      <w:r w:rsidR="00AC3C1E">
        <w:t>performance,</w:t>
      </w:r>
      <w:r w:rsidR="00DB3945">
        <w:t xml:space="preserve"> and demand risk</w:t>
      </w:r>
      <w:r w:rsidR="00BC4967">
        <w:t xml:space="preserve">. Figure 12 </w:t>
      </w:r>
      <w:r w:rsidR="00D85E2B">
        <w:t>illustrates the approaches recommended by</w:t>
      </w:r>
      <w:r w:rsidR="00674997">
        <w:t xml:space="preserve"> </w:t>
      </w:r>
      <w:r w:rsidR="00674997">
        <w:fldChar w:fldCharType="begin"/>
      </w:r>
      <w:r w:rsidR="00BD44E7">
        <w:instrText xml:space="preserve"> ADDIN ZOTERO_ITEM CSL_CITATION {"citationID":"sKvZqqeT","properties":{"formattedCitation":"(Pinto 2019)","plainCitation":"(Pinto 2019)","noteIndex":0},"citationItems":[{"id":1522,"uris":["http://zotero.org/users/local/AB2owHL2/items/CFDYWNHU"],"itemData":{"id":1522,"type":"thesis","event-place":"France","genre":"Doctorate","language":"fr","publisher":"Universty of Clermont Auvergne","publisher-place":"France","source":"Zotero","title":"Sustainable resource management in european steel supply chains","author":[{"family":"Pinto","given":"Julian"}],"issued":{"date-parts":[["2019"]]}}}],"schema":"https://github.com/citation-style-language/schema/raw/master/csl-citation.json"} </w:instrText>
      </w:r>
      <w:r w:rsidR="00674997">
        <w:fldChar w:fldCharType="separate"/>
      </w:r>
      <w:r w:rsidR="00BD44E7" w:rsidRPr="00BD44E7">
        <w:rPr>
          <w:rFonts w:ascii="Calibri" w:hAnsi="Calibri" w:cs="Calibri"/>
        </w:rPr>
        <w:t>(Pinto 2019)</w:t>
      </w:r>
      <w:r w:rsidR="00674997">
        <w:fldChar w:fldCharType="end"/>
      </w:r>
      <w:r w:rsidR="0087344F">
        <w:t>.</w:t>
      </w:r>
    </w:p>
    <w:p w14:paraId="3C09B5C2" w14:textId="121CD1B0" w:rsidR="00674997" w:rsidRDefault="00674997" w:rsidP="00366251">
      <w:pPr>
        <w:spacing w:line="360" w:lineRule="auto"/>
        <w:jc w:val="both"/>
      </w:pPr>
      <w:r w:rsidRPr="00674997">
        <w:rPr>
          <w:noProof/>
        </w:rPr>
        <w:drawing>
          <wp:inline distT="0" distB="0" distL="0" distR="0" wp14:anchorId="76A5026F" wp14:editId="335B50B0">
            <wp:extent cx="5591955" cy="2010056"/>
            <wp:effectExtent l="0" t="0" r="0" b="9525"/>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23"/>
                    <a:stretch>
                      <a:fillRect/>
                    </a:stretch>
                  </pic:blipFill>
                  <pic:spPr>
                    <a:xfrm>
                      <a:off x="0" y="0"/>
                      <a:ext cx="5591955" cy="2010056"/>
                    </a:xfrm>
                    <a:prstGeom prst="rect">
                      <a:avLst/>
                    </a:prstGeom>
                  </pic:spPr>
                </pic:pic>
              </a:graphicData>
            </a:graphic>
          </wp:inline>
        </w:drawing>
      </w:r>
    </w:p>
    <w:p w14:paraId="2208D1DA" w14:textId="6FE8499B" w:rsidR="00366251" w:rsidRDefault="00674997" w:rsidP="00674997">
      <w:pPr>
        <w:pStyle w:val="Caption"/>
      </w:pPr>
      <w:bookmarkStart w:id="36" w:name="_Toc101294481"/>
      <w:r>
        <w:t xml:space="preserve">Figure </w:t>
      </w:r>
      <w:fldSimple w:instr=" SEQ Figure \* ARABIC ">
        <w:r w:rsidR="00555FD6">
          <w:rPr>
            <w:noProof/>
          </w:rPr>
          <w:t>12</w:t>
        </w:r>
      </w:fldSimple>
      <w:r>
        <w:t xml:space="preserve"> Supply chain integration approaches for steelmakers </w:t>
      </w:r>
      <w:r w:rsidR="00517F87">
        <w:fldChar w:fldCharType="begin"/>
      </w:r>
      <w:r w:rsidR="00BD44E7">
        <w:instrText xml:space="preserve"> ADDIN ZOTERO_ITEM CSL_CITATION {"citationID":"uqYorCVt","properties":{"formattedCitation":"(Pinto 2019)","plainCitation":"(Pinto 2019)","noteIndex":0},"citationItems":[{"id":1522,"uris":["http://zotero.org/users/local/AB2owHL2/items/CFDYWNHU"],"itemData":{"id":1522,"type":"thesis","event-place":"France","genre":"Doctorate","language":"fr","publisher":"Universty of Clermont Auvergne","publisher-place":"France","source":"Zotero","title":"Sustainable resource management in european steel supply chains","author":[{"family":"Pinto","given":"Julian"}],"issued":{"date-parts":[["2019"]]}}}],"schema":"https://github.com/citation-style-language/schema/raw/master/csl-citation.json"} </w:instrText>
      </w:r>
      <w:r w:rsidR="00517F87">
        <w:fldChar w:fldCharType="separate"/>
      </w:r>
      <w:r w:rsidR="00BD44E7" w:rsidRPr="00BD44E7">
        <w:rPr>
          <w:rFonts w:ascii="Calibri" w:hAnsi="Calibri" w:cs="Calibri"/>
        </w:rPr>
        <w:t>(Pinto 2019)</w:t>
      </w:r>
      <w:r w:rsidR="00517F87">
        <w:fldChar w:fldCharType="end"/>
      </w:r>
      <w:r w:rsidR="00517F87">
        <w:t>.</w:t>
      </w:r>
      <w:bookmarkEnd w:id="36"/>
    </w:p>
    <w:p w14:paraId="62AC01B0" w14:textId="44542033" w:rsidR="00366251" w:rsidRDefault="004B11FE" w:rsidP="00366251">
      <w:pPr>
        <w:spacing w:line="360" w:lineRule="auto"/>
        <w:jc w:val="both"/>
      </w:pPr>
      <w:r>
        <w:lastRenderedPageBreak/>
        <w:t xml:space="preserve">The bullwhip effect is </w:t>
      </w:r>
      <w:r w:rsidR="00EA0A68">
        <w:t xml:space="preserve">a significant problem for steel </w:t>
      </w:r>
      <w:r w:rsidR="00AA16FD">
        <w:t>SC’s</w:t>
      </w:r>
      <w:r w:rsidR="005026ED">
        <w:t>, to try</w:t>
      </w:r>
      <w:r w:rsidR="00312717">
        <w:t xml:space="preserve"> and</w:t>
      </w:r>
      <w:r w:rsidR="005026ED">
        <w:t xml:space="preserve"> mitigate this effect </w:t>
      </w:r>
      <w:r w:rsidR="001F1558">
        <w:t xml:space="preserve">the MTO and MTS strategies can be used. </w:t>
      </w:r>
      <w:r w:rsidR="00177199">
        <w:t xml:space="preserve">The </w:t>
      </w:r>
      <w:r w:rsidR="00200EF2">
        <w:t xml:space="preserve">heavy end process depicted at the top of figure 13 produces a </w:t>
      </w:r>
      <w:r w:rsidR="007D2100">
        <w:t>homogenous bulk product in a continuous production process</w:t>
      </w:r>
      <w:r w:rsidR="0077343E">
        <w:t>, which ensures a smooth production process</w:t>
      </w:r>
      <w:r w:rsidR="007531D8">
        <w:t xml:space="preserve"> that suits the MTS strategy</w:t>
      </w:r>
      <w:r w:rsidR="00ED71AB">
        <w:t>.</w:t>
      </w:r>
    </w:p>
    <w:p w14:paraId="7A06C66B" w14:textId="2DF97F92" w:rsidR="00555FD6" w:rsidRDefault="00555FD6" w:rsidP="00366251">
      <w:pPr>
        <w:spacing w:line="360" w:lineRule="auto"/>
        <w:jc w:val="both"/>
      </w:pPr>
      <w:r w:rsidRPr="00555FD6">
        <w:rPr>
          <w:noProof/>
        </w:rPr>
        <w:drawing>
          <wp:inline distT="0" distB="0" distL="0" distR="0" wp14:anchorId="579FC3BA" wp14:editId="5B22B6AC">
            <wp:extent cx="5160397" cy="2390775"/>
            <wp:effectExtent l="0" t="0" r="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24"/>
                    <a:stretch>
                      <a:fillRect/>
                    </a:stretch>
                  </pic:blipFill>
                  <pic:spPr>
                    <a:xfrm>
                      <a:off x="0" y="0"/>
                      <a:ext cx="5165658" cy="2393213"/>
                    </a:xfrm>
                    <a:prstGeom prst="rect">
                      <a:avLst/>
                    </a:prstGeom>
                  </pic:spPr>
                </pic:pic>
              </a:graphicData>
            </a:graphic>
          </wp:inline>
        </w:drawing>
      </w:r>
    </w:p>
    <w:p w14:paraId="0090179F" w14:textId="2BEBAF6E" w:rsidR="00366251" w:rsidRDefault="00555FD6" w:rsidP="00555FD6">
      <w:pPr>
        <w:pStyle w:val="Caption"/>
      </w:pPr>
      <w:bookmarkStart w:id="37" w:name="_Toc101294482"/>
      <w:r>
        <w:t xml:space="preserve">Figure </w:t>
      </w:r>
      <w:fldSimple w:instr=" SEQ Figure \* ARABIC ">
        <w:r>
          <w:rPr>
            <w:noProof/>
          </w:rPr>
          <w:t>13</w:t>
        </w:r>
      </w:fldSimple>
      <w:r>
        <w:t xml:space="preserve"> The steel supply chain </w:t>
      </w:r>
      <w:r>
        <w:fldChar w:fldCharType="begin"/>
      </w:r>
      <w:r w:rsidR="00BD44E7">
        <w:instrText xml:space="preserve"> ADDIN ZOTERO_ITEM CSL_CITATION {"citationID":"TMVYtEPs","properties":{"formattedCitation":"(Sandhu et al. 2013)","plainCitation":"(Sandhu et al. 2013)","noteIndex":0},"citationItems":[{"id":1430,"uris":["http://zotero.org/users/local/AB2owHL2/items/9BVL4VMJ"],"itemData":{"id":1430,"type":"article-journal","abstract":"Purpose - The aim of this paper is to propose a simulation study of the \"steel supply chain\" to demonstrate the effect of inventory management and demand variety on the bullwhip effect mitigation. Design/methodology/approach - The relevant literature is reviewed, and then the simulation model proposed. Findings - This study identifies reasons for sharing information under varying levels of demand and some variants, and demonstrates the benefits of mitigating the bullwhip effect by applying a design of experiment. It is shown that the information sharing is able to mitigate the bullwhip effect in the steel supply chain by extending the order interval and minimising the order batch size. Research limitations/implications - This study explores the factors associated with the bullwhip effect. This research is focused on built-to-order simulation, so the results are only oriented on the basis of orders; hence a simultaneous order- and forecast-based steel supply chain should be carried out in the future. Practical implications - This framework is expected to provide a convenient way to measure the optimum inventory level against a limited level of demand uncertainty, and thus enterprises can promote the supply chain coordination. Originality/value - An innovative simulation model of the \"steel supply chain\" is proposed, which includes information sharing in the simulation model. Furthermore, dynamic scheduling is shown by applying a continuous ordering and order prioritization rule to replace traditional scheduling methods.","container-title":"Benchmarking","DOI":"http://dx.doi.org/10.1108/14635771311299489","ISSN":"14635771","issue":"1","language":"English","note":"number-of-pages: 45-61\npublisher-place: Bradford, United Kingdom\npublisher: Emerald Group Publishing Limited","page":"45-61","source":"ProQuest","title":"Steel supply chain management by simulation modelling","URL":"https://www.proquest.com/docview/1288077580/abstract/D0403E2F8CCE4939PQ/1","volume":"20","author":[{"family":"Sandhu","given":"Maqsood Ahmad"},{"family":"Helo","given":"Petri"},{"family":"Kristianto","given":"Yohanes"}],"accessed":{"date-parts":[["2022",1,27]]},"issued":{"date-parts":[["2013"]]}}}],"schema":"https://github.com/citation-style-language/schema/raw/master/csl-citation.json"} </w:instrText>
      </w:r>
      <w:r>
        <w:fldChar w:fldCharType="separate"/>
      </w:r>
      <w:r w:rsidR="00BD44E7" w:rsidRPr="00BD44E7">
        <w:rPr>
          <w:rFonts w:ascii="Calibri" w:hAnsi="Calibri" w:cs="Calibri"/>
        </w:rPr>
        <w:t>(Sandhu et al. 2013)</w:t>
      </w:r>
      <w:bookmarkEnd w:id="37"/>
      <w:r>
        <w:fldChar w:fldCharType="end"/>
      </w:r>
    </w:p>
    <w:p w14:paraId="60CC7573" w14:textId="03DFE817" w:rsidR="00366251" w:rsidRDefault="00DB6AD5" w:rsidP="00366251">
      <w:pPr>
        <w:spacing w:line="360" w:lineRule="auto"/>
        <w:jc w:val="both"/>
      </w:pPr>
      <w:r>
        <w:t>The finishing e</w:t>
      </w:r>
      <w:r w:rsidR="00D67101">
        <w:t xml:space="preserve">nd process of steel making </w:t>
      </w:r>
      <w:r w:rsidR="0046751E">
        <w:t>involves a number of discrete processes that</w:t>
      </w:r>
      <w:r w:rsidR="00983882">
        <w:t xml:space="preserve"> involve a number of setup and stock points that increase the lik</w:t>
      </w:r>
      <w:r w:rsidR="00C10A13">
        <w:t>elihood of overstocking</w:t>
      </w:r>
      <w:r w:rsidR="007569B2">
        <w:t xml:space="preserve">, the MTO strategy </w:t>
      </w:r>
      <w:r w:rsidR="00CF7762">
        <w:t>is best applied here</w:t>
      </w:r>
      <w:r w:rsidR="00C10A13">
        <w:t xml:space="preserve"> </w:t>
      </w:r>
      <w:r w:rsidR="0087761A">
        <w:fldChar w:fldCharType="begin"/>
      </w:r>
      <w:r w:rsidR="00BD44E7">
        <w:instrText xml:space="preserve"> ADDIN ZOTERO_ITEM CSL_CITATION {"citationID":"gS1DDEct","properties":{"formattedCitation":"(Sandhu et al. 2013)","plainCitation":"(Sandhu et al. 2013)","noteIndex":0},"citationItems":[{"id":1430,"uris":["http://zotero.org/users/local/AB2owHL2/items/9BVL4VMJ"],"itemData":{"id":1430,"type":"article-journal","abstract":"Purpose - The aim of this paper is to propose a simulation study of the \"steel supply chain\" to demonstrate the effect of inventory management and demand variety on the bullwhip effect mitigation. Design/methodology/approach - The relevant literature is reviewed, and then the simulation model proposed. Findings - This study identifies reasons for sharing information under varying levels of demand and some variants, and demonstrates the benefits of mitigating the bullwhip effect by applying a design of experiment. It is shown that the information sharing is able to mitigate the bullwhip effect in the steel supply chain by extending the order interval and minimising the order batch size. Research limitations/implications - This study explores the factors associated with the bullwhip effect. This research is focused on built-to-order simulation, so the results are only oriented on the basis of orders; hence a simultaneous order- and forecast-based steel supply chain should be carried out in the future. Practical implications - This framework is expected to provide a convenient way to measure the optimum inventory level against a limited level of demand uncertainty, and thus enterprises can promote the supply chain coordination. Originality/value - An innovative simulation model of the \"steel supply chain\" is proposed, which includes information sharing in the simulation model. Furthermore, dynamic scheduling is shown by applying a continuous ordering and order prioritization rule to replace traditional scheduling methods.","container-title":"Benchmarking","DOI":"http://dx.doi.org/10.1108/14635771311299489","ISSN":"14635771","issue":"1","language":"English","note":"number-of-pages: 45-61\npublisher-place: Bradford, United Kingdom\npublisher: Emerald Group Publishing Limited","page":"45-61","source":"ProQuest","title":"Steel supply chain management by simulation modelling","URL":"https://www.proquest.com/docview/1288077580/abstract/D0403E2F8CCE4939PQ/1","volume":"20","author":[{"family":"Sandhu","given":"Maqsood Ahmad"},{"family":"Helo","given":"Petri"},{"family":"Kristianto","given":"Yohanes"}],"accessed":{"date-parts":[["2022",1,27]]},"issued":{"date-parts":[["2013"]]}}}],"schema":"https://github.com/citation-style-language/schema/raw/master/csl-citation.json"} </w:instrText>
      </w:r>
      <w:r w:rsidR="0087761A">
        <w:fldChar w:fldCharType="separate"/>
      </w:r>
      <w:r w:rsidR="00BD44E7" w:rsidRPr="00BD44E7">
        <w:rPr>
          <w:rFonts w:ascii="Calibri" w:hAnsi="Calibri" w:cs="Calibri"/>
        </w:rPr>
        <w:t>(Sandhu et al. 2013)</w:t>
      </w:r>
      <w:r w:rsidR="0087761A">
        <w:fldChar w:fldCharType="end"/>
      </w:r>
      <w:r w:rsidR="00C10A13">
        <w:t>.</w:t>
      </w:r>
    </w:p>
    <w:p w14:paraId="2C3F7458" w14:textId="35F4FE63" w:rsidR="00366251" w:rsidRDefault="00187C80" w:rsidP="00366251">
      <w:pPr>
        <w:spacing w:line="360" w:lineRule="auto"/>
        <w:jc w:val="both"/>
      </w:pPr>
      <w:r>
        <w:t>Steel products can be</w:t>
      </w:r>
      <w:r w:rsidR="0049130D">
        <w:t xml:space="preserve"> assigned the</w:t>
      </w:r>
      <w:r w:rsidR="00316632">
        <w:t xml:space="preserve"> MTO or MTS strategy, orders for the most popular products</w:t>
      </w:r>
      <w:r w:rsidR="00354062">
        <w:t xml:space="preserve"> are shipped from</w:t>
      </w:r>
      <w:r w:rsidR="00B76EA8">
        <w:t xml:space="preserve"> </w:t>
      </w:r>
      <w:r w:rsidR="00354062">
        <w:t>stock, the production batch size is based on current demand</w:t>
      </w:r>
      <w:r w:rsidR="000673C7">
        <w:t xml:space="preserve"> and is </w:t>
      </w:r>
      <w:r w:rsidR="00260706">
        <w:t>forecast</w:t>
      </w:r>
      <w:r w:rsidR="000673C7">
        <w:t xml:space="preserve"> driven (MTS), </w:t>
      </w:r>
      <w:r w:rsidR="00CF0B8D">
        <w:t>Lower volume products are manufactured on a MTO basis and are</w:t>
      </w:r>
      <w:r w:rsidR="00813006">
        <w:t xml:space="preserve"> sales driven</w:t>
      </w:r>
      <w:r w:rsidR="00CF0B8D">
        <w:t xml:space="preserve"> </w:t>
      </w:r>
      <w:r w:rsidR="00B14CAA">
        <w:t xml:space="preserve">, this </w:t>
      </w:r>
      <w:r w:rsidR="00C52BA4">
        <w:t>ensures stock availability is not compromised and production cycle time is reduced</w:t>
      </w:r>
      <w:r w:rsidR="00CA1C8A">
        <w:t xml:space="preserve"> </w:t>
      </w:r>
      <w:r w:rsidR="00813006">
        <w:fldChar w:fldCharType="begin"/>
      </w:r>
      <w:r w:rsidR="00BD44E7">
        <w:instrText xml:space="preserve"> ADDIN ZOTERO_ITEM CSL_CITATION {"citationID":"xzuWEk5S","properties":{"formattedCitation":"(Potter et al. 2004)","plainCitation":"(Potter et al. 2004)","noteIndex":0},"citationItems":[{"id":1429,"uris":["http://zotero.org/users/local/AB2owHL2/items/WJ8K5H6D"],"itemData":{"id":1429,"type":"article-journal","abstract":"Many academics have studied the steel industry with the aim of implementing improvements in the sector. Although these provide snapshots of the structure of the supply chain, the evolution that has occurred is less well understood. This paper studies, primarily using process mapping techniques, the evolution of a case study steel supply chain within the UK over the past decade, drawing both on previous work and current research. The changes that have occurred are identified and categorised and their impact on inventory, lead times and asset utilisation will be assessed. It has been proposed that supply chains evolve from a traditional (uncoordinated, disparate, sub-optimal) to an integrated supply chain structure. The paper concludes that although the steel supply chain has evolved between 1990 and 2001 towards an integrated structure, there are currently constraints imposed by organisational boundaries.","collection-title":"Supply Chain Management","container-title":"International Journal of Production Economics","DOI":"10.1016/S0925-5273(02)00449-8","ISSN":"0925-5273","issue":"2","journalAbbreviation":"International Journal of Production Economics","language":"en","page":"207-216","source":"ScienceDirect","title":"The evolution towards an integrated steel supply chain: A case study from the UK","title-short":"The evolution towards an integrated steel supply chain","URL":"https://www.sciencedirect.com/science/article/pii/S0925527302004498","volume":"89","author":[{"family":"Potter","given":"Andrew"},{"family":"Mason","given":"Robert"},{"family":"Naim","given":"Mohamed"},{"family":"Lalwani","given":"Chandra"}],"accessed":{"date-parts":[["2022",1,27]]},"issued":{"date-parts":[["2004",5,28]]}}}],"schema":"https://github.com/citation-style-language/schema/raw/master/csl-citation.json"} </w:instrText>
      </w:r>
      <w:r w:rsidR="00813006">
        <w:fldChar w:fldCharType="separate"/>
      </w:r>
      <w:r w:rsidR="00BD44E7" w:rsidRPr="00BD44E7">
        <w:rPr>
          <w:rFonts w:ascii="Calibri" w:hAnsi="Calibri" w:cs="Calibri"/>
        </w:rPr>
        <w:t>(Potter et al. 2004)</w:t>
      </w:r>
      <w:r w:rsidR="00813006">
        <w:fldChar w:fldCharType="end"/>
      </w:r>
      <w:r w:rsidR="00C52BA4">
        <w:t>.</w:t>
      </w:r>
      <w:r w:rsidR="0049130D">
        <w:t xml:space="preserve"> </w:t>
      </w:r>
    </w:p>
    <w:p w14:paraId="104C27B7" w14:textId="17BFC8A0" w:rsidR="00812F90" w:rsidRDefault="004D3322" w:rsidP="00366251">
      <w:pPr>
        <w:spacing w:line="360" w:lineRule="auto"/>
        <w:jc w:val="both"/>
      </w:pPr>
      <w:r>
        <w:t>While</w:t>
      </w:r>
      <w:r w:rsidR="008A2F05">
        <w:t xml:space="preserve"> the developing nation</w:t>
      </w:r>
      <w:r w:rsidR="00B36AA4">
        <w:t>s</w:t>
      </w:r>
      <w:r w:rsidR="008A2F05">
        <w:t xml:space="preserve"> challenge the </w:t>
      </w:r>
      <w:r w:rsidR="002D4105">
        <w:t>western European steelmakers on the price of steel</w:t>
      </w:r>
      <w:r>
        <w:t>, they mainly produce from an unspecialised portfolio</w:t>
      </w:r>
      <w:r w:rsidR="004304FC">
        <w:t xml:space="preserve">, therefore </w:t>
      </w:r>
      <w:r w:rsidR="00C161CA">
        <w:t xml:space="preserve">the European steelmakers invest capital and capacity </w:t>
      </w:r>
      <w:r w:rsidR="00F946C2">
        <w:t>into converting into specialised, differentiated</w:t>
      </w:r>
      <w:r w:rsidR="00897321">
        <w:t>,</w:t>
      </w:r>
      <w:r w:rsidR="00F946C2">
        <w:t xml:space="preserve"> </w:t>
      </w:r>
      <w:r w:rsidR="00897321">
        <w:t xml:space="preserve">higher added value </w:t>
      </w:r>
      <w:r w:rsidR="00F946C2">
        <w:t>products</w:t>
      </w:r>
      <w:r w:rsidR="00C50BB1">
        <w:t xml:space="preserve"> that align with customer horizontal integration</w:t>
      </w:r>
      <w:r w:rsidR="00371629">
        <w:t xml:space="preserve"> </w:t>
      </w:r>
      <w:r w:rsidR="00371629">
        <w:fldChar w:fldCharType="begin"/>
      </w:r>
      <w:r w:rsidR="00BD44E7">
        <w:instrText xml:space="preserve"> ADDIN ZOTERO_ITEM CSL_CITATION {"citationID":"CNCCY0eX","properties":{"formattedCitation":"(Pinto 2019)","plainCitation":"(Pinto 2019)","noteIndex":0},"citationItems":[{"id":1522,"uris":["http://zotero.org/users/local/AB2owHL2/items/CFDYWNHU"],"itemData":{"id":1522,"type":"thesis","event-place":"France","genre":"Doctorate","language":"fr","publisher":"Universty of Clermont Auvergne","publisher-place":"France","source":"Zotero","title":"Sustainable resource management in european steel supply chains","author":[{"family":"Pinto","given":"Julian"}],"issued":{"date-parts":[["2019"]]}}}],"schema":"https://github.com/citation-style-language/schema/raw/master/csl-citation.json"} </w:instrText>
      </w:r>
      <w:r w:rsidR="00371629">
        <w:fldChar w:fldCharType="separate"/>
      </w:r>
      <w:r w:rsidR="00BD44E7" w:rsidRPr="00BD44E7">
        <w:rPr>
          <w:rFonts w:ascii="Calibri" w:hAnsi="Calibri" w:cs="Calibri"/>
        </w:rPr>
        <w:t>(Pinto 2019)</w:t>
      </w:r>
      <w:r w:rsidR="00371629">
        <w:fldChar w:fldCharType="end"/>
      </w:r>
      <w:r w:rsidR="00893960">
        <w:t xml:space="preserve">. </w:t>
      </w:r>
    </w:p>
    <w:p w14:paraId="15F874B9" w14:textId="21232E51" w:rsidR="004C4386" w:rsidRDefault="00C820A2" w:rsidP="00540F98">
      <w:pPr>
        <w:spacing w:line="360" w:lineRule="auto"/>
        <w:jc w:val="both"/>
      </w:pPr>
      <w:r>
        <w:t xml:space="preserve">In the </w:t>
      </w:r>
      <w:r w:rsidR="00792AC7">
        <w:t>long-term</w:t>
      </w:r>
      <w:r>
        <w:t xml:space="preserve"> r</w:t>
      </w:r>
      <w:r w:rsidR="000B350C">
        <w:t>educing reliance on iron ore and improving its environmental impact, steel</w:t>
      </w:r>
      <w:r w:rsidR="00F6125E">
        <w:t xml:space="preserve"> manufacturers </w:t>
      </w:r>
      <w:r w:rsidR="000B350C">
        <w:t xml:space="preserve">could </w:t>
      </w:r>
      <w:r>
        <w:t xml:space="preserve">move towards </w:t>
      </w:r>
      <w:r w:rsidR="00F6125E">
        <w:t>electric arc steel steelmaking</w:t>
      </w:r>
      <w:r w:rsidR="009829E0">
        <w:t xml:space="preserve"> or other</w:t>
      </w:r>
      <w:r w:rsidR="00B97E17">
        <w:t xml:space="preserve"> greener</w:t>
      </w:r>
      <w:r w:rsidR="009829E0">
        <w:t xml:space="preserve"> </w:t>
      </w:r>
      <w:r w:rsidR="00B97E17">
        <w:t xml:space="preserve">steelmaking </w:t>
      </w:r>
      <w:r w:rsidR="00FC2302">
        <w:t>technologies,</w:t>
      </w:r>
      <w:r w:rsidR="009829E0">
        <w:t xml:space="preserve"> but this requires significant investment in assets and research and development</w:t>
      </w:r>
      <w:r w:rsidR="00B97E17">
        <w:t xml:space="preserve"> to make them viable alternatives</w:t>
      </w:r>
      <w:r w:rsidR="002406A9">
        <w:t>.</w:t>
      </w:r>
      <w:r w:rsidR="00A9608A">
        <w:t xml:space="preserve"> </w:t>
      </w:r>
      <w:r w:rsidR="002406A9">
        <w:t>I</w:t>
      </w:r>
      <w:r w:rsidR="00A9608A">
        <w:t xml:space="preserve">n the </w:t>
      </w:r>
      <w:r w:rsidR="009A64AF">
        <w:t>short-term</w:t>
      </w:r>
      <w:r w:rsidR="00A9608A">
        <w:t xml:space="preserve"> </w:t>
      </w:r>
      <w:r w:rsidR="00022D88">
        <w:t>increasing the use of alternative renewable fuel</w:t>
      </w:r>
      <w:r w:rsidR="002406A9">
        <w:t>s</w:t>
      </w:r>
      <w:r w:rsidR="00022D88">
        <w:t xml:space="preserve"> </w:t>
      </w:r>
      <w:r w:rsidR="003D1542">
        <w:t xml:space="preserve">and energy </w:t>
      </w:r>
      <w:r w:rsidR="00022D88">
        <w:t>sources such as biofuels</w:t>
      </w:r>
      <w:r w:rsidR="001F4175">
        <w:t>, hydrogen</w:t>
      </w:r>
      <w:r w:rsidR="003D1542">
        <w:t>, solar, wind and geothermal</w:t>
      </w:r>
      <w:r w:rsidR="002406A9">
        <w:t xml:space="preserve"> </w:t>
      </w:r>
      <w:r w:rsidR="00FC2302">
        <w:t>should be considered</w:t>
      </w:r>
      <w:r w:rsidR="003B1C44">
        <w:t xml:space="preserve">. </w:t>
      </w:r>
      <w:r w:rsidR="0062310A">
        <w:t xml:space="preserve">For which </w:t>
      </w:r>
      <w:r w:rsidR="00792AC7">
        <w:t>effective</w:t>
      </w:r>
      <w:r w:rsidR="0062310A">
        <w:t xml:space="preserve"> </w:t>
      </w:r>
      <w:r w:rsidR="00792AC7">
        <w:t>SC collaboration will be required</w:t>
      </w:r>
      <w:r w:rsidR="00540F98">
        <w:t>.</w:t>
      </w:r>
    </w:p>
    <w:p w14:paraId="3D4BB45F" w14:textId="77777777" w:rsidR="009443AA" w:rsidRDefault="009443AA" w:rsidP="004B4484">
      <w:pPr>
        <w:pStyle w:val="Heading1"/>
        <w:spacing w:line="360" w:lineRule="auto"/>
        <w:jc w:val="both"/>
      </w:pPr>
      <w:bookmarkStart w:id="38" w:name="_Toc101469671"/>
      <w:r w:rsidRPr="009443AA">
        <w:lastRenderedPageBreak/>
        <w:t>Reference list</w:t>
      </w:r>
      <w:bookmarkEnd w:id="38"/>
    </w:p>
    <w:p w14:paraId="5D8FF84E" w14:textId="77777777" w:rsidR="00460A5A" w:rsidRPr="00460A5A" w:rsidRDefault="004B4484" w:rsidP="00460A5A">
      <w:pPr>
        <w:pStyle w:val="Bibliography"/>
        <w:rPr>
          <w:rFonts w:ascii="Calibri" w:hAnsi="Calibri" w:cs="Calibri"/>
        </w:rPr>
      </w:pPr>
      <w:r>
        <w:fldChar w:fldCharType="begin"/>
      </w:r>
      <w:r w:rsidR="00460A5A">
        <w:instrText xml:space="preserve"> ADDIN ZOTERO_BIBL {"uncited":[],"omitted":[],"custom":[]} CSL_BIBLIOGRAPHY </w:instrText>
      </w:r>
      <w:r>
        <w:fldChar w:fldCharType="separate"/>
      </w:r>
      <w:r w:rsidR="00460A5A" w:rsidRPr="00460A5A">
        <w:rPr>
          <w:rFonts w:ascii="Calibri" w:hAnsi="Calibri" w:cs="Calibri"/>
        </w:rPr>
        <w:t xml:space="preserve">Azadegan, A., Parast, M.M., Lucianetti, L., Nishant, R. and Blackhurst, J. 2020. Supply Chain Disruptions and Business Continuity: An Empirical Assessment. </w:t>
      </w:r>
      <w:r w:rsidR="00460A5A" w:rsidRPr="00460A5A">
        <w:rPr>
          <w:rFonts w:ascii="Calibri" w:hAnsi="Calibri" w:cs="Calibri"/>
          <w:i/>
          <w:iCs/>
        </w:rPr>
        <w:t>Decision Sciences</w:t>
      </w:r>
      <w:r w:rsidR="00460A5A" w:rsidRPr="00460A5A">
        <w:rPr>
          <w:rFonts w:ascii="Calibri" w:hAnsi="Calibri" w:cs="Calibri"/>
        </w:rPr>
        <w:t xml:space="preserve"> 51(1), pp. 38–73. Available at: http://onlinelibrary.wiley.com/doi/10.1111/deci.12395 [Accessed: 2 April 2022].</w:t>
      </w:r>
    </w:p>
    <w:p w14:paraId="7735B73A" w14:textId="77777777" w:rsidR="00460A5A" w:rsidRPr="00460A5A" w:rsidRDefault="00460A5A" w:rsidP="00460A5A">
      <w:pPr>
        <w:pStyle w:val="Bibliography"/>
        <w:rPr>
          <w:rFonts w:ascii="Calibri" w:hAnsi="Calibri" w:cs="Calibri"/>
        </w:rPr>
      </w:pPr>
      <w:r w:rsidRPr="00460A5A">
        <w:rPr>
          <w:rFonts w:ascii="Calibri" w:hAnsi="Calibri" w:cs="Calibri"/>
        </w:rPr>
        <w:t xml:space="preserve">Baz, J.E. and Ruel, S. 2021. Can supply chain risk management practices mitigate the disruption impacts on supply chains’ resilience and robustness? Evidence from an empirical survey in a COVID-19 outbreak era. </w:t>
      </w:r>
      <w:r w:rsidRPr="00460A5A">
        <w:rPr>
          <w:rFonts w:ascii="Calibri" w:hAnsi="Calibri" w:cs="Calibri"/>
          <w:i/>
          <w:iCs/>
        </w:rPr>
        <w:t>International Journal of Production Economics</w:t>
      </w:r>
      <w:r w:rsidRPr="00460A5A">
        <w:rPr>
          <w:rFonts w:ascii="Calibri" w:hAnsi="Calibri" w:cs="Calibri"/>
        </w:rPr>
        <w:t xml:space="preserve"> 233, p. 107972. Available at: https://www.sciencedirect.com/science/article/pii/S0925527320303224 [Accessed: 3 March 2022].</w:t>
      </w:r>
    </w:p>
    <w:p w14:paraId="62C325AD" w14:textId="77777777" w:rsidR="00460A5A" w:rsidRPr="00460A5A" w:rsidRDefault="00460A5A" w:rsidP="00460A5A">
      <w:pPr>
        <w:pStyle w:val="Bibliography"/>
        <w:rPr>
          <w:rFonts w:ascii="Calibri" w:hAnsi="Calibri" w:cs="Calibri"/>
        </w:rPr>
      </w:pPr>
      <w:r w:rsidRPr="00460A5A">
        <w:rPr>
          <w:rFonts w:ascii="Calibri" w:hAnsi="Calibri" w:cs="Calibri"/>
        </w:rPr>
        <w:t xml:space="preserve">Braunscheidel, M.J. and Suresh, N.C. 2009. The organizational antecedents of a firm’s supply chain agility for risk mitigation and response. </w:t>
      </w:r>
      <w:r w:rsidRPr="00460A5A">
        <w:rPr>
          <w:rFonts w:ascii="Calibri" w:hAnsi="Calibri" w:cs="Calibri"/>
          <w:i/>
          <w:iCs/>
        </w:rPr>
        <w:t>Journal of Operations Management</w:t>
      </w:r>
      <w:r w:rsidRPr="00460A5A">
        <w:rPr>
          <w:rFonts w:ascii="Calibri" w:hAnsi="Calibri" w:cs="Calibri"/>
        </w:rPr>
        <w:t xml:space="preserve"> 27(2), pp. 119–140. Available at: http://onlinelibrary.wiley.com/doi/abs/10.1016/j.jom.2008.09.006 [Accessed: 30 March 2022].</w:t>
      </w:r>
    </w:p>
    <w:p w14:paraId="7389568E" w14:textId="77777777" w:rsidR="00460A5A" w:rsidRPr="00460A5A" w:rsidRDefault="00460A5A" w:rsidP="00460A5A">
      <w:pPr>
        <w:pStyle w:val="Bibliography"/>
        <w:rPr>
          <w:rFonts w:ascii="Calibri" w:hAnsi="Calibri" w:cs="Calibri"/>
        </w:rPr>
      </w:pPr>
      <w:r w:rsidRPr="00460A5A">
        <w:rPr>
          <w:rFonts w:ascii="Calibri" w:hAnsi="Calibri" w:cs="Calibri"/>
        </w:rPr>
        <w:t xml:space="preserve">Chen, Y.-J. 2011. Structured methodology for supplier selection and evaluation in a supply chain. </w:t>
      </w:r>
      <w:r w:rsidRPr="00460A5A">
        <w:rPr>
          <w:rFonts w:ascii="Calibri" w:hAnsi="Calibri" w:cs="Calibri"/>
          <w:i/>
          <w:iCs/>
        </w:rPr>
        <w:t>Information Sciences</w:t>
      </w:r>
      <w:r w:rsidRPr="00460A5A">
        <w:rPr>
          <w:rFonts w:ascii="Calibri" w:hAnsi="Calibri" w:cs="Calibri"/>
        </w:rPr>
        <w:t xml:space="preserve"> 181(9), pp. 1651–1670. Available at: https://www.sciencedirect.com/science/article/pii/S0020025510003440 [Accessed: 10 April 2022].</w:t>
      </w:r>
    </w:p>
    <w:p w14:paraId="76CA7753" w14:textId="77777777" w:rsidR="00460A5A" w:rsidRPr="00460A5A" w:rsidRDefault="00460A5A" w:rsidP="00460A5A">
      <w:pPr>
        <w:pStyle w:val="Bibliography"/>
        <w:rPr>
          <w:rFonts w:ascii="Calibri" w:hAnsi="Calibri" w:cs="Calibri"/>
        </w:rPr>
      </w:pPr>
      <w:r w:rsidRPr="00460A5A">
        <w:rPr>
          <w:rFonts w:ascii="Calibri" w:hAnsi="Calibri" w:cs="Calibri"/>
        </w:rPr>
        <w:t xml:space="preserve">Chopra, S., Reinhardt, G. and Mohan, U. 2007. The importance of decoupling recurrent and disruption risks in a supply chain. </w:t>
      </w:r>
      <w:r w:rsidRPr="00460A5A">
        <w:rPr>
          <w:rFonts w:ascii="Calibri" w:hAnsi="Calibri" w:cs="Calibri"/>
          <w:i/>
          <w:iCs/>
        </w:rPr>
        <w:t>Naval Research Logistics (NRL)</w:t>
      </w:r>
      <w:r w:rsidRPr="00460A5A">
        <w:rPr>
          <w:rFonts w:ascii="Calibri" w:hAnsi="Calibri" w:cs="Calibri"/>
        </w:rPr>
        <w:t xml:space="preserve"> 54(5), pp. 544–555. Available at: http://onlinelibrary.wiley.com/doi/abs/10.1002/nav.20228 [Accessed: 5 April 2022].</w:t>
      </w:r>
    </w:p>
    <w:p w14:paraId="5050A12A" w14:textId="77777777" w:rsidR="00460A5A" w:rsidRPr="00460A5A" w:rsidRDefault="00460A5A" w:rsidP="00460A5A">
      <w:pPr>
        <w:pStyle w:val="Bibliography"/>
        <w:rPr>
          <w:rFonts w:ascii="Calibri" w:hAnsi="Calibri" w:cs="Calibri"/>
        </w:rPr>
      </w:pPr>
      <w:r w:rsidRPr="00460A5A">
        <w:rPr>
          <w:rFonts w:ascii="Calibri" w:hAnsi="Calibri" w:cs="Calibri"/>
        </w:rPr>
        <w:t xml:space="preserve">Chopra, S. and Sodhi, M.S. 2004. Managing Risk to Avoid Supply-Chain Breakdown. </w:t>
      </w:r>
      <w:r w:rsidRPr="00460A5A">
        <w:rPr>
          <w:rFonts w:ascii="Calibri" w:hAnsi="Calibri" w:cs="Calibri"/>
          <w:i/>
          <w:iCs/>
        </w:rPr>
        <w:t>MIT Sloan Management Review</w:t>
      </w:r>
      <w:r w:rsidRPr="00460A5A">
        <w:rPr>
          <w:rFonts w:ascii="Calibri" w:hAnsi="Calibri" w:cs="Calibri"/>
        </w:rPr>
        <w:t xml:space="preserve"> 46(1), pp. 53–61. Available at: https://www.proquest.com/docview/224964486/abstract/A6E592F3C96C4741PQ/1 [Accessed: 20 March 2022].</w:t>
      </w:r>
    </w:p>
    <w:p w14:paraId="4043A565" w14:textId="77777777" w:rsidR="00460A5A" w:rsidRPr="00460A5A" w:rsidRDefault="00460A5A" w:rsidP="00460A5A">
      <w:pPr>
        <w:pStyle w:val="Bibliography"/>
        <w:rPr>
          <w:rFonts w:ascii="Calibri" w:hAnsi="Calibri" w:cs="Calibri"/>
        </w:rPr>
      </w:pPr>
      <w:r w:rsidRPr="00460A5A">
        <w:rPr>
          <w:rFonts w:ascii="Calibri" w:hAnsi="Calibri" w:cs="Calibri"/>
        </w:rPr>
        <w:t xml:space="preserve">Christopher, M. 2011. </w:t>
      </w:r>
      <w:r w:rsidRPr="00460A5A">
        <w:rPr>
          <w:rFonts w:ascii="Calibri" w:hAnsi="Calibri" w:cs="Calibri"/>
          <w:i/>
          <w:iCs/>
        </w:rPr>
        <w:t>Logistics &amp; Supply Chain Management</w:t>
      </w:r>
      <w:r w:rsidRPr="00460A5A">
        <w:rPr>
          <w:rFonts w:ascii="Calibri" w:hAnsi="Calibri" w:cs="Calibri"/>
        </w:rPr>
        <w:t>. Fourth. Harlow United Kingdom: Prentice Hall.</w:t>
      </w:r>
    </w:p>
    <w:p w14:paraId="7E2CE50F" w14:textId="77777777" w:rsidR="00460A5A" w:rsidRPr="00460A5A" w:rsidRDefault="00460A5A" w:rsidP="00460A5A">
      <w:pPr>
        <w:pStyle w:val="Bibliography"/>
        <w:rPr>
          <w:rFonts w:ascii="Calibri" w:hAnsi="Calibri" w:cs="Calibri"/>
        </w:rPr>
      </w:pPr>
      <w:r w:rsidRPr="00460A5A">
        <w:rPr>
          <w:rFonts w:ascii="Calibri" w:hAnsi="Calibri" w:cs="Calibri"/>
        </w:rPr>
        <w:t>Comtois, C. and Slack, B. 2016. Steel markets. Available at: https://www.cirrelt.ca/documentstravail/cirrelt-2016-06.pdf [Accessed: 16 March 2022].</w:t>
      </w:r>
    </w:p>
    <w:p w14:paraId="1B5C7AB2" w14:textId="77777777" w:rsidR="00460A5A" w:rsidRPr="00460A5A" w:rsidRDefault="00460A5A" w:rsidP="00460A5A">
      <w:pPr>
        <w:pStyle w:val="Bibliography"/>
        <w:rPr>
          <w:rFonts w:ascii="Calibri" w:hAnsi="Calibri" w:cs="Calibri"/>
        </w:rPr>
      </w:pPr>
      <w:r w:rsidRPr="00460A5A">
        <w:rPr>
          <w:rFonts w:ascii="Calibri" w:hAnsi="Calibri" w:cs="Calibri"/>
        </w:rPr>
        <w:t xml:space="preserve">Crandall, R.E., Crandall, W.R. and Chen, C.C. 2015. </w:t>
      </w:r>
      <w:r w:rsidRPr="00460A5A">
        <w:rPr>
          <w:rFonts w:ascii="Calibri" w:hAnsi="Calibri" w:cs="Calibri"/>
          <w:i/>
          <w:iCs/>
        </w:rPr>
        <w:t>Principles of Supply Chain Management</w:t>
      </w:r>
      <w:r w:rsidRPr="00460A5A">
        <w:rPr>
          <w:rFonts w:ascii="Calibri" w:hAnsi="Calibri" w:cs="Calibri"/>
        </w:rPr>
        <w:t>. Second. Florida: CRC Press.</w:t>
      </w:r>
    </w:p>
    <w:p w14:paraId="45DBB716" w14:textId="77777777" w:rsidR="00460A5A" w:rsidRPr="00460A5A" w:rsidRDefault="00460A5A" w:rsidP="00460A5A">
      <w:pPr>
        <w:pStyle w:val="Bibliography"/>
        <w:rPr>
          <w:rFonts w:ascii="Calibri" w:hAnsi="Calibri" w:cs="Calibri"/>
        </w:rPr>
      </w:pPr>
      <w:r w:rsidRPr="00460A5A">
        <w:rPr>
          <w:rFonts w:ascii="Calibri" w:hAnsi="Calibri" w:cs="Calibri"/>
        </w:rPr>
        <w:t xml:space="preserve">de Boer, L. 2017. Procedural rationality in supplier selection: Outlining three heuristics for choosing selection criteria. </w:t>
      </w:r>
      <w:r w:rsidRPr="00460A5A">
        <w:rPr>
          <w:rFonts w:ascii="Calibri" w:hAnsi="Calibri" w:cs="Calibri"/>
          <w:i/>
          <w:iCs/>
        </w:rPr>
        <w:t>Management Decision</w:t>
      </w:r>
      <w:r w:rsidRPr="00460A5A">
        <w:rPr>
          <w:rFonts w:ascii="Calibri" w:hAnsi="Calibri" w:cs="Calibri"/>
        </w:rPr>
        <w:t xml:space="preserve"> 55(1), pp. 32–56. Available at: http://www.proquest.com/docview/1858619849/abstract/79DC9638FC5B4842PQ/1 [Accessed: 10 April 2022].</w:t>
      </w:r>
    </w:p>
    <w:p w14:paraId="190B9838" w14:textId="77777777" w:rsidR="00460A5A" w:rsidRPr="00460A5A" w:rsidRDefault="00460A5A" w:rsidP="00460A5A">
      <w:pPr>
        <w:pStyle w:val="Bibliography"/>
        <w:rPr>
          <w:rFonts w:ascii="Calibri" w:hAnsi="Calibri" w:cs="Calibri"/>
        </w:rPr>
      </w:pPr>
      <w:r w:rsidRPr="00460A5A">
        <w:rPr>
          <w:rFonts w:ascii="Calibri" w:hAnsi="Calibri" w:cs="Calibri"/>
        </w:rPr>
        <w:t xml:space="preserve">Duffy, K. 2021. </w:t>
      </w:r>
      <w:r w:rsidRPr="00460A5A">
        <w:rPr>
          <w:rFonts w:ascii="Calibri" w:hAnsi="Calibri" w:cs="Calibri"/>
          <w:i/>
          <w:iCs/>
        </w:rPr>
        <w:t>Global chip shortages are expected to cost automakers $210 billion in 2021 — almost double previous estimates, a consulting firm says</w:t>
      </w:r>
      <w:r w:rsidRPr="00460A5A">
        <w:rPr>
          <w:rFonts w:ascii="Calibri" w:hAnsi="Calibri" w:cs="Calibri"/>
        </w:rPr>
        <w:t>. Available at: https://www.businessinsider.com/global-chip-shortage-supply-chain-cost-auto-industry-210-billion-2021-9 [Accessed: 13 March 2022].</w:t>
      </w:r>
    </w:p>
    <w:p w14:paraId="6CDB4BEC" w14:textId="77777777" w:rsidR="00460A5A" w:rsidRPr="00460A5A" w:rsidRDefault="00460A5A" w:rsidP="00460A5A">
      <w:pPr>
        <w:pStyle w:val="Bibliography"/>
        <w:rPr>
          <w:rFonts w:ascii="Calibri" w:hAnsi="Calibri" w:cs="Calibri"/>
        </w:rPr>
      </w:pPr>
      <w:r w:rsidRPr="00460A5A">
        <w:rPr>
          <w:rFonts w:ascii="Calibri" w:hAnsi="Calibri" w:cs="Calibri"/>
        </w:rPr>
        <w:t xml:space="preserve">DuHadway, S., Carnovale, S. and Hazen, B. 2019. Understanding risk management for intentional supply chain disruptions: risk detection, risk mitigation, and risk recovery. </w:t>
      </w:r>
      <w:r w:rsidRPr="00460A5A">
        <w:rPr>
          <w:rFonts w:ascii="Calibri" w:hAnsi="Calibri" w:cs="Calibri"/>
          <w:i/>
          <w:iCs/>
        </w:rPr>
        <w:t>Annals of Operations Research</w:t>
      </w:r>
      <w:r w:rsidRPr="00460A5A">
        <w:rPr>
          <w:rFonts w:ascii="Calibri" w:hAnsi="Calibri" w:cs="Calibri"/>
        </w:rPr>
        <w:t xml:space="preserve"> 283(1–2), pp. 179–198. Available at: </w:t>
      </w:r>
      <w:r w:rsidRPr="00460A5A">
        <w:rPr>
          <w:rFonts w:ascii="Calibri" w:hAnsi="Calibri" w:cs="Calibri"/>
        </w:rPr>
        <w:lastRenderedPageBreak/>
        <w:t>https://www.proquest.com/docview/2320884596/abstract/3969EF25B1B04BD3PQ/1 [Accessed: 22 March 2022].</w:t>
      </w:r>
    </w:p>
    <w:p w14:paraId="33FC83B0" w14:textId="5F2EC6D8" w:rsidR="00460A5A" w:rsidRPr="00460A5A" w:rsidRDefault="00460A5A" w:rsidP="00460A5A">
      <w:pPr>
        <w:pStyle w:val="Bibliography"/>
        <w:rPr>
          <w:rFonts w:ascii="Calibri" w:hAnsi="Calibri" w:cs="Calibri"/>
        </w:rPr>
      </w:pPr>
      <w:r w:rsidRPr="00460A5A">
        <w:rPr>
          <w:rFonts w:ascii="Calibri" w:hAnsi="Calibri" w:cs="Calibri"/>
        </w:rPr>
        <w:t>Global Steel 2014. Planning to proﬁt from opportunity: preparing for … preview / planning-to-pro-t-from-opportunity-preparing-for.pdf / PDF4PRO. Available at: https://pdf4pro.com/amp/fullscreen/planning-to-pro-t-from-opportunity-preparing-for-3cb05.html [Accessed: 17 April 2022].</w:t>
      </w:r>
    </w:p>
    <w:p w14:paraId="7954C097" w14:textId="208F2A6E" w:rsidR="00460A5A" w:rsidRPr="00460A5A" w:rsidRDefault="00460A5A" w:rsidP="00460A5A">
      <w:pPr>
        <w:pStyle w:val="Bibliography"/>
        <w:rPr>
          <w:rFonts w:ascii="Calibri" w:hAnsi="Calibri" w:cs="Calibri"/>
        </w:rPr>
      </w:pPr>
      <w:r w:rsidRPr="00460A5A">
        <w:rPr>
          <w:rFonts w:ascii="Calibri" w:hAnsi="Calibri" w:cs="Calibri"/>
        </w:rPr>
        <w:t xml:space="preserve">Harrison, A., van Hoek, R. and Skipworth, H. 2014. </w:t>
      </w:r>
      <w:r w:rsidRPr="00460A5A">
        <w:rPr>
          <w:rFonts w:ascii="Calibri" w:hAnsi="Calibri" w:cs="Calibri"/>
          <w:i/>
          <w:iCs/>
        </w:rPr>
        <w:t>Logistics Management and Strategy</w:t>
      </w:r>
      <w:r w:rsidRPr="00460A5A">
        <w:rPr>
          <w:rFonts w:ascii="Calibri" w:hAnsi="Calibri" w:cs="Calibri"/>
        </w:rPr>
        <w:t>. Fifth. Harlow United Kingdom: Pearson Education Limited.</w:t>
      </w:r>
    </w:p>
    <w:p w14:paraId="436D4FE6" w14:textId="77777777" w:rsidR="00460A5A" w:rsidRPr="00460A5A" w:rsidRDefault="00460A5A" w:rsidP="00460A5A">
      <w:pPr>
        <w:pStyle w:val="Bibliography"/>
        <w:rPr>
          <w:rFonts w:ascii="Calibri" w:hAnsi="Calibri" w:cs="Calibri"/>
        </w:rPr>
      </w:pPr>
      <w:r w:rsidRPr="00460A5A">
        <w:rPr>
          <w:rFonts w:ascii="Calibri" w:hAnsi="Calibri" w:cs="Calibri"/>
        </w:rPr>
        <w:t xml:space="preserve">Hart, C. 2021. </w:t>
      </w:r>
      <w:r w:rsidRPr="00460A5A">
        <w:rPr>
          <w:rFonts w:ascii="Calibri" w:hAnsi="Calibri" w:cs="Calibri"/>
          <w:i/>
          <w:iCs/>
        </w:rPr>
        <w:t>Total cost of supply chain disruption in 2020 ‘was $4tn’</w:t>
      </w:r>
      <w:r w:rsidRPr="00460A5A">
        <w:rPr>
          <w:rFonts w:ascii="Calibri" w:hAnsi="Calibri" w:cs="Calibri"/>
        </w:rPr>
        <w:t>. Available at: https://www.cips.org/supply-management/news/2021/march/total-cost-of-supply-chain-disruption-in-2020-was-4tn/ [Accessed: 13 March 2022].</w:t>
      </w:r>
    </w:p>
    <w:p w14:paraId="539F0BE3" w14:textId="77777777" w:rsidR="00460A5A" w:rsidRPr="00460A5A" w:rsidRDefault="00460A5A" w:rsidP="00460A5A">
      <w:pPr>
        <w:pStyle w:val="Bibliography"/>
        <w:rPr>
          <w:rFonts w:ascii="Calibri" w:hAnsi="Calibri" w:cs="Calibri"/>
        </w:rPr>
      </w:pPr>
      <w:r w:rsidRPr="00460A5A">
        <w:rPr>
          <w:rFonts w:ascii="Calibri" w:hAnsi="Calibri" w:cs="Calibri"/>
        </w:rPr>
        <w:t xml:space="preserve">Heckmann, I., Comes, T. and Nickel, S. 2015. A critical review on supply chain risk – Definition, measure and modeling. </w:t>
      </w:r>
      <w:r w:rsidRPr="00460A5A">
        <w:rPr>
          <w:rFonts w:ascii="Calibri" w:hAnsi="Calibri" w:cs="Calibri"/>
          <w:i/>
          <w:iCs/>
        </w:rPr>
        <w:t>Omega</w:t>
      </w:r>
      <w:r w:rsidRPr="00460A5A">
        <w:rPr>
          <w:rFonts w:ascii="Calibri" w:hAnsi="Calibri" w:cs="Calibri"/>
        </w:rPr>
        <w:t xml:space="preserve"> 52, pp. 119–132. Available at: https://www.sciencedirect.com/science/article/pii/S030504831400125X [Accessed: 3 March 2022].</w:t>
      </w:r>
    </w:p>
    <w:p w14:paraId="1797DB6F" w14:textId="77777777" w:rsidR="00460A5A" w:rsidRPr="00460A5A" w:rsidRDefault="00460A5A" w:rsidP="00460A5A">
      <w:pPr>
        <w:pStyle w:val="Bibliography"/>
        <w:rPr>
          <w:rFonts w:ascii="Calibri" w:hAnsi="Calibri" w:cs="Calibri"/>
        </w:rPr>
      </w:pPr>
      <w:r w:rsidRPr="00460A5A">
        <w:rPr>
          <w:rFonts w:ascii="Calibri" w:hAnsi="Calibri" w:cs="Calibri"/>
        </w:rPr>
        <w:t xml:space="preserve">Ho, W., Zheng, T., Yildiz, H. and Talluri, S. 2015. Supply chain risk management: a literature review. </w:t>
      </w:r>
      <w:r w:rsidRPr="00460A5A">
        <w:rPr>
          <w:rFonts w:ascii="Calibri" w:hAnsi="Calibri" w:cs="Calibri"/>
          <w:i/>
          <w:iCs/>
        </w:rPr>
        <w:t>International Journal of Production Research</w:t>
      </w:r>
      <w:r w:rsidRPr="00460A5A">
        <w:rPr>
          <w:rFonts w:ascii="Calibri" w:hAnsi="Calibri" w:cs="Calibri"/>
        </w:rPr>
        <w:t xml:space="preserve"> 53(16), pp. 5031–5069. Available at: http://www.tandfonline.com/doi/full/10.1080/00207543.2015.1030467 [Accessed: 8 March 2022].</w:t>
      </w:r>
    </w:p>
    <w:p w14:paraId="37C9EE3E" w14:textId="2F5B8F42" w:rsidR="00460A5A" w:rsidRPr="00460A5A" w:rsidRDefault="00460A5A" w:rsidP="00460A5A">
      <w:pPr>
        <w:pStyle w:val="Bibliography"/>
        <w:rPr>
          <w:rFonts w:ascii="Calibri" w:hAnsi="Calibri" w:cs="Calibri"/>
        </w:rPr>
      </w:pPr>
      <w:r w:rsidRPr="00460A5A">
        <w:rPr>
          <w:rFonts w:ascii="Calibri" w:hAnsi="Calibri" w:cs="Calibri"/>
        </w:rPr>
        <w:t xml:space="preserve">Iron ore. 2022. </w:t>
      </w:r>
      <w:r w:rsidRPr="00460A5A">
        <w:rPr>
          <w:rFonts w:ascii="Calibri" w:hAnsi="Calibri" w:cs="Calibri"/>
          <w:i/>
          <w:iCs/>
        </w:rPr>
        <w:t>World in maps</w:t>
      </w:r>
      <w:r w:rsidRPr="00460A5A">
        <w:rPr>
          <w:rFonts w:ascii="Calibri" w:hAnsi="Calibri" w:cs="Calibri"/>
        </w:rPr>
        <w:t>. Available at: https://worldinmaps.com/commodities/iron-ore/ [Accessed: 14 April 2022].</w:t>
      </w:r>
    </w:p>
    <w:p w14:paraId="58C58DD9" w14:textId="77777777" w:rsidR="00460A5A" w:rsidRPr="00460A5A" w:rsidRDefault="00460A5A" w:rsidP="00460A5A">
      <w:pPr>
        <w:pStyle w:val="Bibliography"/>
        <w:rPr>
          <w:rFonts w:ascii="Calibri" w:hAnsi="Calibri" w:cs="Calibri"/>
        </w:rPr>
      </w:pPr>
      <w:r w:rsidRPr="00460A5A">
        <w:rPr>
          <w:rFonts w:ascii="Calibri" w:hAnsi="Calibri" w:cs="Calibri"/>
        </w:rPr>
        <w:t xml:space="preserve">Juttner, U., Peck, H. and Martin, C. 2003. Supply chain risk management: outlining an agenda for future research: International Journal of Logistics Research and Applications: Vol 6, No 4. </w:t>
      </w:r>
      <w:r w:rsidRPr="00460A5A">
        <w:rPr>
          <w:rFonts w:ascii="Calibri" w:hAnsi="Calibri" w:cs="Calibri"/>
          <w:i/>
          <w:iCs/>
        </w:rPr>
        <w:t>International Journal of Logistics Research and Applications</w:t>
      </w:r>
      <w:r w:rsidRPr="00460A5A">
        <w:rPr>
          <w:rFonts w:ascii="Calibri" w:hAnsi="Calibri" w:cs="Calibri"/>
        </w:rPr>
        <w:t xml:space="preserve"> 6(4), pp. 197–210. Available at: https://www-tandfonline-com.ezproxy.uwtsd.ac.uk/doi/abs/10.1080/13675560310001627016 [Accessed: 29 March 2022].</w:t>
      </w:r>
    </w:p>
    <w:p w14:paraId="2DDFA90E" w14:textId="77777777" w:rsidR="00460A5A" w:rsidRPr="00460A5A" w:rsidRDefault="00460A5A" w:rsidP="00460A5A">
      <w:pPr>
        <w:pStyle w:val="Bibliography"/>
        <w:rPr>
          <w:rFonts w:ascii="Calibri" w:hAnsi="Calibri" w:cs="Calibri"/>
        </w:rPr>
      </w:pPr>
      <w:r w:rsidRPr="00460A5A">
        <w:rPr>
          <w:rFonts w:ascii="Calibri" w:hAnsi="Calibri" w:cs="Calibri"/>
        </w:rPr>
        <w:t xml:space="preserve">Kingsley, J. 2021. </w:t>
      </w:r>
      <w:r w:rsidRPr="00460A5A">
        <w:rPr>
          <w:rFonts w:ascii="Calibri" w:hAnsi="Calibri" w:cs="Calibri"/>
          <w:i/>
          <w:iCs/>
        </w:rPr>
        <w:t>The Business Costs of Supply Chain Disruption</w:t>
      </w:r>
      <w:r w:rsidRPr="00460A5A">
        <w:rPr>
          <w:rFonts w:ascii="Calibri" w:hAnsi="Calibri" w:cs="Calibri"/>
        </w:rPr>
        <w:t>. Available at: https://impact.economist.com/perspectives/sustainability/business-costs-supply-chain-disruption-1 [Accessed: 13 March 2022].</w:t>
      </w:r>
    </w:p>
    <w:p w14:paraId="78655526" w14:textId="77777777" w:rsidR="00460A5A" w:rsidRPr="00460A5A" w:rsidRDefault="00460A5A" w:rsidP="00460A5A">
      <w:pPr>
        <w:pStyle w:val="Bibliography"/>
        <w:rPr>
          <w:rFonts w:ascii="Calibri" w:hAnsi="Calibri" w:cs="Calibri"/>
        </w:rPr>
      </w:pPr>
      <w:r w:rsidRPr="00460A5A">
        <w:rPr>
          <w:rFonts w:ascii="Calibri" w:hAnsi="Calibri" w:cs="Calibri"/>
        </w:rPr>
        <w:t xml:space="preserve">Kırılmaz, O. and Erol, S. 2017. A proactive approach to supply chain risk management: Shifting orders among suppliers to mitigate the supply side risks. </w:t>
      </w:r>
      <w:r w:rsidRPr="00460A5A">
        <w:rPr>
          <w:rFonts w:ascii="Calibri" w:hAnsi="Calibri" w:cs="Calibri"/>
          <w:i/>
          <w:iCs/>
        </w:rPr>
        <w:t>Journal of Purchasing and Supply Management</w:t>
      </w:r>
      <w:r w:rsidRPr="00460A5A">
        <w:rPr>
          <w:rFonts w:ascii="Calibri" w:hAnsi="Calibri" w:cs="Calibri"/>
        </w:rPr>
        <w:t xml:space="preserve"> 23(1), pp. 54–65. Available at: https://www.sciencedirect.com/science/article/pii/S1478409216300061 [Accessed: 28 March 2022].</w:t>
      </w:r>
    </w:p>
    <w:p w14:paraId="6280958E" w14:textId="77777777" w:rsidR="00460A5A" w:rsidRPr="00460A5A" w:rsidRDefault="00460A5A" w:rsidP="00460A5A">
      <w:pPr>
        <w:pStyle w:val="Bibliography"/>
        <w:rPr>
          <w:rFonts w:ascii="Calibri" w:hAnsi="Calibri" w:cs="Calibri"/>
        </w:rPr>
      </w:pPr>
      <w:r w:rsidRPr="00460A5A">
        <w:rPr>
          <w:rFonts w:ascii="Calibri" w:hAnsi="Calibri" w:cs="Calibri"/>
        </w:rPr>
        <w:t xml:space="preserve">Lai, G., Debo, L.G. and Sycara, K. 2009. Sharing inventory risk in supply chain: The implication of financial constraint. </w:t>
      </w:r>
      <w:r w:rsidRPr="00460A5A">
        <w:rPr>
          <w:rFonts w:ascii="Calibri" w:hAnsi="Calibri" w:cs="Calibri"/>
          <w:i/>
          <w:iCs/>
        </w:rPr>
        <w:t>Omega</w:t>
      </w:r>
      <w:r w:rsidRPr="00460A5A">
        <w:rPr>
          <w:rFonts w:ascii="Calibri" w:hAnsi="Calibri" w:cs="Calibri"/>
        </w:rPr>
        <w:t xml:space="preserve"> 37(4), pp. 811–825. Available at: https://www.sciencedirect.com/science/article/pii/S0305048308000911 [Accessed: 31 March 2022].</w:t>
      </w:r>
    </w:p>
    <w:p w14:paraId="79F64113" w14:textId="77777777" w:rsidR="00460A5A" w:rsidRPr="00460A5A" w:rsidRDefault="00460A5A" w:rsidP="00460A5A">
      <w:pPr>
        <w:pStyle w:val="Bibliography"/>
        <w:rPr>
          <w:rFonts w:ascii="Calibri" w:hAnsi="Calibri" w:cs="Calibri"/>
        </w:rPr>
      </w:pPr>
      <w:r w:rsidRPr="00460A5A">
        <w:rPr>
          <w:rFonts w:ascii="Calibri" w:hAnsi="Calibri" w:cs="Calibri"/>
        </w:rPr>
        <w:t xml:space="preserve">Liu, J., An, R., Xiao, R., Yang, Y., Wang, G. and Wang, Q. 2017. Implications from substance flow analysis, supply chain and supplier’ risk evaluation in iron and steel industry in Mainland China. </w:t>
      </w:r>
      <w:r w:rsidRPr="00460A5A">
        <w:rPr>
          <w:rFonts w:ascii="Calibri" w:hAnsi="Calibri" w:cs="Calibri"/>
          <w:i/>
          <w:iCs/>
        </w:rPr>
        <w:t>Resources Policy</w:t>
      </w:r>
      <w:r w:rsidRPr="00460A5A">
        <w:rPr>
          <w:rFonts w:ascii="Calibri" w:hAnsi="Calibri" w:cs="Calibri"/>
        </w:rPr>
        <w:t xml:space="preserve"> 51, pp. 272–282. Available at: https://www.sciencedirect.com/science/article/pii/S0301420716301635 [Accessed: 27 January 2022].</w:t>
      </w:r>
    </w:p>
    <w:p w14:paraId="772B6398" w14:textId="77777777" w:rsidR="00460A5A" w:rsidRPr="00460A5A" w:rsidRDefault="00460A5A" w:rsidP="00460A5A">
      <w:pPr>
        <w:pStyle w:val="Bibliography"/>
        <w:rPr>
          <w:rFonts w:ascii="Calibri" w:hAnsi="Calibri" w:cs="Calibri"/>
        </w:rPr>
      </w:pPr>
      <w:r w:rsidRPr="00460A5A">
        <w:rPr>
          <w:rFonts w:ascii="Calibri" w:hAnsi="Calibri" w:cs="Calibri"/>
        </w:rPr>
        <w:t xml:space="preserve">Lopes, A.P. and Rodriguez-Lopez, N. 2021. A Decision Support Tool for Supplier Evaluation and Selection. </w:t>
      </w:r>
      <w:r w:rsidRPr="00460A5A">
        <w:rPr>
          <w:rFonts w:ascii="Calibri" w:hAnsi="Calibri" w:cs="Calibri"/>
          <w:i/>
          <w:iCs/>
        </w:rPr>
        <w:t>Sustainability</w:t>
      </w:r>
      <w:r w:rsidRPr="00460A5A">
        <w:rPr>
          <w:rFonts w:ascii="Calibri" w:hAnsi="Calibri" w:cs="Calibri"/>
        </w:rPr>
        <w:t xml:space="preserve"> 13(22), p. 12387. Available at: </w:t>
      </w:r>
      <w:r w:rsidRPr="00460A5A">
        <w:rPr>
          <w:rFonts w:ascii="Calibri" w:hAnsi="Calibri" w:cs="Calibri"/>
        </w:rPr>
        <w:lastRenderedPageBreak/>
        <w:t>https://www.proquest.com/docview/2602244901/abstract/7554B234107E45D6PQ/1 [Accessed: 10 April 2022].</w:t>
      </w:r>
    </w:p>
    <w:p w14:paraId="5698BB6C" w14:textId="77777777" w:rsidR="00460A5A" w:rsidRPr="00460A5A" w:rsidRDefault="00460A5A" w:rsidP="00460A5A">
      <w:pPr>
        <w:pStyle w:val="Bibliography"/>
        <w:rPr>
          <w:rFonts w:ascii="Calibri" w:hAnsi="Calibri" w:cs="Calibri"/>
        </w:rPr>
      </w:pPr>
      <w:r w:rsidRPr="00460A5A">
        <w:rPr>
          <w:rFonts w:ascii="Calibri" w:hAnsi="Calibri" w:cs="Calibri"/>
        </w:rPr>
        <w:t xml:space="preserve">Ma, Y. 2021. Do iron ore, scrap steel, carbon emission allowance, and seaborne transportation prices drive steel price fluctuations? </w:t>
      </w:r>
      <w:r w:rsidRPr="00460A5A">
        <w:rPr>
          <w:rFonts w:ascii="Calibri" w:hAnsi="Calibri" w:cs="Calibri"/>
          <w:i/>
          <w:iCs/>
        </w:rPr>
        <w:t>Resources Policy</w:t>
      </w:r>
      <w:r w:rsidRPr="00460A5A">
        <w:rPr>
          <w:rFonts w:ascii="Calibri" w:hAnsi="Calibri" w:cs="Calibri"/>
        </w:rPr>
        <w:t xml:space="preserve"> 72, p. 102115. Available at: https://www.sciencedirect.com/science/article/pii/S030142072100129X [Accessed: 22 March 2022].</w:t>
      </w:r>
    </w:p>
    <w:p w14:paraId="3C5B0C28" w14:textId="77777777" w:rsidR="00460A5A" w:rsidRPr="00460A5A" w:rsidRDefault="00460A5A" w:rsidP="00460A5A">
      <w:pPr>
        <w:pStyle w:val="Bibliography"/>
        <w:rPr>
          <w:rFonts w:ascii="Calibri" w:hAnsi="Calibri" w:cs="Calibri"/>
        </w:rPr>
      </w:pPr>
      <w:r w:rsidRPr="00460A5A">
        <w:rPr>
          <w:rFonts w:ascii="Calibri" w:hAnsi="Calibri" w:cs="Calibri"/>
        </w:rPr>
        <w:t xml:space="preserve">Namdar, J., Li, X., Sawhney, R. and Pradhan, N. 2018. Supply chain resilience for single and multiple sourcing in the presence of disruption risks. </w:t>
      </w:r>
      <w:r w:rsidRPr="00460A5A">
        <w:rPr>
          <w:rFonts w:ascii="Calibri" w:hAnsi="Calibri" w:cs="Calibri"/>
          <w:i/>
          <w:iCs/>
        </w:rPr>
        <w:t>International Journal of Production Research</w:t>
      </w:r>
      <w:r w:rsidRPr="00460A5A">
        <w:rPr>
          <w:rFonts w:ascii="Calibri" w:hAnsi="Calibri" w:cs="Calibri"/>
        </w:rPr>
        <w:t xml:space="preserve"> 56(6), pp. 2339–2360. Available at: https://www.tandfonline.com/doi/full/10.1080/00207543.2017.1370149 [Accessed: 5 April 2022].</w:t>
      </w:r>
    </w:p>
    <w:p w14:paraId="0BEE1FEB" w14:textId="77777777" w:rsidR="00460A5A" w:rsidRPr="00460A5A" w:rsidRDefault="00460A5A" w:rsidP="00460A5A">
      <w:pPr>
        <w:pStyle w:val="Bibliography"/>
        <w:rPr>
          <w:rFonts w:ascii="Calibri" w:hAnsi="Calibri" w:cs="Calibri"/>
        </w:rPr>
      </w:pPr>
      <w:r w:rsidRPr="00460A5A">
        <w:rPr>
          <w:rFonts w:ascii="Calibri" w:hAnsi="Calibri" w:cs="Calibri"/>
        </w:rPr>
        <w:t xml:space="preserve">Otsuka, H., Mattera, G. and Silva, F. 2017. </w:t>
      </w:r>
      <w:r w:rsidRPr="00460A5A">
        <w:rPr>
          <w:rFonts w:ascii="Calibri" w:hAnsi="Calibri" w:cs="Calibri"/>
          <w:i/>
          <w:iCs/>
        </w:rPr>
        <w:t>A first look at the steel industry in the context of global value chains</w:t>
      </w:r>
      <w:r w:rsidRPr="00460A5A">
        <w:rPr>
          <w:rFonts w:ascii="Calibri" w:hAnsi="Calibri" w:cs="Calibri"/>
        </w:rPr>
        <w:t>. Paris: Organisation for Economic Co-operation and Development., p. 46.</w:t>
      </w:r>
    </w:p>
    <w:p w14:paraId="494B357D" w14:textId="77777777" w:rsidR="00460A5A" w:rsidRPr="00460A5A" w:rsidRDefault="00460A5A" w:rsidP="00460A5A">
      <w:pPr>
        <w:pStyle w:val="Bibliography"/>
        <w:rPr>
          <w:rFonts w:ascii="Calibri" w:hAnsi="Calibri" w:cs="Calibri"/>
        </w:rPr>
      </w:pPr>
      <w:r w:rsidRPr="00460A5A">
        <w:rPr>
          <w:rFonts w:ascii="Calibri" w:hAnsi="Calibri" w:cs="Calibri"/>
        </w:rPr>
        <w:t xml:space="preserve">Parkouhi, S.V. and Ghadikolaei, A.S. 2017. A resilience approach for supplier selection: Using Fuzzy Analytic Network Process and grey VIKOR techniques. </w:t>
      </w:r>
      <w:r w:rsidRPr="00460A5A">
        <w:rPr>
          <w:rFonts w:ascii="Calibri" w:hAnsi="Calibri" w:cs="Calibri"/>
          <w:i/>
          <w:iCs/>
        </w:rPr>
        <w:t>Journal of Cleaner Production</w:t>
      </w:r>
      <w:r w:rsidRPr="00460A5A">
        <w:rPr>
          <w:rFonts w:ascii="Calibri" w:hAnsi="Calibri" w:cs="Calibri"/>
        </w:rPr>
        <w:t xml:space="preserve"> 161, pp. 431–451. Available at: https://www.sciencedirect.com/science/article/pii/S0959652617308740 [Accessed: 10 April 2022].</w:t>
      </w:r>
    </w:p>
    <w:p w14:paraId="654FE250" w14:textId="77777777" w:rsidR="00460A5A" w:rsidRPr="00460A5A" w:rsidRDefault="00460A5A" w:rsidP="00460A5A">
      <w:pPr>
        <w:pStyle w:val="Bibliography"/>
        <w:rPr>
          <w:rFonts w:ascii="Calibri" w:hAnsi="Calibri" w:cs="Calibri"/>
        </w:rPr>
      </w:pPr>
      <w:r w:rsidRPr="00460A5A">
        <w:rPr>
          <w:rFonts w:ascii="Calibri" w:hAnsi="Calibri" w:cs="Calibri"/>
        </w:rPr>
        <w:t xml:space="preserve">Pinto, J. 2019. </w:t>
      </w:r>
      <w:r w:rsidRPr="00460A5A">
        <w:rPr>
          <w:rFonts w:ascii="Calibri" w:hAnsi="Calibri" w:cs="Calibri"/>
          <w:i/>
          <w:iCs/>
        </w:rPr>
        <w:t>Sustainable resource management in european steel supply chains</w:t>
      </w:r>
      <w:r w:rsidRPr="00460A5A">
        <w:rPr>
          <w:rFonts w:ascii="Calibri" w:hAnsi="Calibri" w:cs="Calibri"/>
        </w:rPr>
        <w:t>. Doctorate, France: Universty of Clermont Auvergne.</w:t>
      </w:r>
    </w:p>
    <w:p w14:paraId="44A9F21A" w14:textId="77777777" w:rsidR="00460A5A" w:rsidRPr="00460A5A" w:rsidRDefault="00460A5A" w:rsidP="00460A5A">
      <w:pPr>
        <w:pStyle w:val="Bibliography"/>
        <w:rPr>
          <w:rFonts w:ascii="Calibri" w:hAnsi="Calibri" w:cs="Calibri"/>
        </w:rPr>
      </w:pPr>
      <w:r w:rsidRPr="00460A5A">
        <w:rPr>
          <w:rFonts w:ascii="Calibri" w:hAnsi="Calibri" w:cs="Calibri"/>
        </w:rPr>
        <w:t xml:space="preserve">Pinto, J.T.M. and Diemer, A. 2020. Supply chain integration strategies and circularity in the European steel industry. </w:t>
      </w:r>
      <w:r w:rsidRPr="00460A5A">
        <w:rPr>
          <w:rFonts w:ascii="Calibri" w:hAnsi="Calibri" w:cs="Calibri"/>
          <w:i/>
          <w:iCs/>
        </w:rPr>
        <w:t>Resources, Conservation and Recycling</w:t>
      </w:r>
      <w:r w:rsidRPr="00460A5A">
        <w:rPr>
          <w:rFonts w:ascii="Calibri" w:hAnsi="Calibri" w:cs="Calibri"/>
        </w:rPr>
        <w:t xml:space="preserve"> 153, p. 104517. Available at: https://www.sciencedirect.com/science/article/pii/S0921344919304239 [Accessed: 27 January 2022].</w:t>
      </w:r>
    </w:p>
    <w:p w14:paraId="46B99D85" w14:textId="77777777" w:rsidR="00460A5A" w:rsidRPr="00460A5A" w:rsidRDefault="00460A5A" w:rsidP="00460A5A">
      <w:pPr>
        <w:pStyle w:val="Bibliography"/>
        <w:rPr>
          <w:rFonts w:ascii="Calibri" w:hAnsi="Calibri" w:cs="Calibri"/>
        </w:rPr>
      </w:pPr>
      <w:r w:rsidRPr="00460A5A">
        <w:rPr>
          <w:rFonts w:ascii="Calibri" w:hAnsi="Calibri" w:cs="Calibri"/>
        </w:rPr>
        <w:t xml:space="preserve">Pinto, J.T.M., Sverdrup, H.U. and Diemer, A. 2019. Integrating life cycle analysis into system dynamics: the case of steel in Europe. </w:t>
      </w:r>
      <w:r w:rsidRPr="00460A5A">
        <w:rPr>
          <w:rFonts w:ascii="Calibri" w:hAnsi="Calibri" w:cs="Calibri"/>
          <w:i/>
          <w:iCs/>
        </w:rPr>
        <w:t>Environmental Systems Research</w:t>
      </w:r>
      <w:r w:rsidRPr="00460A5A">
        <w:rPr>
          <w:rFonts w:ascii="Calibri" w:hAnsi="Calibri" w:cs="Calibri"/>
        </w:rPr>
        <w:t xml:space="preserve"> 8(1). Available at: https://www.proquest.com/docview/2223105623/abstract/E166C426F5BD43C9PQ/1 [Accessed: 27 January 2022].</w:t>
      </w:r>
    </w:p>
    <w:p w14:paraId="59DCDB7F" w14:textId="77777777" w:rsidR="00460A5A" w:rsidRPr="00460A5A" w:rsidRDefault="00460A5A" w:rsidP="00460A5A">
      <w:pPr>
        <w:pStyle w:val="Bibliography"/>
        <w:rPr>
          <w:rFonts w:ascii="Calibri" w:hAnsi="Calibri" w:cs="Calibri"/>
        </w:rPr>
      </w:pPr>
      <w:r w:rsidRPr="00460A5A">
        <w:rPr>
          <w:rFonts w:ascii="Calibri" w:hAnsi="Calibri" w:cs="Calibri"/>
        </w:rPr>
        <w:t xml:space="preserve">Potter, A., Mason, R., Naim, M. and Lalwani, C. 2004. The evolution towards an integrated steel supply chain: A case study from the UK. </w:t>
      </w:r>
      <w:r w:rsidRPr="00460A5A">
        <w:rPr>
          <w:rFonts w:ascii="Calibri" w:hAnsi="Calibri" w:cs="Calibri"/>
          <w:i/>
          <w:iCs/>
        </w:rPr>
        <w:t>International Journal of Production Economics</w:t>
      </w:r>
      <w:r w:rsidRPr="00460A5A">
        <w:rPr>
          <w:rFonts w:ascii="Calibri" w:hAnsi="Calibri" w:cs="Calibri"/>
        </w:rPr>
        <w:t xml:space="preserve"> 89(2), pp. 207–216. Available at: https://www.sciencedirect.com/science/article/pii/S0925527302004498 [Accessed: 27 January 2022].</w:t>
      </w:r>
    </w:p>
    <w:p w14:paraId="08DD6B5C" w14:textId="1910F179" w:rsidR="00460A5A" w:rsidRPr="00460A5A" w:rsidRDefault="00460A5A" w:rsidP="00460A5A">
      <w:pPr>
        <w:pStyle w:val="Bibliography"/>
        <w:rPr>
          <w:rFonts w:ascii="Calibri" w:hAnsi="Calibri" w:cs="Calibri"/>
        </w:rPr>
      </w:pPr>
      <w:r w:rsidRPr="00460A5A">
        <w:rPr>
          <w:rFonts w:ascii="Calibri" w:hAnsi="Calibri" w:cs="Calibri"/>
        </w:rPr>
        <w:t>Samvedi, A., Jain, V. and Chan, Felix</w:t>
      </w:r>
      <w:r w:rsidR="00E1006A">
        <w:rPr>
          <w:rFonts w:ascii="Calibri" w:hAnsi="Calibri" w:cs="Calibri"/>
        </w:rPr>
        <w:t xml:space="preserve"> </w:t>
      </w:r>
      <w:r w:rsidRPr="00460A5A">
        <w:rPr>
          <w:rFonts w:ascii="Calibri" w:hAnsi="Calibri" w:cs="Calibri"/>
        </w:rPr>
        <w:t xml:space="preserve">T.S. 2013. Quantifying risks in a supply chain through integration of fuzzy AHP and fuzzy TOPSIS. </w:t>
      </w:r>
      <w:r w:rsidRPr="00460A5A">
        <w:rPr>
          <w:rFonts w:ascii="Calibri" w:hAnsi="Calibri" w:cs="Calibri"/>
          <w:i/>
          <w:iCs/>
        </w:rPr>
        <w:t>International Journal of Production Research</w:t>
      </w:r>
      <w:r w:rsidRPr="00460A5A">
        <w:rPr>
          <w:rFonts w:ascii="Calibri" w:hAnsi="Calibri" w:cs="Calibri"/>
        </w:rPr>
        <w:t xml:space="preserve"> 51(8), pp. 2433–2442. Available at: https://ezproxy.uwtsd.ac.uk/login?url=https://search.ebscohost.com/login.aspx?direct=true&amp;db=bth&amp;AN=85879206&amp;site=ehost-live [Accessed: 21 March 2022].</w:t>
      </w:r>
    </w:p>
    <w:p w14:paraId="316C6231" w14:textId="77777777" w:rsidR="00460A5A" w:rsidRPr="00460A5A" w:rsidRDefault="00460A5A" w:rsidP="00460A5A">
      <w:pPr>
        <w:pStyle w:val="Bibliography"/>
        <w:rPr>
          <w:rFonts w:ascii="Calibri" w:hAnsi="Calibri" w:cs="Calibri"/>
        </w:rPr>
      </w:pPr>
      <w:r w:rsidRPr="00460A5A">
        <w:rPr>
          <w:rFonts w:ascii="Calibri" w:hAnsi="Calibri" w:cs="Calibri"/>
        </w:rPr>
        <w:t xml:space="preserve">Sandhu, M.A., Helo, P. and Kristianto, Y. 2013. Steel supply chain management by simulation modelling. </w:t>
      </w:r>
      <w:r w:rsidRPr="00460A5A">
        <w:rPr>
          <w:rFonts w:ascii="Calibri" w:hAnsi="Calibri" w:cs="Calibri"/>
          <w:i/>
          <w:iCs/>
        </w:rPr>
        <w:t>Benchmarking</w:t>
      </w:r>
      <w:r w:rsidRPr="00460A5A">
        <w:rPr>
          <w:rFonts w:ascii="Calibri" w:hAnsi="Calibri" w:cs="Calibri"/>
        </w:rPr>
        <w:t xml:space="preserve"> 20(1), pp. 45–61. Available at: https://www.proquest.com/docview/1288077580/abstract/D0403E2F8CCE4939PQ/1 [Accessed: 27 January 2022].</w:t>
      </w:r>
    </w:p>
    <w:p w14:paraId="25FFCD5D" w14:textId="77777777" w:rsidR="00460A5A" w:rsidRPr="00460A5A" w:rsidRDefault="00460A5A" w:rsidP="00460A5A">
      <w:pPr>
        <w:pStyle w:val="Bibliography"/>
        <w:rPr>
          <w:rFonts w:ascii="Calibri" w:hAnsi="Calibri" w:cs="Calibri"/>
        </w:rPr>
      </w:pPr>
      <w:r w:rsidRPr="00460A5A">
        <w:rPr>
          <w:rFonts w:ascii="Calibri" w:hAnsi="Calibri" w:cs="Calibri"/>
        </w:rPr>
        <w:t>Seven countries with the largest iron ore reserves in the world in 2019. [no date]. Available at: https://www.nsenergybusiness.com/features/world-iron-ore-reserves-countries/ [Accessed: 14 April 2022].</w:t>
      </w:r>
    </w:p>
    <w:p w14:paraId="61764146" w14:textId="77777777" w:rsidR="00460A5A" w:rsidRPr="00460A5A" w:rsidRDefault="00460A5A" w:rsidP="00460A5A">
      <w:pPr>
        <w:pStyle w:val="Bibliography"/>
        <w:rPr>
          <w:rFonts w:ascii="Calibri" w:hAnsi="Calibri" w:cs="Calibri"/>
        </w:rPr>
      </w:pPr>
      <w:r w:rsidRPr="00460A5A">
        <w:rPr>
          <w:rFonts w:ascii="Calibri" w:hAnsi="Calibri" w:cs="Calibri"/>
        </w:rPr>
        <w:lastRenderedPageBreak/>
        <w:t xml:space="preserve">Tang, C.S. 2006. Perspectives in supply chain risk management. </w:t>
      </w:r>
      <w:r w:rsidRPr="00460A5A">
        <w:rPr>
          <w:rFonts w:ascii="Calibri" w:hAnsi="Calibri" w:cs="Calibri"/>
          <w:i/>
          <w:iCs/>
        </w:rPr>
        <w:t>International Journal of Production Economics</w:t>
      </w:r>
      <w:r w:rsidRPr="00460A5A">
        <w:rPr>
          <w:rFonts w:ascii="Calibri" w:hAnsi="Calibri" w:cs="Calibri"/>
        </w:rPr>
        <w:t xml:space="preserve"> 103(2), pp. 451–488. Available at: https://www.sciencedirect.com/science/article/pii/S0925527306000405 [Accessed: 3 March 2022].</w:t>
      </w:r>
    </w:p>
    <w:p w14:paraId="10B30821" w14:textId="77777777" w:rsidR="00460A5A" w:rsidRPr="00460A5A" w:rsidRDefault="00460A5A" w:rsidP="00460A5A">
      <w:pPr>
        <w:pStyle w:val="Bibliography"/>
        <w:rPr>
          <w:rFonts w:ascii="Calibri" w:hAnsi="Calibri" w:cs="Calibri"/>
        </w:rPr>
      </w:pPr>
      <w:r w:rsidRPr="00460A5A">
        <w:rPr>
          <w:rFonts w:ascii="Calibri" w:hAnsi="Calibri" w:cs="Calibri"/>
        </w:rPr>
        <w:t xml:space="preserve">This Week 2021. </w:t>
      </w:r>
      <w:r w:rsidRPr="00460A5A">
        <w:rPr>
          <w:rFonts w:ascii="Calibri" w:hAnsi="Calibri" w:cs="Calibri"/>
          <w:i/>
          <w:iCs/>
        </w:rPr>
        <w:t>Tata Steel to boost iron ore production to 45 million tonnes per annum in 5 yrs</w:t>
      </w:r>
      <w:r w:rsidRPr="00460A5A">
        <w:rPr>
          <w:rFonts w:ascii="Calibri" w:hAnsi="Calibri" w:cs="Calibri"/>
        </w:rPr>
        <w:t>. Available at: https://www.theweek.in/news/biz-tech/2021/11/28/tata-steel-to-boost-iron-ore-production-to-45-million-tonnes-per-annum-in-5-yrs.html [Accessed: 17 April 2022].</w:t>
      </w:r>
    </w:p>
    <w:p w14:paraId="3F4B8A78" w14:textId="77777777" w:rsidR="00460A5A" w:rsidRPr="00460A5A" w:rsidRDefault="00460A5A" w:rsidP="00460A5A">
      <w:pPr>
        <w:pStyle w:val="Bibliography"/>
        <w:rPr>
          <w:rFonts w:ascii="Calibri" w:hAnsi="Calibri" w:cs="Calibri"/>
        </w:rPr>
      </w:pPr>
      <w:r w:rsidRPr="00460A5A">
        <w:rPr>
          <w:rFonts w:ascii="Calibri" w:hAnsi="Calibri" w:cs="Calibri"/>
        </w:rPr>
        <w:t xml:space="preserve">Tukamuhabwa, B., Stevenson, M. and Busby, J. 2017. Supply chain resilience in a developing country context: a case study on the interconnectedness of threats, strategies and outcomes. </w:t>
      </w:r>
      <w:r w:rsidRPr="00460A5A">
        <w:rPr>
          <w:rFonts w:ascii="Calibri" w:hAnsi="Calibri" w:cs="Calibri"/>
          <w:i/>
          <w:iCs/>
        </w:rPr>
        <w:t>Supply Chain Management</w:t>
      </w:r>
      <w:r w:rsidRPr="00460A5A">
        <w:rPr>
          <w:rFonts w:ascii="Calibri" w:hAnsi="Calibri" w:cs="Calibri"/>
        </w:rPr>
        <w:t xml:space="preserve"> 22(6), pp. 486–505. Available at: http://www.proquest.com/docview/2532952540/abstract/592CD2C62AC44624PQ/1 [Accessed: 28 March 2022].</w:t>
      </w:r>
    </w:p>
    <w:p w14:paraId="500BE513" w14:textId="77777777" w:rsidR="00460A5A" w:rsidRPr="00460A5A" w:rsidRDefault="00460A5A" w:rsidP="00460A5A">
      <w:pPr>
        <w:pStyle w:val="Bibliography"/>
        <w:rPr>
          <w:rFonts w:ascii="Calibri" w:hAnsi="Calibri" w:cs="Calibri"/>
        </w:rPr>
      </w:pPr>
      <w:r w:rsidRPr="00460A5A">
        <w:rPr>
          <w:rFonts w:ascii="Calibri" w:hAnsi="Calibri" w:cs="Calibri"/>
        </w:rPr>
        <w:t xml:space="preserve">Tummala, R. and Schoenherr, T. 2011. Assessing and managing risks using the Supply Chain Risk Management Process (SCRMP). </w:t>
      </w:r>
      <w:r w:rsidRPr="00460A5A">
        <w:rPr>
          <w:rFonts w:ascii="Calibri" w:hAnsi="Calibri" w:cs="Calibri"/>
          <w:i/>
          <w:iCs/>
        </w:rPr>
        <w:t>Supply Chain Management</w:t>
      </w:r>
      <w:r w:rsidRPr="00460A5A">
        <w:rPr>
          <w:rFonts w:ascii="Calibri" w:hAnsi="Calibri" w:cs="Calibri"/>
        </w:rPr>
        <w:t xml:space="preserve"> 16(6), pp. 474–483. Available at: http://www.proquest.com/docview/895358914/abstract/8B6D06B6A33C49C8PQ/1 [Accessed: 21 March 2022].</w:t>
      </w:r>
    </w:p>
    <w:p w14:paraId="735FEEAE" w14:textId="77777777" w:rsidR="00460A5A" w:rsidRPr="00460A5A" w:rsidRDefault="00460A5A" w:rsidP="00460A5A">
      <w:pPr>
        <w:pStyle w:val="Bibliography"/>
        <w:rPr>
          <w:rFonts w:ascii="Calibri" w:hAnsi="Calibri" w:cs="Calibri"/>
        </w:rPr>
      </w:pPr>
      <w:r w:rsidRPr="00460A5A">
        <w:rPr>
          <w:rFonts w:ascii="Calibri" w:hAnsi="Calibri" w:cs="Calibri"/>
        </w:rPr>
        <w:t xml:space="preserve">Urciuoli, L., Mohanty, S., Hintsa, J. and Boekesteijn, E.G. 2014. The resilience of energy supply chains: a multiple case study approach on oil and gas supply chains to Europe. </w:t>
      </w:r>
      <w:r w:rsidRPr="00460A5A">
        <w:rPr>
          <w:rFonts w:ascii="Calibri" w:hAnsi="Calibri" w:cs="Calibri"/>
          <w:i/>
          <w:iCs/>
        </w:rPr>
        <w:t>Supply Chain Management</w:t>
      </w:r>
      <w:r w:rsidRPr="00460A5A">
        <w:rPr>
          <w:rFonts w:ascii="Calibri" w:hAnsi="Calibri" w:cs="Calibri"/>
        </w:rPr>
        <w:t xml:space="preserve"> 19(1), pp. 46–63. Available at: http://www.proquest.com/docview/1476457531/abstract/254BF59784894456PQ/1 [Accessed: 30 March 2022].</w:t>
      </w:r>
    </w:p>
    <w:p w14:paraId="42546ED0" w14:textId="77777777" w:rsidR="00460A5A" w:rsidRPr="00460A5A" w:rsidRDefault="00460A5A" w:rsidP="00460A5A">
      <w:pPr>
        <w:pStyle w:val="Bibliography"/>
        <w:rPr>
          <w:rFonts w:ascii="Calibri" w:hAnsi="Calibri" w:cs="Calibri"/>
        </w:rPr>
      </w:pPr>
      <w:r w:rsidRPr="00460A5A">
        <w:rPr>
          <w:rFonts w:ascii="Calibri" w:hAnsi="Calibri" w:cs="Calibri"/>
        </w:rPr>
        <w:t xml:space="preserve">Wu, T., Blackhurst, J. and Chidambaram, V. 2006. A model for inbound supply risk analysis. </w:t>
      </w:r>
      <w:r w:rsidRPr="00460A5A">
        <w:rPr>
          <w:rFonts w:ascii="Calibri" w:hAnsi="Calibri" w:cs="Calibri"/>
          <w:i/>
          <w:iCs/>
        </w:rPr>
        <w:t>Computers in Industry</w:t>
      </w:r>
      <w:r w:rsidRPr="00460A5A">
        <w:rPr>
          <w:rFonts w:ascii="Calibri" w:hAnsi="Calibri" w:cs="Calibri"/>
        </w:rPr>
        <w:t xml:space="preserve"> 57(4), pp. 350–365. Available at: https://www.sciencedirect.com/science/article/pii/S016636150500179X [Accessed: 22 March 2022].</w:t>
      </w:r>
    </w:p>
    <w:p w14:paraId="3C2C0717" w14:textId="77777777" w:rsidR="00460A5A" w:rsidRPr="00460A5A" w:rsidRDefault="00460A5A" w:rsidP="00460A5A">
      <w:pPr>
        <w:pStyle w:val="Bibliography"/>
        <w:rPr>
          <w:rFonts w:ascii="Calibri" w:hAnsi="Calibri" w:cs="Calibri"/>
        </w:rPr>
      </w:pPr>
      <w:r w:rsidRPr="00460A5A">
        <w:rPr>
          <w:rFonts w:ascii="Calibri" w:hAnsi="Calibri" w:cs="Calibri"/>
        </w:rPr>
        <w:t xml:space="preserve">Xiao, T. and Yang, D. 2009. Risk sharing and information revelation mechanism of a one-manufacturer and one-retailer supply chain facing an integrated competitor. </w:t>
      </w:r>
      <w:r w:rsidRPr="00460A5A">
        <w:rPr>
          <w:rFonts w:ascii="Calibri" w:hAnsi="Calibri" w:cs="Calibri"/>
          <w:i/>
          <w:iCs/>
        </w:rPr>
        <w:t>European Journal of Operational Research</w:t>
      </w:r>
      <w:r w:rsidRPr="00460A5A">
        <w:rPr>
          <w:rFonts w:ascii="Calibri" w:hAnsi="Calibri" w:cs="Calibri"/>
        </w:rPr>
        <w:t xml:space="preserve"> 196(3), pp. 1076–1085. Available at: https://www.sciencedirect.com/science/article/pii/S0377221708004074 [Accessed: 30 March 2022].</w:t>
      </w:r>
    </w:p>
    <w:p w14:paraId="3D4BB464" w14:textId="54B982B0" w:rsidR="009443AA" w:rsidRPr="009443AA" w:rsidRDefault="004B4484" w:rsidP="004B4484">
      <w:pPr>
        <w:spacing w:line="360" w:lineRule="auto"/>
        <w:jc w:val="both"/>
      </w:pPr>
      <w:r>
        <w:fldChar w:fldCharType="end"/>
      </w:r>
    </w:p>
    <w:sectPr w:rsidR="009443AA" w:rsidRPr="009443AA" w:rsidSect="00196715">
      <w:headerReference w:type="default"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6A58D" w14:textId="77777777" w:rsidR="00561E23" w:rsidRDefault="00561E23" w:rsidP="00561E23">
      <w:pPr>
        <w:spacing w:after="0" w:line="240" w:lineRule="auto"/>
      </w:pPr>
      <w:r>
        <w:separator/>
      </w:r>
    </w:p>
  </w:endnote>
  <w:endnote w:type="continuationSeparator" w:id="0">
    <w:p w14:paraId="4B7AD206" w14:textId="77777777" w:rsidR="00561E23" w:rsidRDefault="00561E23" w:rsidP="00561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70B56" w14:textId="77777777" w:rsidR="00561E23" w:rsidRDefault="00561E23">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5615A03A" w14:textId="77777777" w:rsidR="00561E23" w:rsidRDefault="00561E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E7002" w14:textId="77777777" w:rsidR="00561E23" w:rsidRDefault="00561E23" w:rsidP="00561E23">
      <w:pPr>
        <w:spacing w:after="0" w:line="240" w:lineRule="auto"/>
      </w:pPr>
      <w:r>
        <w:separator/>
      </w:r>
    </w:p>
  </w:footnote>
  <w:footnote w:type="continuationSeparator" w:id="0">
    <w:p w14:paraId="252E43CA" w14:textId="77777777" w:rsidR="00561E23" w:rsidRDefault="00561E23" w:rsidP="00561E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F05A1" w14:textId="57733A25" w:rsidR="00416930" w:rsidRDefault="00416930">
    <w:pPr>
      <w:spacing w:line="264" w:lineRule="auto"/>
    </w:pPr>
    <w:r>
      <w:rPr>
        <w:noProof/>
      </w:rPr>
      <w:pict w14:anchorId="6204B8AE">
        <v:rect id="Rectangle 222" o:spid="_x0000_s2049"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page" anchory="page"/>
        </v:rect>
      </w:pict>
    </w:r>
    <w:sdt>
      <w:sdtPr>
        <w:rPr>
          <w:color w:val="5B9BD5" w:themeColor="accent1"/>
          <w:sz w:val="20"/>
          <w:szCs w:val="20"/>
        </w:rPr>
        <w:alias w:val="Title"/>
        <w:id w:val="15524250"/>
        <w:placeholder>
          <w:docPart w:val="6149DE4DC5494071BC8082314C54F94E"/>
        </w:placeholder>
        <w:dataBinding w:prefixMappings="xmlns:ns0='http://schemas.openxmlformats.org/package/2006/metadata/core-properties' xmlns:ns1='http://purl.org/dc/elements/1.1/'" w:xpath="/ns0:coreProperties[1]/ns1:title[1]" w:storeItemID="{6C3C8BC8-F283-45AE-878A-BAB7291924A1}"/>
        <w:text/>
      </w:sdtPr>
      <w:sdtContent>
        <w:r>
          <w:rPr>
            <w:color w:val="5B9BD5" w:themeColor="accent1"/>
            <w:sz w:val="20"/>
            <w:szCs w:val="20"/>
          </w:rPr>
          <w:t>Improving Supply chain Performance</w:t>
        </w:r>
      </w:sdtContent>
    </w:sdt>
  </w:p>
  <w:p w14:paraId="46375F8E" w14:textId="77777777" w:rsidR="00416930" w:rsidRDefault="004169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705C0"/>
    <w:multiLevelType w:val="hybridMultilevel"/>
    <w:tmpl w:val="954E4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07836"/>
    <w:multiLevelType w:val="hybridMultilevel"/>
    <w:tmpl w:val="F5C414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1F01FA"/>
    <w:multiLevelType w:val="hybridMultilevel"/>
    <w:tmpl w:val="10A84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741627"/>
    <w:multiLevelType w:val="hybridMultilevel"/>
    <w:tmpl w:val="E37A3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C36047"/>
    <w:multiLevelType w:val="hybridMultilevel"/>
    <w:tmpl w:val="93747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CF5E6F"/>
    <w:multiLevelType w:val="hybridMultilevel"/>
    <w:tmpl w:val="759A2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DD7543"/>
    <w:multiLevelType w:val="hybridMultilevel"/>
    <w:tmpl w:val="9C643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FB5A8F"/>
    <w:multiLevelType w:val="hybridMultilevel"/>
    <w:tmpl w:val="B86C8722"/>
    <w:lvl w:ilvl="0" w:tplc="482402E0">
      <w:start w:val="4"/>
      <w:numFmt w:val="bullet"/>
      <w:lvlText w:val="-"/>
      <w:lvlJc w:val="left"/>
      <w:pPr>
        <w:ind w:left="1995" w:hanging="360"/>
      </w:pPr>
      <w:rPr>
        <w:rFonts w:ascii="Calibri" w:eastAsiaTheme="minorHAnsi" w:hAnsi="Calibri" w:cs="Calibri" w:hint="default"/>
      </w:rPr>
    </w:lvl>
    <w:lvl w:ilvl="1" w:tplc="08090003" w:tentative="1">
      <w:start w:val="1"/>
      <w:numFmt w:val="bullet"/>
      <w:lvlText w:val="o"/>
      <w:lvlJc w:val="left"/>
      <w:pPr>
        <w:ind w:left="2715" w:hanging="360"/>
      </w:pPr>
      <w:rPr>
        <w:rFonts w:ascii="Courier New" w:hAnsi="Courier New" w:cs="Courier New" w:hint="default"/>
      </w:rPr>
    </w:lvl>
    <w:lvl w:ilvl="2" w:tplc="08090005" w:tentative="1">
      <w:start w:val="1"/>
      <w:numFmt w:val="bullet"/>
      <w:lvlText w:val=""/>
      <w:lvlJc w:val="left"/>
      <w:pPr>
        <w:ind w:left="3435" w:hanging="360"/>
      </w:pPr>
      <w:rPr>
        <w:rFonts w:ascii="Wingdings" w:hAnsi="Wingdings" w:hint="default"/>
      </w:rPr>
    </w:lvl>
    <w:lvl w:ilvl="3" w:tplc="08090001" w:tentative="1">
      <w:start w:val="1"/>
      <w:numFmt w:val="bullet"/>
      <w:lvlText w:val=""/>
      <w:lvlJc w:val="left"/>
      <w:pPr>
        <w:ind w:left="4155" w:hanging="360"/>
      </w:pPr>
      <w:rPr>
        <w:rFonts w:ascii="Symbol" w:hAnsi="Symbol" w:hint="default"/>
      </w:rPr>
    </w:lvl>
    <w:lvl w:ilvl="4" w:tplc="08090003" w:tentative="1">
      <w:start w:val="1"/>
      <w:numFmt w:val="bullet"/>
      <w:lvlText w:val="o"/>
      <w:lvlJc w:val="left"/>
      <w:pPr>
        <w:ind w:left="4875" w:hanging="360"/>
      </w:pPr>
      <w:rPr>
        <w:rFonts w:ascii="Courier New" w:hAnsi="Courier New" w:cs="Courier New" w:hint="default"/>
      </w:rPr>
    </w:lvl>
    <w:lvl w:ilvl="5" w:tplc="08090005" w:tentative="1">
      <w:start w:val="1"/>
      <w:numFmt w:val="bullet"/>
      <w:lvlText w:val=""/>
      <w:lvlJc w:val="left"/>
      <w:pPr>
        <w:ind w:left="5595" w:hanging="360"/>
      </w:pPr>
      <w:rPr>
        <w:rFonts w:ascii="Wingdings" w:hAnsi="Wingdings" w:hint="default"/>
      </w:rPr>
    </w:lvl>
    <w:lvl w:ilvl="6" w:tplc="08090001" w:tentative="1">
      <w:start w:val="1"/>
      <w:numFmt w:val="bullet"/>
      <w:lvlText w:val=""/>
      <w:lvlJc w:val="left"/>
      <w:pPr>
        <w:ind w:left="6315" w:hanging="360"/>
      </w:pPr>
      <w:rPr>
        <w:rFonts w:ascii="Symbol" w:hAnsi="Symbol" w:hint="default"/>
      </w:rPr>
    </w:lvl>
    <w:lvl w:ilvl="7" w:tplc="08090003" w:tentative="1">
      <w:start w:val="1"/>
      <w:numFmt w:val="bullet"/>
      <w:lvlText w:val="o"/>
      <w:lvlJc w:val="left"/>
      <w:pPr>
        <w:ind w:left="7035" w:hanging="360"/>
      </w:pPr>
      <w:rPr>
        <w:rFonts w:ascii="Courier New" w:hAnsi="Courier New" w:cs="Courier New" w:hint="default"/>
      </w:rPr>
    </w:lvl>
    <w:lvl w:ilvl="8" w:tplc="08090005" w:tentative="1">
      <w:start w:val="1"/>
      <w:numFmt w:val="bullet"/>
      <w:lvlText w:val=""/>
      <w:lvlJc w:val="left"/>
      <w:pPr>
        <w:ind w:left="7755" w:hanging="360"/>
      </w:pPr>
      <w:rPr>
        <w:rFonts w:ascii="Wingdings" w:hAnsi="Wingdings" w:hint="default"/>
      </w:rPr>
    </w:lvl>
  </w:abstractNum>
  <w:abstractNum w:abstractNumId="8" w15:restartNumberingAfterBreak="0">
    <w:nsid w:val="43136581"/>
    <w:multiLevelType w:val="hybridMultilevel"/>
    <w:tmpl w:val="8BA48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231C40"/>
    <w:multiLevelType w:val="hybridMultilevel"/>
    <w:tmpl w:val="7BF27CFA"/>
    <w:lvl w:ilvl="0" w:tplc="0809000F">
      <w:start w:val="1"/>
      <w:numFmt w:val="decimal"/>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15:restartNumberingAfterBreak="0">
    <w:nsid w:val="4EF0158D"/>
    <w:multiLevelType w:val="hybridMultilevel"/>
    <w:tmpl w:val="D3DC3E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4730AE5"/>
    <w:multiLevelType w:val="hybridMultilevel"/>
    <w:tmpl w:val="A610404E"/>
    <w:lvl w:ilvl="0" w:tplc="86A4C058">
      <w:start w:val="4"/>
      <w:numFmt w:val="bullet"/>
      <w:lvlText w:val="-"/>
      <w:lvlJc w:val="left"/>
      <w:pPr>
        <w:ind w:left="1995" w:hanging="360"/>
      </w:pPr>
      <w:rPr>
        <w:rFonts w:ascii="Calibri" w:eastAsiaTheme="minorHAnsi" w:hAnsi="Calibri" w:cs="Calibri" w:hint="default"/>
      </w:rPr>
    </w:lvl>
    <w:lvl w:ilvl="1" w:tplc="08090003" w:tentative="1">
      <w:start w:val="1"/>
      <w:numFmt w:val="bullet"/>
      <w:lvlText w:val="o"/>
      <w:lvlJc w:val="left"/>
      <w:pPr>
        <w:ind w:left="2715" w:hanging="360"/>
      </w:pPr>
      <w:rPr>
        <w:rFonts w:ascii="Courier New" w:hAnsi="Courier New" w:cs="Courier New" w:hint="default"/>
      </w:rPr>
    </w:lvl>
    <w:lvl w:ilvl="2" w:tplc="08090005" w:tentative="1">
      <w:start w:val="1"/>
      <w:numFmt w:val="bullet"/>
      <w:lvlText w:val=""/>
      <w:lvlJc w:val="left"/>
      <w:pPr>
        <w:ind w:left="3435" w:hanging="360"/>
      </w:pPr>
      <w:rPr>
        <w:rFonts w:ascii="Wingdings" w:hAnsi="Wingdings" w:hint="default"/>
      </w:rPr>
    </w:lvl>
    <w:lvl w:ilvl="3" w:tplc="08090001" w:tentative="1">
      <w:start w:val="1"/>
      <w:numFmt w:val="bullet"/>
      <w:lvlText w:val=""/>
      <w:lvlJc w:val="left"/>
      <w:pPr>
        <w:ind w:left="4155" w:hanging="360"/>
      </w:pPr>
      <w:rPr>
        <w:rFonts w:ascii="Symbol" w:hAnsi="Symbol" w:hint="default"/>
      </w:rPr>
    </w:lvl>
    <w:lvl w:ilvl="4" w:tplc="08090003" w:tentative="1">
      <w:start w:val="1"/>
      <w:numFmt w:val="bullet"/>
      <w:lvlText w:val="o"/>
      <w:lvlJc w:val="left"/>
      <w:pPr>
        <w:ind w:left="4875" w:hanging="360"/>
      </w:pPr>
      <w:rPr>
        <w:rFonts w:ascii="Courier New" w:hAnsi="Courier New" w:cs="Courier New" w:hint="default"/>
      </w:rPr>
    </w:lvl>
    <w:lvl w:ilvl="5" w:tplc="08090005" w:tentative="1">
      <w:start w:val="1"/>
      <w:numFmt w:val="bullet"/>
      <w:lvlText w:val=""/>
      <w:lvlJc w:val="left"/>
      <w:pPr>
        <w:ind w:left="5595" w:hanging="360"/>
      </w:pPr>
      <w:rPr>
        <w:rFonts w:ascii="Wingdings" w:hAnsi="Wingdings" w:hint="default"/>
      </w:rPr>
    </w:lvl>
    <w:lvl w:ilvl="6" w:tplc="08090001" w:tentative="1">
      <w:start w:val="1"/>
      <w:numFmt w:val="bullet"/>
      <w:lvlText w:val=""/>
      <w:lvlJc w:val="left"/>
      <w:pPr>
        <w:ind w:left="6315" w:hanging="360"/>
      </w:pPr>
      <w:rPr>
        <w:rFonts w:ascii="Symbol" w:hAnsi="Symbol" w:hint="default"/>
      </w:rPr>
    </w:lvl>
    <w:lvl w:ilvl="7" w:tplc="08090003" w:tentative="1">
      <w:start w:val="1"/>
      <w:numFmt w:val="bullet"/>
      <w:lvlText w:val="o"/>
      <w:lvlJc w:val="left"/>
      <w:pPr>
        <w:ind w:left="7035" w:hanging="360"/>
      </w:pPr>
      <w:rPr>
        <w:rFonts w:ascii="Courier New" w:hAnsi="Courier New" w:cs="Courier New" w:hint="default"/>
      </w:rPr>
    </w:lvl>
    <w:lvl w:ilvl="8" w:tplc="08090005" w:tentative="1">
      <w:start w:val="1"/>
      <w:numFmt w:val="bullet"/>
      <w:lvlText w:val=""/>
      <w:lvlJc w:val="left"/>
      <w:pPr>
        <w:ind w:left="7755" w:hanging="360"/>
      </w:pPr>
      <w:rPr>
        <w:rFonts w:ascii="Wingdings" w:hAnsi="Wingdings" w:hint="default"/>
      </w:rPr>
    </w:lvl>
  </w:abstractNum>
  <w:abstractNum w:abstractNumId="12" w15:restartNumberingAfterBreak="0">
    <w:nsid w:val="646550C4"/>
    <w:multiLevelType w:val="hybridMultilevel"/>
    <w:tmpl w:val="566E1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E57569"/>
    <w:multiLevelType w:val="hybridMultilevel"/>
    <w:tmpl w:val="34E46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982F5B"/>
    <w:multiLevelType w:val="hybridMultilevel"/>
    <w:tmpl w:val="E8A0E0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9759F4"/>
    <w:multiLevelType w:val="hybridMultilevel"/>
    <w:tmpl w:val="7BB2E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120ED4"/>
    <w:multiLevelType w:val="hybridMultilevel"/>
    <w:tmpl w:val="E280046A"/>
    <w:lvl w:ilvl="0" w:tplc="BDE69F18">
      <w:start w:val="4"/>
      <w:numFmt w:val="bullet"/>
      <w:lvlText w:val="-"/>
      <w:lvlJc w:val="left"/>
      <w:pPr>
        <w:ind w:left="1950" w:hanging="360"/>
      </w:pPr>
      <w:rPr>
        <w:rFonts w:ascii="Calibri" w:eastAsiaTheme="minorHAnsi" w:hAnsi="Calibri" w:cs="Calibri" w:hint="default"/>
      </w:rPr>
    </w:lvl>
    <w:lvl w:ilvl="1" w:tplc="08090003" w:tentative="1">
      <w:start w:val="1"/>
      <w:numFmt w:val="bullet"/>
      <w:lvlText w:val="o"/>
      <w:lvlJc w:val="left"/>
      <w:pPr>
        <w:ind w:left="2670" w:hanging="360"/>
      </w:pPr>
      <w:rPr>
        <w:rFonts w:ascii="Courier New" w:hAnsi="Courier New" w:cs="Courier New" w:hint="default"/>
      </w:rPr>
    </w:lvl>
    <w:lvl w:ilvl="2" w:tplc="08090005" w:tentative="1">
      <w:start w:val="1"/>
      <w:numFmt w:val="bullet"/>
      <w:lvlText w:val=""/>
      <w:lvlJc w:val="left"/>
      <w:pPr>
        <w:ind w:left="3390" w:hanging="360"/>
      </w:pPr>
      <w:rPr>
        <w:rFonts w:ascii="Wingdings" w:hAnsi="Wingdings" w:hint="default"/>
      </w:rPr>
    </w:lvl>
    <w:lvl w:ilvl="3" w:tplc="08090001" w:tentative="1">
      <w:start w:val="1"/>
      <w:numFmt w:val="bullet"/>
      <w:lvlText w:val=""/>
      <w:lvlJc w:val="left"/>
      <w:pPr>
        <w:ind w:left="4110" w:hanging="360"/>
      </w:pPr>
      <w:rPr>
        <w:rFonts w:ascii="Symbol" w:hAnsi="Symbol" w:hint="default"/>
      </w:rPr>
    </w:lvl>
    <w:lvl w:ilvl="4" w:tplc="08090003" w:tentative="1">
      <w:start w:val="1"/>
      <w:numFmt w:val="bullet"/>
      <w:lvlText w:val="o"/>
      <w:lvlJc w:val="left"/>
      <w:pPr>
        <w:ind w:left="4830" w:hanging="360"/>
      </w:pPr>
      <w:rPr>
        <w:rFonts w:ascii="Courier New" w:hAnsi="Courier New" w:cs="Courier New" w:hint="default"/>
      </w:rPr>
    </w:lvl>
    <w:lvl w:ilvl="5" w:tplc="08090005" w:tentative="1">
      <w:start w:val="1"/>
      <w:numFmt w:val="bullet"/>
      <w:lvlText w:val=""/>
      <w:lvlJc w:val="left"/>
      <w:pPr>
        <w:ind w:left="5550" w:hanging="360"/>
      </w:pPr>
      <w:rPr>
        <w:rFonts w:ascii="Wingdings" w:hAnsi="Wingdings" w:hint="default"/>
      </w:rPr>
    </w:lvl>
    <w:lvl w:ilvl="6" w:tplc="08090001" w:tentative="1">
      <w:start w:val="1"/>
      <w:numFmt w:val="bullet"/>
      <w:lvlText w:val=""/>
      <w:lvlJc w:val="left"/>
      <w:pPr>
        <w:ind w:left="6270" w:hanging="360"/>
      </w:pPr>
      <w:rPr>
        <w:rFonts w:ascii="Symbol" w:hAnsi="Symbol" w:hint="default"/>
      </w:rPr>
    </w:lvl>
    <w:lvl w:ilvl="7" w:tplc="08090003" w:tentative="1">
      <w:start w:val="1"/>
      <w:numFmt w:val="bullet"/>
      <w:lvlText w:val="o"/>
      <w:lvlJc w:val="left"/>
      <w:pPr>
        <w:ind w:left="6990" w:hanging="360"/>
      </w:pPr>
      <w:rPr>
        <w:rFonts w:ascii="Courier New" w:hAnsi="Courier New" w:cs="Courier New" w:hint="default"/>
      </w:rPr>
    </w:lvl>
    <w:lvl w:ilvl="8" w:tplc="08090005" w:tentative="1">
      <w:start w:val="1"/>
      <w:numFmt w:val="bullet"/>
      <w:lvlText w:val=""/>
      <w:lvlJc w:val="left"/>
      <w:pPr>
        <w:ind w:left="7710" w:hanging="360"/>
      </w:pPr>
      <w:rPr>
        <w:rFonts w:ascii="Wingdings" w:hAnsi="Wingdings" w:hint="default"/>
      </w:rPr>
    </w:lvl>
  </w:abstractNum>
  <w:abstractNum w:abstractNumId="17" w15:restartNumberingAfterBreak="0">
    <w:nsid w:val="75E40EA7"/>
    <w:multiLevelType w:val="hybridMultilevel"/>
    <w:tmpl w:val="A1E41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3108547">
    <w:abstractNumId w:val="8"/>
  </w:num>
  <w:num w:numId="2" w16cid:durableId="1251965235">
    <w:abstractNumId w:val="16"/>
  </w:num>
  <w:num w:numId="3" w16cid:durableId="1413820947">
    <w:abstractNumId w:val="7"/>
  </w:num>
  <w:num w:numId="4" w16cid:durableId="222837185">
    <w:abstractNumId w:val="11"/>
  </w:num>
  <w:num w:numId="5" w16cid:durableId="1353338373">
    <w:abstractNumId w:val="0"/>
  </w:num>
  <w:num w:numId="6" w16cid:durableId="1682973042">
    <w:abstractNumId w:val="10"/>
  </w:num>
  <w:num w:numId="7" w16cid:durableId="160389752">
    <w:abstractNumId w:val="6"/>
  </w:num>
  <w:num w:numId="8" w16cid:durableId="1910338628">
    <w:abstractNumId w:val="15"/>
  </w:num>
  <w:num w:numId="9" w16cid:durableId="1452675845">
    <w:abstractNumId w:val="4"/>
  </w:num>
  <w:num w:numId="10" w16cid:durableId="1224757282">
    <w:abstractNumId w:val="12"/>
  </w:num>
  <w:num w:numId="11" w16cid:durableId="1204753387">
    <w:abstractNumId w:val="13"/>
  </w:num>
  <w:num w:numId="12" w16cid:durableId="1512405073">
    <w:abstractNumId w:val="2"/>
  </w:num>
  <w:num w:numId="13" w16cid:durableId="1362239157">
    <w:abstractNumId w:val="17"/>
  </w:num>
  <w:num w:numId="14" w16cid:durableId="2057316818">
    <w:abstractNumId w:val="9"/>
  </w:num>
  <w:num w:numId="15" w16cid:durableId="539629281">
    <w:abstractNumId w:val="3"/>
  </w:num>
  <w:num w:numId="16" w16cid:durableId="355274939">
    <w:abstractNumId w:val="5"/>
  </w:num>
  <w:num w:numId="17" w16cid:durableId="718675052">
    <w:abstractNumId w:val="1"/>
  </w:num>
  <w:num w:numId="18" w16cid:durableId="146311417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96715"/>
    <w:rsid w:val="000004D5"/>
    <w:rsid w:val="00000654"/>
    <w:rsid w:val="000031E6"/>
    <w:rsid w:val="00003A4C"/>
    <w:rsid w:val="000040D8"/>
    <w:rsid w:val="000061D2"/>
    <w:rsid w:val="00010D52"/>
    <w:rsid w:val="00011ED1"/>
    <w:rsid w:val="000149D6"/>
    <w:rsid w:val="00017979"/>
    <w:rsid w:val="00017D30"/>
    <w:rsid w:val="0002055B"/>
    <w:rsid w:val="00021F02"/>
    <w:rsid w:val="00022D88"/>
    <w:rsid w:val="00022EC3"/>
    <w:rsid w:val="00023054"/>
    <w:rsid w:val="0002331E"/>
    <w:rsid w:val="00023790"/>
    <w:rsid w:val="0002575E"/>
    <w:rsid w:val="00027FD2"/>
    <w:rsid w:val="000335BB"/>
    <w:rsid w:val="000335EE"/>
    <w:rsid w:val="0003361F"/>
    <w:rsid w:val="00036387"/>
    <w:rsid w:val="00036DF1"/>
    <w:rsid w:val="00037D3C"/>
    <w:rsid w:val="00040B63"/>
    <w:rsid w:val="00040CC7"/>
    <w:rsid w:val="000422E2"/>
    <w:rsid w:val="0004289C"/>
    <w:rsid w:val="00042933"/>
    <w:rsid w:val="000432B7"/>
    <w:rsid w:val="00043608"/>
    <w:rsid w:val="0004455C"/>
    <w:rsid w:val="0004496C"/>
    <w:rsid w:val="000451DF"/>
    <w:rsid w:val="00045ACC"/>
    <w:rsid w:val="00047962"/>
    <w:rsid w:val="00047D17"/>
    <w:rsid w:val="00051289"/>
    <w:rsid w:val="00052BD2"/>
    <w:rsid w:val="00052EE1"/>
    <w:rsid w:val="00055E0D"/>
    <w:rsid w:val="0005611B"/>
    <w:rsid w:val="00056EDB"/>
    <w:rsid w:val="00060851"/>
    <w:rsid w:val="000634DE"/>
    <w:rsid w:val="000673C7"/>
    <w:rsid w:val="000709CB"/>
    <w:rsid w:val="00070FA5"/>
    <w:rsid w:val="00071880"/>
    <w:rsid w:val="000731C7"/>
    <w:rsid w:val="00080667"/>
    <w:rsid w:val="00080804"/>
    <w:rsid w:val="00081152"/>
    <w:rsid w:val="000811A2"/>
    <w:rsid w:val="00081EF7"/>
    <w:rsid w:val="0008382F"/>
    <w:rsid w:val="00083E8C"/>
    <w:rsid w:val="00086D00"/>
    <w:rsid w:val="000929C5"/>
    <w:rsid w:val="00093821"/>
    <w:rsid w:val="00097CB8"/>
    <w:rsid w:val="000A141A"/>
    <w:rsid w:val="000A397F"/>
    <w:rsid w:val="000A7AF3"/>
    <w:rsid w:val="000B0C45"/>
    <w:rsid w:val="000B268A"/>
    <w:rsid w:val="000B2711"/>
    <w:rsid w:val="000B350C"/>
    <w:rsid w:val="000B3C09"/>
    <w:rsid w:val="000B40D2"/>
    <w:rsid w:val="000B6E21"/>
    <w:rsid w:val="000B7214"/>
    <w:rsid w:val="000B744C"/>
    <w:rsid w:val="000C1CB1"/>
    <w:rsid w:val="000C1F0E"/>
    <w:rsid w:val="000C277B"/>
    <w:rsid w:val="000C4638"/>
    <w:rsid w:val="000C537E"/>
    <w:rsid w:val="000C5EBB"/>
    <w:rsid w:val="000C65B9"/>
    <w:rsid w:val="000C737C"/>
    <w:rsid w:val="000C7A2C"/>
    <w:rsid w:val="000D0A37"/>
    <w:rsid w:val="000D1AAB"/>
    <w:rsid w:val="000D1BAE"/>
    <w:rsid w:val="000D56E1"/>
    <w:rsid w:val="000E09E3"/>
    <w:rsid w:val="000E1543"/>
    <w:rsid w:val="000E6439"/>
    <w:rsid w:val="000E6B57"/>
    <w:rsid w:val="000E78BE"/>
    <w:rsid w:val="000F1537"/>
    <w:rsid w:val="000F2095"/>
    <w:rsid w:val="000F3995"/>
    <w:rsid w:val="000F4CF8"/>
    <w:rsid w:val="000F5F8F"/>
    <w:rsid w:val="000F74BE"/>
    <w:rsid w:val="0010038B"/>
    <w:rsid w:val="0010080F"/>
    <w:rsid w:val="001040BF"/>
    <w:rsid w:val="001049FB"/>
    <w:rsid w:val="00104C07"/>
    <w:rsid w:val="00105455"/>
    <w:rsid w:val="001068EA"/>
    <w:rsid w:val="001079A3"/>
    <w:rsid w:val="00110455"/>
    <w:rsid w:val="00110677"/>
    <w:rsid w:val="00110DF3"/>
    <w:rsid w:val="00111368"/>
    <w:rsid w:val="0011139E"/>
    <w:rsid w:val="0011231A"/>
    <w:rsid w:val="0011327E"/>
    <w:rsid w:val="00113AC0"/>
    <w:rsid w:val="001140C2"/>
    <w:rsid w:val="0011775B"/>
    <w:rsid w:val="00117B12"/>
    <w:rsid w:val="00120B2F"/>
    <w:rsid w:val="0012145D"/>
    <w:rsid w:val="00121A44"/>
    <w:rsid w:val="00121E2B"/>
    <w:rsid w:val="001233CD"/>
    <w:rsid w:val="001270E7"/>
    <w:rsid w:val="00130398"/>
    <w:rsid w:val="00132578"/>
    <w:rsid w:val="00133EE3"/>
    <w:rsid w:val="00134999"/>
    <w:rsid w:val="00135A18"/>
    <w:rsid w:val="00136960"/>
    <w:rsid w:val="00136F4E"/>
    <w:rsid w:val="001403CA"/>
    <w:rsid w:val="0014274D"/>
    <w:rsid w:val="00142AB2"/>
    <w:rsid w:val="001430B1"/>
    <w:rsid w:val="0014475D"/>
    <w:rsid w:val="00145B4E"/>
    <w:rsid w:val="001461B9"/>
    <w:rsid w:val="00150BDC"/>
    <w:rsid w:val="00151963"/>
    <w:rsid w:val="0015265B"/>
    <w:rsid w:val="00155728"/>
    <w:rsid w:val="00155DE6"/>
    <w:rsid w:val="00155E63"/>
    <w:rsid w:val="00156A7B"/>
    <w:rsid w:val="001609B3"/>
    <w:rsid w:val="0016139A"/>
    <w:rsid w:val="00161684"/>
    <w:rsid w:val="00164E50"/>
    <w:rsid w:val="001667E9"/>
    <w:rsid w:val="00170049"/>
    <w:rsid w:val="00171A22"/>
    <w:rsid w:val="00175388"/>
    <w:rsid w:val="00177199"/>
    <w:rsid w:val="00180083"/>
    <w:rsid w:val="0018173F"/>
    <w:rsid w:val="00181C04"/>
    <w:rsid w:val="001841FE"/>
    <w:rsid w:val="00184CF8"/>
    <w:rsid w:val="00185288"/>
    <w:rsid w:val="00186C83"/>
    <w:rsid w:val="00187C80"/>
    <w:rsid w:val="00187F3E"/>
    <w:rsid w:val="00194135"/>
    <w:rsid w:val="0019489D"/>
    <w:rsid w:val="0019492B"/>
    <w:rsid w:val="00196236"/>
    <w:rsid w:val="00196715"/>
    <w:rsid w:val="001967F3"/>
    <w:rsid w:val="0019699F"/>
    <w:rsid w:val="00196C97"/>
    <w:rsid w:val="001A367B"/>
    <w:rsid w:val="001A6FB2"/>
    <w:rsid w:val="001B0B96"/>
    <w:rsid w:val="001B0DB6"/>
    <w:rsid w:val="001B15B3"/>
    <w:rsid w:val="001B3623"/>
    <w:rsid w:val="001B3957"/>
    <w:rsid w:val="001B3E55"/>
    <w:rsid w:val="001B5B5D"/>
    <w:rsid w:val="001B7774"/>
    <w:rsid w:val="001C1520"/>
    <w:rsid w:val="001C27BD"/>
    <w:rsid w:val="001C390A"/>
    <w:rsid w:val="001C3B20"/>
    <w:rsid w:val="001C54CD"/>
    <w:rsid w:val="001C7664"/>
    <w:rsid w:val="001C7C45"/>
    <w:rsid w:val="001D0482"/>
    <w:rsid w:val="001D2C5B"/>
    <w:rsid w:val="001D2F25"/>
    <w:rsid w:val="001D41A3"/>
    <w:rsid w:val="001D4BD8"/>
    <w:rsid w:val="001D5170"/>
    <w:rsid w:val="001D517F"/>
    <w:rsid w:val="001D57C7"/>
    <w:rsid w:val="001D59DF"/>
    <w:rsid w:val="001D6256"/>
    <w:rsid w:val="001D69F2"/>
    <w:rsid w:val="001E0042"/>
    <w:rsid w:val="001E1D94"/>
    <w:rsid w:val="001E2439"/>
    <w:rsid w:val="001E35A6"/>
    <w:rsid w:val="001E6954"/>
    <w:rsid w:val="001E7143"/>
    <w:rsid w:val="001E73EE"/>
    <w:rsid w:val="001E77CA"/>
    <w:rsid w:val="001E7C4C"/>
    <w:rsid w:val="001F1234"/>
    <w:rsid w:val="001F1558"/>
    <w:rsid w:val="001F1E3E"/>
    <w:rsid w:val="001F2C25"/>
    <w:rsid w:val="001F40B5"/>
    <w:rsid w:val="001F4175"/>
    <w:rsid w:val="001F5264"/>
    <w:rsid w:val="001F5BD7"/>
    <w:rsid w:val="001F6C9F"/>
    <w:rsid w:val="00200529"/>
    <w:rsid w:val="002006E7"/>
    <w:rsid w:val="00200EF2"/>
    <w:rsid w:val="002029E1"/>
    <w:rsid w:val="002059B2"/>
    <w:rsid w:val="00207EF9"/>
    <w:rsid w:val="002103E7"/>
    <w:rsid w:val="00211642"/>
    <w:rsid w:val="00211A7A"/>
    <w:rsid w:val="00212137"/>
    <w:rsid w:val="00215014"/>
    <w:rsid w:val="0021570E"/>
    <w:rsid w:val="002171D4"/>
    <w:rsid w:val="002255EE"/>
    <w:rsid w:val="00225897"/>
    <w:rsid w:val="0022624B"/>
    <w:rsid w:val="00227DBF"/>
    <w:rsid w:val="002331D6"/>
    <w:rsid w:val="002353DE"/>
    <w:rsid w:val="00236BEF"/>
    <w:rsid w:val="002372C4"/>
    <w:rsid w:val="002406A9"/>
    <w:rsid w:val="00244EE8"/>
    <w:rsid w:val="00251C63"/>
    <w:rsid w:val="00251E1B"/>
    <w:rsid w:val="00252D93"/>
    <w:rsid w:val="0025303B"/>
    <w:rsid w:val="00253393"/>
    <w:rsid w:val="00253625"/>
    <w:rsid w:val="00253D70"/>
    <w:rsid w:val="0025446C"/>
    <w:rsid w:val="002549D6"/>
    <w:rsid w:val="00254A0C"/>
    <w:rsid w:val="00254D0C"/>
    <w:rsid w:val="00255435"/>
    <w:rsid w:val="00257E3F"/>
    <w:rsid w:val="00260706"/>
    <w:rsid w:val="00262477"/>
    <w:rsid w:val="002639A9"/>
    <w:rsid w:val="002703DC"/>
    <w:rsid w:val="00270B8D"/>
    <w:rsid w:val="00271A8F"/>
    <w:rsid w:val="002740D6"/>
    <w:rsid w:val="002741F5"/>
    <w:rsid w:val="00276870"/>
    <w:rsid w:val="0027755C"/>
    <w:rsid w:val="002807F3"/>
    <w:rsid w:val="00280FD2"/>
    <w:rsid w:val="00281A51"/>
    <w:rsid w:val="00282998"/>
    <w:rsid w:val="002858A3"/>
    <w:rsid w:val="00286098"/>
    <w:rsid w:val="00290D68"/>
    <w:rsid w:val="00292A53"/>
    <w:rsid w:val="0029389D"/>
    <w:rsid w:val="00296163"/>
    <w:rsid w:val="00296206"/>
    <w:rsid w:val="00297627"/>
    <w:rsid w:val="002A03E5"/>
    <w:rsid w:val="002A358E"/>
    <w:rsid w:val="002A4DED"/>
    <w:rsid w:val="002A7720"/>
    <w:rsid w:val="002A7A41"/>
    <w:rsid w:val="002B449C"/>
    <w:rsid w:val="002B45BF"/>
    <w:rsid w:val="002B5DEA"/>
    <w:rsid w:val="002B650C"/>
    <w:rsid w:val="002B7B10"/>
    <w:rsid w:val="002C06D7"/>
    <w:rsid w:val="002C312F"/>
    <w:rsid w:val="002D2002"/>
    <w:rsid w:val="002D3F6A"/>
    <w:rsid w:val="002D4105"/>
    <w:rsid w:val="002D672B"/>
    <w:rsid w:val="002D7238"/>
    <w:rsid w:val="002E00DD"/>
    <w:rsid w:val="002E0FDF"/>
    <w:rsid w:val="002E3D06"/>
    <w:rsid w:val="002E49D6"/>
    <w:rsid w:val="002E5056"/>
    <w:rsid w:val="002E6772"/>
    <w:rsid w:val="002F3484"/>
    <w:rsid w:val="002F35A6"/>
    <w:rsid w:val="002F3A37"/>
    <w:rsid w:val="002F4AA0"/>
    <w:rsid w:val="002F4E19"/>
    <w:rsid w:val="002F64D9"/>
    <w:rsid w:val="002F6F7C"/>
    <w:rsid w:val="0030052E"/>
    <w:rsid w:val="00301155"/>
    <w:rsid w:val="00303142"/>
    <w:rsid w:val="0030446F"/>
    <w:rsid w:val="003059A2"/>
    <w:rsid w:val="00305DF1"/>
    <w:rsid w:val="00311158"/>
    <w:rsid w:val="003113BB"/>
    <w:rsid w:val="00312717"/>
    <w:rsid w:val="00313657"/>
    <w:rsid w:val="003143DA"/>
    <w:rsid w:val="00316632"/>
    <w:rsid w:val="003175AE"/>
    <w:rsid w:val="00320185"/>
    <w:rsid w:val="00322B8E"/>
    <w:rsid w:val="003241D0"/>
    <w:rsid w:val="00324A36"/>
    <w:rsid w:val="0032736C"/>
    <w:rsid w:val="003278DF"/>
    <w:rsid w:val="00330D5F"/>
    <w:rsid w:val="003327BA"/>
    <w:rsid w:val="0033295A"/>
    <w:rsid w:val="00333117"/>
    <w:rsid w:val="0033573E"/>
    <w:rsid w:val="00335FD3"/>
    <w:rsid w:val="00336584"/>
    <w:rsid w:val="00336AF5"/>
    <w:rsid w:val="00341648"/>
    <w:rsid w:val="00343A46"/>
    <w:rsid w:val="003458C9"/>
    <w:rsid w:val="00352BB1"/>
    <w:rsid w:val="00352CB3"/>
    <w:rsid w:val="00354062"/>
    <w:rsid w:val="00356D1D"/>
    <w:rsid w:val="00357163"/>
    <w:rsid w:val="00364E7B"/>
    <w:rsid w:val="00365BBC"/>
    <w:rsid w:val="00365FB2"/>
    <w:rsid w:val="00366251"/>
    <w:rsid w:val="00366688"/>
    <w:rsid w:val="00371629"/>
    <w:rsid w:val="003719CC"/>
    <w:rsid w:val="00372B4C"/>
    <w:rsid w:val="003739E3"/>
    <w:rsid w:val="0038320B"/>
    <w:rsid w:val="00386E7D"/>
    <w:rsid w:val="003906BD"/>
    <w:rsid w:val="00391031"/>
    <w:rsid w:val="00391B4D"/>
    <w:rsid w:val="00391DAB"/>
    <w:rsid w:val="00391F91"/>
    <w:rsid w:val="00396B7B"/>
    <w:rsid w:val="00397300"/>
    <w:rsid w:val="00397FF0"/>
    <w:rsid w:val="003A306B"/>
    <w:rsid w:val="003A65CA"/>
    <w:rsid w:val="003A69E5"/>
    <w:rsid w:val="003B1C44"/>
    <w:rsid w:val="003B4C8F"/>
    <w:rsid w:val="003B4CBD"/>
    <w:rsid w:val="003B6438"/>
    <w:rsid w:val="003B6764"/>
    <w:rsid w:val="003B7590"/>
    <w:rsid w:val="003C0B2D"/>
    <w:rsid w:val="003C37AD"/>
    <w:rsid w:val="003C50F4"/>
    <w:rsid w:val="003C57BD"/>
    <w:rsid w:val="003C584E"/>
    <w:rsid w:val="003D1542"/>
    <w:rsid w:val="003D3AE7"/>
    <w:rsid w:val="003D4A4A"/>
    <w:rsid w:val="003D5FB5"/>
    <w:rsid w:val="003E1FA3"/>
    <w:rsid w:val="003E35A4"/>
    <w:rsid w:val="003E5797"/>
    <w:rsid w:val="003E5E42"/>
    <w:rsid w:val="003E73B9"/>
    <w:rsid w:val="003E79E1"/>
    <w:rsid w:val="003F03C4"/>
    <w:rsid w:val="003F5BE7"/>
    <w:rsid w:val="003F687D"/>
    <w:rsid w:val="003F6C29"/>
    <w:rsid w:val="003F70A1"/>
    <w:rsid w:val="003F79B1"/>
    <w:rsid w:val="004007FF"/>
    <w:rsid w:val="00400C54"/>
    <w:rsid w:val="00401623"/>
    <w:rsid w:val="004019F7"/>
    <w:rsid w:val="00403212"/>
    <w:rsid w:val="00403C0A"/>
    <w:rsid w:val="00403C7B"/>
    <w:rsid w:val="004041E9"/>
    <w:rsid w:val="00404628"/>
    <w:rsid w:val="00404DCA"/>
    <w:rsid w:val="00407935"/>
    <w:rsid w:val="00407D35"/>
    <w:rsid w:val="0041110B"/>
    <w:rsid w:val="00413643"/>
    <w:rsid w:val="00415C62"/>
    <w:rsid w:val="00416930"/>
    <w:rsid w:val="00416EB7"/>
    <w:rsid w:val="00416F7B"/>
    <w:rsid w:val="004209EA"/>
    <w:rsid w:val="00420AC6"/>
    <w:rsid w:val="00422BA9"/>
    <w:rsid w:val="00423B9E"/>
    <w:rsid w:val="004246FC"/>
    <w:rsid w:val="00426A46"/>
    <w:rsid w:val="004276E6"/>
    <w:rsid w:val="00427719"/>
    <w:rsid w:val="004304FC"/>
    <w:rsid w:val="00430DC8"/>
    <w:rsid w:val="00432426"/>
    <w:rsid w:val="00435A63"/>
    <w:rsid w:val="0044478A"/>
    <w:rsid w:val="00444CB7"/>
    <w:rsid w:val="004459F9"/>
    <w:rsid w:val="00450184"/>
    <w:rsid w:val="0045056D"/>
    <w:rsid w:val="00451134"/>
    <w:rsid w:val="00452811"/>
    <w:rsid w:val="00452A3C"/>
    <w:rsid w:val="00453A9E"/>
    <w:rsid w:val="00455905"/>
    <w:rsid w:val="00456E26"/>
    <w:rsid w:val="00457E33"/>
    <w:rsid w:val="00460552"/>
    <w:rsid w:val="004606EB"/>
    <w:rsid w:val="00460A5A"/>
    <w:rsid w:val="00460E44"/>
    <w:rsid w:val="00461BDB"/>
    <w:rsid w:val="00462AE5"/>
    <w:rsid w:val="004643C8"/>
    <w:rsid w:val="004646C5"/>
    <w:rsid w:val="00464FE9"/>
    <w:rsid w:val="00465896"/>
    <w:rsid w:val="00465D30"/>
    <w:rsid w:val="0046751E"/>
    <w:rsid w:val="00467879"/>
    <w:rsid w:val="00470C93"/>
    <w:rsid w:val="00473401"/>
    <w:rsid w:val="004741CA"/>
    <w:rsid w:val="00475463"/>
    <w:rsid w:val="0047595D"/>
    <w:rsid w:val="00476504"/>
    <w:rsid w:val="00477EFB"/>
    <w:rsid w:val="00481591"/>
    <w:rsid w:val="00482744"/>
    <w:rsid w:val="00483E3C"/>
    <w:rsid w:val="00483F92"/>
    <w:rsid w:val="00484AB7"/>
    <w:rsid w:val="004903C0"/>
    <w:rsid w:val="0049096B"/>
    <w:rsid w:val="0049130D"/>
    <w:rsid w:val="0049148E"/>
    <w:rsid w:val="004932AA"/>
    <w:rsid w:val="00497F41"/>
    <w:rsid w:val="004A111A"/>
    <w:rsid w:val="004A195D"/>
    <w:rsid w:val="004A1B78"/>
    <w:rsid w:val="004A315B"/>
    <w:rsid w:val="004A3491"/>
    <w:rsid w:val="004A4D42"/>
    <w:rsid w:val="004A6464"/>
    <w:rsid w:val="004A699C"/>
    <w:rsid w:val="004A6EC5"/>
    <w:rsid w:val="004B1001"/>
    <w:rsid w:val="004B104D"/>
    <w:rsid w:val="004B1078"/>
    <w:rsid w:val="004B11FE"/>
    <w:rsid w:val="004B14FF"/>
    <w:rsid w:val="004B3038"/>
    <w:rsid w:val="004B406A"/>
    <w:rsid w:val="004B4484"/>
    <w:rsid w:val="004B498F"/>
    <w:rsid w:val="004B5393"/>
    <w:rsid w:val="004B7F85"/>
    <w:rsid w:val="004C04E4"/>
    <w:rsid w:val="004C4386"/>
    <w:rsid w:val="004C6C95"/>
    <w:rsid w:val="004C7CFE"/>
    <w:rsid w:val="004D26B6"/>
    <w:rsid w:val="004D2C17"/>
    <w:rsid w:val="004D3322"/>
    <w:rsid w:val="004D3C70"/>
    <w:rsid w:val="004D5851"/>
    <w:rsid w:val="004D7754"/>
    <w:rsid w:val="004D7863"/>
    <w:rsid w:val="004E07ED"/>
    <w:rsid w:val="004E0809"/>
    <w:rsid w:val="004E2997"/>
    <w:rsid w:val="004E3940"/>
    <w:rsid w:val="004E50D2"/>
    <w:rsid w:val="004F0429"/>
    <w:rsid w:val="004F1088"/>
    <w:rsid w:val="004F18B3"/>
    <w:rsid w:val="004F1C62"/>
    <w:rsid w:val="004F7945"/>
    <w:rsid w:val="00500BEB"/>
    <w:rsid w:val="00501D95"/>
    <w:rsid w:val="00501DC6"/>
    <w:rsid w:val="005026ED"/>
    <w:rsid w:val="00502BD7"/>
    <w:rsid w:val="005043DB"/>
    <w:rsid w:val="00505F93"/>
    <w:rsid w:val="0051241A"/>
    <w:rsid w:val="005131B5"/>
    <w:rsid w:val="0051408F"/>
    <w:rsid w:val="00514545"/>
    <w:rsid w:val="005168B9"/>
    <w:rsid w:val="00517F87"/>
    <w:rsid w:val="005221FF"/>
    <w:rsid w:val="005237C7"/>
    <w:rsid w:val="0052399E"/>
    <w:rsid w:val="00524BDA"/>
    <w:rsid w:val="005262FC"/>
    <w:rsid w:val="005302EA"/>
    <w:rsid w:val="0053066C"/>
    <w:rsid w:val="00530E9F"/>
    <w:rsid w:val="005315E6"/>
    <w:rsid w:val="00532C94"/>
    <w:rsid w:val="00533A0F"/>
    <w:rsid w:val="00533EEF"/>
    <w:rsid w:val="00534C24"/>
    <w:rsid w:val="00537358"/>
    <w:rsid w:val="00537F3F"/>
    <w:rsid w:val="005400B9"/>
    <w:rsid w:val="00540F98"/>
    <w:rsid w:val="00546CFA"/>
    <w:rsid w:val="005476DD"/>
    <w:rsid w:val="005478BA"/>
    <w:rsid w:val="00547A40"/>
    <w:rsid w:val="00547DA7"/>
    <w:rsid w:val="005505F1"/>
    <w:rsid w:val="00550721"/>
    <w:rsid w:val="005519B4"/>
    <w:rsid w:val="00551EAC"/>
    <w:rsid w:val="0055222E"/>
    <w:rsid w:val="00552DB0"/>
    <w:rsid w:val="00552E75"/>
    <w:rsid w:val="005532C6"/>
    <w:rsid w:val="00553BD8"/>
    <w:rsid w:val="00553FA2"/>
    <w:rsid w:val="005555BC"/>
    <w:rsid w:val="00555C78"/>
    <w:rsid w:val="00555FD6"/>
    <w:rsid w:val="0055774A"/>
    <w:rsid w:val="0056176B"/>
    <w:rsid w:val="00561E23"/>
    <w:rsid w:val="005628DA"/>
    <w:rsid w:val="005636B0"/>
    <w:rsid w:val="0056489F"/>
    <w:rsid w:val="0056540E"/>
    <w:rsid w:val="00567947"/>
    <w:rsid w:val="0056796E"/>
    <w:rsid w:val="00571B7B"/>
    <w:rsid w:val="0057439A"/>
    <w:rsid w:val="0058198E"/>
    <w:rsid w:val="0058347E"/>
    <w:rsid w:val="00583C12"/>
    <w:rsid w:val="00587D54"/>
    <w:rsid w:val="00590886"/>
    <w:rsid w:val="00591387"/>
    <w:rsid w:val="005932A5"/>
    <w:rsid w:val="005932E5"/>
    <w:rsid w:val="00593936"/>
    <w:rsid w:val="00594716"/>
    <w:rsid w:val="005947D4"/>
    <w:rsid w:val="0059739F"/>
    <w:rsid w:val="005A1964"/>
    <w:rsid w:val="005A21BE"/>
    <w:rsid w:val="005A27D6"/>
    <w:rsid w:val="005A6FCA"/>
    <w:rsid w:val="005A77CC"/>
    <w:rsid w:val="005B0133"/>
    <w:rsid w:val="005B23B0"/>
    <w:rsid w:val="005B2E70"/>
    <w:rsid w:val="005C205B"/>
    <w:rsid w:val="005C23AB"/>
    <w:rsid w:val="005C368A"/>
    <w:rsid w:val="005C7CBA"/>
    <w:rsid w:val="005C7F2F"/>
    <w:rsid w:val="005D10A0"/>
    <w:rsid w:val="005D3AB4"/>
    <w:rsid w:val="005D3BC7"/>
    <w:rsid w:val="005D6EE7"/>
    <w:rsid w:val="005E04EE"/>
    <w:rsid w:val="005E23BA"/>
    <w:rsid w:val="005E5BB4"/>
    <w:rsid w:val="005E696C"/>
    <w:rsid w:val="005E70C3"/>
    <w:rsid w:val="005F234E"/>
    <w:rsid w:val="005F58B6"/>
    <w:rsid w:val="00600036"/>
    <w:rsid w:val="00602C49"/>
    <w:rsid w:val="00604A80"/>
    <w:rsid w:val="006050FA"/>
    <w:rsid w:val="006074A9"/>
    <w:rsid w:val="00607E36"/>
    <w:rsid w:val="006103EF"/>
    <w:rsid w:val="00613476"/>
    <w:rsid w:val="006144DC"/>
    <w:rsid w:val="006146F2"/>
    <w:rsid w:val="006159D5"/>
    <w:rsid w:val="0061605C"/>
    <w:rsid w:val="0061795C"/>
    <w:rsid w:val="0062055A"/>
    <w:rsid w:val="00621649"/>
    <w:rsid w:val="00622CB4"/>
    <w:rsid w:val="0062310A"/>
    <w:rsid w:val="006253C2"/>
    <w:rsid w:val="00626643"/>
    <w:rsid w:val="00627C31"/>
    <w:rsid w:val="0063074B"/>
    <w:rsid w:val="006321CE"/>
    <w:rsid w:val="00632605"/>
    <w:rsid w:val="0063415B"/>
    <w:rsid w:val="00636B19"/>
    <w:rsid w:val="00637325"/>
    <w:rsid w:val="00637BA4"/>
    <w:rsid w:val="00637CFC"/>
    <w:rsid w:val="00640BD9"/>
    <w:rsid w:val="00641B3E"/>
    <w:rsid w:val="006433D5"/>
    <w:rsid w:val="00643D07"/>
    <w:rsid w:val="00643EC2"/>
    <w:rsid w:val="0064636E"/>
    <w:rsid w:val="006466E9"/>
    <w:rsid w:val="00647259"/>
    <w:rsid w:val="0064745E"/>
    <w:rsid w:val="006477EF"/>
    <w:rsid w:val="00651F69"/>
    <w:rsid w:val="00655023"/>
    <w:rsid w:val="0065577B"/>
    <w:rsid w:val="00664E04"/>
    <w:rsid w:val="006665A6"/>
    <w:rsid w:val="00670167"/>
    <w:rsid w:val="00670CA2"/>
    <w:rsid w:val="006711A8"/>
    <w:rsid w:val="00672446"/>
    <w:rsid w:val="00674997"/>
    <w:rsid w:val="00676696"/>
    <w:rsid w:val="006776AB"/>
    <w:rsid w:val="00680F5A"/>
    <w:rsid w:val="00682C1B"/>
    <w:rsid w:val="006846A4"/>
    <w:rsid w:val="006857E2"/>
    <w:rsid w:val="006900E1"/>
    <w:rsid w:val="00692F40"/>
    <w:rsid w:val="006932A3"/>
    <w:rsid w:val="0069358E"/>
    <w:rsid w:val="006937A7"/>
    <w:rsid w:val="00695FF1"/>
    <w:rsid w:val="006964E5"/>
    <w:rsid w:val="0069652A"/>
    <w:rsid w:val="00697631"/>
    <w:rsid w:val="006A39C2"/>
    <w:rsid w:val="006A7CD6"/>
    <w:rsid w:val="006B21B8"/>
    <w:rsid w:val="006B461E"/>
    <w:rsid w:val="006B4E01"/>
    <w:rsid w:val="006C228E"/>
    <w:rsid w:val="006C37E2"/>
    <w:rsid w:val="006C5D06"/>
    <w:rsid w:val="006C625A"/>
    <w:rsid w:val="006C62E8"/>
    <w:rsid w:val="006C7E5C"/>
    <w:rsid w:val="006D0F09"/>
    <w:rsid w:val="006D12E6"/>
    <w:rsid w:val="006D1B7D"/>
    <w:rsid w:val="006D1FAC"/>
    <w:rsid w:val="006D2057"/>
    <w:rsid w:val="006D2891"/>
    <w:rsid w:val="006D447E"/>
    <w:rsid w:val="006D5D5B"/>
    <w:rsid w:val="006D7875"/>
    <w:rsid w:val="006E017B"/>
    <w:rsid w:val="006E19C7"/>
    <w:rsid w:val="006E441F"/>
    <w:rsid w:val="006E51EA"/>
    <w:rsid w:val="006F0869"/>
    <w:rsid w:val="006F2A17"/>
    <w:rsid w:val="006F43FF"/>
    <w:rsid w:val="006F4F0B"/>
    <w:rsid w:val="006F535E"/>
    <w:rsid w:val="006F5736"/>
    <w:rsid w:val="006F70AE"/>
    <w:rsid w:val="007000AC"/>
    <w:rsid w:val="007003A2"/>
    <w:rsid w:val="00703460"/>
    <w:rsid w:val="00704236"/>
    <w:rsid w:val="007045D4"/>
    <w:rsid w:val="00704DB6"/>
    <w:rsid w:val="007055E3"/>
    <w:rsid w:val="00706944"/>
    <w:rsid w:val="00706B7F"/>
    <w:rsid w:val="00706D59"/>
    <w:rsid w:val="00707849"/>
    <w:rsid w:val="0071179E"/>
    <w:rsid w:val="00711E27"/>
    <w:rsid w:val="00712F1A"/>
    <w:rsid w:val="00713E14"/>
    <w:rsid w:val="0071463C"/>
    <w:rsid w:val="00714F83"/>
    <w:rsid w:val="00715C0E"/>
    <w:rsid w:val="007214FC"/>
    <w:rsid w:val="00721603"/>
    <w:rsid w:val="00721D52"/>
    <w:rsid w:val="0072229A"/>
    <w:rsid w:val="0072444C"/>
    <w:rsid w:val="007306B0"/>
    <w:rsid w:val="00734722"/>
    <w:rsid w:val="00734B05"/>
    <w:rsid w:val="00734BA1"/>
    <w:rsid w:val="00735B9F"/>
    <w:rsid w:val="00736572"/>
    <w:rsid w:val="007368CA"/>
    <w:rsid w:val="007375EB"/>
    <w:rsid w:val="00742CBB"/>
    <w:rsid w:val="00745013"/>
    <w:rsid w:val="00747E8E"/>
    <w:rsid w:val="00751677"/>
    <w:rsid w:val="00753039"/>
    <w:rsid w:val="007531D8"/>
    <w:rsid w:val="00754533"/>
    <w:rsid w:val="00756261"/>
    <w:rsid w:val="007569B2"/>
    <w:rsid w:val="00757AFC"/>
    <w:rsid w:val="007600CB"/>
    <w:rsid w:val="007633A8"/>
    <w:rsid w:val="007716F4"/>
    <w:rsid w:val="007719E6"/>
    <w:rsid w:val="0077343E"/>
    <w:rsid w:val="007739C3"/>
    <w:rsid w:val="007750C0"/>
    <w:rsid w:val="007777FA"/>
    <w:rsid w:val="007778C2"/>
    <w:rsid w:val="00780E4A"/>
    <w:rsid w:val="00781860"/>
    <w:rsid w:val="00784A04"/>
    <w:rsid w:val="00784C48"/>
    <w:rsid w:val="00784E7F"/>
    <w:rsid w:val="00786595"/>
    <w:rsid w:val="0078785B"/>
    <w:rsid w:val="007905DA"/>
    <w:rsid w:val="00792AC7"/>
    <w:rsid w:val="00794E08"/>
    <w:rsid w:val="0079574C"/>
    <w:rsid w:val="007958F3"/>
    <w:rsid w:val="00795E33"/>
    <w:rsid w:val="00797680"/>
    <w:rsid w:val="007A2951"/>
    <w:rsid w:val="007A4F1B"/>
    <w:rsid w:val="007A55D4"/>
    <w:rsid w:val="007A5668"/>
    <w:rsid w:val="007A6C81"/>
    <w:rsid w:val="007A7983"/>
    <w:rsid w:val="007B3CD5"/>
    <w:rsid w:val="007B42B7"/>
    <w:rsid w:val="007B4DB5"/>
    <w:rsid w:val="007B6A3F"/>
    <w:rsid w:val="007B6D2B"/>
    <w:rsid w:val="007C0741"/>
    <w:rsid w:val="007C3039"/>
    <w:rsid w:val="007C31CF"/>
    <w:rsid w:val="007C480B"/>
    <w:rsid w:val="007C6C83"/>
    <w:rsid w:val="007D097A"/>
    <w:rsid w:val="007D2100"/>
    <w:rsid w:val="007D3491"/>
    <w:rsid w:val="007D3DE0"/>
    <w:rsid w:val="007D5978"/>
    <w:rsid w:val="007D6101"/>
    <w:rsid w:val="007E139D"/>
    <w:rsid w:val="007E1707"/>
    <w:rsid w:val="007E1D64"/>
    <w:rsid w:val="007E49F3"/>
    <w:rsid w:val="007E55D9"/>
    <w:rsid w:val="007E680F"/>
    <w:rsid w:val="007E6AC8"/>
    <w:rsid w:val="007E7439"/>
    <w:rsid w:val="007E7AE7"/>
    <w:rsid w:val="007F03D8"/>
    <w:rsid w:val="007F33DB"/>
    <w:rsid w:val="007F49CB"/>
    <w:rsid w:val="007F668C"/>
    <w:rsid w:val="007F7603"/>
    <w:rsid w:val="007F7CC9"/>
    <w:rsid w:val="008024A7"/>
    <w:rsid w:val="008026E3"/>
    <w:rsid w:val="008032C8"/>
    <w:rsid w:val="00805BDC"/>
    <w:rsid w:val="00806D0E"/>
    <w:rsid w:val="00807E4A"/>
    <w:rsid w:val="00810952"/>
    <w:rsid w:val="00811210"/>
    <w:rsid w:val="00811A24"/>
    <w:rsid w:val="00812F90"/>
    <w:rsid w:val="00813006"/>
    <w:rsid w:val="00813B6C"/>
    <w:rsid w:val="00815125"/>
    <w:rsid w:val="00823D0E"/>
    <w:rsid w:val="00824608"/>
    <w:rsid w:val="00824EEC"/>
    <w:rsid w:val="00825D30"/>
    <w:rsid w:val="00826493"/>
    <w:rsid w:val="008269D5"/>
    <w:rsid w:val="0083056C"/>
    <w:rsid w:val="008309D3"/>
    <w:rsid w:val="00830F73"/>
    <w:rsid w:val="008314A4"/>
    <w:rsid w:val="00832FC1"/>
    <w:rsid w:val="008343EA"/>
    <w:rsid w:val="008435D3"/>
    <w:rsid w:val="00844E04"/>
    <w:rsid w:val="00844E7F"/>
    <w:rsid w:val="00845D61"/>
    <w:rsid w:val="0084758B"/>
    <w:rsid w:val="008513AB"/>
    <w:rsid w:val="00853150"/>
    <w:rsid w:val="00853586"/>
    <w:rsid w:val="00853DF4"/>
    <w:rsid w:val="00853EEF"/>
    <w:rsid w:val="00854E07"/>
    <w:rsid w:val="00855D8C"/>
    <w:rsid w:val="00857E0A"/>
    <w:rsid w:val="00861D79"/>
    <w:rsid w:val="00864689"/>
    <w:rsid w:val="00865E39"/>
    <w:rsid w:val="00866193"/>
    <w:rsid w:val="0087116B"/>
    <w:rsid w:val="008725C1"/>
    <w:rsid w:val="0087344F"/>
    <w:rsid w:val="00873521"/>
    <w:rsid w:val="00873676"/>
    <w:rsid w:val="008747DD"/>
    <w:rsid w:val="00875087"/>
    <w:rsid w:val="00876532"/>
    <w:rsid w:val="0087761A"/>
    <w:rsid w:val="0088049C"/>
    <w:rsid w:val="00880A96"/>
    <w:rsid w:val="00880CEE"/>
    <w:rsid w:val="00881579"/>
    <w:rsid w:val="008816FD"/>
    <w:rsid w:val="00884A15"/>
    <w:rsid w:val="00886F49"/>
    <w:rsid w:val="00890EC7"/>
    <w:rsid w:val="00891816"/>
    <w:rsid w:val="00891B03"/>
    <w:rsid w:val="008934EF"/>
    <w:rsid w:val="00893960"/>
    <w:rsid w:val="00893B2C"/>
    <w:rsid w:val="00894520"/>
    <w:rsid w:val="00897321"/>
    <w:rsid w:val="00897BEE"/>
    <w:rsid w:val="008A128F"/>
    <w:rsid w:val="008A1F24"/>
    <w:rsid w:val="008A2025"/>
    <w:rsid w:val="008A2541"/>
    <w:rsid w:val="008A2889"/>
    <w:rsid w:val="008A2F05"/>
    <w:rsid w:val="008A58D6"/>
    <w:rsid w:val="008A68B7"/>
    <w:rsid w:val="008A6C18"/>
    <w:rsid w:val="008B10C7"/>
    <w:rsid w:val="008B1F75"/>
    <w:rsid w:val="008B33C2"/>
    <w:rsid w:val="008B4A3B"/>
    <w:rsid w:val="008B5DA1"/>
    <w:rsid w:val="008B615B"/>
    <w:rsid w:val="008B694F"/>
    <w:rsid w:val="008B7528"/>
    <w:rsid w:val="008B7EF4"/>
    <w:rsid w:val="008C0C21"/>
    <w:rsid w:val="008C3D14"/>
    <w:rsid w:val="008C4414"/>
    <w:rsid w:val="008C4EB4"/>
    <w:rsid w:val="008D0677"/>
    <w:rsid w:val="008D3822"/>
    <w:rsid w:val="008D41AC"/>
    <w:rsid w:val="008D441B"/>
    <w:rsid w:val="008D6776"/>
    <w:rsid w:val="008D6E41"/>
    <w:rsid w:val="008D6F2F"/>
    <w:rsid w:val="008E07D9"/>
    <w:rsid w:val="008E07E3"/>
    <w:rsid w:val="008E12C9"/>
    <w:rsid w:val="008E2516"/>
    <w:rsid w:val="008E3371"/>
    <w:rsid w:val="008E43A4"/>
    <w:rsid w:val="008E4F03"/>
    <w:rsid w:val="008E596F"/>
    <w:rsid w:val="008F1545"/>
    <w:rsid w:val="008F1A00"/>
    <w:rsid w:val="008F41F5"/>
    <w:rsid w:val="008F421E"/>
    <w:rsid w:val="008F50D5"/>
    <w:rsid w:val="008F55D3"/>
    <w:rsid w:val="008F61D8"/>
    <w:rsid w:val="008F7BE8"/>
    <w:rsid w:val="009005A1"/>
    <w:rsid w:val="00901125"/>
    <w:rsid w:val="009017DF"/>
    <w:rsid w:val="009025C1"/>
    <w:rsid w:val="00903587"/>
    <w:rsid w:val="00903D60"/>
    <w:rsid w:val="00904A77"/>
    <w:rsid w:val="009115D4"/>
    <w:rsid w:val="009149FA"/>
    <w:rsid w:val="009149FE"/>
    <w:rsid w:val="00915975"/>
    <w:rsid w:val="00915D48"/>
    <w:rsid w:val="009235C3"/>
    <w:rsid w:val="0092464F"/>
    <w:rsid w:val="0093056D"/>
    <w:rsid w:val="00930905"/>
    <w:rsid w:val="009309FB"/>
    <w:rsid w:val="0093119B"/>
    <w:rsid w:val="009330A7"/>
    <w:rsid w:val="0093324D"/>
    <w:rsid w:val="0093448E"/>
    <w:rsid w:val="009353FF"/>
    <w:rsid w:val="00936215"/>
    <w:rsid w:val="00936545"/>
    <w:rsid w:val="00937E8C"/>
    <w:rsid w:val="0094097A"/>
    <w:rsid w:val="00940AE0"/>
    <w:rsid w:val="009427A4"/>
    <w:rsid w:val="009443AA"/>
    <w:rsid w:val="00944792"/>
    <w:rsid w:val="00951140"/>
    <w:rsid w:val="00956024"/>
    <w:rsid w:val="00956B51"/>
    <w:rsid w:val="00956B6C"/>
    <w:rsid w:val="00956D98"/>
    <w:rsid w:val="00957F3D"/>
    <w:rsid w:val="00961737"/>
    <w:rsid w:val="009627E6"/>
    <w:rsid w:val="00963C9F"/>
    <w:rsid w:val="009644BC"/>
    <w:rsid w:val="00964B1F"/>
    <w:rsid w:val="00966E4A"/>
    <w:rsid w:val="00967125"/>
    <w:rsid w:val="009677DF"/>
    <w:rsid w:val="00970723"/>
    <w:rsid w:val="0097160C"/>
    <w:rsid w:val="00975721"/>
    <w:rsid w:val="00976E60"/>
    <w:rsid w:val="009776F4"/>
    <w:rsid w:val="009829E0"/>
    <w:rsid w:val="00983882"/>
    <w:rsid w:val="009857C5"/>
    <w:rsid w:val="00985D80"/>
    <w:rsid w:val="00985E14"/>
    <w:rsid w:val="00985FA4"/>
    <w:rsid w:val="00990220"/>
    <w:rsid w:val="00990301"/>
    <w:rsid w:val="00992904"/>
    <w:rsid w:val="00994479"/>
    <w:rsid w:val="00995A13"/>
    <w:rsid w:val="0099637E"/>
    <w:rsid w:val="00996ADC"/>
    <w:rsid w:val="009A0B18"/>
    <w:rsid w:val="009A33B1"/>
    <w:rsid w:val="009A467F"/>
    <w:rsid w:val="009A60BB"/>
    <w:rsid w:val="009A6348"/>
    <w:rsid w:val="009A64AF"/>
    <w:rsid w:val="009A685A"/>
    <w:rsid w:val="009B2520"/>
    <w:rsid w:val="009B25D0"/>
    <w:rsid w:val="009B5B77"/>
    <w:rsid w:val="009B6D16"/>
    <w:rsid w:val="009C2984"/>
    <w:rsid w:val="009C2D21"/>
    <w:rsid w:val="009C3E92"/>
    <w:rsid w:val="009C4031"/>
    <w:rsid w:val="009C4601"/>
    <w:rsid w:val="009C66F5"/>
    <w:rsid w:val="009C6B05"/>
    <w:rsid w:val="009C7B6E"/>
    <w:rsid w:val="009D004D"/>
    <w:rsid w:val="009D0DB1"/>
    <w:rsid w:val="009D51C8"/>
    <w:rsid w:val="009E2AAE"/>
    <w:rsid w:val="009E2BA6"/>
    <w:rsid w:val="009E48EF"/>
    <w:rsid w:val="009E56B1"/>
    <w:rsid w:val="009E7788"/>
    <w:rsid w:val="009E79A9"/>
    <w:rsid w:val="009F174C"/>
    <w:rsid w:val="009F1CD8"/>
    <w:rsid w:val="009F3AAB"/>
    <w:rsid w:val="009F5B44"/>
    <w:rsid w:val="00A00C82"/>
    <w:rsid w:val="00A0276D"/>
    <w:rsid w:val="00A046C3"/>
    <w:rsid w:val="00A0504F"/>
    <w:rsid w:val="00A0755A"/>
    <w:rsid w:val="00A07817"/>
    <w:rsid w:val="00A10429"/>
    <w:rsid w:val="00A109D3"/>
    <w:rsid w:val="00A1247F"/>
    <w:rsid w:val="00A12FE2"/>
    <w:rsid w:val="00A14917"/>
    <w:rsid w:val="00A155D3"/>
    <w:rsid w:val="00A16887"/>
    <w:rsid w:val="00A16986"/>
    <w:rsid w:val="00A17105"/>
    <w:rsid w:val="00A20F1A"/>
    <w:rsid w:val="00A21218"/>
    <w:rsid w:val="00A214A5"/>
    <w:rsid w:val="00A2423F"/>
    <w:rsid w:val="00A24918"/>
    <w:rsid w:val="00A24CF5"/>
    <w:rsid w:val="00A259A8"/>
    <w:rsid w:val="00A26FBD"/>
    <w:rsid w:val="00A32F2C"/>
    <w:rsid w:val="00A412F0"/>
    <w:rsid w:val="00A42545"/>
    <w:rsid w:val="00A42F3B"/>
    <w:rsid w:val="00A43645"/>
    <w:rsid w:val="00A44725"/>
    <w:rsid w:val="00A45417"/>
    <w:rsid w:val="00A53870"/>
    <w:rsid w:val="00A55DF4"/>
    <w:rsid w:val="00A56131"/>
    <w:rsid w:val="00A5666F"/>
    <w:rsid w:val="00A61253"/>
    <w:rsid w:val="00A62C65"/>
    <w:rsid w:val="00A650FB"/>
    <w:rsid w:val="00A66D2D"/>
    <w:rsid w:val="00A71819"/>
    <w:rsid w:val="00A7190A"/>
    <w:rsid w:val="00A73CB2"/>
    <w:rsid w:val="00A73EDD"/>
    <w:rsid w:val="00A74762"/>
    <w:rsid w:val="00A757C3"/>
    <w:rsid w:val="00A7695E"/>
    <w:rsid w:val="00A76E83"/>
    <w:rsid w:val="00A77214"/>
    <w:rsid w:val="00A803A6"/>
    <w:rsid w:val="00A812C7"/>
    <w:rsid w:val="00A83F2C"/>
    <w:rsid w:val="00A86817"/>
    <w:rsid w:val="00A8752F"/>
    <w:rsid w:val="00A90FD7"/>
    <w:rsid w:val="00A95E30"/>
    <w:rsid w:val="00A9608A"/>
    <w:rsid w:val="00AA0BE2"/>
    <w:rsid w:val="00AA127C"/>
    <w:rsid w:val="00AA16FD"/>
    <w:rsid w:val="00AA33AB"/>
    <w:rsid w:val="00AA3ABE"/>
    <w:rsid w:val="00AA41C3"/>
    <w:rsid w:val="00AA5374"/>
    <w:rsid w:val="00AB01D6"/>
    <w:rsid w:val="00AB033B"/>
    <w:rsid w:val="00AB03D0"/>
    <w:rsid w:val="00AB10B3"/>
    <w:rsid w:val="00AB1F43"/>
    <w:rsid w:val="00AB2A1F"/>
    <w:rsid w:val="00AB392E"/>
    <w:rsid w:val="00AB4261"/>
    <w:rsid w:val="00AB48D9"/>
    <w:rsid w:val="00AB512E"/>
    <w:rsid w:val="00AB5A06"/>
    <w:rsid w:val="00AB69A5"/>
    <w:rsid w:val="00AB7273"/>
    <w:rsid w:val="00AB7D41"/>
    <w:rsid w:val="00AC08B8"/>
    <w:rsid w:val="00AC1288"/>
    <w:rsid w:val="00AC1412"/>
    <w:rsid w:val="00AC3C1E"/>
    <w:rsid w:val="00AC3FAD"/>
    <w:rsid w:val="00AC492F"/>
    <w:rsid w:val="00AC64FD"/>
    <w:rsid w:val="00AC67A9"/>
    <w:rsid w:val="00AC6EE6"/>
    <w:rsid w:val="00AD02B1"/>
    <w:rsid w:val="00AD2297"/>
    <w:rsid w:val="00AD377B"/>
    <w:rsid w:val="00AD4B84"/>
    <w:rsid w:val="00AD4F61"/>
    <w:rsid w:val="00AD641F"/>
    <w:rsid w:val="00AD77ED"/>
    <w:rsid w:val="00AD7EF2"/>
    <w:rsid w:val="00AE2DF1"/>
    <w:rsid w:val="00AE3AE1"/>
    <w:rsid w:val="00AE6D0A"/>
    <w:rsid w:val="00AF2213"/>
    <w:rsid w:val="00AF2431"/>
    <w:rsid w:val="00AF36DE"/>
    <w:rsid w:val="00AF49EF"/>
    <w:rsid w:val="00AF5F70"/>
    <w:rsid w:val="00B00351"/>
    <w:rsid w:val="00B011D2"/>
    <w:rsid w:val="00B04139"/>
    <w:rsid w:val="00B04CFB"/>
    <w:rsid w:val="00B07D04"/>
    <w:rsid w:val="00B11B6F"/>
    <w:rsid w:val="00B125A6"/>
    <w:rsid w:val="00B1413A"/>
    <w:rsid w:val="00B14CAA"/>
    <w:rsid w:val="00B14E02"/>
    <w:rsid w:val="00B16853"/>
    <w:rsid w:val="00B16CA8"/>
    <w:rsid w:val="00B17913"/>
    <w:rsid w:val="00B17A9C"/>
    <w:rsid w:val="00B20048"/>
    <w:rsid w:val="00B2008E"/>
    <w:rsid w:val="00B207E8"/>
    <w:rsid w:val="00B2278C"/>
    <w:rsid w:val="00B22BAE"/>
    <w:rsid w:val="00B2349C"/>
    <w:rsid w:val="00B25525"/>
    <w:rsid w:val="00B25648"/>
    <w:rsid w:val="00B25E46"/>
    <w:rsid w:val="00B30DB1"/>
    <w:rsid w:val="00B30EC2"/>
    <w:rsid w:val="00B323FC"/>
    <w:rsid w:val="00B32C4F"/>
    <w:rsid w:val="00B33254"/>
    <w:rsid w:val="00B3356C"/>
    <w:rsid w:val="00B35BD1"/>
    <w:rsid w:val="00B36AA4"/>
    <w:rsid w:val="00B36F2A"/>
    <w:rsid w:val="00B42E63"/>
    <w:rsid w:val="00B46A7D"/>
    <w:rsid w:val="00B47C02"/>
    <w:rsid w:val="00B51353"/>
    <w:rsid w:val="00B52262"/>
    <w:rsid w:val="00B52A75"/>
    <w:rsid w:val="00B56855"/>
    <w:rsid w:val="00B60408"/>
    <w:rsid w:val="00B63649"/>
    <w:rsid w:val="00B640A5"/>
    <w:rsid w:val="00B64630"/>
    <w:rsid w:val="00B65A50"/>
    <w:rsid w:val="00B66CEB"/>
    <w:rsid w:val="00B70F31"/>
    <w:rsid w:val="00B71F72"/>
    <w:rsid w:val="00B72207"/>
    <w:rsid w:val="00B747F5"/>
    <w:rsid w:val="00B75776"/>
    <w:rsid w:val="00B75E3C"/>
    <w:rsid w:val="00B76C41"/>
    <w:rsid w:val="00B76EA8"/>
    <w:rsid w:val="00B8007E"/>
    <w:rsid w:val="00B81339"/>
    <w:rsid w:val="00B81AA7"/>
    <w:rsid w:val="00B81BE0"/>
    <w:rsid w:val="00B8235E"/>
    <w:rsid w:val="00B838F9"/>
    <w:rsid w:val="00B84CAB"/>
    <w:rsid w:val="00B86179"/>
    <w:rsid w:val="00B923D0"/>
    <w:rsid w:val="00B92989"/>
    <w:rsid w:val="00B95AF0"/>
    <w:rsid w:val="00B9650B"/>
    <w:rsid w:val="00B96A8B"/>
    <w:rsid w:val="00B97A03"/>
    <w:rsid w:val="00B97E17"/>
    <w:rsid w:val="00BA3CC8"/>
    <w:rsid w:val="00BA4A3E"/>
    <w:rsid w:val="00BB0D8E"/>
    <w:rsid w:val="00BB31CE"/>
    <w:rsid w:val="00BB3390"/>
    <w:rsid w:val="00BB7C16"/>
    <w:rsid w:val="00BC1FBD"/>
    <w:rsid w:val="00BC4967"/>
    <w:rsid w:val="00BC4972"/>
    <w:rsid w:val="00BC5A43"/>
    <w:rsid w:val="00BC71CC"/>
    <w:rsid w:val="00BD44E7"/>
    <w:rsid w:val="00BD623B"/>
    <w:rsid w:val="00BE1020"/>
    <w:rsid w:val="00BE18CC"/>
    <w:rsid w:val="00BE225D"/>
    <w:rsid w:val="00BE2CDC"/>
    <w:rsid w:val="00BE2E33"/>
    <w:rsid w:val="00BE3203"/>
    <w:rsid w:val="00BE38B7"/>
    <w:rsid w:val="00BE3CD6"/>
    <w:rsid w:val="00BE5034"/>
    <w:rsid w:val="00BE6480"/>
    <w:rsid w:val="00BF0D9B"/>
    <w:rsid w:val="00BF2A7D"/>
    <w:rsid w:val="00BF491A"/>
    <w:rsid w:val="00BF5968"/>
    <w:rsid w:val="00BF5BCA"/>
    <w:rsid w:val="00BF6F0B"/>
    <w:rsid w:val="00BF7017"/>
    <w:rsid w:val="00C00602"/>
    <w:rsid w:val="00C01E32"/>
    <w:rsid w:val="00C02AC9"/>
    <w:rsid w:val="00C03A00"/>
    <w:rsid w:val="00C03F8D"/>
    <w:rsid w:val="00C0459A"/>
    <w:rsid w:val="00C04E9E"/>
    <w:rsid w:val="00C068E8"/>
    <w:rsid w:val="00C07303"/>
    <w:rsid w:val="00C103CA"/>
    <w:rsid w:val="00C10A13"/>
    <w:rsid w:val="00C119B7"/>
    <w:rsid w:val="00C12D89"/>
    <w:rsid w:val="00C1582B"/>
    <w:rsid w:val="00C161CA"/>
    <w:rsid w:val="00C22033"/>
    <w:rsid w:val="00C23C00"/>
    <w:rsid w:val="00C27DA1"/>
    <w:rsid w:val="00C30278"/>
    <w:rsid w:val="00C30DB2"/>
    <w:rsid w:val="00C3193F"/>
    <w:rsid w:val="00C333C0"/>
    <w:rsid w:val="00C348C9"/>
    <w:rsid w:val="00C358B0"/>
    <w:rsid w:val="00C35BC3"/>
    <w:rsid w:val="00C36B1E"/>
    <w:rsid w:val="00C423FE"/>
    <w:rsid w:val="00C426E6"/>
    <w:rsid w:val="00C43DCF"/>
    <w:rsid w:val="00C45588"/>
    <w:rsid w:val="00C4611E"/>
    <w:rsid w:val="00C46D79"/>
    <w:rsid w:val="00C50BB1"/>
    <w:rsid w:val="00C5122E"/>
    <w:rsid w:val="00C5126B"/>
    <w:rsid w:val="00C514E7"/>
    <w:rsid w:val="00C51626"/>
    <w:rsid w:val="00C52596"/>
    <w:rsid w:val="00C52BA4"/>
    <w:rsid w:val="00C550BD"/>
    <w:rsid w:val="00C56DF8"/>
    <w:rsid w:val="00C57E60"/>
    <w:rsid w:val="00C60E3C"/>
    <w:rsid w:val="00C61954"/>
    <w:rsid w:val="00C631C6"/>
    <w:rsid w:val="00C66C3D"/>
    <w:rsid w:val="00C67B3E"/>
    <w:rsid w:val="00C719EC"/>
    <w:rsid w:val="00C73A02"/>
    <w:rsid w:val="00C754BC"/>
    <w:rsid w:val="00C758FD"/>
    <w:rsid w:val="00C80631"/>
    <w:rsid w:val="00C80F6D"/>
    <w:rsid w:val="00C80FCF"/>
    <w:rsid w:val="00C820A2"/>
    <w:rsid w:val="00C839C1"/>
    <w:rsid w:val="00C8581D"/>
    <w:rsid w:val="00C86DF9"/>
    <w:rsid w:val="00C91486"/>
    <w:rsid w:val="00C9797E"/>
    <w:rsid w:val="00CA0776"/>
    <w:rsid w:val="00CA1889"/>
    <w:rsid w:val="00CA1C8A"/>
    <w:rsid w:val="00CA24D1"/>
    <w:rsid w:val="00CA2E22"/>
    <w:rsid w:val="00CA3676"/>
    <w:rsid w:val="00CA4E65"/>
    <w:rsid w:val="00CA5E01"/>
    <w:rsid w:val="00CA607E"/>
    <w:rsid w:val="00CA6DBA"/>
    <w:rsid w:val="00CA780E"/>
    <w:rsid w:val="00CA7FB7"/>
    <w:rsid w:val="00CB2627"/>
    <w:rsid w:val="00CB2755"/>
    <w:rsid w:val="00CB33D9"/>
    <w:rsid w:val="00CB4D72"/>
    <w:rsid w:val="00CB7132"/>
    <w:rsid w:val="00CC013D"/>
    <w:rsid w:val="00CC3235"/>
    <w:rsid w:val="00CC3E58"/>
    <w:rsid w:val="00CC4372"/>
    <w:rsid w:val="00CD0978"/>
    <w:rsid w:val="00CD0ADF"/>
    <w:rsid w:val="00CD0D47"/>
    <w:rsid w:val="00CD1987"/>
    <w:rsid w:val="00CD3ABC"/>
    <w:rsid w:val="00CD5B6E"/>
    <w:rsid w:val="00CD5F5D"/>
    <w:rsid w:val="00CE30C2"/>
    <w:rsid w:val="00CE4CE8"/>
    <w:rsid w:val="00CE5027"/>
    <w:rsid w:val="00CF0B8D"/>
    <w:rsid w:val="00CF14DF"/>
    <w:rsid w:val="00CF2718"/>
    <w:rsid w:val="00CF4DF4"/>
    <w:rsid w:val="00CF546F"/>
    <w:rsid w:val="00CF7762"/>
    <w:rsid w:val="00D00BF2"/>
    <w:rsid w:val="00D038CB"/>
    <w:rsid w:val="00D040A5"/>
    <w:rsid w:val="00D044F3"/>
    <w:rsid w:val="00D0523D"/>
    <w:rsid w:val="00D10295"/>
    <w:rsid w:val="00D1102C"/>
    <w:rsid w:val="00D111CA"/>
    <w:rsid w:val="00D11F49"/>
    <w:rsid w:val="00D14056"/>
    <w:rsid w:val="00D1489C"/>
    <w:rsid w:val="00D14DE6"/>
    <w:rsid w:val="00D16EEC"/>
    <w:rsid w:val="00D17082"/>
    <w:rsid w:val="00D17300"/>
    <w:rsid w:val="00D17695"/>
    <w:rsid w:val="00D234FA"/>
    <w:rsid w:val="00D24445"/>
    <w:rsid w:val="00D247B4"/>
    <w:rsid w:val="00D26755"/>
    <w:rsid w:val="00D27349"/>
    <w:rsid w:val="00D30D8A"/>
    <w:rsid w:val="00D320AC"/>
    <w:rsid w:val="00D376AC"/>
    <w:rsid w:val="00D408A9"/>
    <w:rsid w:val="00D40B3B"/>
    <w:rsid w:val="00D417C4"/>
    <w:rsid w:val="00D4197E"/>
    <w:rsid w:val="00D433AC"/>
    <w:rsid w:val="00D4370D"/>
    <w:rsid w:val="00D445C6"/>
    <w:rsid w:val="00D44FBB"/>
    <w:rsid w:val="00D46519"/>
    <w:rsid w:val="00D47B8E"/>
    <w:rsid w:val="00D505A1"/>
    <w:rsid w:val="00D52535"/>
    <w:rsid w:val="00D53367"/>
    <w:rsid w:val="00D53768"/>
    <w:rsid w:val="00D5383E"/>
    <w:rsid w:val="00D5696B"/>
    <w:rsid w:val="00D573E5"/>
    <w:rsid w:val="00D613C9"/>
    <w:rsid w:val="00D62FBD"/>
    <w:rsid w:val="00D63B56"/>
    <w:rsid w:val="00D6414E"/>
    <w:rsid w:val="00D656EE"/>
    <w:rsid w:val="00D67101"/>
    <w:rsid w:val="00D67609"/>
    <w:rsid w:val="00D67D8A"/>
    <w:rsid w:val="00D70308"/>
    <w:rsid w:val="00D755EF"/>
    <w:rsid w:val="00D7689A"/>
    <w:rsid w:val="00D76FBD"/>
    <w:rsid w:val="00D8007D"/>
    <w:rsid w:val="00D80CC9"/>
    <w:rsid w:val="00D80DF0"/>
    <w:rsid w:val="00D81153"/>
    <w:rsid w:val="00D82392"/>
    <w:rsid w:val="00D83978"/>
    <w:rsid w:val="00D859CF"/>
    <w:rsid w:val="00D85E2B"/>
    <w:rsid w:val="00D8657F"/>
    <w:rsid w:val="00D86D57"/>
    <w:rsid w:val="00D87B13"/>
    <w:rsid w:val="00D91B09"/>
    <w:rsid w:val="00D91B22"/>
    <w:rsid w:val="00D91F15"/>
    <w:rsid w:val="00D93260"/>
    <w:rsid w:val="00D95711"/>
    <w:rsid w:val="00D96BAE"/>
    <w:rsid w:val="00D97AF9"/>
    <w:rsid w:val="00DA0894"/>
    <w:rsid w:val="00DA105D"/>
    <w:rsid w:val="00DA1659"/>
    <w:rsid w:val="00DA2904"/>
    <w:rsid w:val="00DA4DB9"/>
    <w:rsid w:val="00DA5D9C"/>
    <w:rsid w:val="00DB02FA"/>
    <w:rsid w:val="00DB12C5"/>
    <w:rsid w:val="00DB29F8"/>
    <w:rsid w:val="00DB34A3"/>
    <w:rsid w:val="00DB3945"/>
    <w:rsid w:val="00DB3B9D"/>
    <w:rsid w:val="00DB413E"/>
    <w:rsid w:val="00DB527C"/>
    <w:rsid w:val="00DB65D2"/>
    <w:rsid w:val="00DB6AD5"/>
    <w:rsid w:val="00DB74EB"/>
    <w:rsid w:val="00DB7C33"/>
    <w:rsid w:val="00DC0834"/>
    <w:rsid w:val="00DD0E08"/>
    <w:rsid w:val="00DD21AD"/>
    <w:rsid w:val="00DD3958"/>
    <w:rsid w:val="00DD4ED3"/>
    <w:rsid w:val="00DD5046"/>
    <w:rsid w:val="00DD59A7"/>
    <w:rsid w:val="00DD7785"/>
    <w:rsid w:val="00DE1BCA"/>
    <w:rsid w:val="00DE1FCF"/>
    <w:rsid w:val="00DE4342"/>
    <w:rsid w:val="00DE67B7"/>
    <w:rsid w:val="00DE68E2"/>
    <w:rsid w:val="00DE79FB"/>
    <w:rsid w:val="00DF229D"/>
    <w:rsid w:val="00DF4FAE"/>
    <w:rsid w:val="00DF7124"/>
    <w:rsid w:val="00DF7859"/>
    <w:rsid w:val="00E1006A"/>
    <w:rsid w:val="00E11AA8"/>
    <w:rsid w:val="00E137A4"/>
    <w:rsid w:val="00E13ED8"/>
    <w:rsid w:val="00E14A29"/>
    <w:rsid w:val="00E14DBE"/>
    <w:rsid w:val="00E20107"/>
    <w:rsid w:val="00E209C9"/>
    <w:rsid w:val="00E21710"/>
    <w:rsid w:val="00E222EA"/>
    <w:rsid w:val="00E251DB"/>
    <w:rsid w:val="00E27245"/>
    <w:rsid w:val="00E33FC3"/>
    <w:rsid w:val="00E353D2"/>
    <w:rsid w:val="00E3586A"/>
    <w:rsid w:val="00E35EE2"/>
    <w:rsid w:val="00E36BED"/>
    <w:rsid w:val="00E37122"/>
    <w:rsid w:val="00E41385"/>
    <w:rsid w:val="00E42B31"/>
    <w:rsid w:val="00E4348D"/>
    <w:rsid w:val="00E43499"/>
    <w:rsid w:val="00E45535"/>
    <w:rsid w:val="00E46428"/>
    <w:rsid w:val="00E46D20"/>
    <w:rsid w:val="00E46EB0"/>
    <w:rsid w:val="00E47079"/>
    <w:rsid w:val="00E47809"/>
    <w:rsid w:val="00E507EA"/>
    <w:rsid w:val="00E521E3"/>
    <w:rsid w:val="00E527A0"/>
    <w:rsid w:val="00E537B9"/>
    <w:rsid w:val="00E540B5"/>
    <w:rsid w:val="00E5474C"/>
    <w:rsid w:val="00E55332"/>
    <w:rsid w:val="00E6243A"/>
    <w:rsid w:val="00E63B1F"/>
    <w:rsid w:val="00E64001"/>
    <w:rsid w:val="00E717B9"/>
    <w:rsid w:val="00E72251"/>
    <w:rsid w:val="00E73CC5"/>
    <w:rsid w:val="00E80393"/>
    <w:rsid w:val="00E805F1"/>
    <w:rsid w:val="00E8448F"/>
    <w:rsid w:val="00E84D95"/>
    <w:rsid w:val="00E851D2"/>
    <w:rsid w:val="00E86E57"/>
    <w:rsid w:val="00E86FD4"/>
    <w:rsid w:val="00E87617"/>
    <w:rsid w:val="00E907DA"/>
    <w:rsid w:val="00E9141F"/>
    <w:rsid w:val="00EA0A68"/>
    <w:rsid w:val="00EA2DED"/>
    <w:rsid w:val="00EA542D"/>
    <w:rsid w:val="00EB07AD"/>
    <w:rsid w:val="00EB1047"/>
    <w:rsid w:val="00EB154F"/>
    <w:rsid w:val="00EB25AB"/>
    <w:rsid w:val="00EC1C92"/>
    <w:rsid w:val="00EC2B18"/>
    <w:rsid w:val="00EC373F"/>
    <w:rsid w:val="00EC3C7C"/>
    <w:rsid w:val="00EC5672"/>
    <w:rsid w:val="00EC753F"/>
    <w:rsid w:val="00EC797B"/>
    <w:rsid w:val="00ED1D49"/>
    <w:rsid w:val="00ED28B5"/>
    <w:rsid w:val="00ED2A78"/>
    <w:rsid w:val="00ED6EE3"/>
    <w:rsid w:val="00ED71AB"/>
    <w:rsid w:val="00ED7278"/>
    <w:rsid w:val="00EE2A1F"/>
    <w:rsid w:val="00EE2AA0"/>
    <w:rsid w:val="00EE5D9F"/>
    <w:rsid w:val="00EF0639"/>
    <w:rsid w:val="00EF0D1D"/>
    <w:rsid w:val="00EF0DC9"/>
    <w:rsid w:val="00EF0FD2"/>
    <w:rsid w:val="00EF1B67"/>
    <w:rsid w:val="00EF26D0"/>
    <w:rsid w:val="00EF3EC9"/>
    <w:rsid w:val="00EF446B"/>
    <w:rsid w:val="00F0013E"/>
    <w:rsid w:val="00F008F5"/>
    <w:rsid w:val="00F00F88"/>
    <w:rsid w:val="00F0102E"/>
    <w:rsid w:val="00F011FD"/>
    <w:rsid w:val="00F03BDE"/>
    <w:rsid w:val="00F03EA5"/>
    <w:rsid w:val="00F0455F"/>
    <w:rsid w:val="00F0476F"/>
    <w:rsid w:val="00F04791"/>
    <w:rsid w:val="00F06D06"/>
    <w:rsid w:val="00F110EE"/>
    <w:rsid w:val="00F1155D"/>
    <w:rsid w:val="00F115C8"/>
    <w:rsid w:val="00F12597"/>
    <w:rsid w:val="00F13CFF"/>
    <w:rsid w:val="00F150FC"/>
    <w:rsid w:val="00F20632"/>
    <w:rsid w:val="00F213E8"/>
    <w:rsid w:val="00F2774C"/>
    <w:rsid w:val="00F303F6"/>
    <w:rsid w:val="00F30540"/>
    <w:rsid w:val="00F305BA"/>
    <w:rsid w:val="00F30CEC"/>
    <w:rsid w:val="00F31815"/>
    <w:rsid w:val="00F321F4"/>
    <w:rsid w:val="00F3225E"/>
    <w:rsid w:val="00F42747"/>
    <w:rsid w:val="00F43DD9"/>
    <w:rsid w:val="00F43DFA"/>
    <w:rsid w:val="00F441B6"/>
    <w:rsid w:val="00F46045"/>
    <w:rsid w:val="00F466DD"/>
    <w:rsid w:val="00F5001B"/>
    <w:rsid w:val="00F50214"/>
    <w:rsid w:val="00F50B59"/>
    <w:rsid w:val="00F52511"/>
    <w:rsid w:val="00F55C3F"/>
    <w:rsid w:val="00F60F07"/>
    <w:rsid w:val="00F6125E"/>
    <w:rsid w:val="00F6161A"/>
    <w:rsid w:val="00F61D52"/>
    <w:rsid w:val="00F626FB"/>
    <w:rsid w:val="00F62D3E"/>
    <w:rsid w:val="00F65845"/>
    <w:rsid w:val="00F67639"/>
    <w:rsid w:val="00F706D2"/>
    <w:rsid w:val="00F7698B"/>
    <w:rsid w:val="00F76A40"/>
    <w:rsid w:val="00F823DA"/>
    <w:rsid w:val="00F8321C"/>
    <w:rsid w:val="00F83C8F"/>
    <w:rsid w:val="00F848DF"/>
    <w:rsid w:val="00F84C30"/>
    <w:rsid w:val="00F86622"/>
    <w:rsid w:val="00F870E5"/>
    <w:rsid w:val="00F87302"/>
    <w:rsid w:val="00F909DB"/>
    <w:rsid w:val="00F93F88"/>
    <w:rsid w:val="00F940FF"/>
    <w:rsid w:val="00F946C2"/>
    <w:rsid w:val="00FA0965"/>
    <w:rsid w:val="00FA1D25"/>
    <w:rsid w:val="00FA224B"/>
    <w:rsid w:val="00FA2806"/>
    <w:rsid w:val="00FA2C18"/>
    <w:rsid w:val="00FA3609"/>
    <w:rsid w:val="00FA500F"/>
    <w:rsid w:val="00FB0D0F"/>
    <w:rsid w:val="00FB22C5"/>
    <w:rsid w:val="00FB2FC4"/>
    <w:rsid w:val="00FB3F70"/>
    <w:rsid w:val="00FB5411"/>
    <w:rsid w:val="00FB63B5"/>
    <w:rsid w:val="00FB7E64"/>
    <w:rsid w:val="00FC2302"/>
    <w:rsid w:val="00FC4A3E"/>
    <w:rsid w:val="00FC5CB7"/>
    <w:rsid w:val="00FC6798"/>
    <w:rsid w:val="00FC7B47"/>
    <w:rsid w:val="00FD07BC"/>
    <w:rsid w:val="00FD17F5"/>
    <w:rsid w:val="00FD2357"/>
    <w:rsid w:val="00FD4355"/>
    <w:rsid w:val="00FD676C"/>
    <w:rsid w:val="00FD6CB4"/>
    <w:rsid w:val="00FE219D"/>
    <w:rsid w:val="00FE24AF"/>
    <w:rsid w:val="00FE27B2"/>
    <w:rsid w:val="00FE6726"/>
    <w:rsid w:val="00FE7452"/>
    <w:rsid w:val="00FE78C6"/>
    <w:rsid w:val="00FF32E7"/>
    <w:rsid w:val="00FF4AAC"/>
    <w:rsid w:val="00FF61EE"/>
    <w:rsid w:val="00FF7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D4BB442"/>
  <w15:docId w15:val="{F5999704-F9D1-44FF-BB04-3CB1C6D11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EBB"/>
  </w:style>
  <w:style w:type="paragraph" w:styleId="Heading1">
    <w:name w:val="heading 1"/>
    <w:basedOn w:val="Normal"/>
    <w:next w:val="Normal"/>
    <w:link w:val="Heading1Char"/>
    <w:uiPriority w:val="9"/>
    <w:qFormat/>
    <w:rsid w:val="001967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43A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E30C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967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96715"/>
    <w:rPr>
      <w:rFonts w:eastAsiaTheme="minorEastAsia"/>
      <w:lang w:val="en-US"/>
    </w:rPr>
  </w:style>
  <w:style w:type="character" w:customStyle="1" w:styleId="Heading1Char">
    <w:name w:val="Heading 1 Char"/>
    <w:basedOn w:val="DefaultParagraphFont"/>
    <w:link w:val="Heading1"/>
    <w:uiPriority w:val="9"/>
    <w:rsid w:val="0019671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96715"/>
    <w:pPr>
      <w:outlineLvl w:val="9"/>
    </w:pPr>
    <w:rPr>
      <w:lang w:val="en-US"/>
    </w:rPr>
  </w:style>
  <w:style w:type="paragraph" w:styleId="TOC1">
    <w:name w:val="toc 1"/>
    <w:basedOn w:val="Normal"/>
    <w:next w:val="Normal"/>
    <w:autoRedefine/>
    <w:uiPriority w:val="39"/>
    <w:unhideWhenUsed/>
    <w:rsid w:val="00196715"/>
    <w:pPr>
      <w:spacing w:after="100"/>
    </w:pPr>
  </w:style>
  <w:style w:type="character" w:styleId="Hyperlink">
    <w:name w:val="Hyperlink"/>
    <w:basedOn w:val="DefaultParagraphFont"/>
    <w:uiPriority w:val="99"/>
    <w:unhideWhenUsed/>
    <w:rsid w:val="00196715"/>
    <w:rPr>
      <w:color w:val="0563C1" w:themeColor="hyperlink"/>
      <w:u w:val="single"/>
    </w:rPr>
  </w:style>
  <w:style w:type="character" w:customStyle="1" w:styleId="Heading2Char">
    <w:name w:val="Heading 2 Char"/>
    <w:basedOn w:val="DefaultParagraphFont"/>
    <w:link w:val="Heading2"/>
    <w:uiPriority w:val="9"/>
    <w:rsid w:val="009443AA"/>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754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4533"/>
    <w:rPr>
      <w:rFonts w:ascii="Tahoma" w:hAnsi="Tahoma" w:cs="Tahoma"/>
      <w:sz w:val="16"/>
      <w:szCs w:val="16"/>
    </w:rPr>
  </w:style>
  <w:style w:type="paragraph" w:styleId="Title">
    <w:name w:val="Title"/>
    <w:basedOn w:val="Normal"/>
    <w:next w:val="Normal"/>
    <w:link w:val="TitleChar"/>
    <w:uiPriority w:val="10"/>
    <w:qFormat/>
    <w:rsid w:val="00D4197E"/>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D4197E"/>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D4197E"/>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D4197E"/>
    <w:rPr>
      <w:rFonts w:eastAsiaTheme="minorEastAsia" w:cs="Times New Roman"/>
      <w:color w:val="5A5A5A" w:themeColor="text1" w:themeTint="A5"/>
      <w:spacing w:val="15"/>
      <w:lang w:val="en-US"/>
    </w:rPr>
  </w:style>
  <w:style w:type="paragraph" w:styleId="TOC2">
    <w:name w:val="toc 2"/>
    <w:basedOn w:val="Normal"/>
    <w:next w:val="Normal"/>
    <w:autoRedefine/>
    <w:uiPriority w:val="39"/>
    <w:unhideWhenUsed/>
    <w:rsid w:val="005B2E70"/>
    <w:pPr>
      <w:spacing w:after="100"/>
      <w:ind w:left="220"/>
    </w:pPr>
  </w:style>
  <w:style w:type="paragraph" w:styleId="Caption">
    <w:name w:val="caption"/>
    <w:basedOn w:val="Normal"/>
    <w:next w:val="Normal"/>
    <w:uiPriority w:val="35"/>
    <w:unhideWhenUsed/>
    <w:qFormat/>
    <w:rsid w:val="00F441B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937A7"/>
    <w:pPr>
      <w:spacing w:after="0"/>
    </w:pPr>
  </w:style>
  <w:style w:type="paragraph" w:styleId="ListParagraph">
    <w:name w:val="List Paragraph"/>
    <w:basedOn w:val="Normal"/>
    <w:uiPriority w:val="34"/>
    <w:qFormat/>
    <w:rsid w:val="00C27DA1"/>
    <w:pPr>
      <w:ind w:left="720"/>
      <w:contextualSpacing/>
    </w:pPr>
  </w:style>
  <w:style w:type="character" w:customStyle="1" w:styleId="Heading3Char">
    <w:name w:val="Heading 3 Char"/>
    <w:basedOn w:val="DefaultParagraphFont"/>
    <w:link w:val="Heading3"/>
    <w:uiPriority w:val="9"/>
    <w:rsid w:val="00CE30C2"/>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023054"/>
    <w:pPr>
      <w:spacing w:after="100"/>
      <w:ind w:left="440"/>
    </w:pPr>
  </w:style>
  <w:style w:type="paragraph" w:styleId="Bibliography">
    <w:name w:val="Bibliography"/>
    <w:basedOn w:val="Normal"/>
    <w:next w:val="Normal"/>
    <w:uiPriority w:val="37"/>
    <w:unhideWhenUsed/>
    <w:rsid w:val="004B4484"/>
    <w:pPr>
      <w:spacing w:after="240" w:line="240" w:lineRule="auto"/>
    </w:pPr>
  </w:style>
  <w:style w:type="paragraph" w:styleId="Header">
    <w:name w:val="header"/>
    <w:basedOn w:val="Normal"/>
    <w:link w:val="HeaderChar"/>
    <w:uiPriority w:val="99"/>
    <w:unhideWhenUsed/>
    <w:rsid w:val="00561E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E23"/>
  </w:style>
  <w:style w:type="paragraph" w:styleId="Footer">
    <w:name w:val="footer"/>
    <w:basedOn w:val="Normal"/>
    <w:link w:val="FooterChar"/>
    <w:uiPriority w:val="99"/>
    <w:unhideWhenUsed/>
    <w:rsid w:val="00561E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E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149DE4DC5494071BC8082314C54F94E"/>
        <w:category>
          <w:name w:val="General"/>
          <w:gallery w:val="placeholder"/>
        </w:category>
        <w:types>
          <w:type w:val="bbPlcHdr"/>
        </w:types>
        <w:behaviors>
          <w:behavior w:val="content"/>
        </w:behaviors>
        <w:guid w:val="{BB5A789F-1ABC-442C-A7EF-408ADD80D9A9}"/>
      </w:docPartPr>
      <w:docPartBody>
        <w:p w:rsidR="00000000" w:rsidRDefault="00F473E9" w:rsidP="00F473E9">
          <w:pPr>
            <w:pStyle w:val="6149DE4DC5494071BC8082314C54F94E"/>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3E9"/>
    <w:rsid w:val="00F47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49DE4DC5494071BC8082314C54F94E">
    <w:name w:val="6149DE4DC5494071BC8082314C54F94E"/>
    <w:rsid w:val="00F473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2EA310-523D-4261-93EC-105D39717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23134</TotalTime>
  <Pages>26</Pages>
  <Words>26430</Words>
  <Characters>150651</Characters>
  <Application>Microsoft Office Word</Application>
  <DocSecurity>0</DocSecurity>
  <Lines>1255</Lines>
  <Paragraphs>353</Paragraphs>
  <ScaleCrop>false</ScaleCrop>
  <HeadingPairs>
    <vt:vector size="2" baseType="variant">
      <vt:variant>
        <vt:lpstr>Title</vt:lpstr>
      </vt:variant>
      <vt:variant>
        <vt:i4>1</vt:i4>
      </vt:variant>
    </vt:vector>
  </HeadingPairs>
  <TitlesOfParts>
    <vt:vector size="1" baseType="lpstr">
      <vt:lpstr>The Benefits and limitations of moodle</vt:lpstr>
    </vt:vector>
  </TitlesOfParts>
  <Company>UWTSD</Company>
  <LinksUpToDate>false</LinksUpToDate>
  <CharactersWithSpaces>176728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Improving Supply chain Performance</dc:title>
  <dc:subject>Jamie Waters</dc:subject>
  <dc:creator>Jamie Waters (1551425)</dc:creator>
  <cp:keywords/>
  <dc:description/>
  <cp:lastModifiedBy>Jamie Waters</cp:lastModifiedBy>
  <cp:revision>1595</cp:revision>
  <dcterms:created xsi:type="dcterms:W3CDTF">2016-10-14T16:35:00Z</dcterms:created>
  <dcterms:modified xsi:type="dcterms:W3CDTF">2022-04-21T20:43:00Z</dcterms:modified>
  <cp:category>Date of submission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zotero-version="6.0.4"&gt;&lt;session id="maEnfALd"/&gt;&lt;style id="http://www.zotero.org/styles/cardiff-university-harvard" locale="en-GB" hasBibliography="1" bibliographyStyleHasBeenSet="1"/&gt;&lt;prefs&gt;&lt;pref name="fieldType" value="Field"/&gt;&lt;pre</vt:lpwstr>
  </property>
  <property fmtid="{D5CDD505-2E9C-101B-9397-08002B2CF9AE}" pid="3" name="ZOTERO_PREF_2">
    <vt:lpwstr>f name="automaticJournalAbbreviations" value="true"/&gt;&lt;/prefs&gt;&lt;/data&gt;</vt:lpwstr>
  </property>
</Properties>
</file>